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مقباس الهدایة فی علم الدرایة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495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1649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16499_2142443653">
            <w:r>
              <w:rPr>
                <w:webHidden/>
                <w:rStyle w:val="IndexLink"/>
                <w:rtl w:val="true"/>
              </w:rPr>
              <w:t xml:space="preserve">الفصل السادس فيمن تقبل روايته، و من تردّ روايته، و ما يتعلق به من الجرح و التعديل </w:t>
            </w:r>
            <w:r>
              <w:rPr>
                <w:rStyle w:val="IndexLink"/>
                <w:rtl w:val="true"/>
              </w:rPr>
              <w:t>.</w:t>
              <w:tab/>
            </w:r>
            <w:r>
              <w:rPr>
                <w:rStyle w:val="IndexLink"/>
              </w:rPr>
              <w:t>16</w:t>
            </w:r>
          </w:hyperlink>
        </w:p>
        <w:p>
          <w:pPr>
            <w:pStyle w:val="Contents3"/>
            <w:tabs>
              <w:tab w:val="clear" w:pos="8459"/>
              <w:tab w:val="right" w:pos="9026" w:leader="dot"/>
            </w:tabs>
            <w:rPr/>
          </w:pPr>
          <w:hyperlink w:anchor="__RefHeading___Toc316501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16503_2142443653">
            <w:r>
              <w:rPr>
                <w:webHidden/>
                <w:rStyle w:val="IndexLink"/>
                <w:rtl w:val="true"/>
              </w:rPr>
              <w:t>الجهة الأولى</w:t>
            </w:r>
            <w:r>
              <w:rPr>
                <w:rStyle w:val="IndexLink"/>
                <w:rtl w:val="true"/>
              </w:rPr>
              <w:t xml:space="preserve">: </w:t>
            </w:r>
            <w:r>
              <w:rPr>
                <w:rStyle w:val="IndexLink"/>
                <w:rtl w:val="true"/>
              </w:rPr>
              <w:t>شروطا قبول الخبر الواحد في الراوي</w:t>
            </w:r>
            <w:r>
              <w:rPr>
                <w:rStyle w:val="IndexLink"/>
                <w:rtl w:val="true"/>
              </w:rPr>
              <w:tab/>
            </w:r>
            <w:r>
              <w:rPr>
                <w:rStyle w:val="IndexLink"/>
              </w:rPr>
              <w:t>19</w:t>
            </w:r>
          </w:hyperlink>
        </w:p>
        <w:p>
          <w:pPr>
            <w:pStyle w:val="Contents4"/>
            <w:tabs>
              <w:tab w:val="clear" w:pos="8176"/>
              <w:tab w:val="right" w:pos="9026" w:leader="dot"/>
            </w:tabs>
            <w:rPr/>
          </w:pPr>
          <w:hyperlink w:anchor="__RefHeading___Toc316505_2142443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16507_2142443653">
            <w:r>
              <w:rPr>
                <w:webHidden/>
                <w:rStyle w:val="IndexLink"/>
                <w:rtl w:val="true"/>
              </w:rPr>
              <w:t>الشروط التي اعتبروها في الراوي</w:t>
            </w:r>
            <w:r>
              <w:rPr>
                <w:rStyle w:val="IndexLink"/>
                <w:rtl w:val="true"/>
              </w:rPr>
              <w:t>:</w:t>
              <w:tab/>
            </w:r>
            <w:r>
              <w:rPr>
                <w:rStyle w:val="IndexLink"/>
              </w:rPr>
              <w:t>20</w:t>
            </w:r>
          </w:hyperlink>
        </w:p>
        <w:p>
          <w:pPr>
            <w:pStyle w:val="Contents5"/>
            <w:tabs>
              <w:tab w:val="clear" w:pos="7892"/>
              <w:tab w:val="right" w:pos="9026" w:leader="dot"/>
            </w:tabs>
            <w:rPr/>
          </w:pPr>
          <w:hyperlink w:anchor="__RefHeading___Toc316509_2142443653">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16511_2142443653">
            <w:r>
              <w:rPr>
                <w:webHidden/>
                <w:rStyle w:val="IndexLink"/>
                <w:rtl w:val="true"/>
              </w:rPr>
              <w:t>الاول الاسلام</w:t>
            </w:r>
            <w:r>
              <w:rPr>
                <w:rStyle w:val="IndexLink"/>
                <w:rtl w:val="true"/>
              </w:rPr>
              <w:t>:</w:t>
              <w:tab/>
            </w:r>
            <w:r>
              <w:rPr>
                <w:rStyle w:val="IndexLink"/>
              </w:rPr>
              <w:t>20</w:t>
            </w:r>
          </w:hyperlink>
        </w:p>
        <w:p>
          <w:pPr>
            <w:pStyle w:val="Contents5"/>
            <w:tabs>
              <w:tab w:val="clear" w:pos="7892"/>
              <w:tab w:val="right" w:pos="9026" w:leader="dot"/>
            </w:tabs>
            <w:rPr/>
          </w:pPr>
          <w:hyperlink w:anchor="__RefHeading___Toc316513_2142443653">
            <w:r>
              <w:rPr>
                <w:webHidden/>
                <w:rStyle w:val="IndexLink"/>
                <w:rtl w:val="true"/>
              </w:rPr>
              <w:t>الثاني</w:t>
            </w:r>
            <w:r>
              <w:rPr>
                <w:rStyle w:val="IndexLink"/>
                <w:rtl w:val="true"/>
              </w:rPr>
              <w:t xml:space="preserve">: </w:t>
            </w:r>
            <w:r>
              <w:rPr>
                <w:rStyle w:val="IndexLink"/>
                <w:rtl w:val="true"/>
              </w:rPr>
              <w:t>العقل</w:t>
            </w:r>
            <w:r>
              <w:rPr>
                <w:rStyle w:val="IndexLink"/>
                <w:rtl w:val="true"/>
              </w:rPr>
              <w:t>:</w:t>
              <w:tab/>
            </w:r>
            <w:r>
              <w:rPr>
                <w:rStyle w:val="IndexLink"/>
              </w:rPr>
              <w:t>26</w:t>
            </w:r>
          </w:hyperlink>
        </w:p>
        <w:p>
          <w:pPr>
            <w:pStyle w:val="Contents5"/>
            <w:tabs>
              <w:tab w:val="clear" w:pos="7892"/>
              <w:tab w:val="right" w:pos="9026" w:leader="dot"/>
            </w:tabs>
            <w:rPr/>
          </w:pPr>
          <w:hyperlink w:anchor="__RefHeading___Toc316515_2142443653">
            <w:r>
              <w:rPr>
                <w:webHidden/>
                <w:rStyle w:val="IndexLink"/>
                <w:rtl w:val="true"/>
              </w:rPr>
              <w:t>الثالث</w:t>
            </w:r>
            <w:r>
              <w:rPr>
                <w:rStyle w:val="IndexLink"/>
                <w:rtl w:val="true"/>
              </w:rPr>
              <w:t xml:space="preserve">: </w:t>
            </w:r>
            <w:r>
              <w:rPr>
                <w:rStyle w:val="IndexLink"/>
                <w:rtl w:val="true"/>
              </w:rPr>
              <w:t>البلوغ</w:t>
            </w:r>
            <w:r>
              <w:rPr>
                <w:rStyle w:val="IndexLink"/>
                <w:rtl w:val="true"/>
              </w:rPr>
              <w:t>:</w:t>
              <w:tab/>
            </w:r>
            <w:r>
              <w:rPr>
                <w:rStyle w:val="IndexLink"/>
              </w:rPr>
              <w:t>28</w:t>
            </w:r>
          </w:hyperlink>
        </w:p>
        <w:p>
          <w:pPr>
            <w:pStyle w:val="Contents6"/>
            <w:tabs>
              <w:tab w:val="clear" w:pos="7609"/>
              <w:tab w:val="right" w:pos="9026" w:leader="dot"/>
            </w:tabs>
            <w:rPr/>
          </w:pPr>
          <w:hyperlink w:anchor="__RefHeading___Toc316517_2142443653">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16519_2142443653">
            <w:r>
              <w:rPr>
                <w:webHidden/>
                <w:rStyle w:val="IndexLink"/>
                <w:rtl w:val="true"/>
              </w:rPr>
              <w:t>حجة المشهور أمور</w:t>
            </w:r>
            <w:r>
              <w:rPr>
                <w:rStyle w:val="IndexLink"/>
                <w:rtl w:val="true"/>
              </w:rPr>
              <w:t>:</w:t>
              <w:tab/>
            </w:r>
            <w:r>
              <w:rPr>
                <w:rStyle w:val="IndexLink"/>
              </w:rPr>
              <w:t>29</w:t>
            </w:r>
          </w:hyperlink>
        </w:p>
        <w:p>
          <w:pPr>
            <w:pStyle w:val="Contents6"/>
            <w:tabs>
              <w:tab w:val="clear" w:pos="7609"/>
              <w:tab w:val="right" w:pos="9026" w:leader="dot"/>
            </w:tabs>
            <w:rPr/>
          </w:pPr>
          <w:hyperlink w:anchor="__RefHeading___Toc316521_2142443653">
            <w:r>
              <w:rPr>
                <w:webHidden/>
                <w:rStyle w:val="IndexLink"/>
                <w:rtl w:val="true"/>
              </w:rPr>
              <w:t>حجة من قال بقبول خبره أمور</w:t>
            </w:r>
            <w:r>
              <w:rPr>
                <w:rStyle w:val="IndexLink"/>
                <w:rtl w:val="true"/>
              </w:rPr>
              <w:t>:</w:t>
              <w:tab/>
            </w:r>
            <w:r>
              <w:rPr>
                <w:rStyle w:val="IndexLink"/>
              </w:rPr>
              <w:t>30</w:t>
            </w:r>
          </w:hyperlink>
        </w:p>
        <w:p>
          <w:pPr>
            <w:pStyle w:val="Contents5"/>
            <w:tabs>
              <w:tab w:val="clear" w:pos="7892"/>
              <w:tab w:val="right" w:pos="9026" w:leader="dot"/>
            </w:tabs>
            <w:rPr/>
          </w:pPr>
          <w:hyperlink w:anchor="__RefHeading___Toc316523_2142443653">
            <w:r>
              <w:rPr>
                <w:webHidden/>
                <w:rStyle w:val="IndexLink"/>
                <w:rtl w:val="true"/>
              </w:rPr>
              <w:t>الرابع</w:t>
            </w:r>
            <w:r>
              <w:rPr>
                <w:rStyle w:val="IndexLink"/>
                <w:rtl w:val="true"/>
              </w:rPr>
              <w:t xml:space="preserve">: </w:t>
            </w:r>
            <w:r>
              <w:rPr>
                <w:rStyle w:val="IndexLink"/>
                <w:rtl w:val="true"/>
              </w:rPr>
              <w:t>الإيمان</w:t>
            </w:r>
            <w:r>
              <w:rPr>
                <w:rStyle w:val="IndexLink"/>
                <w:rtl w:val="true"/>
              </w:rPr>
              <w:t>:</w:t>
              <w:tab/>
            </w:r>
            <w:r>
              <w:rPr>
                <w:rStyle w:val="IndexLink"/>
              </w:rPr>
              <w:t>32</w:t>
            </w:r>
          </w:hyperlink>
        </w:p>
        <w:p>
          <w:pPr>
            <w:pStyle w:val="Contents6"/>
            <w:tabs>
              <w:tab w:val="clear" w:pos="7609"/>
              <w:tab w:val="right" w:pos="9026" w:leader="dot"/>
            </w:tabs>
            <w:rPr/>
          </w:pPr>
          <w:hyperlink w:anchor="__RefHeading___Toc316525_2142443653">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316527_2142443653">
            <w:r>
              <w:rPr>
                <w:webHidden/>
                <w:rStyle w:val="IndexLink"/>
                <w:rtl w:val="true"/>
              </w:rPr>
              <w:t>حجة الأولين أمور</w:t>
            </w:r>
            <w:r>
              <w:rPr>
                <w:rStyle w:val="IndexLink"/>
                <w:rtl w:val="true"/>
              </w:rPr>
              <w:t>:</w:t>
              <w:tab/>
            </w:r>
            <w:r>
              <w:rPr>
                <w:rStyle w:val="IndexLink"/>
              </w:rPr>
              <w:t>35</w:t>
            </w:r>
          </w:hyperlink>
        </w:p>
        <w:p>
          <w:pPr>
            <w:pStyle w:val="Contents6"/>
            <w:tabs>
              <w:tab w:val="clear" w:pos="7609"/>
              <w:tab w:val="right" w:pos="9026" w:leader="dot"/>
            </w:tabs>
            <w:rPr/>
          </w:pPr>
          <w:hyperlink w:anchor="__RefHeading___Toc316529_2142443653">
            <w:r>
              <w:rPr>
                <w:webHidden/>
                <w:rStyle w:val="IndexLink"/>
                <w:rtl w:val="true"/>
              </w:rPr>
              <w:t>و حجة الآخرين أمور</w:t>
            </w:r>
            <w:r>
              <w:rPr>
                <w:rStyle w:val="IndexLink"/>
                <w:rtl w:val="true"/>
              </w:rPr>
              <w:t>:</w:t>
              <w:tab/>
            </w:r>
            <w:r>
              <w:rPr>
                <w:rStyle w:val="IndexLink"/>
              </w:rPr>
              <w:t>37</w:t>
            </w:r>
          </w:hyperlink>
        </w:p>
        <w:p>
          <w:pPr>
            <w:pStyle w:val="Contents5"/>
            <w:tabs>
              <w:tab w:val="clear" w:pos="7892"/>
              <w:tab w:val="right" w:pos="9026" w:leader="dot"/>
            </w:tabs>
            <w:rPr/>
          </w:pPr>
          <w:hyperlink w:anchor="__RefHeading___Toc316531_2142443653">
            <w:r>
              <w:rPr>
                <w:webHidden/>
                <w:rStyle w:val="IndexLink"/>
                <w:rtl w:val="true"/>
              </w:rPr>
              <w:t>الخامس</w:t>
            </w:r>
            <w:r>
              <w:rPr>
                <w:rStyle w:val="IndexLink"/>
                <w:rtl w:val="true"/>
              </w:rPr>
              <w:t xml:space="preserve">: </w:t>
            </w:r>
            <w:r>
              <w:rPr>
                <w:rStyle w:val="IndexLink"/>
                <w:rtl w:val="true"/>
              </w:rPr>
              <w:t>العدالة</w:t>
            </w:r>
            <w:r>
              <w:rPr>
                <w:rStyle w:val="IndexLink"/>
                <w:rtl w:val="true"/>
              </w:rPr>
              <w:t>:</w:t>
              <w:tab/>
            </w:r>
            <w:r>
              <w:rPr>
                <w:rStyle w:val="IndexLink"/>
              </w:rPr>
              <w:t>39</w:t>
            </w:r>
          </w:hyperlink>
        </w:p>
        <w:p>
          <w:pPr>
            <w:pStyle w:val="Contents6"/>
            <w:tabs>
              <w:tab w:val="clear" w:pos="7609"/>
              <w:tab w:val="right" w:pos="9026" w:leader="dot"/>
            </w:tabs>
            <w:rPr/>
          </w:pPr>
          <w:hyperlink w:anchor="__RefHeading___Toc316533_2142443653">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316535_2142443653">
            <w:r>
              <w:rPr>
                <w:webHidden/>
                <w:rStyle w:val="IndexLink"/>
                <w:rtl w:val="true"/>
              </w:rPr>
              <w:t>حجة القول بالعمل بخبر مجهول الحال</w:t>
            </w:r>
            <w:r>
              <w:rPr>
                <w:rStyle w:val="IndexLink"/>
                <w:rtl w:val="true"/>
              </w:rPr>
              <w:t>:</w:t>
              <w:tab/>
            </w:r>
            <w:r>
              <w:rPr>
                <w:rStyle w:val="IndexLink"/>
              </w:rPr>
              <w:t>46</w:t>
            </w:r>
          </w:hyperlink>
        </w:p>
        <w:p>
          <w:pPr>
            <w:pStyle w:val="Contents6"/>
            <w:tabs>
              <w:tab w:val="clear" w:pos="7609"/>
              <w:tab w:val="right" w:pos="9026" w:leader="dot"/>
            </w:tabs>
            <w:rPr/>
          </w:pPr>
          <w:hyperlink w:anchor="__RefHeading___Toc316537_2142443653">
            <w:r>
              <w:rPr>
                <w:webHidden/>
                <w:rStyle w:val="IndexLink"/>
                <w:rtl w:val="true"/>
              </w:rPr>
              <w:t xml:space="preserve">حجة الشيخ </w:t>
            </w:r>
            <w:r>
              <w:rPr>
                <w:rStyle w:val="IndexLink"/>
                <w:rtl w:val="true"/>
              </w:rPr>
              <w:t>(</w:t>
            </w:r>
            <w:r>
              <w:rPr>
                <w:rStyle w:val="IndexLink"/>
                <w:rtl w:val="true"/>
              </w:rPr>
              <w:t>رحمه اللّه</w:t>
            </w:r>
            <w:r>
              <w:rPr>
                <w:rStyle w:val="IndexLink"/>
                <w:rtl w:val="true"/>
              </w:rPr>
              <w:t xml:space="preserve">) </w:t>
            </w:r>
            <w:r>
              <w:rPr>
                <w:rStyle w:val="IndexLink"/>
                <w:rtl w:val="true"/>
              </w:rPr>
              <w:t>و من وافقه وجوه</w:t>
            </w:r>
            <w:r>
              <w:rPr>
                <w:rStyle w:val="IndexLink"/>
                <w:rtl w:val="true"/>
              </w:rPr>
              <w:t>:</w:t>
              <w:tab/>
            </w:r>
            <w:r>
              <w:rPr>
                <w:rStyle w:val="IndexLink"/>
              </w:rPr>
              <w:t>46</w:t>
            </w:r>
          </w:hyperlink>
        </w:p>
        <w:p>
          <w:pPr>
            <w:pStyle w:val="Contents6"/>
            <w:tabs>
              <w:tab w:val="clear" w:pos="7609"/>
              <w:tab w:val="right" w:pos="9026" w:leader="dot"/>
            </w:tabs>
            <w:rPr/>
          </w:pPr>
          <w:hyperlink w:anchor="__RefHeading___Toc316539_2142443653">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316541_2142443653">
            <w:r>
              <w:rPr>
                <w:webHidden/>
                <w:rStyle w:val="IndexLink"/>
                <w:rtl w:val="true"/>
              </w:rPr>
              <w:t>و أجاب عنه المحقق في المعارج</w:t>
            </w:r>
            <w:r>
              <w:rPr>
                <w:rStyle w:val="IndexLink"/>
                <w:rtl w:val="true"/>
              </w:rPr>
              <w:t>:</w:t>
              <w:tab/>
            </w:r>
            <w:r>
              <w:rPr>
                <w:rStyle w:val="IndexLink"/>
              </w:rPr>
              <w:t>47</w:t>
            </w:r>
          </w:hyperlink>
        </w:p>
        <w:p>
          <w:pPr>
            <w:pStyle w:val="Contents5"/>
            <w:tabs>
              <w:tab w:val="clear" w:pos="7892"/>
              <w:tab w:val="right" w:pos="9026" w:leader="dot"/>
            </w:tabs>
            <w:rPr/>
          </w:pPr>
          <w:hyperlink w:anchor="__RefHeading___Toc316543_2142443653">
            <w:r>
              <w:rPr>
                <w:webHidden/>
                <w:rStyle w:val="IndexLink"/>
                <w:rtl w:val="true"/>
              </w:rPr>
              <w:t>السادس</w:t>
            </w:r>
            <w:r>
              <w:rPr>
                <w:rStyle w:val="IndexLink"/>
                <w:rtl w:val="true"/>
              </w:rPr>
              <w:t xml:space="preserve">: </w:t>
            </w:r>
            <w:r>
              <w:rPr>
                <w:rStyle w:val="IndexLink"/>
                <w:rtl w:val="true"/>
              </w:rPr>
              <w:t>الضبط</w:t>
            </w:r>
            <w:r>
              <w:rPr>
                <w:rStyle w:val="IndexLink"/>
                <w:rtl w:val="true"/>
              </w:rPr>
              <w:t>:</w:t>
              <w:tab/>
            </w:r>
            <w:r>
              <w:rPr>
                <w:rStyle w:val="IndexLink"/>
              </w:rPr>
              <w:t>50</w:t>
            </w:r>
          </w:hyperlink>
        </w:p>
        <w:p>
          <w:pPr>
            <w:pStyle w:val="Contents6"/>
            <w:tabs>
              <w:tab w:val="clear" w:pos="7609"/>
              <w:tab w:val="right" w:pos="9026" w:leader="dot"/>
            </w:tabs>
            <w:rPr/>
          </w:pPr>
          <w:hyperlink w:anchor="__RefHeading___Toc316545_2142443653">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16547_2142443653">
            <w:r>
              <w:rPr>
                <w:webHidden/>
                <w:rStyle w:val="IndexLink"/>
                <w:rtl w:val="true"/>
              </w:rPr>
              <w:t>تنبيهات</w:t>
            </w:r>
            <w:r>
              <w:rPr>
                <w:rStyle w:val="IndexLink"/>
                <w:rtl w:val="true"/>
              </w:rPr>
              <w:tab/>
            </w:r>
            <w:r>
              <w:rPr>
                <w:rStyle w:val="IndexLink"/>
              </w:rPr>
              <w:t>51</w:t>
            </w:r>
          </w:hyperlink>
        </w:p>
        <w:p>
          <w:pPr>
            <w:pStyle w:val="Contents6"/>
            <w:tabs>
              <w:tab w:val="clear" w:pos="7609"/>
              <w:tab w:val="right" w:pos="9026" w:leader="dot"/>
            </w:tabs>
            <w:rPr/>
          </w:pPr>
          <w:hyperlink w:anchor="__RefHeading___Toc316549_2142443653">
            <w:r>
              <w:rPr>
                <w:webHidden/>
                <w:rStyle w:val="IndexLink"/>
                <w:rtl w:val="true"/>
              </w:rPr>
              <w:t>الاول</w:t>
            </w:r>
            <w:r>
              <w:rPr>
                <w:rStyle w:val="IndexLink"/>
                <w:rtl w:val="true"/>
              </w:rPr>
              <w:t xml:space="preserve">: </w:t>
            </w:r>
            <w:r>
              <w:rPr>
                <w:rStyle w:val="IndexLink"/>
                <w:rtl w:val="true"/>
              </w:rPr>
              <w:t>ما المراد من الضابط؟</w:t>
            </w:r>
            <w:r>
              <w:rPr>
                <w:rStyle w:val="IndexLink"/>
                <w:rtl w:val="true"/>
              </w:rPr>
              <w:tab/>
            </w:r>
            <w:r>
              <w:rPr>
                <w:rStyle w:val="IndexLink"/>
              </w:rPr>
              <w:t>51</w:t>
            </w:r>
          </w:hyperlink>
        </w:p>
        <w:p>
          <w:pPr>
            <w:pStyle w:val="Contents6"/>
            <w:tabs>
              <w:tab w:val="clear" w:pos="7609"/>
              <w:tab w:val="right" w:pos="9026" w:leader="dot"/>
            </w:tabs>
            <w:rPr/>
          </w:pPr>
          <w:hyperlink w:anchor="__RefHeading___Toc316551_2142443653">
            <w:r>
              <w:rPr>
                <w:webHidden/>
                <w:rStyle w:val="IndexLink"/>
                <w:rtl w:val="true"/>
              </w:rPr>
              <w:t>الثاني</w:t>
            </w:r>
            <w:r>
              <w:rPr>
                <w:rStyle w:val="IndexLink"/>
                <w:rtl w:val="true"/>
              </w:rPr>
              <w:t xml:space="preserve">: </w:t>
            </w:r>
            <w:r>
              <w:rPr>
                <w:rStyle w:val="IndexLink"/>
                <w:rtl w:val="true"/>
              </w:rPr>
              <w:t>هل قيد العدالة يغني عن الضبط؟</w:t>
            </w:r>
            <w:r>
              <w:rPr>
                <w:rStyle w:val="IndexLink"/>
                <w:rtl w:val="true"/>
              </w:rPr>
              <w:tab/>
            </w:r>
            <w:r>
              <w:rPr>
                <w:rStyle w:val="IndexLink"/>
              </w:rPr>
              <w:t>52</w:t>
            </w:r>
          </w:hyperlink>
        </w:p>
        <w:p>
          <w:pPr>
            <w:pStyle w:val="Contents6"/>
            <w:tabs>
              <w:tab w:val="clear" w:pos="7609"/>
              <w:tab w:val="right" w:pos="9026" w:leader="dot"/>
            </w:tabs>
            <w:rPr/>
          </w:pPr>
          <w:hyperlink w:anchor="__RefHeading___Toc316553_2142443653">
            <w:r>
              <w:rPr>
                <w:webHidden/>
                <w:rStyle w:val="IndexLink"/>
                <w:rtl w:val="true"/>
              </w:rPr>
              <w:t>الثالث</w:t>
            </w:r>
            <w:r>
              <w:rPr>
                <w:rStyle w:val="IndexLink"/>
                <w:rtl w:val="true"/>
              </w:rPr>
              <w:t xml:space="preserve">: </w:t>
            </w:r>
            <w:r>
              <w:rPr>
                <w:rStyle w:val="IndexLink"/>
                <w:rtl w:val="true"/>
              </w:rPr>
              <w:t>من يطلق عليه ضابط؟</w:t>
            </w:r>
            <w:r>
              <w:rPr>
                <w:rStyle w:val="IndexLink"/>
                <w:rtl w:val="true"/>
              </w:rPr>
              <w:tab/>
            </w:r>
            <w:r>
              <w:rPr>
                <w:rStyle w:val="IndexLink"/>
              </w:rPr>
              <w:t>53</w:t>
            </w:r>
          </w:hyperlink>
        </w:p>
        <w:p>
          <w:pPr>
            <w:pStyle w:val="Contents6"/>
            <w:tabs>
              <w:tab w:val="clear" w:pos="7609"/>
              <w:tab w:val="right" w:pos="9026" w:leader="dot"/>
            </w:tabs>
            <w:rPr/>
          </w:pPr>
          <w:hyperlink w:anchor="__RefHeading___Toc316555_2142443653">
            <w:r>
              <w:rPr>
                <w:webHidden/>
                <w:rStyle w:val="IndexLink"/>
                <w:rtl w:val="true"/>
              </w:rPr>
              <w:t>الرابع</w:t>
            </w:r>
            <w:r>
              <w:rPr>
                <w:rStyle w:val="IndexLink"/>
                <w:rtl w:val="true"/>
              </w:rPr>
              <w:t xml:space="preserve">: </w:t>
            </w:r>
            <w:r>
              <w:rPr>
                <w:rStyle w:val="IndexLink"/>
                <w:rtl w:val="true"/>
              </w:rPr>
              <w:t>كيفية اعتبار الضبط في الراوي؟</w:t>
            </w:r>
            <w:r>
              <w:rPr>
                <w:rStyle w:val="IndexLink"/>
                <w:rtl w:val="true"/>
              </w:rPr>
              <w:tab/>
            </w:r>
            <w:r>
              <w:rPr>
                <w:rStyle w:val="IndexLink"/>
              </w:rPr>
              <w:t>54</w:t>
            </w:r>
          </w:hyperlink>
        </w:p>
        <w:p>
          <w:pPr>
            <w:pStyle w:val="Contents6"/>
            <w:tabs>
              <w:tab w:val="clear" w:pos="7609"/>
              <w:tab w:val="right" w:pos="9026" w:leader="dot"/>
            </w:tabs>
            <w:rPr/>
          </w:pPr>
          <w:hyperlink w:anchor="__RefHeading___Toc316557_2142443653">
            <w:r>
              <w:rPr>
                <w:webHidden/>
                <w:rStyle w:val="IndexLink"/>
                <w:rtl w:val="true"/>
              </w:rPr>
              <w:t>الخامس</w:t>
            </w:r>
            <w:r>
              <w:rPr>
                <w:rStyle w:val="IndexLink"/>
                <w:rtl w:val="true"/>
              </w:rPr>
              <w:t xml:space="preserve">: </w:t>
            </w:r>
            <w:r>
              <w:rPr>
                <w:rStyle w:val="IndexLink"/>
                <w:rtl w:val="true"/>
              </w:rPr>
              <w:t>الاكثار من الرواية لا يدل على عدم الضبط</w:t>
            </w:r>
            <w:r>
              <w:rPr>
                <w:rStyle w:val="IndexLink"/>
                <w:rtl w:val="true"/>
              </w:rPr>
              <w:tab/>
            </w:r>
            <w:r>
              <w:rPr>
                <w:rStyle w:val="IndexLink"/>
              </w:rPr>
              <w:t>55</w:t>
            </w:r>
          </w:hyperlink>
        </w:p>
        <w:p>
          <w:pPr>
            <w:pStyle w:val="Contents6"/>
            <w:tabs>
              <w:tab w:val="clear" w:pos="7609"/>
              <w:tab w:val="right" w:pos="9026" w:leader="dot"/>
            </w:tabs>
            <w:rPr/>
          </w:pPr>
          <w:hyperlink w:anchor="__RefHeading___Toc316559_2142443653">
            <w:r>
              <w:rPr>
                <w:webHidden/>
                <w:rStyle w:val="IndexLink"/>
                <w:rtl w:val="true"/>
              </w:rPr>
              <w:t>السادس</w:t>
            </w:r>
            <w:r>
              <w:rPr>
                <w:rStyle w:val="IndexLink"/>
                <w:rtl w:val="true"/>
              </w:rPr>
              <w:t xml:space="preserve">: </w:t>
            </w:r>
            <w:r>
              <w:rPr>
                <w:rStyle w:val="IndexLink"/>
                <w:rtl w:val="true"/>
              </w:rPr>
              <w:t>رواية الاصول لا تحتاج الى الضبط</w:t>
            </w:r>
            <w:r>
              <w:rPr>
                <w:rStyle w:val="IndexLink"/>
                <w:rtl w:val="true"/>
              </w:rPr>
              <w:tab/>
            </w:r>
            <w:r>
              <w:rPr>
                <w:rStyle w:val="IndexLink"/>
              </w:rPr>
              <w:t>55</w:t>
            </w:r>
          </w:hyperlink>
        </w:p>
        <w:p>
          <w:pPr>
            <w:pStyle w:val="Contents6"/>
            <w:tabs>
              <w:tab w:val="clear" w:pos="7609"/>
              <w:tab w:val="right" w:pos="9026" w:leader="dot"/>
            </w:tabs>
            <w:rPr/>
          </w:pPr>
          <w:hyperlink w:anchor="__RefHeading___Toc316561_2142443653">
            <w:r>
              <w:rPr>
                <w:webHidden/>
                <w:rStyle w:val="IndexLink"/>
                <w:rtl w:val="true"/>
              </w:rPr>
              <w:t>السابع</w:t>
            </w:r>
            <w:r>
              <w:rPr>
                <w:rStyle w:val="IndexLink"/>
                <w:rtl w:val="true"/>
              </w:rPr>
              <w:t xml:space="preserve">: </w:t>
            </w:r>
            <w:r>
              <w:rPr>
                <w:rStyle w:val="IndexLink"/>
                <w:rtl w:val="true"/>
              </w:rPr>
              <w:t>تفرد الضابط الثقة، حجة و إن لم يكن له موافق</w:t>
            </w:r>
            <w:r>
              <w:rPr>
                <w:rStyle w:val="IndexLink"/>
                <w:rtl w:val="true"/>
              </w:rPr>
              <w:tab/>
            </w:r>
            <w:r>
              <w:rPr>
                <w:rStyle w:val="IndexLink"/>
              </w:rPr>
              <w:t>55</w:t>
            </w:r>
          </w:hyperlink>
        </w:p>
        <w:p>
          <w:pPr>
            <w:pStyle w:val="Contents6"/>
            <w:tabs>
              <w:tab w:val="clear" w:pos="7609"/>
              <w:tab w:val="right" w:pos="9026" w:leader="dot"/>
            </w:tabs>
            <w:rPr/>
          </w:pPr>
          <w:hyperlink w:anchor="__RefHeading___Toc316563_2142443653">
            <w:r>
              <w:rPr>
                <w:webHidden/>
                <w:rStyle w:val="IndexLink"/>
                <w:rtl w:val="true"/>
              </w:rPr>
              <w:t>تذييل</w:t>
            </w:r>
            <w:r>
              <w:rPr>
                <w:rStyle w:val="IndexLink"/>
                <w:rtl w:val="true"/>
              </w:rPr>
              <w:t xml:space="preserve">: </w:t>
            </w:r>
            <w:r>
              <w:rPr>
                <w:rStyle w:val="IndexLink"/>
                <w:rtl w:val="true"/>
              </w:rPr>
              <w:t>فيه امران</w:t>
            </w:r>
            <w:r>
              <w:rPr>
                <w:rStyle w:val="IndexLink"/>
                <w:rtl w:val="true"/>
              </w:rPr>
              <w:tab/>
            </w:r>
            <w:r>
              <w:rPr>
                <w:rStyle w:val="IndexLink"/>
              </w:rPr>
              <w:t>57</w:t>
            </w:r>
          </w:hyperlink>
        </w:p>
        <w:p>
          <w:pPr>
            <w:pStyle w:val="Contents6"/>
            <w:tabs>
              <w:tab w:val="clear" w:pos="7609"/>
              <w:tab w:val="right" w:pos="9026" w:leader="dot"/>
            </w:tabs>
            <w:rPr/>
          </w:pPr>
          <w:hyperlink w:anchor="__RefHeading___Toc316565_2142443653">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16567_2142443653">
            <w:r>
              <w:rPr>
                <w:webHidden/>
                <w:rStyle w:val="IndexLink"/>
                <w:rtl w:val="true"/>
              </w:rPr>
              <w:t>الاول</w:t>
            </w:r>
            <w:r>
              <w:rPr>
                <w:rStyle w:val="IndexLink"/>
                <w:rtl w:val="true"/>
              </w:rPr>
              <w:t xml:space="preserve">: </w:t>
            </w:r>
            <w:r>
              <w:rPr>
                <w:rStyle w:val="IndexLink"/>
                <w:rtl w:val="true"/>
              </w:rPr>
              <w:t>لا يلزم غير ما ذكر من الشروط كالذكورية و الحرية و غيرهما</w:t>
            </w:r>
            <w:r>
              <w:rPr>
                <w:rStyle w:val="IndexLink"/>
                <w:rtl w:val="true"/>
              </w:rPr>
              <w:tab/>
            </w:r>
            <w:r>
              <w:rPr>
                <w:rStyle w:val="IndexLink"/>
              </w:rPr>
              <w:t>57</w:t>
            </w:r>
          </w:hyperlink>
        </w:p>
        <w:p>
          <w:pPr>
            <w:pStyle w:val="Contents6"/>
            <w:tabs>
              <w:tab w:val="clear" w:pos="7609"/>
              <w:tab w:val="right" w:pos="9026" w:leader="dot"/>
            </w:tabs>
            <w:rPr/>
          </w:pPr>
          <w:hyperlink w:anchor="__RefHeading___Toc316569_2142443653">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16571_2142443653">
            <w:r>
              <w:rPr>
                <w:webHidden/>
                <w:rStyle w:val="IndexLink"/>
                <w:rtl w:val="true"/>
              </w:rPr>
              <w:t>فرع</w:t>
            </w:r>
            <w:r>
              <w:rPr>
                <w:rStyle w:val="IndexLink"/>
                <w:rtl w:val="true"/>
              </w:rPr>
              <w:t xml:space="preserve">: </w:t>
            </w:r>
            <w:r>
              <w:rPr>
                <w:rStyle w:val="IndexLink"/>
                <w:rtl w:val="true"/>
              </w:rPr>
              <w:t>لو كان للراوي اسمان،</w:t>
            </w:r>
            <w:r>
              <w:rPr>
                <w:rStyle w:val="IndexLink"/>
                <w:rtl w:val="true"/>
              </w:rPr>
              <w:tab/>
            </w:r>
            <w:r>
              <w:rPr>
                <w:rStyle w:val="IndexLink"/>
              </w:rPr>
              <w:t>61</w:t>
            </w:r>
          </w:hyperlink>
        </w:p>
        <w:p>
          <w:pPr>
            <w:pStyle w:val="Contents6"/>
            <w:tabs>
              <w:tab w:val="clear" w:pos="7609"/>
              <w:tab w:val="right" w:pos="9026" w:leader="dot"/>
            </w:tabs>
            <w:rPr/>
          </w:pPr>
          <w:hyperlink w:anchor="__RefHeading___Toc316573_2142443653">
            <w:r>
              <w:rPr>
                <w:webHidden/>
                <w:rStyle w:val="IndexLink"/>
                <w:rtl w:val="true"/>
              </w:rPr>
              <w:t>فائدة</w:t>
            </w:r>
            <w:r>
              <w:rPr>
                <w:rStyle w:val="IndexLink"/>
                <w:rtl w:val="true"/>
              </w:rPr>
              <w:t xml:space="preserve">: </w:t>
            </w:r>
            <w:r>
              <w:rPr>
                <w:rStyle w:val="IndexLink"/>
                <w:rtl w:val="true"/>
              </w:rPr>
              <w:t>لا يعتبر في حجية الخبر وجوده في أحد الكتب الأربعة</w:t>
            </w:r>
            <w:r>
              <w:rPr>
                <w:rStyle w:val="IndexLink"/>
                <w:rtl w:val="true"/>
              </w:rPr>
              <w:tab/>
            </w:r>
            <w:r>
              <w:rPr>
                <w:rStyle w:val="IndexLink"/>
              </w:rPr>
              <w:t>61</w:t>
            </w:r>
          </w:hyperlink>
        </w:p>
        <w:p>
          <w:pPr>
            <w:pStyle w:val="Contents6"/>
            <w:tabs>
              <w:tab w:val="clear" w:pos="7609"/>
              <w:tab w:val="right" w:pos="9026" w:leader="dot"/>
            </w:tabs>
            <w:rPr/>
          </w:pPr>
          <w:hyperlink w:anchor="__RefHeading___Toc316575_2142443653">
            <w:r>
              <w:rPr>
                <w:webHidden/>
                <w:rStyle w:val="IndexLink"/>
                <w:rtl w:val="true"/>
              </w:rPr>
              <w:t>الثاني</w:t>
            </w:r>
            <w:r>
              <w:rPr>
                <w:rStyle w:val="IndexLink"/>
                <w:rtl w:val="true"/>
              </w:rPr>
              <w:t xml:space="preserve">: </w:t>
            </w:r>
            <w:r>
              <w:rPr>
                <w:rStyle w:val="IndexLink"/>
                <w:rtl w:val="true"/>
              </w:rPr>
              <w:t>شرائط الراوي معتبرة حين الاداء لا حال التحمل</w:t>
            </w:r>
            <w:r>
              <w:rPr>
                <w:rStyle w:val="IndexLink"/>
                <w:rtl w:val="true"/>
              </w:rPr>
              <w:tab/>
            </w:r>
            <w:r>
              <w:rPr>
                <w:rStyle w:val="IndexLink"/>
              </w:rPr>
              <w:t>63</w:t>
            </w:r>
          </w:hyperlink>
        </w:p>
        <w:p>
          <w:pPr>
            <w:pStyle w:val="Contents3"/>
            <w:tabs>
              <w:tab w:val="clear" w:pos="8459"/>
              <w:tab w:val="right" w:pos="9026" w:leader="dot"/>
            </w:tabs>
            <w:rPr/>
          </w:pPr>
          <w:hyperlink w:anchor="__RefHeading___Toc316577_2142443653">
            <w:r>
              <w:rPr>
                <w:webHidden/>
                <w:rStyle w:val="IndexLink"/>
                <w:rtl w:val="true"/>
              </w:rPr>
              <w:t>الجهة الثانية كيفية ثبوت عدالة الراوي</w:t>
            </w:r>
            <w:r>
              <w:rPr>
                <w:rStyle w:val="IndexLink"/>
                <w:rtl w:val="true"/>
              </w:rPr>
              <w:tab/>
            </w:r>
            <w:r>
              <w:rPr>
                <w:rStyle w:val="IndexLink"/>
              </w:rPr>
              <w:t>70</w:t>
            </w:r>
          </w:hyperlink>
        </w:p>
        <w:p>
          <w:pPr>
            <w:pStyle w:val="Contents4"/>
            <w:tabs>
              <w:tab w:val="clear" w:pos="8176"/>
              <w:tab w:val="right" w:pos="9026" w:leader="dot"/>
            </w:tabs>
            <w:rPr/>
          </w:pPr>
          <w:hyperlink w:anchor="__RefHeading___Toc316579_2142443653">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16581_2142443653">
            <w:r>
              <w:rPr>
                <w:webHidden/>
                <w:rStyle w:val="IndexLink"/>
                <w:rtl w:val="true"/>
              </w:rPr>
              <w:t>و في كفاية تزكية العدل الواحد له في قبول روايته قولان</w:t>
            </w:r>
            <w:r>
              <w:rPr>
                <w:rStyle w:val="IndexLink"/>
                <w:rtl w:val="true"/>
              </w:rPr>
              <w:t>:</w:t>
              <w:tab/>
            </w:r>
            <w:r>
              <w:rPr>
                <w:rStyle w:val="IndexLink"/>
              </w:rPr>
              <w:t>72</w:t>
            </w:r>
          </w:hyperlink>
        </w:p>
        <w:p>
          <w:pPr>
            <w:pStyle w:val="Contents5"/>
            <w:tabs>
              <w:tab w:val="clear" w:pos="7892"/>
              <w:tab w:val="right" w:pos="9026" w:leader="dot"/>
            </w:tabs>
            <w:rPr/>
          </w:pPr>
          <w:hyperlink w:anchor="__RefHeading___Toc316583_2142443653">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16585_2142443653">
            <w:r>
              <w:rPr>
                <w:webHidden/>
                <w:rStyle w:val="IndexLink"/>
                <w:rtl w:val="true"/>
              </w:rPr>
              <w:t>حجية القول الأول أمور</w:t>
            </w:r>
            <w:r>
              <w:rPr>
                <w:rStyle w:val="IndexLink"/>
                <w:rtl w:val="true"/>
              </w:rPr>
              <w:t>:</w:t>
              <w:tab/>
            </w:r>
            <w:r>
              <w:rPr>
                <w:rStyle w:val="IndexLink"/>
              </w:rPr>
              <w:t>74</w:t>
            </w:r>
          </w:hyperlink>
        </w:p>
        <w:p>
          <w:pPr>
            <w:pStyle w:val="Contents6"/>
            <w:tabs>
              <w:tab w:val="clear" w:pos="7609"/>
              <w:tab w:val="right" w:pos="9026" w:leader="dot"/>
            </w:tabs>
            <w:rPr/>
          </w:pPr>
          <w:hyperlink w:anchor="__RefHeading___Toc316587_2142443653">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316589_2142443653">
            <w:r>
              <w:rPr>
                <w:webHidden/>
                <w:rStyle w:val="IndexLink"/>
                <w:rtl w:val="true"/>
              </w:rPr>
              <w:t>و أجيب عن ذلك بوجوه</w:t>
            </w:r>
            <w:r>
              <w:rPr>
                <w:rStyle w:val="IndexLink"/>
                <w:rtl w:val="true"/>
              </w:rPr>
              <w:t>:</w:t>
              <w:tab/>
            </w:r>
            <w:r>
              <w:rPr>
                <w:rStyle w:val="IndexLink"/>
              </w:rPr>
              <w:t>75</w:t>
            </w:r>
          </w:hyperlink>
        </w:p>
        <w:p>
          <w:pPr>
            <w:pStyle w:val="Contents5"/>
            <w:tabs>
              <w:tab w:val="clear" w:pos="7892"/>
              <w:tab w:val="right" w:pos="9026" w:leader="dot"/>
            </w:tabs>
            <w:rPr/>
          </w:pPr>
          <w:hyperlink w:anchor="__RefHeading___Toc316591_2142443653">
            <w:r>
              <w:rPr>
                <w:webHidden/>
                <w:rStyle w:val="IndexLink"/>
                <w:rtl w:val="true"/>
              </w:rPr>
              <w:t>حجة القول الثاني أمور</w:t>
            </w:r>
            <w:r>
              <w:rPr>
                <w:rStyle w:val="IndexLink"/>
                <w:rtl w:val="true"/>
              </w:rPr>
              <w:t>:</w:t>
              <w:tab/>
            </w:r>
            <w:r>
              <w:rPr>
                <w:rStyle w:val="IndexLink"/>
              </w:rPr>
              <w:t>83</w:t>
            </w:r>
          </w:hyperlink>
        </w:p>
        <w:p>
          <w:pPr>
            <w:pStyle w:val="Contents6"/>
            <w:tabs>
              <w:tab w:val="clear" w:pos="7609"/>
              <w:tab w:val="right" w:pos="9026" w:leader="dot"/>
            </w:tabs>
            <w:rPr/>
          </w:pPr>
          <w:hyperlink w:anchor="__RefHeading___Toc316593_2142443653">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16595_2142443653">
            <w:r>
              <w:rPr>
                <w:webHidden/>
                <w:rStyle w:val="IndexLink"/>
                <w:rtl w:val="true"/>
              </w:rPr>
              <w:t>أما الأول</w:t>
            </w:r>
            <w:r>
              <w:rPr>
                <w:rStyle w:val="IndexLink"/>
                <w:rtl w:val="true"/>
              </w:rPr>
              <w:t xml:space="preserve">: </w:t>
            </w:r>
            <w:r>
              <w:rPr>
                <w:rStyle w:val="IndexLink"/>
                <w:rtl w:val="true"/>
              </w:rPr>
              <w:t>فتقريره من وجهين</w:t>
            </w:r>
            <w:r>
              <w:rPr>
                <w:rStyle w:val="IndexLink"/>
                <w:rtl w:val="true"/>
              </w:rPr>
              <w:t>:</w:t>
              <w:tab/>
            </w:r>
            <w:r>
              <w:rPr>
                <w:rStyle w:val="IndexLink"/>
              </w:rPr>
              <w:t>83</w:t>
            </w:r>
          </w:hyperlink>
        </w:p>
        <w:p>
          <w:pPr>
            <w:pStyle w:val="Contents5"/>
            <w:tabs>
              <w:tab w:val="clear" w:pos="7892"/>
              <w:tab w:val="right" w:pos="9026" w:leader="dot"/>
            </w:tabs>
            <w:rPr/>
          </w:pPr>
          <w:hyperlink w:anchor="__RefHeading___Toc316597_2142443653">
            <w:r>
              <w:rPr>
                <w:webHidden/>
                <w:rStyle w:val="IndexLink"/>
                <w:rtl w:val="true"/>
              </w:rPr>
              <w:t>تنبيهات</w:t>
            </w:r>
            <w:r>
              <w:rPr>
                <w:rStyle w:val="IndexLink"/>
                <w:rtl w:val="true"/>
              </w:rPr>
              <w:tab/>
            </w:r>
            <w:r>
              <w:rPr>
                <w:rStyle w:val="IndexLink"/>
              </w:rPr>
              <w:t>89</w:t>
            </w:r>
          </w:hyperlink>
        </w:p>
        <w:p>
          <w:pPr>
            <w:pStyle w:val="Contents6"/>
            <w:tabs>
              <w:tab w:val="clear" w:pos="7609"/>
              <w:tab w:val="right" w:pos="9026" w:leader="dot"/>
            </w:tabs>
            <w:rPr/>
          </w:pPr>
          <w:hyperlink w:anchor="__RefHeading___Toc316599_2142443653">
            <w:r>
              <w:rPr>
                <w:webHidden/>
                <w:rStyle w:val="IndexLink"/>
                <w:rtl w:val="true"/>
              </w:rPr>
              <w:t>الأول</w:t>
            </w:r>
            <w:r>
              <w:rPr>
                <w:rStyle w:val="IndexLink"/>
                <w:rtl w:val="true"/>
              </w:rPr>
              <w:t xml:space="preserve">: </w:t>
            </w:r>
            <w:r>
              <w:rPr>
                <w:rStyle w:val="IndexLink"/>
                <w:rtl w:val="true"/>
              </w:rPr>
              <w:t>إن لازم ما سلكناه في التزكية كفاية تزكية غير الإمامي الموثق أيضا،</w:t>
            </w:r>
            <w:r>
              <w:rPr>
                <w:rStyle w:val="IndexLink"/>
                <w:rtl w:val="true"/>
              </w:rPr>
              <w:tab/>
            </w:r>
            <w:r>
              <w:rPr>
                <w:rStyle w:val="IndexLink"/>
              </w:rPr>
              <w:t>89</w:t>
            </w:r>
          </w:hyperlink>
        </w:p>
        <w:p>
          <w:pPr>
            <w:pStyle w:val="Contents6"/>
            <w:tabs>
              <w:tab w:val="clear" w:pos="7609"/>
              <w:tab w:val="right" w:pos="9026" w:leader="dot"/>
            </w:tabs>
            <w:rPr/>
          </w:pPr>
          <w:hyperlink w:anchor="__RefHeading___Toc316601_2142443653">
            <w:r>
              <w:rPr>
                <w:webHidden/>
                <w:rStyle w:val="IndexLink"/>
                <w:rtl w:val="true"/>
              </w:rPr>
              <w:t>الثاني</w:t>
            </w:r>
            <w:r>
              <w:rPr>
                <w:rStyle w:val="IndexLink"/>
                <w:rtl w:val="true"/>
              </w:rPr>
              <w:t xml:space="preserve">: </w:t>
            </w:r>
            <w:r>
              <w:rPr>
                <w:rStyle w:val="IndexLink"/>
                <w:rtl w:val="true"/>
              </w:rPr>
              <w:t>ان الكلام في الجرح كالكلام في التزكية من حيث اعتبار التعدد و عدمه حرفا بحرف،</w:t>
            </w:r>
            <w:r>
              <w:rPr>
                <w:rStyle w:val="IndexLink"/>
                <w:rtl w:val="true"/>
              </w:rPr>
              <w:tab/>
            </w:r>
            <w:r>
              <w:rPr>
                <w:rStyle w:val="IndexLink"/>
              </w:rPr>
              <w:t>89</w:t>
            </w:r>
          </w:hyperlink>
        </w:p>
        <w:p>
          <w:pPr>
            <w:pStyle w:val="Contents3"/>
            <w:tabs>
              <w:tab w:val="clear" w:pos="8459"/>
              <w:tab w:val="right" w:pos="9026" w:leader="dot"/>
            </w:tabs>
            <w:rPr/>
          </w:pPr>
          <w:hyperlink w:anchor="__RefHeading___Toc316603_2142443653">
            <w:r>
              <w:rPr>
                <w:webHidden/>
                <w:rStyle w:val="IndexLink"/>
                <w:rtl w:val="true"/>
              </w:rPr>
              <w:t>الجهة الثالثة الخلاف في قبول الجرح و التعديل مطلقين او مع ذكر السبب</w:t>
            </w:r>
            <w:r>
              <w:rPr>
                <w:rStyle w:val="IndexLink"/>
                <w:rtl w:val="true"/>
              </w:rPr>
              <w:tab/>
            </w:r>
            <w:r>
              <w:rPr>
                <w:rStyle w:val="IndexLink"/>
              </w:rPr>
              <w:t>91</w:t>
            </w:r>
          </w:hyperlink>
        </w:p>
        <w:p>
          <w:pPr>
            <w:pStyle w:val="Contents4"/>
            <w:tabs>
              <w:tab w:val="clear" w:pos="8176"/>
              <w:tab w:val="right" w:pos="9026" w:leader="dot"/>
            </w:tabs>
            <w:rPr/>
          </w:pPr>
          <w:hyperlink w:anchor="__RefHeading___Toc316605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16607_2142443653">
            <w:r>
              <w:rPr>
                <w:webHidden/>
                <w:rStyle w:val="IndexLink"/>
                <w:rtl w:val="true"/>
              </w:rPr>
              <w:t>حجة القول الأول أمور</w:t>
            </w:r>
            <w:r>
              <w:rPr>
                <w:rStyle w:val="IndexLink"/>
                <w:rtl w:val="true"/>
              </w:rPr>
              <w:t>:</w:t>
              <w:tab/>
            </w:r>
            <w:r>
              <w:rPr>
                <w:rStyle w:val="IndexLink"/>
              </w:rPr>
              <w:t>96</w:t>
            </w:r>
          </w:hyperlink>
        </w:p>
        <w:p>
          <w:pPr>
            <w:pStyle w:val="Contents4"/>
            <w:tabs>
              <w:tab w:val="clear" w:pos="8176"/>
              <w:tab w:val="right" w:pos="9026" w:leader="dot"/>
            </w:tabs>
            <w:rPr/>
          </w:pPr>
          <w:hyperlink w:anchor="__RefHeading___Toc316609_2142443653">
            <w:r>
              <w:rPr>
                <w:webHidden/>
                <w:rStyle w:val="IndexLink"/>
                <w:rtl w:val="true"/>
              </w:rPr>
              <w:t>حجة القول الثاني امور</w:t>
            </w:r>
            <w:r>
              <w:rPr>
                <w:rStyle w:val="IndexLink"/>
                <w:rtl w:val="true"/>
              </w:rPr>
              <w:t>:</w:t>
              <w:tab/>
            </w:r>
            <w:r>
              <w:rPr>
                <w:rStyle w:val="IndexLink"/>
              </w:rPr>
              <w:t>97</w:t>
            </w:r>
          </w:hyperlink>
        </w:p>
        <w:p>
          <w:pPr>
            <w:pStyle w:val="Contents4"/>
            <w:tabs>
              <w:tab w:val="clear" w:pos="8176"/>
              <w:tab w:val="right" w:pos="9026" w:leader="dot"/>
            </w:tabs>
            <w:rPr/>
          </w:pPr>
          <w:hyperlink w:anchor="__RefHeading___Toc316611_2142443653">
            <w:r>
              <w:rPr>
                <w:webHidden/>
                <w:rStyle w:val="IndexLink"/>
                <w:rtl w:val="true"/>
              </w:rPr>
              <w:t>حجة القول الثالث</w:t>
            </w:r>
            <w:r>
              <w:rPr>
                <w:rStyle w:val="IndexLink"/>
                <w:rtl w:val="true"/>
              </w:rPr>
              <w:t>:</w:t>
              <w:tab/>
            </w:r>
            <w:r>
              <w:rPr>
                <w:rStyle w:val="IndexLink"/>
              </w:rPr>
              <w:t>100</w:t>
            </w:r>
          </w:hyperlink>
        </w:p>
        <w:p>
          <w:pPr>
            <w:pStyle w:val="Contents4"/>
            <w:tabs>
              <w:tab w:val="clear" w:pos="8176"/>
              <w:tab w:val="right" w:pos="9026" w:leader="dot"/>
            </w:tabs>
            <w:rPr/>
          </w:pPr>
          <w:hyperlink w:anchor="__RefHeading___Toc316613_2142443653">
            <w:r>
              <w:rPr>
                <w:webHidden/>
                <w:rStyle w:val="IndexLink"/>
                <w:rtl w:val="true"/>
              </w:rPr>
              <w:t>حجة القول الرابع أمران</w:t>
            </w:r>
            <w:r>
              <w:rPr>
                <w:rStyle w:val="IndexLink"/>
                <w:rtl w:val="true"/>
              </w:rPr>
              <w:t>:</w:t>
              <w:tab/>
            </w:r>
            <w:r>
              <w:rPr>
                <w:rStyle w:val="IndexLink"/>
              </w:rPr>
              <w:t>102</w:t>
            </w:r>
          </w:hyperlink>
        </w:p>
        <w:p>
          <w:pPr>
            <w:pStyle w:val="Contents4"/>
            <w:tabs>
              <w:tab w:val="clear" w:pos="8176"/>
              <w:tab w:val="right" w:pos="9026" w:leader="dot"/>
            </w:tabs>
            <w:rPr/>
          </w:pPr>
          <w:hyperlink w:anchor="__RefHeading___Toc316615_2142443653">
            <w:r>
              <w:rPr>
                <w:webHidden/>
                <w:rStyle w:val="IndexLink"/>
                <w:rtl w:val="true"/>
              </w:rPr>
              <w:t>حجة القول الخامس</w:t>
            </w:r>
            <w:r>
              <w:rPr>
                <w:rStyle w:val="IndexLink"/>
                <w:rtl w:val="true"/>
              </w:rPr>
              <w:t>:</w:t>
              <w:tab/>
            </w:r>
            <w:r>
              <w:rPr>
                <w:rStyle w:val="IndexLink"/>
              </w:rPr>
              <w:t>103</w:t>
            </w:r>
          </w:hyperlink>
        </w:p>
        <w:p>
          <w:pPr>
            <w:pStyle w:val="Contents4"/>
            <w:tabs>
              <w:tab w:val="clear" w:pos="8176"/>
              <w:tab w:val="right" w:pos="9026" w:leader="dot"/>
            </w:tabs>
            <w:rPr/>
          </w:pPr>
          <w:hyperlink w:anchor="__RefHeading___Toc316617_2142443653">
            <w:r>
              <w:rPr>
                <w:webHidden/>
                <w:rStyle w:val="IndexLink"/>
                <w:rtl w:val="true"/>
              </w:rPr>
              <w:t>حجة القول السادس</w:t>
            </w:r>
            <w:r>
              <w:rPr>
                <w:rStyle w:val="IndexLink"/>
                <w:rtl w:val="true"/>
              </w:rPr>
              <w:t>:</w:t>
              <w:tab/>
            </w:r>
            <w:r>
              <w:rPr>
                <w:rStyle w:val="IndexLink"/>
              </w:rPr>
              <w:t>104</w:t>
            </w:r>
          </w:hyperlink>
        </w:p>
        <w:p>
          <w:pPr>
            <w:pStyle w:val="Contents4"/>
            <w:tabs>
              <w:tab w:val="clear" w:pos="8176"/>
              <w:tab w:val="right" w:pos="9026" w:leader="dot"/>
            </w:tabs>
            <w:rPr/>
          </w:pPr>
          <w:hyperlink w:anchor="__RefHeading___Toc316619_2142443653">
            <w:r>
              <w:rPr>
                <w:webHidden/>
                <w:rStyle w:val="IndexLink"/>
                <w:rtl w:val="true"/>
              </w:rPr>
              <w:t>حجة القول السابع</w:t>
            </w:r>
            <w:r>
              <w:rPr>
                <w:rStyle w:val="IndexLink"/>
                <w:rtl w:val="true"/>
              </w:rPr>
              <w:t>:</w:t>
              <w:tab/>
            </w:r>
            <w:r>
              <w:rPr>
                <w:rStyle w:val="IndexLink"/>
              </w:rPr>
              <w:t>104</w:t>
            </w:r>
          </w:hyperlink>
        </w:p>
        <w:p>
          <w:pPr>
            <w:pStyle w:val="Contents4"/>
            <w:tabs>
              <w:tab w:val="clear" w:pos="8176"/>
              <w:tab w:val="right" w:pos="9026" w:leader="dot"/>
            </w:tabs>
            <w:rPr/>
          </w:pPr>
          <w:hyperlink w:anchor="__RefHeading___Toc316621_2142443653">
            <w:r>
              <w:rPr>
                <w:webHidden/>
                <w:rStyle w:val="IndexLink"/>
                <w:rtl w:val="true"/>
              </w:rPr>
              <w:t>تنبيهان</w:t>
            </w:r>
            <w:r>
              <w:rPr>
                <w:rStyle w:val="IndexLink"/>
                <w:rtl w:val="true"/>
              </w:rPr>
              <w:t>:</w:t>
              <w:tab/>
            </w:r>
            <w:r>
              <w:rPr>
                <w:rStyle w:val="IndexLink"/>
              </w:rPr>
              <w:t>105</w:t>
            </w:r>
          </w:hyperlink>
        </w:p>
        <w:p>
          <w:pPr>
            <w:pStyle w:val="Contents5"/>
            <w:tabs>
              <w:tab w:val="clear" w:pos="7892"/>
              <w:tab w:val="right" w:pos="9026" w:leader="dot"/>
            </w:tabs>
            <w:rPr/>
          </w:pPr>
          <w:hyperlink w:anchor="__RefHeading___Toc316623_2142443653">
            <w:r>
              <w:rPr>
                <w:webHidden/>
                <w:rStyle w:val="IndexLink"/>
                <w:rtl w:val="true"/>
              </w:rPr>
              <w:t>الاول</w:t>
            </w:r>
            <w:r>
              <w:rPr>
                <w:rStyle w:val="IndexLink"/>
                <w:rtl w:val="true"/>
              </w:rPr>
              <w:t xml:space="preserve">: </w:t>
            </w:r>
            <w:r>
              <w:rPr>
                <w:rStyle w:val="IndexLink"/>
                <w:rtl w:val="true"/>
              </w:rPr>
              <w:t>الجرح المجمل من ائمة الفن لا أثر له</w:t>
            </w:r>
            <w:r>
              <w:rPr>
                <w:rStyle w:val="IndexLink"/>
                <w:rtl w:val="true"/>
              </w:rPr>
              <w:tab/>
            </w:r>
            <w:r>
              <w:rPr>
                <w:rStyle w:val="IndexLink"/>
              </w:rPr>
              <w:t>105</w:t>
            </w:r>
          </w:hyperlink>
        </w:p>
        <w:p>
          <w:pPr>
            <w:pStyle w:val="Contents5"/>
            <w:tabs>
              <w:tab w:val="clear" w:pos="7892"/>
              <w:tab w:val="right" w:pos="9026" w:leader="dot"/>
            </w:tabs>
            <w:rPr/>
          </w:pPr>
          <w:hyperlink w:anchor="__RefHeading___Toc316625_2142443653">
            <w:r>
              <w:rPr>
                <w:webHidden/>
                <w:rStyle w:val="IndexLink"/>
                <w:rtl w:val="true"/>
              </w:rPr>
              <w:t>الثاني</w:t>
            </w:r>
            <w:r>
              <w:rPr>
                <w:rStyle w:val="IndexLink"/>
                <w:rtl w:val="true"/>
              </w:rPr>
              <w:t xml:space="preserve">: </w:t>
            </w:r>
            <w:r>
              <w:rPr>
                <w:rStyle w:val="IndexLink"/>
                <w:rtl w:val="true"/>
              </w:rPr>
              <w:t>الاشكالات الواردة في المقام</w:t>
            </w:r>
            <w:r>
              <w:rPr>
                <w:rStyle w:val="IndexLink"/>
                <w:rtl w:val="true"/>
              </w:rPr>
              <w:tab/>
            </w:r>
            <w:r>
              <w:rPr>
                <w:rStyle w:val="IndexLink"/>
              </w:rPr>
              <w:t>106</w:t>
            </w:r>
          </w:hyperlink>
        </w:p>
        <w:p>
          <w:pPr>
            <w:pStyle w:val="Contents3"/>
            <w:tabs>
              <w:tab w:val="clear" w:pos="8459"/>
              <w:tab w:val="right" w:pos="9026" w:leader="dot"/>
            </w:tabs>
            <w:rPr/>
          </w:pPr>
          <w:hyperlink w:anchor="__RefHeading___Toc316627_2142443653">
            <w:r>
              <w:rPr>
                <w:webHidden/>
                <w:rStyle w:val="IndexLink"/>
                <w:rtl w:val="true"/>
              </w:rPr>
              <w:t>الجهة الرابعة الأقوال في ما لو اجتمع الجرح و التعديل</w:t>
            </w:r>
            <w:r>
              <w:rPr>
                <w:rStyle w:val="IndexLink"/>
                <w:rtl w:val="true"/>
              </w:rPr>
              <w:tab/>
            </w:r>
            <w:r>
              <w:rPr>
                <w:rStyle w:val="IndexLink"/>
              </w:rPr>
              <w:t>119</w:t>
            </w:r>
          </w:hyperlink>
        </w:p>
        <w:p>
          <w:pPr>
            <w:pStyle w:val="Contents3"/>
            <w:tabs>
              <w:tab w:val="clear" w:pos="8459"/>
              <w:tab w:val="right" w:pos="9026" w:leader="dot"/>
            </w:tabs>
            <w:rPr/>
          </w:pPr>
          <w:hyperlink w:anchor="__RefHeading___Toc316629_2142443653">
            <w:r>
              <w:rPr>
                <w:webHidden/>
                <w:rStyle w:val="IndexLink"/>
                <w:rtl w:val="true"/>
              </w:rPr>
              <w:t>الجهة الخامسة ما يعتبر في تصحيح السند</w:t>
            </w:r>
            <w:r>
              <w:rPr>
                <w:rStyle w:val="IndexLink"/>
                <w:rtl w:val="true"/>
              </w:rPr>
              <w:tab/>
            </w:r>
            <w:r>
              <w:rPr>
                <w:rStyle w:val="IndexLink"/>
              </w:rPr>
              <w:t>127</w:t>
            </w:r>
          </w:hyperlink>
        </w:p>
        <w:p>
          <w:pPr>
            <w:pStyle w:val="Contents4"/>
            <w:tabs>
              <w:tab w:val="clear" w:pos="8176"/>
              <w:tab w:val="right" w:pos="9026" w:leader="dot"/>
            </w:tabs>
            <w:rPr/>
          </w:pPr>
          <w:hyperlink w:anchor="__RefHeading___Toc316631_214244365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316633_2142443653">
            <w:r>
              <w:rPr>
                <w:webHidden/>
                <w:rStyle w:val="IndexLink"/>
                <w:rtl w:val="true"/>
              </w:rPr>
              <w:t>هل يقبل التوثيق المجهول؟</w:t>
            </w:r>
            <w:r>
              <w:rPr>
                <w:rStyle w:val="IndexLink"/>
                <w:rtl w:val="true"/>
              </w:rPr>
              <w:tab/>
            </w:r>
            <w:r>
              <w:rPr>
                <w:rStyle w:val="IndexLink"/>
              </w:rPr>
              <w:t>128</w:t>
            </w:r>
          </w:hyperlink>
        </w:p>
        <w:p>
          <w:pPr>
            <w:pStyle w:val="Contents5"/>
            <w:tabs>
              <w:tab w:val="clear" w:pos="7892"/>
              <w:tab w:val="right" w:pos="9026" w:leader="dot"/>
            </w:tabs>
            <w:rPr/>
          </w:pPr>
          <w:hyperlink w:anchor="__RefHeading___Toc316635_2142443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16637_2142443653">
            <w:r>
              <w:rPr>
                <w:webHidden/>
                <w:rStyle w:val="IndexLink"/>
                <w:rtl w:val="true"/>
              </w:rPr>
              <w:t>حجة الأولين</w:t>
            </w:r>
            <w:r>
              <w:rPr>
                <w:rStyle w:val="IndexLink"/>
                <w:rtl w:val="true"/>
              </w:rPr>
              <w:t>:</w:t>
              <w:tab/>
            </w:r>
            <w:r>
              <w:rPr>
                <w:rStyle w:val="IndexLink"/>
              </w:rPr>
              <w:t>129</w:t>
            </w:r>
          </w:hyperlink>
        </w:p>
        <w:p>
          <w:pPr>
            <w:pStyle w:val="Contents5"/>
            <w:tabs>
              <w:tab w:val="clear" w:pos="7892"/>
              <w:tab w:val="right" w:pos="9026" w:leader="dot"/>
            </w:tabs>
            <w:rPr/>
          </w:pPr>
          <w:hyperlink w:anchor="__RefHeading___Toc316639_2142443653">
            <w:r>
              <w:rPr>
                <w:webHidden/>
                <w:rStyle w:val="IndexLink"/>
                <w:rtl w:val="true"/>
              </w:rPr>
              <w:t>و حجة الآخرين</w:t>
            </w:r>
            <w:r>
              <w:rPr>
                <w:rStyle w:val="IndexLink"/>
                <w:rtl w:val="true"/>
              </w:rPr>
              <w:t>:</w:t>
              <w:tab/>
            </w:r>
            <w:r>
              <w:rPr>
                <w:rStyle w:val="IndexLink"/>
              </w:rPr>
              <w:t>130</w:t>
            </w:r>
          </w:hyperlink>
        </w:p>
        <w:p>
          <w:pPr>
            <w:pStyle w:val="Contents5"/>
            <w:tabs>
              <w:tab w:val="clear" w:pos="7892"/>
              <w:tab w:val="right" w:pos="9026" w:leader="dot"/>
            </w:tabs>
            <w:rPr/>
          </w:pPr>
          <w:hyperlink w:anchor="__RefHeading___Toc316641_2142443653">
            <w:r>
              <w:rPr>
                <w:webHidden/>
                <w:rStyle w:val="IndexLink"/>
                <w:rtl w:val="true"/>
              </w:rPr>
              <w:t>بقي هنا أمور ينبغي التنبيه عليها</w:t>
            </w:r>
            <w:r>
              <w:rPr>
                <w:rStyle w:val="IndexLink"/>
                <w:rtl w:val="true"/>
              </w:rPr>
              <w:t>:</w:t>
              <w:tab/>
            </w:r>
            <w:r>
              <w:rPr>
                <w:rStyle w:val="IndexLink"/>
              </w:rPr>
              <w:t>132</w:t>
            </w:r>
          </w:hyperlink>
        </w:p>
        <w:p>
          <w:pPr>
            <w:pStyle w:val="Contents6"/>
            <w:tabs>
              <w:tab w:val="clear" w:pos="7609"/>
              <w:tab w:val="right" w:pos="9026" w:leader="dot"/>
            </w:tabs>
            <w:rPr/>
          </w:pPr>
          <w:hyperlink w:anchor="__RefHeading___Toc316643_2142443653">
            <w:r>
              <w:rPr>
                <w:webHidden/>
                <w:rStyle w:val="IndexLink"/>
                <w:rtl w:val="true"/>
              </w:rPr>
              <w:t>الاول</w:t>
            </w:r>
            <w:r>
              <w:rPr>
                <w:rStyle w:val="IndexLink"/>
                <w:rtl w:val="true"/>
              </w:rPr>
              <w:t xml:space="preserve">: </w:t>
            </w:r>
            <w:r>
              <w:rPr>
                <w:rStyle w:val="IndexLink"/>
                <w:rtl w:val="true"/>
              </w:rPr>
              <w:t>قول الثقة حدثني الثقة تزكية للمروي عنه</w:t>
            </w:r>
            <w:r>
              <w:rPr>
                <w:rStyle w:val="IndexLink"/>
                <w:rtl w:val="true"/>
              </w:rPr>
              <w:tab/>
            </w:r>
            <w:r>
              <w:rPr>
                <w:rStyle w:val="IndexLink"/>
              </w:rPr>
              <w:t>132</w:t>
            </w:r>
          </w:hyperlink>
        </w:p>
        <w:p>
          <w:pPr>
            <w:pStyle w:val="Contents6"/>
            <w:tabs>
              <w:tab w:val="clear" w:pos="7609"/>
              <w:tab w:val="right" w:pos="9026" w:leader="dot"/>
            </w:tabs>
            <w:rPr/>
          </w:pPr>
          <w:hyperlink w:anchor="__RefHeading___Toc316645_2142443653">
            <w:r>
              <w:rPr>
                <w:webHidden/>
                <w:rStyle w:val="IndexLink"/>
                <w:rtl w:val="true"/>
              </w:rPr>
              <w:t>الثاني</w:t>
            </w:r>
            <w:r>
              <w:rPr>
                <w:rStyle w:val="IndexLink"/>
                <w:rtl w:val="true"/>
              </w:rPr>
              <w:t xml:space="preserve">: </w:t>
            </w:r>
            <w:r>
              <w:rPr>
                <w:rStyle w:val="IndexLink"/>
                <w:rtl w:val="true"/>
              </w:rPr>
              <w:t>هل مجرد رواية العدل عن رجل يكون تعديلا له؟</w:t>
            </w:r>
            <w:r>
              <w:rPr>
                <w:rStyle w:val="IndexLink"/>
                <w:rtl w:val="true"/>
              </w:rPr>
              <w:tab/>
            </w:r>
            <w:r>
              <w:rPr>
                <w:rStyle w:val="IndexLink"/>
              </w:rPr>
              <w:t>134</w:t>
            </w:r>
          </w:hyperlink>
        </w:p>
        <w:p>
          <w:pPr>
            <w:pStyle w:val="Contents6"/>
            <w:tabs>
              <w:tab w:val="clear" w:pos="7609"/>
              <w:tab w:val="right" w:pos="9026" w:leader="dot"/>
            </w:tabs>
            <w:rPr/>
          </w:pPr>
          <w:hyperlink w:anchor="__RefHeading___Toc316647_2142443653">
            <w:r>
              <w:rPr>
                <w:webHidden/>
                <w:rStyle w:val="IndexLink"/>
                <w:rtl w:val="true"/>
              </w:rPr>
              <w:t>الثالث</w:t>
            </w:r>
            <w:r>
              <w:rPr>
                <w:rStyle w:val="IndexLink"/>
                <w:rtl w:val="true"/>
              </w:rPr>
              <w:t xml:space="preserve">: </w:t>
            </w:r>
            <w:r>
              <w:rPr>
                <w:rStyle w:val="IndexLink"/>
                <w:rtl w:val="true"/>
              </w:rPr>
              <w:t>فتوى المجتهد على طبق حديث ليس حكما منه بصحته</w:t>
            </w:r>
            <w:r>
              <w:rPr>
                <w:rStyle w:val="IndexLink"/>
                <w:rtl w:val="true"/>
              </w:rPr>
              <w:tab/>
            </w:r>
            <w:r>
              <w:rPr>
                <w:rStyle w:val="IndexLink"/>
              </w:rPr>
              <w:t>136</w:t>
            </w:r>
          </w:hyperlink>
        </w:p>
        <w:p>
          <w:pPr>
            <w:pStyle w:val="Contents6"/>
            <w:tabs>
              <w:tab w:val="clear" w:pos="7609"/>
              <w:tab w:val="right" w:pos="9026" w:leader="dot"/>
            </w:tabs>
            <w:rPr/>
          </w:pPr>
          <w:hyperlink w:anchor="__RefHeading___Toc316649_2142443653">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16651_2142443653">
            <w:r>
              <w:rPr>
                <w:webHidden/>
                <w:rStyle w:val="IndexLink"/>
                <w:rtl w:val="true"/>
              </w:rPr>
              <w:t>حجة الأول</w:t>
            </w:r>
            <w:r>
              <w:rPr>
                <w:rStyle w:val="IndexLink"/>
                <w:rtl w:val="true"/>
              </w:rPr>
              <w:t>:</w:t>
              <w:tab/>
            </w:r>
            <w:r>
              <w:rPr>
                <w:rStyle w:val="IndexLink"/>
              </w:rPr>
              <w:t>137</w:t>
            </w:r>
          </w:hyperlink>
        </w:p>
        <w:p>
          <w:pPr>
            <w:pStyle w:val="Contents6"/>
            <w:tabs>
              <w:tab w:val="clear" w:pos="7609"/>
              <w:tab w:val="right" w:pos="9026" w:leader="dot"/>
            </w:tabs>
            <w:rPr/>
          </w:pPr>
          <w:hyperlink w:anchor="__RefHeading___Toc316653_2142443653">
            <w:r>
              <w:rPr>
                <w:webHidden/>
                <w:rStyle w:val="IndexLink"/>
                <w:rtl w:val="true"/>
              </w:rPr>
              <w:t>و حجة الثاني</w:t>
            </w:r>
            <w:r>
              <w:rPr>
                <w:rStyle w:val="IndexLink"/>
                <w:rtl w:val="true"/>
              </w:rPr>
              <w:t>:</w:t>
              <w:tab/>
            </w:r>
            <w:r>
              <w:rPr>
                <w:rStyle w:val="IndexLink"/>
              </w:rPr>
              <w:t>137</w:t>
            </w:r>
          </w:hyperlink>
        </w:p>
        <w:p>
          <w:pPr>
            <w:pStyle w:val="Contents6"/>
            <w:tabs>
              <w:tab w:val="clear" w:pos="7609"/>
              <w:tab w:val="right" w:pos="9026" w:leader="dot"/>
            </w:tabs>
            <w:rPr/>
          </w:pPr>
          <w:hyperlink w:anchor="__RefHeading___Toc316655_2142443653">
            <w:r>
              <w:rPr>
                <w:webHidden/>
                <w:rStyle w:val="IndexLink"/>
                <w:rtl w:val="true"/>
              </w:rPr>
              <w:t>الرابع</w:t>
            </w:r>
            <w:r>
              <w:rPr>
                <w:rStyle w:val="IndexLink"/>
                <w:rtl w:val="true"/>
              </w:rPr>
              <w:t xml:space="preserve">: </w:t>
            </w:r>
            <w:r>
              <w:rPr>
                <w:rStyle w:val="IndexLink"/>
                <w:rtl w:val="true"/>
              </w:rPr>
              <w:t>موافقة الحديث للاجماع لا يدلّ على صحة سنده</w:t>
            </w:r>
            <w:r>
              <w:rPr>
                <w:rStyle w:val="IndexLink"/>
                <w:rtl w:val="true"/>
              </w:rPr>
              <w:tab/>
            </w:r>
            <w:r>
              <w:rPr>
                <w:rStyle w:val="IndexLink"/>
              </w:rPr>
              <w:t>137</w:t>
            </w:r>
          </w:hyperlink>
        </w:p>
        <w:p>
          <w:pPr>
            <w:pStyle w:val="Contents6"/>
            <w:tabs>
              <w:tab w:val="clear" w:pos="7609"/>
              <w:tab w:val="right" w:pos="9026" w:leader="dot"/>
            </w:tabs>
            <w:rPr/>
          </w:pPr>
          <w:hyperlink w:anchor="__RefHeading___Toc316657_2142443653">
            <w:r>
              <w:rPr>
                <w:webHidden/>
                <w:rStyle w:val="IndexLink"/>
                <w:rtl w:val="true"/>
              </w:rPr>
              <w:t>الخامس</w:t>
            </w:r>
            <w:r>
              <w:rPr>
                <w:rStyle w:val="IndexLink"/>
                <w:rtl w:val="true"/>
              </w:rPr>
              <w:t xml:space="preserve">: </w:t>
            </w:r>
            <w:r>
              <w:rPr>
                <w:rStyle w:val="IndexLink"/>
                <w:rtl w:val="true"/>
              </w:rPr>
              <w:t>من لم يقع في كتب الرجال تصريح بعدالته فهو مجهول</w:t>
            </w:r>
            <w:r>
              <w:rPr>
                <w:rStyle w:val="IndexLink"/>
                <w:rtl w:val="true"/>
              </w:rPr>
              <w:tab/>
            </w:r>
            <w:r>
              <w:rPr>
                <w:rStyle w:val="IndexLink"/>
              </w:rPr>
              <w:t>138</w:t>
            </w:r>
          </w:hyperlink>
        </w:p>
        <w:p>
          <w:pPr>
            <w:pStyle w:val="Contents6"/>
            <w:tabs>
              <w:tab w:val="clear" w:pos="7609"/>
              <w:tab w:val="right" w:pos="9026" w:leader="dot"/>
            </w:tabs>
            <w:rPr/>
          </w:pPr>
          <w:hyperlink w:anchor="__RefHeading___Toc316659_2142443653">
            <w:r>
              <w:rPr>
                <w:webHidden/>
                <w:rStyle w:val="IndexLink"/>
                <w:rtl w:val="true"/>
              </w:rPr>
              <w:t>السادس</w:t>
            </w:r>
            <w:r>
              <w:rPr>
                <w:rStyle w:val="IndexLink"/>
                <w:rtl w:val="true"/>
              </w:rPr>
              <w:t xml:space="preserve">: </w:t>
            </w:r>
            <w:r>
              <w:rPr>
                <w:rStyle w:val="IndexLink"/>
                <w:rtl w:val="true"/>
              </w:rPr>
              <w:t>اذا روى ثقة عن ثقة حديثا و نفاه المروي عنه</w:t>
            </w:r>
            <w:r>
              <w:rPr>
                <w:rStyle w:val="IndexLink"/>
                <w:rtl w:val="true"/>
              </w:rPr>
              <w:tab/>
            </w:r>
            <w:r>
              <w:rPr>
                <w:rStyle w:val="IndexLink"/>
              </w:rPr>
              <w:t>141</w:t>
            </w:r>
          </w:hyperlink>
        </w:p>
        <w:p>
          <w:pPr>
            <w:pStyle w:val="Contents3"/>
            <w:tabs>
              <w:tab w:val="clear" w:pos="8459"/>
              <w:tab w:val="right" w:pos="9026" w:leader="dot"/>
            </w:tabs>
            <w:rPr/>
          </w:pPr>
          <w:hyperlink w:anchor="__RefHeading___Toc316661_2142443653">
            <w:r>
              <w:rPr>
                <w:webHidden/>
                <w:rStyle w:val="IndexLink"/>
                <w:rtl w:val="true"/>
              </w:rPr>
              <w:t>الجهة السادسة في بيان الألفاظ المستعملة في التعديل و الجرح بين أهل هذا الشأن</w:t>
            </w:r>
            <w:r>
              <w:rPr>
                <w:rStyle w:val="IndexLink"/>
                <w:rtl w:val="true"/>
              </w:rPr>
              <w:t>:</w:t>
              <w:tab/>
            </w:r>
            <w:r>
              <w:rPr>
                <w:rStyle w:val="IndexLink"/>
              </w:rPr>
              <w:t>145</w:t>
            </w:r>
          </w:hyperlink>
        </w:p>
        <w:p>
          <w:pPr>
            <w:pStyle w:val="Contents4"/>
            <w:tabs>
              <w:tab w:val="clear" w:pos="8176"/>
              <w:tab w:val="right" w:pos="9026" w:leader="dot"/>
            </w:tabs>
            <w:rPr/>
          </w:pPr>
          <w:hyperlink w:anchor="__RefHeading___Toc316663_2142443653">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16665_2142443653">
            <w:r>
              <w:rPr>
                <w:webHidden/>
                <w:rStyle w:val="IndexLink"/>
                <w:rtl w:val="true"/>
              </w:rPr>
              <w:t>المقام الأول في ألفاظ المدح و هي على أقسام</w:t>
            </w:r>
            <w:r>
              <w:rPr>
                <w:rStyle w:val="IndexLink"/>
                <w:rtl w:val="true"/>
              </w:rPr>
              <w:t>:</w:t>
              <w:tab/>
            </w:r>
            <w:r>
              <w:rPr>
                <w:rStyle w:val="IndexLink"/>
              </w:rPr>
              <w:t>147</w:t>
            </w:r>
          </w:hyperlink>
        </w:p>
        <w:p>
          <w:pPr>
            <w:pStyle w:val="Contents5"/>
            <w:tabs>
              <w:tab w:val="clear" w:pos="7892"/>
              <w:tab w:val="right" w:pos="9026" w:leader="dot"/>
            </w:tabs>
            <w:rPr/>
          </w:pPr>
          <w:hyperlink w:anchor="__RefHeading___Toc316667_2142443653">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16669_2142443653">
            <w:r>
              <w:rPr>
                <w:webHidden/>
                <w:rStyle w:val="IndexLink"/>
                <w:rtl w:val="true"/>
              </w:rPr>
              <w:t>قولهم</w:t>
            </w:r>
            <w:r>
              <w:rPr>
                <w:rStyle w:val="IndexLink"/>
                <w:rtl w:val="true"/>
              </w:rPr>
              <w:t xml:space="preserve">: </w:t>
            </w:r>
            <w:r>
              <w:rPr>
                <w:rStyle w:val="IndexLink"/>
                <w:rtl w:val="true"/>
              </w:rPr>
              <w:t>فلان عدل امامي ضابط</w:t>
            </w:r>
            <w:r>
              <w:rPr>
                <w:rStyle w:val="IndexLink"/>
                <w:rtl w:val="true"/>
              </w:rPr>
              <w:tab/>
            </w:r>
            <w:r>
              <w:rPr>
                <w:rStyle w:val="IndexLink"/>
              </w:rPr>
              <w:t>149</w:t>
            </w:r>
          </w:hyperlink>
        </w:p>
        <w:p>
          <w:pPr>
            <w:pStyle w:val="Contents5"/>
            <w:tabs>
              <w:tab w:val="clear" w:pos="7892"/>
              <w:tab w:val="right" w:pos="9026" w:leader="dot"/>
            </w:tabs>
            <w:rPr/>
          </w:pPr>
          <w:hyperlink w:anchor="__RefHeading___Toc316671_2142443653">
            <w:r>
              <w:rPr>
                <w:webHidden/>
                <w:rStyle w:val="IndexLink"/>
                <w:rtl w:val="true"/>
              </w:rPr>
              <w:t>قولهم</w:t>
            </w:r>
            <w:r>
              <w:rPr>
                <w:rStyle w:val="IndexLink"/>
                <w:rtl w:val="true"/>
              </w:rPr>
              <w:t xml:space="preserve">: </w:t>
            </w:r>
            <w:r>
              <w:rPr>
                <w:rStyle w:val="IndexLink"/>
                <w:rtl w:val="true"/>
              </w:rPr>
              <w:t>عدل من اصحابنا الامامية ضابط</w:t>
            </w:r>
            <w:r>
              <w:rPr>
                <w:rStyle w:val="IndexLink"/>
                <w:rtl w:val="true"/>
              </w:rPr>
              <w:tab/>
            </w:r>
            <w:r>
              <w:rPr>
                <w:rStyle w:val="IndexLink"/>
              </w:rPr>
              <w:t>149</w:t>
            </w:r>
          </w:hyperlink>
        </w:p>
        <w:p>
          <w:pPr>
            <w:pStyle w:val="Contents5"/>
            <w:tabs>
              <w:tab w:val="clear" w:pos="7892"/>
              <w:tab w:val="right" w:pos="9026" w:leader="dot"/>
            </w:tabs>
            <w:rPr/>
          </w:pPr>
          <w:hyperlink w:anchor="__RefHeading___Toc316673_2142443653">
            <w:r>
              <w:rPr>
                <w:webHidden/>
                <w:rStyle w:val="IndexLink"/>
                <w:rtl w:val="true"/>
              </w:rPr>
              <w:t>قولهم</w:t>
            </w:r>
            <w:r>
              <w:rPr>
                <w:rStyle w:val="IndexLink"/>
                <w:rtl w:val="true"/>
              </w:rPr>
              <w:t xml:space="preserve">: </w:t>
            </w:r>
            <w:r>
              <w:rPr>
                <w:rStyle w:val="IndexLink"/>
                <w:rtl w:val="true"/>
              </w:rPr>
              <w:t>ثقة</w:t>
            </w:r>
            <w:r>
              <w:rPr>
                <w:rStyle w:val="IndexLink"/>
                <w:rtl w:val="true"/>
              </w:rPr>
              <w:tab/>
            </w:r>
            <w:r>
              <w:rPr>
                <w:rStyle w:val="IndexLink"/>
              </w:rPr>
              <w:t>154</w:t>
            </w:r>
          </w:hyperlink>
        </w:p>
        <w:p>
          <w:pPr>
            <w:pStyle w:val="Contents6"/>
            <w:tabs>
              <w:tab w:val="clear" w:pos="7609"/>
              <w:tab w:val="right" w:pos="9026" w:leader="dot"/>
            </w:tabs>
            <w:rPr/>
          </w:pPr>
          <w:hyperlink w:anchor="__RefHeading___Toc316675_2142443653">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316677_2142443653">
            <w:r>
              <w:rPr>
                <w:webHidden/>
                <w:rStyle w:val="IndexLink"/>
                <w:rtl w:val="true"/>
              </w:rPr>
              <w:t>بقي هنا أمور ينبغي التنبيه عليها</w:t>
            </w:r>
            <w:r>
              <w:rPr>
                <w:rStyle w:val="IndexLink"/>
                <w:rtl w:val="true"/>
              </w:rPr>
              <w:t>:</w:t>
              <w:tab/>
            </w:r>
            <w:r>
              <w:rPr>
                <w:rStyle w:val="IndexLink"/>
              </w:rPr>
              <w:t>161</w:t>
            </w:r>
          </w:hyperlink>
        </w:p>
        <w:p>
          <w:pPr>
            <w:pStyle w:val="Contents6"/>
            <w:tabs>
              <w:tab w:val="clear" w:pos="7609"/>
              <w:tab w:val="right" w:pos="9026" w:leader="dot"/>
            </w:tabs>
            <w:rPr/>
          </w:pPr>
          <w:hyperlink w:anchor="__RefHeading___Toc316679_2142443653">
            <w:r>
              <w:rPr>
                <w:webHidden/>
                <w:rStyle w:val="IndexLink"/>
                <w:rtl w:val="true"/>
              </w:rPr>
              <w:t>الاول</w:t>
            </w:r>
            <w:r>
              <w:rPr>
                <w:rStyle w:val="IndexLink"/>
                <w:rtl w:val="true"/>
              </w:rPr>
              <w:t xml:space="preserve">: </w:t>
            </w:r>
            <w:r>
              <w:rPr>
                <w:rStyle w:val="IndexLink"/>
                <w:rtl w:val="true"/>
              </w:rPr>
              <w:t>حكم ما لو قال القائل</w:t>
            </w:r>
            <w:r>
              <w:rPr>
                <w:rStyle w:val="IndexLink"/>
                <w:rtl w:val="true"/>
              </w:rPr>
              <w:t xml:space="preserve">: </w:t>
            </w:r>
            <w:r>
              <w:rPr>
                <w:rStyle w:val="IndexLink"/>
                <w:rtl w:val="true"/>
              </w:rPr>
              <w:t>ثقة غير عدل أو ما شاكل ذلك</w:t>
            </w:r>
            <w:r>
              <w:rPr>
                <w:rStyle w:val="IndexLink"/>
                <w:rtl w:val="true"/>
              </w:rPr>
              <w:tab/>
            </w:r>
            <w:r>
              <w:rPr>
                <w:rStyle w:val="IndexLink"/>
              </w:rPr>
              <w:t>161</w:t>
            </w:r>
          </w:hyperlink>
        </w:p>
        <w:p>
          <w:pPr>
            <w:pStyle w:val="Contents6"/>
            <w:tabs>
              <w:tab w:val="clear" w:pos="7609"/>
              <w:tab w:val="right" w:pos="9026" w:leader="dot"/>
            </w:tabs>
            <w:rPr/>
          </w:pPr>
          <w:hyperlink w:anchor="__RefHeading___Toc316681_2142443653">
            <w:r>
              <w:rPr>
                <w:webHidden/>
                <w:rStyle w:val="IndexLink"/>
                <w:rtl w:val="true"/>
              </w:rPr>
              <w:t>الثاني</w:t>
            </w:r>
            <w:r>
              <w:rPr>
                <w:rStyle w:val="IndexLink"/>
                <w:rtl w:val="true"/>
              </w:rPr>
              <w:t xml:space="preserve">: </w:t>
            </w:r>
            <w:r>
              <w:rPr>
                <w:rStyle w:val="IndexLink"/>
                <w:rtl w:val="true"/>
              </w:rPr>
              <w:t>تقرير اشكال على المختار</w:t>
            </w:r>
            <w:r>
              <w:rPr>
                <w:rStyle w:val="IndexLink"/>
                <w:rtl w:val="true"/>
              </w:rPr>
              <w:tab/>
            </w:r>
            <w:r>
              <w:rPr>
                <w:rStyle w:val="IndexLink"/>
              </w:rPr>
              <w:t>164</w:t>
            </w:r>
          </w:hyperlink>
        </w:p>
        <w:p>
          <w:pPr>
            <w:pStyle w:val="Contents6"/>
            <w:tabs>
              <w:tab w:val="clear" w:pos="7609"/>
              <w:tab w:val="right" w:pos="9026" w:leader="dot"/>
            </w:tabs>
            <w:rPr/>
          </w:pPr>
          <w:hyperlink w:anchor="__RefHeading___Toc316683_2142443653">
            <w:r>
              <w:rPr>
                <w:webHidden/>
                <w:rStyle w:val="IndexLink"/>
                <w:rtl w:val="true"/>
              </w:rPr>
              <w:t>الثالث</w:t>
            </w:r>
            <w:r>
              <w:rPr>
                <w:rStyle w:val="IndexLink"/>
                <w:rtl w:val="true"/>
              </w:rPr>
              <w:t xml:space="preserve">: </w:t>
            </w:r>
            <w:r>
              <w:rPr>
                <w:rStyle w:val="IndexLink"/>
                <w:rtl w:val="true"/>
              </w:rPr>
              <w:t>حكم قول الامامي ان فلانا ثقة</w:t>
            </w:r>
            <w:r>
              <w:rPr>
                <w:rStyle w:val="IndexLink"/>
                <w:rtl w:val="true"/>
              </w:rPr>
              <w:tab/>
            </w:r>
            <w:r>
              <w:rPr>
                <w:rStyle w:val="IndexLink"/>
              </w:rPr>
              <w:t>166</w:t>
            </w:r>
          </w:hyperlink>
        </w:p>
        <w:p>
          <w:pPr>
            <w:pStyle w:val="Contents6"/>
            <w:tabs>
              <w:tab w:val="clear" w:pos="7609"/>
              <w:tab w:val="right" w:pos="9026" w:leader="dot"/>
            </w:tabs>
            <w:rPr/>
          </w:pPr>
          <w:hyperlink w:anchor="__RefHeading___Toc316685_2142443653">
            <w:r>
              <w:rPr>
                <w:webHidden/>
                <w:rStyle w:val="IndexLink"/>
                <w:rtl w:val="true"/>
              </w:rPr>
              <w:t>الرابع</w:t>
            </w:r>
            <w:r>
              <w:rPr>
                <w:rStyle w:val="IndexLink"/>
                <w:rtl w:val="true"/>
              </w:rPr>
              <w:t xml:space="preserve">: </w:t>
            </w:r>
            <w:r>
              <w:rPr>
                <w:rStyle w:val="IndexLink"/>
                <w:rtl w:val="true"/>
              </w:rPr>
              <w:t>حكم قول العدل</w:t>
            </w:r>
            <w:r>
              <w:rPr>
                <w:rStyle w:val="IndexLink"/>
                <w:rtl w:val="true"/>
              </w:rPr>
              <w:t xml:space="preserve">: </w:t>
            </w:r>
            <w:r>
              <w:rPr>
                <w:rStyle w:val="IndexLink"/>
                <w:rtl w:val="true"/>
              </w:rPr>
              <w:t>إن فلانا ليس بثقة</w:t>
            </w:r>
            <w:r>
              <w:rPr>
                <w:rStyle w:val="IndexLink"/>
                <w:rtl w:val="true"/>
              </w:rPr>
              <w:tab/>
            </w:r>
            <w:r>
              <w:rPr>
                <w:rStyle w:val="IndexLink"/>
              </w:rPr>
              <w:t>167</w:t>
            </w:r>
          </w:hyperlink>
        </w:p>
        <w:p>
          <w:pPr>
            <w:pStyle w:val="Contents6"/>
            <w:tabs>
              <w:tab w:val="clear" w:pos="7609"/>
              <w:tab w:val="right" w:pos="9026" w:leader="dot"/>
            </w:tabs>
            <w:rPr/>
          </w:pPr>
          <w:hyperlink w:anchor="__RefHeading___Toc316687_2142443653">
            <w:r>
              <w:rPr>
                <w:webHidden/>
                <w:rStyle w:val="IndexLink"/>
                <w:rtl w:val="true"/>
              </w:rPr>
              <w:t>الخامس</w:t>
            </w:r>
            <w:r>
              <w:rPr>
                <w:rStyle w:val="IndexLink"/>
                <w:rtl w:val="true"/>
              </w:rPr>
              <w:t xml:space="preserve">: </w:t>
            </w:r>
            <w:r>
              <w:rPr>
                <w:rStyle w:val="IndexLink"/>
                <w:rtl w:val="true"/>
              </w:rPr>
              <w:t>من كرر في حقه لفظ الثقة</w:t>
            </w:r>
            <w:r>
              <w:rPr>
                <w:rStyle w:val="IndexLink"/>
                <w:rtl w:val="true"/>
              </w:rPr>
              <w:tab/>
            </w:r>
            <w:r>
              <w:rPr>
                <w:rStyle w:val="IndexLink"/>
              </w:rPr>
              <w:t>168</w:t>
            </w:r>
          </w:hyperlink>
        </w:p>
        <w:p>
          <w:pPr>
            <w:pStyle w:val="Contents5"/>
            <w:tabs>
              <w:tab w:val="clear" w:pos="7892"/>
              <w:tab w:val="right" w:pos="9026" w:leader="dot"/>
            </w:tabs>
            <w:rPr/>
          </w:pPr>
          <w:hyperlink w:anchor="__RefHeading___Toc316689_2142443653">
            <w:r>
              <w:rPr>
                <w:webHidden/>
                <w:rStyle w:val="IndexLink"/>
                <w:rtl w:val="true"/>
              </w:rPr>
              <w:t>قولهم</w:t>
            </w:r>
            <w:r>
              <w:rPr>
                <w:rStyle w:val="IndexLink"/>
                <w:rtl w:val="true"/>
              </w:rPr>
              <w:t xml:space="preserve">: </w:t>
            </w:r>
            <w:r>
              <w:rPr>
                <w:rStyle w:val="IndexLink"/>
                <w:rtl w:val="true"/>
              </w:rPr>
              <w:t>ثقة في الحديث أو في الرواية</w:t>
            </w:r>
            <w:r>
              <w:rPr>
                <w:rStyle w:val="IndexLink"/>
                <w:rtl w:val="true"/>
              </w:rPr>
              <w:tab/>
            </w:r>
            <w:r>
              <w:rPr>
                <w:rStyle w:val="IndexLink"/>
              </w:rPr>
              <w:t>170</w:t>
            </w:r>
          </w:hyperlink>
        </w:p>
        <w:p>
          <w:pPr>
            <w:pStyle w:val="Contents5"/>
            <w:tabs>
              <w:tab w:val="clear" w:pos="7892"/>
              <w:tab w:val="right" w:pos="9026" w:leader="dot"/>
            </w:tabs>
            <w:rPr/>
          </w:pPr>
          <w:hyperlink w:anchor="__RefHeading___Toc316691_2142443653">
            <w:r>
              <w:rPr>
                <w:webHidden/>
                <w:rStyle w:val="IndexLink"/>
                <w:rtl w:val="true"/>
              </w:rPr>
              <w:t>قولهم</w:t>
            </w:r>
            <w:r>
              <w:rPr>
                <w:rStyle w:val="IndexLink"/>
                <w:rtl w:val="true"/>
              </w:rPr>
              <w:t xml:space="preserve">: </w:t>
            </w:r>
            <w:r>
              <w:rPr>
                <w:rStyle w:val="IndexLink"/>
                <w:rtl w:val="true"/>
              </w:rPr>
              <w:t>صحيح الحديث</w:t>
            </w:r>
            <w:r>
              <w:rPr>
                <w:rStyle w:val="IndexLink"/>
                <w:rtl w:val="true"/>
              </w:rPr>
              <w:tab/>
            </w:r>
            <w:r>
              <w:rPr>
                <w:rStyle w:val="IndexLink"/>
              </w:rPr>
              <w:t>174</w:t>
            </w:r>
          </w:hyperlink>
        </w:p>
        <w:p>
          <w:pPr>
            <w:pStyle w:val="Contents5"/>
            <w:tabs>
              <w:tab w:val="clear" w:pos="7892"/>
              <w:tab w:val="right" w:pos="9026" w:leader="dot"/>
            </w:tabs>
            <w:rPr/>
          </w:pPr>
          <w:hyperlink w:anchor="__RefHeading___Toc316693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حجة</w:t>
            </w:r>
            <w:r>
              <w:rPr>
                <w:rStyle w:val="IndexLink"/>
                <w:rtl w:val="true"/>
              </w:rPr>
              <w:t>:</w:t>
              <w:tab/>
            </w:r>
            <w:r>
              <w:rPr>
                <w:rStyle w:val="IndexLink"/>
              </w:rPr>
              <w:t>178</w:t>
            </w:r>
          </w:hyperlink>
        </w:p>
        <w:p>
          <w:pPr>
            <w:pStyle w:val="Contents5"/>
            <w:tabs>
              <w:tab w:val="clear" w:pos="7892"/>
              <w:tab w:val="right" w:pos="9026" w:leader="dot"/>
            </w:tabs>
            <w:rPr/>
          </w:pPr>
          <w:hyperlink w:anchor="__RefHeading___Toc316695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 xml:space="preserve">أجمعت العصابة على تصحيح ما يصح عنه </w:t>
            </w:r>
            <w:r>
              <w:rPr>
                <w:rStyle w:val="IndexLink"/>
                <w:rtl w:val="true"/>
              </w:rPr>
              <w:t>:</w:t>
              <w:tab/>
            </w:r>
            <w:r>
              <w:rPr>
                <w:rStyle w:val="IndexLink"/>
              </w:rPr>
              <w:t>179</w:t>
            </w:r>
          </w:hyperlink>
        </w:p>
        <w:p>
          <w:pPr>
            <w:pStyle w:val="Contents6"/>
            <w:tabs>
              <w:tab w:val="clear" w:pos="7609"/>
              <w:tab w:val="right" w:pos="9026" w:leader="dot"/>
            </w:tabs>
            <w:rPr/>
          </w:pPr>
          <w:hyperlink w:anchor="__RefHeading___Toc316697_2142443653">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16699_2142443653">
            <w:r>
              <w:rPr>
                <w:webHidden/>
                <w:rStyle w:val="IndexLink"/>
                <w:rtl w:val="true"/>
              </w:rPr>
              <w:t>مقامان</w:t>
            </w:r>
            <w:r>
              <w:rPr>
                <w:rStyle w:val="IndexLink"/>
                <w:rtl w:val="true"/>
              </w:rPr>
              <w:tab/>
            </w:r>
            <w:r>
              <w:rPr>
                <w:rStyle w:val="IndexLink"/>
              </w:rPr>
              <w:t>185</w:t>
            </w:r>
          </w:hyperlink>
        </w:p>
        <w:p>
          <w:pPr>
            <w:pStyle w:val="Contents6"/>
            <w:tabs>
              <w:tab w:val="clear" w:pos="7609"/>
              <w:tab w:val="right" w:pos="9026" w:leader="dot"/>
            </w:tabs>
            <w:rPr/>
          </w:pPr>
          <w:hyperlink w:anchor="__RefHeading___Toc316701_2142443653">
            <w:r>
              <w:rPr>
                <w:webHidden/>
                <w:rStyle w:val="IndexLink"/>
                <w:rtl w:val="true"/>
              </w:rPr>
              <w:t>الاول</w:t>
            </w:r>
            <w:r>
              <w:rPr>
                <w:rStyle w:val="IndexLink"/>
                <w:rtl w:val="true"/>
              </w:rPr>
              <w:t xml:space="preserve">: </w:t>
            </w:r>
            <w:r>
              <w:rPr>
                <w:rStyle w:val="IndexLink"/>
                <w:rtl w:val="true"/>
              </w:rPr>
              <w:t>ما المراد من هذه العبارة؟</w:t>
            </w:r>
            <w:r>
              <w:rPr>
                <w:rStyle w:val="IndexLink"/>
                <w:rtl w:val="true"/>
              </w:rPr>
              <w:tab/>
            </w:r>
            <w:r>
              <w:rPr>
                <w:rStyle w:val="IndexLink"/>
              </w:rPr>
              <w:t>185</w:t>
            </w:r>
          </w:hyperlink>
        </w:p>
        <w:p>
          <w:pPr>
            <w:pStyle w:val="Contents6"/>
            <w:tabs>
              <w:tab w:val="clear" w:pos="7609"/>
              <w:tab w:val="right" w:pos="9026" w:leader="dot"/>
            </w:tabs>
            <w:rPr/>
          </w:pPr>
          <w:hyperlink w:anchor="__RefHeading___Toc316703_2142443653">
            <w:r>
              <w:rPr>
                <w:webHidden/>
                <w:rStyle w:val="IndexLink"/>
                <w:rtl w:val="true"/>
              </w:rPr>
              <w:t>المقام الثاني</w:t>
            </w:r>
            <w:r>
              <w:rPr>
                <w:rStyle w:val="IndexLink"/>
                <w:rtl w:val="true"/>
              </w:rPr>
              <w:t xml:space="preserve">: </w:t>
            </w:r>
            <w:r>
              <w:rPr>
                <w:rStyle w:val="IndexLink"/>
                <w:rtl w:val="true"/>
              </w:rPr>
              <w:t>في تعداد الجماعة و تعيين أسمائهم</w:t>
            </w:r>
            <w:r>
              <w:rPr>
                <w:rStyle w:val="IndexLink"/>
                <w:rtl w:val="true"/>
              </w:rPr>
              <w:t>:</w:t>
              <w:tab/>
            </w:r>
            <w:r>
              <w:rPr>
                <w:rStyle w:val="IndexLink"/>
              </w:rPr>
              <w:t>206</w:t>
            </w:r>
          </w:hyperlink>
        </w:p>
        <w:p>
          <w:pPr>
            <w:pStyle w:val="Contents6"/>
            <w:tabs>
              <w:tab w:val="clear" w:pos="7609"/>
              <w:tab w:val="right" w:pos="9026" w:leader="dot"/>
            </w:tabs>
            <w:rPr/>
          </w:pPr>
          <w:hyperlink w:anchor="__RefHeading___Toc316705_2142443653">
            <w:r>
              <w:rPr>
                <w:webHidden/>
                <w:rStyle w:val="IndexLink"/>
                <w:rtl w:val="true"/>
              </w:rPr>
              <w:t>تذنيب</w:t>
            </w:r>
            <w:r>
              <w:rPr>
                <w:rStyle w:val="IndexLink"/>
                <w:rtl w:val="true"/>
              </w:rPr>
              <w:t>:</w:t>
              <w:tab/>
            </w:r>
            <w:r>
              <w:rPr>
                <w:rStyle w:val="IndexLink"/>
              </w:rPr>
              <w:t>213</w:t>
            </w:r>
          </w:hyperlink>
        </w:p>
        <w:p>
          <w:pPr>
            <w:pStyle w:val="Contents6"/>
            <w:tabs>
              <w:tab w:val="clear" w:pos="7609"/>
              <w:tab w:val="right" w:pos="9026" w:leader="dot"/>
            </w:tabs>
            <w:rPr/>
          </w:pPr>
          <w:hyperlink w:anchor="__RefHeading___Toc316707_2142443653">
            <w:r>
              <w:rPr>
                <w:webHidden/>
                <w:rStyle w:val="IndexLink"/>
                <w:rtl w:val="true"/>
              </w:rPr>
              <w:t>قد شهد الثقاة بوثاقة جمع غير اصحاب الاجماع</w:t>
            </w:r>
            <w:r>
              <w:rPr>
                <w:rStyle w:val="IndexLink"/>
                <w:rtl w:val="true"/>
              </w:rPr>
              <w:tab/>
            </w:r>
            <w:r>
              <w:rPr>
                <w:rStyle w:val="IndexLink"/>
              </w:rPr>
              <w:t>213</w:t>
            </w:r>
          </w:hyperlink>
        </w:p>
        <w:p>
          <w:pPr>
            <w:pStyle w:val="Contents5"/>
            <w:tabs>
              <w:tab w:val="clear" w:pos="7892"/>
              <w:tab w:val="right" w:pos="9026" w:leader="dot"/>
            </w:tabs>
            <w:rPr/>
          </w:pPr>
          <w:hyperlink w:anchor="__RefHeading___Toc316709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من أصحابنا</w:t>
            </w:r>
            <w:r>
              <w:rPr>
                <w:rStyle w:val="IndexLink"/>
                <w:rtl w:val="true"/>
              </w:rPr>
              <w:t>:</w:t>
              <w:tab/>
            </w:r>
            <w:r>
              <w:rPr>
                <w:rStyle w:val="IndexLink"/>
              </w:rPr>
              <w:t>218</w:t>
            </w:r>
          </w:hyperlink>
        </w:p>
        <w:p>
          <w:pPr>
            <w:pStyle w:val="Contents5"/>
            <w:tabs>
              <w:tab w:val="clear" w:pos="7892"/>
              <w:tab w:val="right" w:pos="9026" w:leader="dot"/>
            </w:tabs>
            <w:rPr/>
          </w:pPr>
          <w:hyperlink w:anchor="__RefHeading___Toc316711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عين و وجه</w:t>
            </w:r>
            <w:r>
              <w:rPr>
                <w:rStyle w:val="IndexLink"/>
                <w:rtl w:val="true"/>
              </w:rPr>
              <w:t>:</w:t>
              <w:tab/>
            </w:r>
            <w:r>
              <w:rPr>
                <w:rStyle w:val="IndexLink"/>
              </w:rPr>
              <w:t>219</w:t>
            </w:r>
          </w:hyperlink>
        </w:p>
        <w:p>
          <w:pPr>
            <w:pStyle w:val="Contents5"/>
            <w:tabs>
              <w:tab w:val="clear" w:pos="7892"/>
              <w:tab w:val="right" w:pos="9026" w:leader="dot"/>
            </w:tabs>
            <w:rPr/>
          </w:pPr>
          <w:hyperlink w:anchor="__RefHeading___Toc316713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ممدوح</w:t>
            </w:r>
            <w:r>
              <w:rPr>
                <w:rStyle w:val="IndexLink"/>
                <w:rtl w:val="true"/>
              </w:rPr>
              <w:t>:</w:t>
              <w:tab/>
            </w:r>
            <w:r>
              <w:rPr>
                <w:rStyle w:val="IndexLink"/>
              </w:rPr>
              <w:t>222</w:t>
            </w:r>
          </w:hyperlink>
        </w:p>
        <w:p>
          <w:pPr>
            <w:pStyle w:val="Contents5"/>
            <w:tabs>
              <w:tab w:val="clear" w:pos="7892"/>
              <w:tab w:val="right" w:pos="9026" w:leader="dot"/>
            </w:tabs>
            <w:rPr/>
          </w:pPr>
          <w:hyperlink w:anchor="__RefHeading___Toc316715_2142443653">
            <w:r>
              <w:rPr>
                <w:webHidden/>
                <w:rStyle w:val="IndexLink"/>
                <w:rtl w:val="true"/>
              </w:rPr>
              <w:t>و منها قولهم</w:t>
            </w:r>
            <w:r>
              <w:rPr>
                <w:rStyle w:val="IndexLink"/>
                <w:rtl w:val="true"/>
              </w:rPr>
              <w:t xml:space="preserve">: </w:t>
            </w:r>
            <w:r>
              <w:rPr>
                <w:rStyle w:val="IndexLink"/>
                <w:rtl w:val="true"/>
              </w:rPr>
              <w:t xml:space="preserve">من أولياء أمير المؤمنين </w:t>
            </w:r>
            <w:r>
              <w:rPr>
                <w:rStyle w:val="IndexLink"/>
                <w:rtl w:val="true"/>
              </w:rPr>
              <w:t>(</w:t>
            </w:r>
            <w:r>
              <w:rPr>
                <w:rStyle w:val="IndexLink"/>
                <w:rtl w:val="true"/>
              </w:rPr>
              <w:t>عليه السّلام</w:t>
            </w:r>
            <w:r>
              <w:rPr>
                <w:rStyle w:val="IndexLink"/>
                <w:rtl w:val="true"/>
              </w:rPr>
              <w:t>) :</w:t>
              <w:tab/>
            </w:r>
            <w:r>
              <w:rPr>
                <w:rStyle w:val="IndexLink"/>
              </w:rPr>
              <w:t>223</w:t>
            </w:r>
          </w:hyperlink>
        </w:p>
        <w:p>
          <w:pPr>
            <w:pStyle w:val="Contents5"/>
            <w:tabs>
              <w:tab w:val="clear" w:pos="7892"/>
              <w:tab w:val="right" w:pos="9026" w:leader="dot"/>
            </w:tabs>
            <w:rPr/>
          </w:pPr>
          <w:hyperlink w:anchor="__RefHeading___Toc316717_2142443653">
            <w:r>
              <w:rPr>
                <w:webHidden/>
                <w:rStyle w:val="IndexLink"/>
                <w:rtl w:val="true"/>
              </w:rPr>
              <w:t>قولهم</w:t>
            </w:r>
            <w:r>
              <w:rPr>
                <w:rStyle w:val="IndexLink"/>
                <w:rtl w:val="true"/>
              </w:rPr>
              <w:t xml:space="preserve">: </w:t>
            </w:r>
            <w:r>
              <w:rPr>
                <w:rStyle w:val="IndexLink"/>
                <w:rtl w:val="true"/>
              </w:rPr>
              <w:t>خاصي</w:t>
            </w:r>
            <w:r>
              <w:rPr>
                <w:rStyle w:val="IndexLink"/>
                <w:rtl w:val="true"/>
              </w:rPr>
              <w:tab/>
            </w:r>
            <w:r>
              <w:rPr>
                <w:rStyle w:val="IndexLink"/>
              </w:rPr>
              <w:t>226</w:t>
            </w:r>
          </w:hyperlink>
        </w:p>
        <w:p>
          <w:pPr>
            <w:pStyle w:val="Contents6"/>
            <w:tabs>
              <w:tab w:val="clear" w:pos="7609"/>
              <w:tab w:val="right" w:pos="9026" w:leader="dot"/>
            </w:tabs>
            <w:rPr/>
          </w:pPr>
          <w:hyperlink w:anchor="__RefHeading___Toc316719_2142443653">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316721_2142443653">
            <w:r>
              <w:rPr>
                <w:webHidden/>
                <w:rStyle w:val="IndexLink"/>
                <w:rtl w:val="true"/>
              </w:rPr>
              <w:t xml:space="preserve">صاحب سر أمير المؤمنين </w:t>
            </w:r>
            <w:r>
              <w:rPr>
                <w:rStyle w:val="IndexLink"/>
                <w:rtl w:val="true"/>
              </w:rPr>
              <w:t>(</w:t>
            </w:r>
            <w:r>
              <w:rPr>
                <w:rStyle w:val="IndexLink"/>
                <w:rtl w:val="true"/>
              </w:rPr>
              <w:t>عليه السّلام</w:t>
            </w:r>
            <w:r>
              <w:rPr>
                <w:rStyle w:val="IndexLink"/>
                <w:rtl w:val="true"/>
              </w:rPr>
              <w:t>):</w:t>
              <w:tab/>
            </w:r>
            <w:r>
              <w:rPr>
                <w:rStyle w:val="IndexLink"/>
              </w:rPr>
              <w:t>227</w:t>
            </w:r>
          </w:hyperlink>
        </w:p>
        <w:p>
          <w:pPr>
            <w:pStyle w:val="Contents5"/>
            <w:tabs>
              <w:tab w:val="clear" w:pos="7892"/>
              <w:tab w:val="right" w:pos="9026" w:leader="dot"/>
            </w:tabs>
            <w:rPr/>
          </w:pPr>
          <w:hyperlink w:anchor="__RefHeading___Toc316723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هو من مشايخ الإجازة، أو هو شيخ الإجازة</w:t>
            </w:r>
            <w:r>
              <w:rPr>
                <w:rStyle w:val="IndexLink"/>
                <w:rtl w:val="true"/>
              </w:rPr>
              <w:t>:</w:t>
              <w:tab/>
            </w:r>
            <w:r>
              <w:rPr>
                <w:rStyle w:val="IndexLink"/>
              </w:rPr>
              <w:t>228</w:t>
            </w:r>
          </w:hyperlink>
        </w:p>
        <w:p>
          <w:pPr>
            <w:pStyle w:val="Contents6"/>
            <w:tabs>
              <w:tab w:val="clear" w:pos="7609"/>
              <w:tab w:val="right" w:pos="9026" w:leader="dot"/>
            </w:tabs>
            <w:rPr/>
          </w:pPr>
          <w:hyperlink w:anchor="__RefHeading___Toc316725_2142443653">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16727_2142443653">
            <w:r>
              <w:rPr>
                <w:webHidden/>
                <w:rStyle w:val="IndexLink"/>
                <w:rtl w:val="true"/>
              </w:rPr>
              <w:t xml:space="preserve">تذييل </w:t>
            </w:r>
            <w:r>
              <w:rPr>
                <w:rStyle w:val="IndexLink"/>
                <w:rtl w:val="true"/>
              </w:rPr>
              <w:t>:</w:t>
              <w:tab/>
            </w:r>
            <w:r>
              <w:rPr>
                <w:rStyle w:val="IndexLink"/>
              </w:rPr>
              <w:t>232</w:t>
            </w:r>
          </w:hyperlink>
        </w:p>
        <w:p>
          <w:pPr>
            <w:pStyle w:val="Contents6"/>
            <w:tabs>
              <w:tab w:val="clear" w:pos="7609"/>
              <w:tab w:val="right" w:pos="9026" w:leader="dot"/>
            </w:tabs>
            <w:rPr/>
          </w:pPr>
          <w:hyperlink w:anchor="__RefHeading___Toc316729_2142443653">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316731_2142443653">
            <w:r>
              <w:rPr>
                <w:webHidden/>
                <w:rStyle w:val="IndexLink"/>
                <w:rtl w:val="true"/>
              </w:rPr>
              <w:t>ليست شيخوخة الرواية كشيخوخة الإجازة في إفادة الحسن أو الوثاقة</w:t>
            </w:r>
            <w:r>
              <w:rPr>
                <w:rStyle w:val="IndexLink"/>
                <w:rtl w:val="true"/>
              </w:rPr>
              <w:tab/>
            </w:r>
            <w:r>
              <w:rPr>
                <w:rStyle w:val="IndexLink"/>
              </w:rPr>
              <w:t>232</w:t>
            </w:r>
          </w:hyperlink>
        </w:p>
        <w:p>
          <w:pPr>
            <w:pStyle w:val="Contents5"/>
            <w:tabs>
              <w:tab w:val="clear" w:pos="7892"/>
              <w:tab w:val="right" w:pos="9026" w:leader="dot"/>
            </w:tabs>
            <w:rPr/>
          </w:pPr>
          <w:hyperlink w:anchor="__RefHeading___Toc316733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 xml:space="preserve">شيخ الطائفة أو من أجلائها أو معتمدها </w:t>
            </w:r>
            <w:r>
              <w:rPr>
                <w:rStyle w:val="IndexLink"/>
                <w:rtl w:val="true"/>
              </w:rPr>
              <w:t>:</w:t>
              <w:tab/>
            </w:r>
            <w:r>
              <w:rPr>
                <w:rStyle w:val="IndexLink"/>
              </w:rPr>
              <w:t>233</w:t>
            </w:r>
          </w:hyperlink>
        </w:p>
        <w:p>
          <w:pPr>
            <w:pStyle w:val="Contents5"/>
            <w:tabs>
              <w:tab w:val="clear" w:pos="7892"/>
              <w:tab w:val="right" w:pos="9026" w:leader="dot"/>
            </w:tabs>
            <w:rPr/>
          </w:pPr>
          <w:hyperlink w:anchor="__RefHeading___Toc316735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لا بأس به</w:t>
            </w:r>
            <w:r>
              <w:rPr>
                <w:rStyle w:val="IndexLink"/>
                <w:rtl w:val="true"/>
              </w:rPr>
              <w:t>.</w:t>
              <w:tab/>
            </w:r>
            <w:r>
              <w:rPr>
                <w:rStyle w:val="IndexLink"/>
              </w:rPr>
              <w:t>234</w:t>
            </w:r>
          </w:hyperlink>
        </w:p>
        <w:p>
          <w:pPr>
            <w:pStyle w:val="Contents5"/>
            <w:tabs>
              <w:tab w:val="clear" w:pos="7892"/>
              <w:tab w:val="right" w:pos="9026" w:leader="dot"/>
            </w:tabs>
            <w:rPr/>
          </w:pPr>
          <w:hyperlink w:anchor="__RefHeading___Toc316737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أسند عنه</w:t>
            </w:r>
            <w:r>
              <w:rPr>
                <w:rStyle w:val="IndexLink"/>
                <w:rtl w:val="true"/>
              </w:rPr>
              <w:t>:</w:t>
              <w:tab/>
            </w:r>
            <w:r>
              <w:rPr>
                <w:rStyle w:val="IndexLink"/>
              </w:rPr>
              <w:t>238</w:t>
            </w:r>
          </w:hyperlink>
        </w:p>
        <w:p>
          <w:pPr>
            <w:pStyle w:val="Contents5"/>
            <w:tabs>
              <w:tab w:val="clear" w:pos="7892"/>
              <w:tab w:val="right" w:pos="9026" w:leader="dot"/>
            </w:tabs>
            <w:rPr/>
          </w:pPr>
          <w:hyperlink w:anchor="__RefHeading___Toc316739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مضطلع بالرّواية</w:t>
            </w:r>
            <w:r>
              <w:rPr>
                <w:rStyle w:val="IndexLink"/>
                <w:rtl w:val="true"/>
              </w:rPr>
              <w:t>:</w:t>
              <w:tab/>
            </w:r>
            <w:r>
              <w:rPr>
                <w:rStyle w:val="IndexLink"/>
              </w:rPr>
              <w:t>248</w:t>
            </w:r>
          </w:hyperlink>
        </w:p>
        <w:p>
          <w:pPr>
            <w:pStyle w:val="Contents5"/>
            <w:tabs>
              <w:tab w:val="clear" w:pos="7892"/>
              <w:tab w:val="right" w:pos="9026" w:leader="dot"/>
            </w:tabs>
            <w:rPr/>
          </w:pPr>
          <w:hyperlink w:anchor="__RefHeading___Toc316741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سليم الجنبة</w:t>
            </w:r>
            <w:r>
              <w:rPr>
                <w:rStyle w:val="IndexLink"/>
                <w:rtl w:val="true"/>
              </w:rPr>
              <w:t>:</w:t>
              <w:tab/>
            </w:r>
            <w:r>
              <w:rPr>
                <w:rStyle w:val="IndexLink"/>
              </w:rPr>
              <w:t>248</w:t>
            </w:r>
          </w:hyperlink>
        </w:p>
        <w:p>
          <w:pPr>
            <w:pStyle w:val="Contents5"/>
            <w:tabs>
              <w:tab w:val="clear" w:pos="7892"/>
              <w:tab w:val="right" w:pos="9026" w:leader="dot"/>
            </w:tabs>
            <w:rPr/>
          </w:pPr>
          <w:hyperlink w:anchor="__RefHeading___Toc316743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 xml:space="preserve">خاصيّ </w:t>
            </w:r>
            <w:r>
              <w:rPr>
                <w:rStyle w:val="IndexLink"/>
                <w:rtl w:val="true"/>
              </w:rPr>
              <w:t>:</w:t>
              <w:tab/>
            </w:r>
            <w:r>
              <w:rPr>
                <w:rStyle w:val="IndexLink"/>
              </w:rPr>
              <w:t>249</w:t>
            </w:r>
          </w:hyperlink>
        </w:p>
        <w:p>
          <w:pPr>
            <w:pStyle w:val="Contents5"/>
            <w:tabs>
              <w:tab w:val="clear" w:pos="7892"/>
              <w:tab w:val="right" w:pos="9026" w:leader="dot"/>
            </w:tabs>
            <w:rPr/>
          </w:pPr>
          <w:hyperlink w:anchor="__RefHeading___Toc316745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متقن</w:t>
            </w:r>
            <w:r>
              <w:rPr>
                <w:rStyle w:val="IndexLink"/>
                <w:rtl w:val="true"/>
              </w:rPr>
              <w:t>.</w:t>
              <w:tab/>
            </w:r>
            <w:r>
              <w:rPr>
                <w:rStyle w:val="IndexLink"/>
              </w:rPr>
              <w:t>250</w:t>
            </w:r>
          </w:hyperlink>
        </w:p>
        <w:p>
          <w:pPr>
            <w:pStyle w:val="Contents5"/>
            <w:tabs>
              <w:tab w:val="clear" w:pos="7892"/>
              <w:tab w:val="right" w:pos="9026" w:leader="dot"/>
            </w:tabs>
            <w:rPr/>
          </w:pPr>
          <w:hyperlink w:anchor="__RefHeading___Toc316747_2142443653">
            <w:r>
              <w:rPr>
                <w:webHidden/>
                <w:rStyle w:val="IndexLink"/>
                <w:rtl w:val="true"/>
              </w:rPr>
              <w:t>و منها</w:t>
            </w:r>
            <w:r>
              <w:rPr>
                <w:rStyle w:val="IndexLink"/>
                <w:rtl w:val="true"/>
              </w:rPr>
              <w:t xml:space="preserve">: </w:t>
            </w:r>
            <w:r>
              <w:rPr>
                <w:rStyle w:val="IndexLink"/>
                <w:rtl w:val="true"/>
              </w:rPr>
              <w:t>حافظ و ثبت و ضابط</w:t>
            </w:r>
            <w:r>
              <w:rPr>
                <w:rStyle w:val="IndexLink"/>
                <w:rtl w:val="true"/>
              </w:rPr>
              <w:tab/>
            </w:r>
            <w:r>
              <w:rPr>
                <w:rStyle w:val="IndexLink"/>
              </w:rPr>
              <w:t>250</w:t>
            </w:r>
          </w:hyperlink>
        </w:p>
        <w:p>
          <w:pPr>
            <w:pStyle w:val="Contents5"/>
            <w:tabs>
              <w:tab w:val="clear" w:pos="7892"/>
              <w:tab w:val="right" w:pos="9026" w:leader="dot"/>
            </w:tabs>
            <w:rPr/>
          </w:pPr>
          <w:hyperlink w:anchor="__RefHeading___Toc316749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يحتج بحديثه</w:t>
            </w:r>
            <w:r>
              <w:rPr>
                <w:rStyle w:val="IndexLink"/>
                <w:rtl w:val="true"/>
              </w:rPr>
              <w:t>:</w:t>
              <w:tab/>
            </w:r>
            <w:r>
              <w:rPr>
                <w:rStyle w:val="IndexLink"/>
              </w:rPr>
              <w:t>252</w:t>
            </w:r>
          </w:hyperlink>
        </w:p>
        <w:p>
          <w:pPr>
            <w:pStyle w:val="Contents5"/>
            <w:tabs>
              <w:tab w:val="clear" w:pos="7892"/>
              <w:tab w:val="right" w:pos="9026" w:leader="dot"/>
            </w:tabs>
            <w:rPr/>
          </w:pPr>
          <w:hyperlink w:anchor="__RefHeading___Toc316751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صدوق، و مثله</w:t>
            </w:r>
            <w:r>
              <w:rPr>
                <w:rStyle w:val="IndexLink"/>
                <w:rtl w:val="true"/>
              </w:rPr>
              <w:t xml:space="preserve">: </w:t>
            </w:r>
            <w:r>
              <w:rPr>
                <w:rStyle w:val="IndexLink"/>
                <w:rtl w:val="true"/>
              </w:rPr>
              <w:t>محل الصدق</w:t>
            </w:r>
            <w:r>
              <w:rPr>
                <w:rStyle w:val="IndexLink"/>
                <w:rtl w:val="true"/>
              </w:rPr>
              <w:t>:</w:t>
              <w:tab/>
            </w:r>
            <w:r>
              <w:rPr>
                <w:rStyle w:val="IndexLink"/>
              </w:rPr>
              <w:t>252</w:t>
            </w:r>
          </w:hyperlink>
        </w:p>
        <w:p>
          <w:pPr>
            <w:pStyle w:val="Contents5"/>
            <w:tabs>
              <w:tab w:val="clear" w:pos="7892"/>
              <w:tab w:val="right" w:pos="9026" w:leader="dot"/>
            </w:tabs>
            <w:rPr/>
          </w:pPr>
          <w:hyperlink w:anchor="__RefHeading___Toc316753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يكتب حديثه</w:t>
            </w:r>
            <w:r>
              <w:rPr>
                <w:rStyle w:val="IndexLink"/>
                <w:rtl w:val="true"/>
              </w:rPr>
              <w:t xml:space="preserve">: </w:t>
            </w:r>
            <w:r>
              <w:rPr>
                <w:rStyle w:val="IndexLink"/>
                <w:rtl w:val="true"/>
              </w:rPr>
              <w:t>و مثله</w:t>
            </w:r>
            <w:r>
              <w:rPr>
                <w:rStyle w:val="IndexLink"/>
                <w:rtl w:val="true"/>
              </w:rPr>
              <w:t xml:space="preserve">: </w:t>
            </w:r>
            <w:r>
              <w:rPr>
                <w:rStyle w:val="IndexLink"/>
                <w:rtl w:val="true"/>
              </w:rPr>
              <w:t>ينظر في حديثه</w:t>
            </w:r>
            <w:r>
              <w:rPr>
                <w:rStyle w:val="IndexLink"/>
                <w:rtl w:val="true"/>
              </w:rPr>
              <w:t>:</w:t>
              <w:tab/>
            </w:r>
            <w:r>
              <w:rPr>
                <w:rStyle w:val="IndexLink"/>
              </w:rPr>
              <w:t>253</w:t>
            </w:r>
          </w:hyperlink>
        </w:p>
        <w:p>
          <w:pPr>
            <w:pStyle w:val="Contents5"/>
            <w:tabs>
              <w:tab w:val="clear" w:pos="7892"/>
              <w:tab w:val="right" w:pos="9026" w:leader="dot"/>
            </w:tabs>
            <w:rPr/>
          </w:pPr>
          <w:hyperlink w:anchor="__RefHeading___Toc316755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شيخ</w:t>
            </w:r>
            <w:r>
              <w:rPr>
                <w:rStyle w:val="IndexLink"/>
                <w:rtl w:val="true"/>
              </w:rPr>
              <w:t>:</w:t>
              <w:tab/>
            </w:r>
            <w:r>
              <w:rPr>
                <w:rStyle w:val="IndexLink"/>
              </w:rPr>
              <w:t>253</w:t>
            </w:r>
          </w:hyperlink>
        </w:p>
        <w:p>
          <w:pPr>
            <w:pStyle w:val="Contents5"/>
            <w:tabs>
              <w:tab w:val="clear" w:pos="7892"/>
              <w:tab w:val="right" w:pos="9026" w:leader="dot"/>
            </w:tabs>
            <w:rPr/>
          </w:pPr>
          <w:hyperlink w:anchor="__RefHeading___Toc316757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جليل</w:t>
            </w:r>
            <w:r>
              <w:rPr>
                <w:rStyle w:val="IndexLink"/>
                <w:rtl w:val="true"/>
              </w:rPr>
              <w:t>:</w:t>
              <w:tab/>
            </w:r>
            <w:r>
              <w:rPr>
                <w:rStyle w:val="IndexLink"/>
              </w:rPr>
              <w:t>254</w:t>
            </w:r>
          </w:hyperlink>
        </w:p>
        <w:p>
          <w:pPr>
            <w:pStyle w:val="Contents5"/>
            <w:tabs>
              <w:tab w:val="clear" w:pos="7892"/>
              <w:tab w:val="right" w:pos="9026" w:leader="dot"/>
            </w:tabs>
            <w:rPr/>
          </w:pPr>
          <w:hyperlink w:anchor="__RefHeading___Toc316759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صالح الحديث</w:t>
            </w:r>
            <w:r>
              <w:rPr>
                <w:rStyle w:val="IndexLink"/>
                <w:rtl w:val="true"/>
              </w:rPr>
              <w:t>:</w:t>
              <w:tab/>
            </w:r>
            <w:r>
              <w:rPr>
                <w:rStyle w:val="IndexLink"/>
              </w:rPr>
              <w:t>254</w:t>
            </w:r>
          </w:hyperlink>
        </w:p>
        <w:p>
          <w:pPr>
            <w:pStyle w:val="Contents5"/>
            <w:tabs>
              <w:tab w:val="clear" w:pos="7892"/>
              <w:tab w:val="right" w:pos="9026" w:leader="dot"/>
            </w:tabs>
            <w:rPr/>
          </w:pPr>
          <w:hyperlink w:anchor="__RefHeading___Toc316761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 xml:space="preserve">مسكون إلى روايته </w:t>
            </w:r>
            <w:r>
              <w:rPr>
                <w:rStyle w:val="IndexLink"/>
                <w:rtl w:val="true"/>
              </w:rPr>
              <w:t>:</w:t>
              <w:tab/>
            </w:r>
            <w:r>
              <w:rPr>
                <w:rStyle w:val="IndexLink"/>
              </w:rPr>
              <w:t>255</w:t>
            </w:r>
          </w:hyperlink>
        </w:p>
        <w:p>
          <w:pPr>
            <w:pStyle w:val="Contents5"/>
            <w:tabs>
              <w:tab w:val="clear" w:pos="7892"/>
              <w:tab w:val="right" w:pos="9026" w:leader="dot"/>
            </w:tabs>
            <w:rPr/>
          </w:pPr>
          <w:hyperlink w:anchor="__RefHeading___Toc316763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بصير بالحديث و الرواية</w:t>
            </w:r>
            <w:r>
              <w:rPr>
                <w:rStyle w:val="IndexLink"/>
                <w:rtl w:val="true"/>
              </w:rPr>
              <w:t>:</w:t>
              <w:tab/>
            </w:r>
            <w:r>
              <w:rPr>
                <w:rStyle w:val="IndexLink"/>
              </w:rPr>
              <w:t>256</w:t>
            </w:r>
          </w:hyperlink>
        </w:p>
        <w:p>
          <w:pPr>
            <w:pStyle w:val="Contents5"/>
            <w:tabs>
              <w:tab w:val="clear" w:pos="7892"/>
              <w:tab w:val="right" w:pos="9026" w:leader="dot"/>
            </w:tabs>
            <w:rPr/>
          </w:pPr>
          <w:hyperlink w:anchor="__RefHeading___Toc316765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مشكور</w:t>
            </w:r>
            <w:r>
              <w:rPr>
                <w:rStyle w:val="IndexLink"/>
                <w:rtl w:val="true"/>
              </w:rPr>
              <w:t xml:space="preserve">. </w:t>
            </w:r>
            <w:r>
              <w:rPr>
                <w:rStyle w:val="IndexLink"/>
                <w:rtl w:val="true"/>
              </w:rPr>
              <w:t>و مثله</w:t>
            </w:r>
            <w:r>
              <w:rPr>
                <w:rStyle w:val="IndexLink"/>
                <w:rtl w:val="true"/>
              </w:rPr>
              <w:t xml:space="preserve">: </w:t>
            </w:r>
            <w:r>
              <w:rPr>
                <w:rStyle w:val="IndexLink"/>
                <w:rtl w:val="true"/>
              </w:rPr>
              <w:t xml:space="preserve">خيّر و مرضي </w:t>
            </w:r>
            <w:r>
              <w:rPr>
                <w:rStyle w:val="IndexLink"/>
                <w:rtl w:val="true"/>
              </w:rPr>
              <w:t>:</w:t>
              <w:tab/>
            </w:r>
            <w:r>
              <w:rPr>
                <w:rStyle w:val="IndexLink"/>
              </w:rPr>
              <w:t>256</w:t>
            </w:r>
          </w:hyperlink>
        </w:p>
        <w:p>
          <w:pPr>
            <w:pStyle w:val="Contents5"/>
            <w:tabs>
              <w:tab w:val="clear" w:pos="7892"/>
              <w:tab w:val="right" w:pos="9026" w:leader="dot"/>
            </w:tabs>
            <w:rPr/>
          </w:pPr>
          <w:hyperlink w:anchor="__RefHeading___Toc316767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ديّن</w:t>
            </w:r>
            <w:r>
              <w:rPr>
                <w:rStyle w:val="IndexLink"/>
                <w:rtl w:val="true"/>
              </w:rPr>
              <w:t>:</w:t>
              <w:tab/>
            </w:r>
            <w:r>
              <w:rPr>
                <w:rStyle w:val="IndexLink"/>
              </w:rPr>
              <w:t>257</w:t>
            </w:r>
          </w:hyperlink>
        </w:p>
        <w:p>
          <w:pPr>
            <w:pStyle w:val="Contents5"/>
            <w:tabs>
              <w:tab w:val="clear" w:pos="7892"/>
              <w:tab w:val="right" w:pos="9026" w:leader="dot"/>
            </w:tabs>
            <w:rPr/>
          </w:pPr>
          <w:hyperlink w:anchor="__RefHeading___Toc316769_2142443653">
            <w:r>
              <w:rPr>
                <w:webHidden/>
                <w:rStyle w:val="IndexLink"/>
                <w:rtl w:val="true"/>
              </w:rPr>
              <w:t>و منها</w:t>
            </w:r>
            <w:r>
              <w:rPr>
                <w:rStyle w:val="IndexLink"/>
                <w:rtl w:val="true"/>
              </w:rPr>
              <w:t xml:space="preserve">: </w:t>
            </w:r>
            <w:r>
              <w:rPr>
                <w:rStyle w:val="IndexLink"/>
                <w:rtl w:val="true"/>
              </w:rPr>
              <w:t>فاضل</w:t>
            </w:r>
            <w:r>
              <w:rPr>
                <w:rStyle w:val="IndexLink"/>
                <w:rtl w:val="true"/>
              </w:rPr>
              <w:t>:</w:t>
              <w:tab/>
            </w:r>
            <w:r>
              <w:rPr>
                <w:rStyle w:val="IndexLink"/>
              </w:rPr>
              <w:t>257</w:t>
            </w:r>
          </w:hyperlink>
        </w:p>
        <w:p>
          <w:pPr>
            <w:pStyle w:val="Contents5"/>
            <w:tabs>
              <w:tab w:val="clear" w:pos="7892"/>
              <w:tab w:val="right" w:pos="9026" w:leader="dot"/>
            </w:tabs>
            <w:rPr/>
          </w:pPr>
          <w:hyperlink w:anchor="__RefHeading___Toc316771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 xml:space="preserve">فقيه </w:t>
            </w:r>
            <w:r>
              <w:rPr>
                <w:rStyle w:val="IndexLink"/>
                <w:rtl w:val="true"/>
              </w:rPr>
              <w:t xml:space="preserve">. </w:t>
            </w:r>
            <w:r>
              <w:rPr>
                <w:rStyle w:val="IndexLink"/>
                <w:rtl w:val="true"/>
              </w:rPr>
              <w:t>و مثله</w:t>
            </w:r>
            <w:r>
              <w:rPr>
                <w:rStyle w:val="IndexLink"/>
                <w:rtl w:val="true"/>
              </w:rPr>
              <w:t xml:space="preserve">: </w:t>
            </w:r>
            <w:r>
              <w:rPr>
                <w:rStyle w:val="IndexLink"/>
                <w:rtl w:val="true"/>
              </w:rPr>
              <w:t>عالم، و محدّث، و قارئ</w:t>
            </w:r>
            <w:r>
              <w:rPr>
                <w:rStyle w:val="IndexLink"/>
                <w:rtl w:val="true"/>
              </w:rPr>
              <w:t>:</w:t>
              <w:tab/>
            </w:r>
            <w:r>
              <w:rPr>
                <w:rStyle w:val="IndexLink"/>
              </w:rPr>
              <w:t>258</w:t>
            </w:r>
          </w:hyperlink>
        </w:p>
        <w:p>
          <w:pPr>
            <w:pStyle w:val="Contents5"/>
            <w:tabs>
              <w:tab w:val="clear" w:pos="7892"/>
              <w:tab w:val="right" w:pos="9026" w:leader="dot"/>
            </w:tabs>
            <w:rPr/>
          </w:pPr>
          <w:hyperlink w:anchor="__RefHeading___Toc316773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ورع</w:t>
            </w:r>
            <w:r>
              <w:rPr>
                <w:rStyle w:val="IndexLink"/>
                <w:rtl w:val="true"/>
              </w:rPr>
              <w:t>:</w:t>
              <w:tab/>
            </w:r>
            <w:r>
              <w:rPr>
                <w:rStyle w:val="IndexLink"/>
              </w:rPr>
              <w:t>259</w:t>
            </w:r>
          </w:hyperlink>
        </w:p>
        <w:p>
          <w:pPr>
            <w:pStyle w:val="Contents5"/>
            <w:tabs>
              <w:tab w:val="clear" w:pos="7892"/>
              <w:tab w:val="right" w:pos="9026" w:leader="dot"/>
            </w:tabs>
            <w:rPr/>
          </w:pPr>
          <w:hyperlink w:anchor="__RefHeading___Toc316775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صالح</w:t>
            </w:r>
            <w:r>
              <w:rPr>
                <w:rStyle w:val="IndexLink"/>
                <w:rtl w:val="true"/>
              </w:rPr>
              <w:tab/>
            </w:r>
            <w:r>
              <w:rPr>
                <w:rStyle w:val="IndexLink"/>
              </w:rPr>
              <w:t>259</w:t>
            </w:r>
          </w:hyperlink>
        </w:p>
        <w:p>
          <w:pPr>
            <w:pStyle w:val="Contents5"/>
            <w:tabs>
              <w:tab w:val="clear" w:pos="7892"/>
              <w:tab w:val="right" w:pos="9026" w:leader="dot"/>
            </w:tabs>
            <w:rPr/>
          </w:pPr>
          <w:hyperlink w:anchor="__RefHeading___Toc316777_2142443653">
            <w:r>
              <w:rPr>
                <w:webHidden/>
                <w:rStyle w:val="IndexLink"/>
                <w:rtl w:val="true"/>
              </w:rPr>
              <w:t>و مثله</w:t>
            </w:r>
            <w:r>
              <w:rPr>
                <w:rStyle w:val="IndexLink"/>
                <w:rtl w:val="true"/>
              </w:rPr>
              <w:t xml:space="preserve">: </w:t>
            </w:r>
            <w:r>
              <w:rPr>
                <w:rStyle w:val="IndexLink"/>
                <w:rtl w:val="true"/>
              </w:rPr>
              <w:t xml:space="preserve">زاهد </w:t>
            </w:r>
            <w:r>
              <w:rPr>
                <w:rStyle w:val="IndexLink"/>
                <w:rtl w:val="true"/>
              </w:rPr>
              <w:t>:</w:t>
              <w:tab/>
            </w:r>
            <w:r>
              <w:rPr>
                <w:rStyle w:val="IndexLink"/>
              </w:rPr>
              <w:t>259</w:t>
            </w:r>
          </w:hyperlink>
        </w:p>
        <w:p>
          <w:pPr>
            <w:pStyle w:val="Contents5"/>
            <w:tabs>
              <w:tab w:val="clear" w:pos="7892"/>
              <w:tab w:val="right" w:pos="9026" w:leader="dot"/>
            </w:tabs>
            <w:rPr/>
          </w:pPr>
          <w:hyperlink w:anchor="__RefHeading___Toc316779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قريب الأمر</w:t>
            </w:r>
            <w:r>
              <w:rPr>
                <w:rStyle w:val="IndexLink"/>
                <w:rtl w:val="true"/>
              </w:rPr>
              <w:t>:</w:t>
              <w:tab/>
            </w:r>
            <w:r>
              <w:rPr>
                <w:rStyle w:val="IndexLink"/>
              </w:rPr>
              <w:t>260</w:t>
            </w:r>
          </w:hyperlink>
        </w:p>
        <w:p>
          <w:pPr>
            <w:pStyle w:val="Contents5"/>
            <w:tabs>
              <w:tab w:val="clear" w:pos="7892"/>
              <w:tab w:val="right" w:pos="9026" w:leader="dot"/>
            </w:tabs>
            <w:rPr/>
          </w:pPr>
          <w:hyperlink w:anchor="__RefHeading___Toc316781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معتمد الكتاب</w:t>
            </w:r>
            <w:r>
              <w:rPr>
                <w:rStyle w:val="IndexLink"/>
                <w:rtl w:val="true"/>
              </w:rPr>
              <w:t>:</w:t>
              <w:tab/>
            </w:r>
            <w:r>
              <w:rPr>
                <w:rStyle w:val="IndexLink"/>
              </w:rPr>
              <w:t>262</w:t>
            </w:r>
          </w:hyperlink>
        </w:p>
        <w:p>
          <w:pPr>
            <w:pStyle w:val="Contents5"/>
            <w:tabs>
              <w:tab w:val="clear" w:pos="7892"/>
              <w:tab w:val="right" w:pos="9026" w:leader="dot"/>
            </w:tabs>
            <w:rPr/>
          </w:pPr>
          <w:hyperlink w:anchor="__RefHeading___Toc316783_2142443653">
            <w:r>
              <w:rPr>
                <w:webHidden/>
                <w:rStyle w:val="IndexLink"/>
                <w:rtl w:val="true"/>
              </w:rPr>
              <w:t>و منها قولهم</w:t>
            </w:r>
            <w:r>
              <w:rPr>
                <w:rStyle w:val="IndexLink"/>
                <w:rtl w:val="true"/>
              </w:rPr>
              <w:t xml:space="preserve">: </w:t>
            </w:r>
            <w:r>
              <w:rPr>
                <w:rStyle w:val="IndexLink"/>
                <w:rtl w:val="true"/>
              </w:rPr>
              <w:t>كثير المنزلة</w:t>
            </w:r>
            <w:r>
              <w:rPr>
                <w:rStyle w:val="IndexLink"/>
                <w:rtl w:val="true"/>
              </w:rPr>
              <w:t>:</w:t>
              <w:tab/>
            </w:r>
            <w:r>
              <w:rPr>
                <w:rStyle w:val="IndexLink"/>
              </w:rPr>
              <w:t>263</w:t>
            </w:r>
          </w:hyperlink>
        </w:p>
        <w:p>
          <w:pPr>
            <w:pStyle w:val="Contents5"/>
            <w:tabs>
              <w:tab w:val="clear" w:pos="7892"/>
              <w:tab w:val="right" w:pos="9026" w:leader="dot"/>
            </w:tabs>
            <w:rPr/>
          </w:pPr>
          <w:hyperlink w:anchor="__RefHeading___Toc316785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 xml:space="preserve">صاحب الإمام الفلاني </w:t>
            </w:r>
            <w:r>
              <w:rPr>
                <w:rStyle w:val="IndexLink"/>
                <w:rtl w:val="true"/>
              </w:rPr>
              <w:t>(</w:t>
            </w:r>
            <w:r>
              <w:rPr>
                <w:rStyle w:val="IndexLink"/>
                <w:rtl w:val="true"/>
              </w:rPr>
              <w:t>عليه السّلام</w:t>
            </w:r>
            <w:r>
              <w:rPr>
                <w:rStyle w:val="IndexLink"/>
                <w:rtl w:val="true"/>
              </w:rPr>
              <w:t>):</w:t>
              <w:tab/>
            </w:r>
            <w:r>
              <w:rPr>
                <w:rStyle w:val="IndexLink"/>
              </w:rPr>
              <w:t>263</w:t>
            </w:r>
          </w:hyperlink>
        </w:p>
        <w:p>
          <w:pPr>
            <w:pStyle w:val="Contents6"/>
            <w:tabs>
              <w:tab w:val="clear" w:pos="7609"/>
              <w:tab w:val="right" w:pos="9026" w:leader="dot"/>
            </w:tabs>
            <w:rPr/>
          </w:pPr>
          <w:hyperlink w:anchor="__RefHeading___Toc316787_2142443653">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16789_2142443653">
            <w:r>
              <w:rPr>
                <w:webHidden/>
                <w:rStyle w:val="IndexLink"/>
                <w:rtl w:val="true"/>
              </w:rPr>
              <w:t>تذنيب</w:t>
            </w:r>
            <w:r>
              <w:rPr>
                <w:rStyle w:val="IndexLink"/>
                <w:rtl w:val="true"/>
              </w:rPr>
              <w:t xml:space="preserve">: </w:t>
            </w:r>
            <w:r>
              <w:rPr>
                <w:rStyle w:val="IndexLink"/>
                <w:rtl w:val="true"/>
              </w:rPr>
              <w:t>قد جعل محدثو العامة للتعديل مراتب ،</w:t>
            </w:r>
            <w:r>
              <w:rPr>
                <w:rStyle w:val="IndexLink"/>
                <w:rtl w:val="true"/>
              </w:rPr>
              <w:tab/>
            </w:r>
            <w:r>
              <w:rPr>
                <w:rStyle w:val="IndexLink"/>
              </w:rPr>
              <w:t>264</w:t>
            </w:r>
          </w:hyperlink>
        </w:p>
        <w:p>
          <w:pPr>
            <w:pStyle w:val="Contents4"/>
            <w:tabs>
              <w:tab w:val="clear" w:pos="8176"/>
              <w:tab w:val="right" w:pos="9026" w:leader="dot"/>
            </w:tabs>
            <w:rPr/>
          </w:pPr>
          <w:hyperlink w:anchor="__RefHeading___Toc316791_2142443653">
            <w:r>
              <w:rPr>
                <w:webHidden/>
                <w:rStyle w:val="IndexLink"/>
                <w:rtl w:val="true"/>
              </w:rPr>
              <w:t>المقام الثاني في سائر أسباب المدح و أماراته غير ما ذكر</w:t>
            </w:r>
            <w:r>
              <w:rPr>
                <w:rStyle w:val="IndexLink"/>
                <w:rtl w:val="true"/>
              </w:rPr>
              <w:t>.</w:t>
              <w:tab/>
            </w:r>
            <w:r>
              <w:rPr>
                <w:rStyle w:val="IndexLink"/>
              </w:rPr>
              <w:t>267</w:t>
            </w:r>
          </w:hyperlink>
        </w:p>
        <w:p>
          <w:pPr>
            <w:pStyle w:val="Contents5"/>
            <w:tabs>
              <w:tab w:val="clear" w:pos="7892"/>
              <w:tab w:val="right" w:pos="9026" w:leader="dot"/>
            </w:tabs>
            <w:rPr/>
          </w:pPr>
          <w:hyperlink w:anchor="__RefHeading___Toc316793_214244365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16795_2142443653">
            <w:r>
              <w:rPr>
                <w:webHidden/>
                <w:rStyle w:val="IndexLink"/>
                <w:rtl w:val="true"/>
              </w:rPr>
              <w:t>فمنها</w:t>
            </w:r>
            <w:r>
              <w:rPr>
                <w:rStyle w:val="IndexLink"/>
                <w:rtl w:val="true"/>
              </w:rPr>
              <w:t xml:space="preserve">: </w:t>
            </w:r>
            <w:r>
              <w:rPr>
                <w:rStyle w:val="IndexLink"/>
                <w:rtl w:val="true"/>
              </w:rPr>
              <w:t xml:space="preserve">كونه وكيلا لأحد الأئمة </w:t>
            </w:r>
            <w:r>
              <w:rPr>
                <w:rStyle w:val="IndexLink"/>
                <w:rtl w:val="true"/>
              </w:rPr>
              <w:t>(</w:t>
            </w:r>
            <w:r>
              <w:rPr>
                <w:rStyle w:val="IndexLink"/>
                <w:rtl w:val="true"/>
              </w:rPr>
              <w:t>عليهم السّلام</w:t>
            </w:r>
            <w:r>
              <w:rPr>
                <w:rStyle w:val="IndexLink"/>
                <w:rtl w:val="true"/>
              </w:rPr>
              <w:t>)</w:t>
              <w:tab/>
            </w:r>
            <w:r>
              <w:rPr>
                <w:rStyle w:val="IndexLink"/>
              </w:rPr>
              <w:t>268</w:t>
            </w:r>
          </w:hyperlink>
        </w:p>
        <w:p>
          <w:pPr>
            <w:pStyle w:val="Contents5"/>
            <w:tabs>
              <w:tab w:val="clear" w:pos="7892"/>
              <w:tab w:val="right" w:pos="9026" w:leader="dot"/>
            </w:tabs>
            <w:rPr/>
          </w:pPr>
          <w:hyperlink w:anchor="__RefHeading___Toc316797_2142443653">
            <w:r>
              <w:rPr>
                <w:webHidden/>
                <w:rStyle w:val="IndexLink"/>
                <w:rtl w:val="true"/>
              </w:rPr>
              <w:t>و منها</w:t>
            </w:r>
            <w:r>
              <w:rPr>
                <w:rStyle w:val="IndexLink"/>
                <w:rtl w:val="true"/>
              </w:rPr>
              <w:t xml:space="preserve">: </w:t>
            </w:r>
            <w:r>
              <w:rPr>
                <w:rStyle w:val="IndexLink"/>
                <w:rtl w:val="true"/>
              </w:rPr>
              <w:t>أن يكون ممن يترك رواية الثقة أو الجليل أو يتناول محتجا بروايته و مرجحا لها عليها،</w:t>
            </w:r>
            <w:r>
              <w:rPr>
                <w:rStyle w:val="IndexLink"/>
                <w:rtl w:val="true"/>
              </w:rPr>
              <w:tab/>
            </w:r>
            <w:r>
              <w:rPr>
                <w:rStyle w:val="IndexLink"/>
              </w:rPr>
              <w:t>270</w:t>
            </w:r>
          </w:hyperlink>
        </w:p>
        <w:p>
          <w:pPr>
            <w:pStyle w:val="Contents5"/>
            <w:tabs>
              <w:tab w:val="clear" w:pos="7892"/>
              <w:tab w:val="right" w:pos="9026" w:leader="dot"/>
            </w:tabs>
            <w:rPr/>
          </w:pPr>
          <w:hyperlink w:anchor="__RefHeading___Toc316799_2142443653">
            <w:r>
              <w:rPr>
                <w:webHidden/>
                <w:rStyle w:val="IndexLink"/>
                <w:rtl w:val="true"/>
              </w:rPr>
              <w:t>و منها</w:t>
            </w:r>
            <w:r>
              <w:rPr>
                <w:rStyle w:val="IndexLink"/>
                <w:rtl w:val="true"/>
              </w:rPr>
              <w:t xml:space="preserve">: </w:t>
            </w:r>
            <w:r>
              <w:rPr>
                <w:rStyle w:val="IndexLink"/>
                <w:rtl w:val="true"/>
              </w:rPr>
              <w:t xml:space="preserve">كونه كثير الرواية عن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في الامور</w:t>
            </w:r>
            <w:r>
              <w:rPr>
                <w:rStyle w:val="IndexLink"/>
                <w:rtl w:val="true"/>
              </w:rPr>
              <w:tab/>
            </w:r>
            <w:r>
              <w:rPr>
                <w:rStyle w:val="IndexLink"/>
              </w:rPr>
              <w:t>270</w:t>
            </w:r>
          </w:hyperlink>
        </w:p>
        <w:p>
          <w:pPr>
            <w:pStyle w:val="Contents5"/>
            <w:tabs>
              <w:tab w:val="clear" w:pos="7892"/>
              <w:tab w:val="right" w:pos="9026" w:leader="dot"/>
            </w:tabs>
            <w:rPr/>
          </w:pPr>
          <w:hyperlink w:anchor="__RefHeading___Toc316801_2142443653">
            <w:r>
              <w:rPr>
                <w:webHidden/>
                <w:rStyle w:val="IndexLink"/>
                <w:rtl w:val="true"/>
              </w:rPr>
              <w:t>و منها</w:t>
            </w:r>
            <w:r>
              <w:rPr>
                <w:rStyle w:val="IndexLink"/>
                <w:rtl w:val="true"/>
              </w:rPr>
              <w:t xml:space="preserve">: </w:t>
            </w:r>
            <w:r>
              <w:rPr>
                <w:rStyle w:val="IndexLink"/>
                <w:rtl w:val="true"/>
              </w:rPr>
              <w:t>كونه ممن يروى عنه أو كتابه جماعة من الأصحاب ،</w:t>
            </w:r>
            <w:r>
              <w:rPr>
                <w:rStyle w:val="IndexLink"/>
                <w:rtl w:val="true"/>
              </w:rPr>
              <w:tab/>
            </w:r>
            <w:r>
              <w:rPr>
                <w:rStyle w:val="IndexLink"/>
              </w:rPr>
              <w:t>272</w:t>
            </w:r>
          </w:hyperlink>
        </w:p>
        <w:p>
          <w:pPr>
            <w:pStyle w:val="Contents5"/>
            <w:tabs>
              <w:tab w:val="clear" w:pos="7892"/>
              <w:tab w:val="right" w:pos="9026" w:leader="dot"/>
            </w:tabs>
            <w:rPr/>
          </w:pPr>
          <w:hyperlink w:anchor="__RefHeading___Toc316803_2142443653">
            <w:r>
              <w:rPr>
                <w:webHidden/>
                <w:rStyle w:val="IndexLink"/>
                <w:rtl w:val="true"/>
              </w:rPr>
              <w:t>و منها</w:t>
            </w:r>
            <w:r>
              <w:rPr>
                <w:rStyle w:val="IndexLink"/>
                <w:rtl w:val="true"/>
              </w:rPr>
              <w:t xml:space="preserve">: </w:t>
            </w:r>
            <w:r>
              <w:rPr>
                <w:rStyle w:val="IndexLink"/>
                <w:rtl w:val="true"/>
              </w:rPr>
              <w:t>روايته عن جماعة من الأصحاب،</w:t>
            </w:r>
            <w:r>
              <w:rPr>
                <w:rStyle w:val="IndexLink"/>
                <w:rtl w:val="true"/>
              </w:rPr>
              <w:tab/>
            </w:r>
            <w:r>
              <w:rPr>
                <w:rStyle w:val="IndexLink"/>
              </w:rPr>
              <w:t>273</w:t>
            </w:r>
          </w:hyperlink>
        </w:p>
        <w:p>
          <w:pPr>
            <w:pStyle w:val="Contents5"/>
            <w:tabs>
              <w:tab w:val="clear" w:pos="7892"/>
              <w:tab w:val="right" w:pos="9026" w:leader="dot"/>
            </w:tabs>
            <w:rPr/>
          </w:pPr>
          <w:hyperlink w:anchor="__RefHeading___Toc316805_2142443653">
            <w:r>
              <w:rPr>
                <w:webHidden/>
                <w:rStyle w:val="IndexLink"/>
                <w:rtl w:val="true"/>
              </w:rPr>
              <w:t>و منها</w:t>
            </w:r>
            <w:r>
              <w:rPr>
                <w:rStyle w:val="IndexLink"/>
                <w:rtl w:val="true"/>
              </w:rPr>
              <w:t xml:space="preserve">: </w:t>
            </w:r>
            <w:r>
              <w:rPr>
                <w:rStyle w:val="IndexLink"/>
                <w:rtl w:val="true"/>
              </w:rPr>
              <w:t>رواية الجليل أو الأجلاء عنه،</w:t>
            </w:r>
            <w:r>
              <w:rPr>
                <w:rStyle w:val="IndexLink"/>
                <w:rtl w:val="true"/>
              </w:rPr>
              <w:tab/>
            </w:r>
            <w:r>
              <w:rPr>
                <w:rStyle w:val="IndexLink"/>
              </w:rPr>
              <w:t>273</w:t>
            </w:r>
          </w:hyperlink>
        </w:p>
        <w:p>
          <w:pPr>
            <w:pStyle w:val="Contents5"/>
            <w:tabs>
              <w:tab w:val="clear" w:pos="7892"/>
              <w:tab w:val="right" w:pos="9026" w:leader="dot"/>
            </w:tabs>
            <w:rPr/>
          </w:pPr>
          <w:hyperlink w:anchor="__RefHeading___Toc316807_2142443653">
            <w:r>
              <w:rPr>
                <w:webHidden/>
                <w:rStyle w:val="IndexLink"/>
                <w:rtl w:val="true"/>
              </w:rPr>
              <w:t>و منها</w:t>
            </w:r>
            <w:r>
              <w:rPr>
                <w:rStyle w:val="IndexLink"/>
                <w:rtl w:val="true"/>
              </w:rPr>
              <w:t xml:space="preserve">: </w:t>
            </w:r>
            <w:r>
              <w:rPr>
                <w:rStyle w:val="IndexLink"/>
                <w:rtl w:val="true"/>
              </w:rPr>
              <w:t>رواية صفوان بن يحيى و ابن أبي عمير عنه،</w:t>
            </w:r>
            <w:r>
              <w:rPr>
                <w:rStyle w:val="IndexLink"/>
                <w:rtl w:val="true"/>
              </w:rPr>
              <w:tab/>
            </w:r>
            <w:r>
              <w:rPr>
                <w:rStyle w:val="IndexLink"/>
              </w:rPr>
              <w:t>273</w:t>
            </w:r>
          </w:hyperlink>
        </w:p>
        <w:p>
          <w:pPr>
            <w:pStyle w:val="Contents5"/>
            <w:tabs>
              <w:tab w:val="clear" w:pos="7892"/>
              <w:tab w:val="right" w:pos="9026" w:leader="dot"/>
            </w:tabs>
            <w:rPr/>
          </w:pPr>
          <w:hyperlink w:anchor="__RefHeading___Toc316809_2142443653">
            <w:r>
              <w:rPr>
                <w:webHidden/>
                <w:rStyle w:val="IndexLink"/>
                <w:rtl w:val="true"/>
              </w:rPr>
              <w:t>و منها</w:t>
            </w:r>
            <w:r>
              <w:rPr>
                <w:rStyle w:val="IndexLink"/>
                <w:rtl w:val="true"/>
              </w:rPr>
              <w:t xml:space="preserve">: </w:t>
            </w:r>
            <w:r>
              <w:rPr>
                <w:rStyle w:val="IndexLink"/>
                <w:rtl w:val="true"/>
              </w:rPr>
              <w:t>رواية محمد بن إسماعيل بن ميمون، أو جعفر بن بشير</w:t>
            </w:r>
            <w:r>
              <w:rPr>
                <w:rStyle w:val="IndexLink"/>
                <w:rtl w:val="true"/>
              </w:rPr>
              <w:tab/>
            </w:r>
            <w:r>
              <w:rPr>
                <w:rStyle w:val="IndexLink"/>
              </w:rPr>
              <w:t>275</w:t>
            </w:r>
          </w:hyperlink>
        </w:p>
        <w:p>
          <w:pPr>
            <w:pStyle w:val="Contents5"/>
            <w:tabs>
              <w:tab w:val="clear" w:pos="7892"/>
              <w:tab w:val="right" w:pos="9026" w:leader="dot"/>
            </w:tabs>
            <w:rPr/>
          </w:pPr>
          <w:hyperlink w:anchor="__RefHeading___Toc316811_2142443653">
            <w:r>
              <w:rPr>
                <w:webHidden/>
                <w:rStyle w:val="IndexLink"/>
                <w:rtl w:val="true"/>
              </w:rPr>
              <w:t>و منها</w:t>
            </w:r>
            <w:r>
              <w:rPr>
                <w:rStyle w:val="IndexLink"/>
                <w:rtl w:val="true"/>
              </w:rPr>
              <w:t xml:space="preserve">: </w:t>
            </w:r>
            <w:r>
              <w:rPr>
                <w:rStyle w:val="IndexLink"/>
                <w:rtl w:val="true"/>
              </w:rPr>
              <w:t>كونه ممن يروي عن الثقات،</w:t>
            </w:r>
            <w:r>
              <w:rPr>
                <w:rStyle w:val="IndexLink"/>
                <w:rtl w:val="true"/>
              </w:rPr>
              <w:tab/>
            </w:r>
            <w:r>
              <w:rPr>
                <w:rStyle w:val="IndexLink"/>
              </w:rPr>
              <w:t>276</w:t>
            </w:r>
          </w:hyperlink>
        </w:p>
        <w:p>
          <w:pPr>
            <w:pStyle w:val="Contents5"/>
            <w:tabs>
              <w:tab w:val="clear" w:pos="7892"/>
              <w:tab w:val="right" w:pos="9026" w:leader="dot"/>
            </w:tabs>
            <w:rPr/>
          </w:pPr>
          <w:hyperlink w:anchor="__RefHeading___Toc316813_2142443653">
            <w:r>
              <w:rPr>
                <w:webHidden/>
                <w:rStyle w:val="IndexLink"/>
                <w:rtl w:val="true"/>
              </w:rPr>
              <w:t>و منها</w:t>
            </w:r>
            <w:r>
              <w:rPr>
                <w:rStyle w:val="IndexLink"/>
                <w:rtl w:val="true"/>
              </w:rPr>
              <w:t xml:space="preserve">: </w:t>
            </w:r>
            <w:r>
              <w:rPr>
                <w:rStyle w:val="IndexLink"/>
                <w:rtl w:val="true"/>
              </w:rPr>
              <w:t>رواية علي بن الحسن بن فضال و من ماثله</w:t>
            </w:r>
            <w:r>
              <w:rPr>
                <w:rStyle w:val="IndexLink"/>
                <w:rtl w:val="true"/>
              </w:rPr>
              <w:tab/>
            </w:r>
            <w:r>
              <w:rPr>
                <w:rStyle w:val="IndexLink"/>
              </w:rPr>
              <w:t>276</w:t>
            </w:r>
          </w:hyperlink>
        </w:p>
        <w:p>
          <w:pPr>
            <w:pStyle w:val="Contents5"/>
            <w:tabs>
              <w:tab w:val="clear" w:pos="7892"/>
              <w:tab w:val="right" w:pos="9026" w:leader="dot"/>
            </w:tabs>
            <w:rPr/>
          </w:pPr>
          <w:hyperlink w:anchor="__RefHeading___Toc316815_2142443653">
            <w:r>
              <w:rPr>
                <w:webHidden/>
                <w:rStyle w:val="IndexLink"/>
                <w:rtl w:val="true"/>
              </w:rPr>
              <w:t>و منها</w:t>
            </w:r>
            <w:r>
              <w:rPr>
                <w:rStyle w:val="IndexLink"/>
                <w:rtl w:val="true"/>
              </w:rPr>
              <w:t xml:space="preserve">: </w:t>
            </w:r>
            <w:r>
              <w:rPr>
                <w:rStyle w:val="IndexLink"/>
                <w:rtl w:val="true"/>
              </w:rPr>
              <w:t>كونه ممن تكثر الرواية عنه و يفتى بها،</w:t>
            </w:r>
            <w:r>
              <w:rPr>
                <w:rStyle w:val="IndexLink"/>
                <w:rtl w:val="true"/>
              </w:rPr>
              <w:tab/>
            </w:r>
            <w:r>
              <w:rPr>
                <w:rStyle w:val="IndexLink"/>
              </w:rPr>
              <w:t>278</w:t>
            </w:r>
          </w:hyperlink>
        </w:p>
        <w:p>
          <w:pPr>
            <w:pStyle w:val="Contents5"/>
            <w:tabs>
              <w:tab w:val="clear" w:pos="7892"/>
              <w:tab w:val="right" w:pos="9026" w:leader="dot"/>
            </w:tabs>
            <w:rPr/>
          </w:pPr>
          <w:hyperlink w:anchor="__RefHeading___Toc316817_2142443653">
            <w:r>
              <w:rPr>
                <w:webHidden/>
                <w:rStyle w:val="IndexLink"/>
                <w:rtl w:val="true"/>
              </w:rPr>
              <w:t>بيان</w:t>
            </w:r>
            <w:r>
              <w:rPr>
                <w:rStyle w:val="IndexLink"/>
                <w:rtl w:val="true"/>
              </w:rPr>
              <w:t xml:space="preserve">: </w:t>
            </w:r>
            <w:r>
              <w:rPr>
                <w:rStyle w:val="IndexLink"/>
                <w:rtl w:val="true"/>
              </w:rPr>
              <w:t>معنى كونهم عليهم السّلام محدثون</w:t>
            </w:r>
            <w:r>
              <w:rPr>
                <w:rStyle w:val="IndexLink"/>
                <w:rtl w:val="true"/>
              </w:rPr>
              <w:tab/>
            </w:r>
            <w:r>
              <w:rPr>
                <w:rStyle w:val="IndexLink"/>
              </w:rPr>
              <w:t>281</w:t>
            </w:r>
          </w:hyperlink>
        </w:p>
        <w:p>
          <w:pPr>
            <w:pStyle w:val="Contents6"/>
            <w:tabs>
              <w:tab w:val="clear" w:pos="7609"/>
              <w:tab w:val="right" w:pos="9026" w:leader="dot"/>
            </w:tabs>
            <w:rPr/>
          </w:pPr>
          <w:hyperlink w:anchor="__RefHeading___Toc316819_2142443653">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16821_2142443653">
            <w:r>
              <w:rPr>
                <w:webHidden/>
                <w:rStyle w:val="IndexLink"/>
                <w:rtl w:val="true"/>
              </w:rPr>
              <w:t>و منها</w:t>
            </w:r>
            <w:r>
              <w:rPr>
                <w:rStyle w:val="IndexLink"/>
                <w:rtl w:val="true"/>
              </w:rPr>
              <w:t xml:space="preserve">: </w:t>
            </w:r>
            <w:r>
              <w:rPr>
                <w:rStyle w:val="IndexLink"/>
                <w:rtl w:val="true"/>
              </w:rPr>
              <w:t>رواية الثقة عن شخص مشترك الاسم و إكثاره منها مع عدم إتيانه بما يميزه عن الثقة،</w:t>
            </w:r>
            <w:r>
              <w:rPr>
                <w:rStyle w:val="IndexLink"/>
                <w:rtl w:val="true"/>
              </w:rPr>
              <w:tab/>
            </w:r>
            <w:r>
              <w:rPr>
                <w:rStyle w:val="IndexLink"/>
              </w:rPr>
              <w:t>282</w:t>
            </w:r>
          </w:hyperlink>
        </w:p>
        <w:p>
          <w:pPr>
            <w:pStyle w:val="Contents6"/>
            <w:tabs>
              <w:tab w:val="clear" w:pos="7609"/>
              <w:tab w:val="right" w:pos="9026" w:leader="dot"/>
            </w:tabs>
            <w:rPr/>
          </w:pPr>
          <w:hyperlink w:anchor="__RefHeading___Toc316823_2142443653">
            <w:r>
              <w:rPr>
                <w:webHidden/>
                <w:rStyle w:val="IndexLink"/>
                <w:rtl w:val="true"/>
              </w:rPr>
              <w:t>و منها</w:t>
            </w:r>
            <w:r>
              <w:rPr>
                <w:rStyle w:val="IndexLink"/>
                <w:rtl w:val="true"/>
              </w:rPr>
              <w:t xml:space="preserve">: </w:t>
            </w:r>
            <w:r>
              <w:rPr>
                <w:rStyle w:val="IndexLink"/>
                <w:rtl w:val="true"/>
              </w:rPr>
              <w:t>اعتماد شيخ على شخص و هو أمارة كونه معتمدا عليه،</w:t>
            </w:r>
            <w:r>
              <w:rPr>
                <w:rStyle w:val="IndexLink"/>
                <w:rtl w:val="true"/>
              </w:rPr>
              <w:tab/>
            </w:r>
            <w:r>
              <w:rPr>
                <w:rStyle w:val="IndexLink"/>
              </w:rPr>
              <w:t>282</w:t>
            </w:r>
          </w:hyperlink>
        </w:p>
        <w:p>
          <w:pPr>
            <w:pStyle w:val="Contents6"/>
            <w:tabs>
              <w:tab w:val="clear" w:pos="7609"/>
              <w:tab w:val="right" w:pos="9026" w:leader="dot"/>
            </w:tabs>
            <w:rPr/>
          </w:pPr>
          <w:hyperlink w:anchor="__RefHeading___Toc316825_2142443653">
            <w:r>
              <w:rPr>
                <w:webHidden/>
                <w:rStyle w:val="IndexLink"/>
                <w:rtl w:val="true"/>
              </w:rPr>
              <w:t>و منها</w:t>
            </w:r>
            <w:r>
              <w:rPr>
                <w:rStyle w:val="IndexLink"/>
                <w:rtl w:val="true"/>
              </w:rPr>
              <w:t xml:space="preserve">: </w:t>
            </w:r>
            <w:r>
              <w:rPr>
                <w:rStyle w:val="IndexLink"/>
                <w:rtl w:val="true"/>
              </w:rPr>
              <w:t>اعتماد القميّين عليه أو روايتهم عنه ،</w:t>
            </w:r>
            <w:r>
              <w:rPr>
                <w:rStyle w:val="IndexLink"/>
                <w:rtl w:val="true"/>
              </w:rPr>
              <w:tab/>
            </w:r>
            <w:r>
              <w:rPr>
                <w:rStyle w:val="IndexLink"/>
              </w:rPr>
              <w:t>283</w:t>
            </w:r>
          </w:hyperlink>
        </w:p>
        <w:p>
          <w:pPr>
            <w:pStyle w:val="Contents6"/>
            <w:tabs>
              <w:tab w:val="clear" w:pos="7609"/>
              <w:tab w:val="right" w:pos="9026" w:leader="dot"/>
            </w:tabs>
            <w:rPr/>
          </w:pPr>
          <w:hyperlink w:anchor="__RefHeading___Toc316827_2142443653">
            <w:r>
              <w:rPr>
                <w:webHidden/>
                <w:rStyle w:val="IndexLink"/>
                <w:rtl w:val="true"/>
              </w:rPr>
              <w:t>و منها</w:t>
            </w:r>
            <w:r>
              <w:rPr>
                <w:rStyle w:val="IndexLink"/>
                <w:rtl w:val="true"/>
              </w:rPr>
              <w:t xml:space="preserve">: </w:t>
            </w:r>
            <w:r>
              <w:rPr>
                <w:rStyle w:val="IndexLink"/>
                <w:rtl w:val="true"/>
              </w:rPr>
              <w:t>أن يكون رواياته كلّها أو جلّها مقبولة أو سديدة ،</w:t>
            </w:r>
            <w:r>
              <w:rPr>
                <w:rStyle w:val="IndexLink"/>
                <w:rtl w:val="true"/>
              </w:rPr>
              <w:tab/>
            </w:r>
            <w:r>
              <w:rPr>
                <w:rStyle w:val="IndexLink"/>
              </w:rPr>
              <w:t>283</w:t>
            </w:r>
          </w:hyperlink>
        </w:p>
        <w:p>
          <w:pPr>
            <w:pStyle w:val="Contents6"/>
            <w:tabs>
              <w:tab w:val="clear" w:pos="7609"/>
              <w:tab w:val="right" w:pos="9026" w:leader="dot"/>
            </w:tabs>
            <w:rPr/>
          </w:pPr>
          <w:hyperlink w:anchor="__RefHeading___Toc316829_2142443653">
            <w:r>
              <w:rPr>
                <w:webHidden/>
                <w:rStyle w:val="IndexLink"/>
                <w:rtl w:val="true"/>
              </w:rPr>
              <w:t>و منها</w:t>
            </w:r>
            <w:r>
              <w:rPr>
                <w:rStyle w:val="IndexLink"/>
                <w:rtl w:val="true"/>
              </w:rPr>
              <w:t xml:space="preserve">: </w:t>
            </w:r>
            <w:r>
              <w:rPr>
                <w:rStyle w:val="IndexLink"/>
                <w:rtl w:val="true"/>
              </w:rPr>
              <w:t>وقوعه في سند حديث وقع اتفاق الكل أو الجلّ على صحّته،</w:t>
            </w:r>
            <w:r>
              <w:rPr>
                <w:rStyle w:val="IndexLink"/>
                <w:rtl w:val="true"/>
              </w:rPr>
              <w:tab/>
            </w:r>
            <w:r>
              <w:rPr>
                <w:rStyle w:val="IndexLink"/>
              </w:rPr>
              <w:t>284</w:t>
            </w:r>
          </w:hyperlink>
        </w:p>
        <w:p>
          <w:pPr>
            <w:pStyle w:val="Contents6"/>
            <w:tabs>
              <w:tab w:val="clear" w:pos="7609"/>
              <w:tab w:val="right" w:pos="9026" w:leader="dot"/>
            </w:tabs>
            <w:rPr/>
          </w:pPr>
          <w:hyperlink w:anchor="__RefHeading___Toc316831_2142443653">
            <w:r>
              <w:rPr>
                <w:webHidden/>
                <w:rStyle w:val="IndexLink"/>
                <w:rtl w:val="true"/>
              </w:rPr>
              <w:t>و منها</w:t>
            </w:r>
            <w:r>
              <w:rPr>
                <w:rStyle w:val="IndexLink"/>
                <w:rtl w:val="true"/>
              </w:rPr>
              <w:t xml:space="preserve">: </w:t>
            </w:r>
            <w:r>
              <w:rPr>
                <w:rStyle w:val="IndexLink"/>
                <w:rtl w:val="true"/>
              </w:rPr>
              <w:t>وقوعه في سند حديث صدر الطّعن فيه</w:t>
            </w:r>
            <w:r>
              <w:rPr>
                <w:rStyle w:val="IndexLink"/>
                <w:rtl w:val="true"/>
              </w:rPr>
              <w:tab/>
            </w:r>
            <w:r>
              <w:rPr>
                <w:rStyle w:val="IndexLink"/>
              </w:rPr>
              <w:t>284</w:t>
            </w:r>
          </w:hyperlink>
        </w:p>
        <w:p>
          <w:pPr>
            <w:pStyle w:val="Contents6"/>
            <w:tabs>
              <w:tab w:val="clear" w:pos="7609"/>
              <w:tab w:val="right" w:pos="9026" w:leader="dot"/>
            </w:tabs>
            <w:rPr/>
          </w:pPr>
          <w:hyperlink w:anchor="__RefHeading___Toc316833_2142443653">
            <w:r>
              <w:rPr>
                <w:webHidden/>
                <w:rStyle w:val="IndexLink"/>
                <w:rtl w:val="true"/>
              </w:rPr>
              <w:t>و منها</w:t>
            </w:r>
            <w:r>
              <w:rPr>
                <w:rStyle w:val="IndexLink"/>
                <w:rtl w:val="true"/>
              </w:rPr>
              <w:t xml:space="preserve">: </w:t>
            </w:r>
            <w:r>
              <w:rPr>
                <w:rStyle w:val="IndexLink"/>
                <w:rtl w:val="true"/>
              </w:rPr>
              <w:t xml:space="preserve">إكثار الكافي و الفقيه من الرّواية عنه ، فإنه </w:t>
            </w:r>
            <w:r>
              <w:rPr>
                <w:rStyle w:val="IndexLink"/>
                <w:rtl w:val="true"/>
              </w:rPr>
              <w:t xml:space="preserve">- </w:t>
            </w:r>
            <w:r>
              <w:rPr>
                <w:rStyle w:val="IndexLink"/>
                <w:rtl w:val="true"/>
              </w:rPr>
              <w:t xml:space="preserve">أيضا </w:t>
            </w:r>
            <w:r>
              <w:rPr>
                <w:rStyle w:val="IndexLink"/>
                <w:rtl w:val="true"/>
              </w:rPr>
              <w:t>-</w:t>
              <w:tab/>
            </w:r>
            <w:r>
              <w:rPr>
                <w:rStyle w:val="IndexLink"/>
              </w:rPr>
              <w:t>285</w:t>
            </w:r>
          </w:hyperlink>
        </w:p>
        <w:p>
          <w:pPr>
            <w:pStyle w:val="Contents6"/>
            <w:tabs>
              <w:tab w:val="clear" w:pos="7609"/>
              <w:tab w:val="right" w:pos="9026" w:leader="dot"/>
            </w:tabs>
            <w:rPr/>
          </w:pPr>
          <w:hyperlink w:anchor="__RefHeading___Toc316835_2142443653">
            <w:r>
              <w:rPr>
                <w:webHidden/>
                <w:rStyle w:val="IndexLink"/>
                <w:rtl w:val="true"/>
              </w:rPr>
              <w:t>و منها</w:t>
            </w:r>
            <w:r>
              <w:rPr>
                <w:rStyle w:val="IndexLink"/>
                <w:rtl w:val="true"/>
              </w:rPr>
              <w:t xml:space="preserve">: </w:t>
            </w:r>
            <w:r>
              <w:rPr>
                <w:rStyle w:val="IndexLink"/>
                <w:rtl w:val="true"/>
              </w:rPr>
              <w:t>رواية الثقة الجليل عن غير واحد و عن رهط مطلقا أو مقيدا بقولهم</w:t>
            </w:r>
            <w:r>
              <w:rPr>
                <w:rStyle w:val="IndexLink"/>
                <w:rtl w:val="true"/>
              </w:rPr>
              <w:t xml:space="preserve">: </w:t>
            </w:r>
            <w:r>
              <w:rPr>
                <w:rStyle w:val="IndexLink"/>
                <w:rtl w:val="true"/>
              </w:rPr>
              <w:t>من أصحابنا،</w:t>
            </w:r>
            <w:r>
              <w:rPr>
                <w:rStyle w:val="IndexLink"/>
                <w:rtl w:val="true"/>
              </w:rPr>
              <w:tab/>
            </w:r>
            <w:r>
              <w:rPr>
                <w:rStyle w:val="IndexLink"/>
              </w:rPr>
              <w:t>285</w:t>
            </w:r>
          </w:hyperlink>
        </w:p>
        <w:p>
          <w:pPr>
            <w:pStyle w:val="Contents6"/>
            <w:tabs>
              <w:tab w:val="clear" w:pos="7609"/>
              <w:tab w:val="right" w:pos="9026" w:leader="dot"/>
            </w:tabs>
            <w:rPr/>
          </w:pPr>
          <w:hyperlink w:anchor="__RefHeading___Toc316837_2142443653">
            <w:r>
              <w:rPr>
                <w:webHidden/>
                <w:rStyle w:val="IndexLink"/>
                <w:rtl w:val="true"/>
              </w:rPr>
              <w:t>و منها</w:t>
            </w:r>
            <w:r>
              <w:rPr>
                <w:rStyle w:val="IndexLink"/>
                <w:rtl w:val="true"/>
              </w:rPr>
              <w:t xml:space="preserve">: </w:t>
            </w:r>
            <w:r>
              <w:rPr>
                <w:rStyle w:val="IndexLink"/>
                <w:rtl w:val="true"/>
              </w:rPr>
              <w:t xml:space="preserve">رواية الثقة الجليل عن أشياخه قال </w:t>
            </w:r>
            <w:r>
              <w:rPr>
                <w:rStyle w:val="IndexLink"/>
                <w:rtl w:val="true"/>
              </w:rPr>
              <w:t>(</w:t>
            </w:r>
            <w:r>
              <w:rPr>
                <w:rStyle w:val="IndexLink"/>
                <w:rtl w:val="true"/>
              </w:rPr>
              <w:t>رحمه اللّه</w:t>
            </w:r>
            <w:r>
              <w:rPr>
                <w:rStyle w:val="IndexLink"/>
                <w:rtl w:val="true"/>
              </w:rPr>
              <w:t>):</w:t>
              <w:tab/>
            </w:r>
            <w:r>
              <w:rPr>
                <w:rStyle w:val="IndexLink"/>
              </w:rPr>
              <w:t>286</w:t>
            </w:r>
          </w:hyperlink>
        </w:p>
        <w:p>
          <w:pPr>
            <w:pStyle w:val="Contents6"/>
            <w:tabs>
              <w:tab w:val="clear" w:pos="7609"/>
              <w:tab w:val="right" w:pos="9026" w:leader="dot"/>
            </w:tabs>
            <w:rPr/>
          </w:pPr>
          <w:hyperlink w:anchor="__RefHeading___Toc316839_2142443653">
            <w:r>
              <w:rPr>
                <w:webHidden/>
                <w:rStyle w:val="IndexLink"/>
                <w:rtl w:val="true"/>
              </w:rPr>
              <w:t>و منها</w:t>
            </w:r>
            <w:r>
              <w:rPr>
                <w:rStyle w:val="IndexLink"/>
                <w:rtl w:val="true"/>
              </w:rPr>
              <w:t xml:space="preserve">: </w:t>
            </w:r>
            <w:r>
              <w:rPr>
                <w:rStyle w:val="IndexLink"/>
                <w:rtl w:val="true"/>
              </w:rPr>
              <w:t>ذكر الجليل شخصا مترضيا أو مترحما،</w:t>
            </w:r>
            <w:r>
              <w:rPr>
                <w:rStyle w:val="IndexLink"/>
                <w:rtl w:val="true"/>
              </w:rPr>
              <w:tab/>
            </w:r>
            <w:r>
              <w:rPr>
                <w:rStyle w:val="IndexLink"/>
              </w:rPr>
              <w:t>286</w:t>
            </w:r>
          </w:hyperlink>
        </w:p>
        <w:p>
          <w:pPr>
            <w:pStyle w:val="Contents6"/>
            <w:tabs>
              <w:tab w:val="clear" w:pos="7609"/>
              <w:tab w:val="right" w:pos="9026" w:leader="dot"/>
            </w:tabs>
            <w:rPr/>
          </w:pPr>
          <w:hyperlink w:anchor="__RefHeading___Toc316841_2142443653">
            <w:r>
              <w:rPr>
                <w:webHidden/>
                <w:rStyle w:val="IndexLink"/>
                <w:rtl w:val="true"/>
              </w:rPr>
              <w:t>و منها</w:t>
            </w:r>
            <w:r>
              <w:rPr>
                <w:rStyle w:val="IndexLink"/>
                <w:rtl w:val="true"/>
              </w:rPr>
              <w:t xml:space="preserve">: </w:t>
            </w:r>
            <w:r>
              <w:rPr>
                <w:rStyle w:val="IndexLink"/>
                <w:rtl w:val="true"/>
              </w:rPr>
              <w:t>أن يقول الثقة</w:t>
            </w:r>
            <w:r>
              <w:rPr>
                <w:rStyle w:val="IndexLink"/>
                <w:rtl w:val="true"/>
              </w:rPr>
              <w:t xml:space="preserve">: </w:t>
            </w:r>
            <w:r>
              <w:rPr>
                <w:rStyle w:val="IndexLink"/>
                <w:rtl w:val="true"/>
              </w:rPr>
              <w:t>لا أحسبه إلا فلانا</w:t>
            </w:r>
            <w:r>
              <w:rPr>
                <w:rStyle w:val="IndexLink"/>
                <w:rtl w:val="true"/>
              </w:rPr>
              <w:tab/>
            </w:r>
            <w:r>
              <w:rPr>
                <w:rStyle w:val="IndexLink"/>
              </w:rPr>
              <w:t>287</w:t>
            </w:r>
          </w:hyperlink>
        </w:p>
        <w:p>
          <w:pPr>
            <w:pStyle w:val="Contents6"/>
            <w:tabs>
              <w:tab w:val="clear" w:pos="7609"/>
              <w:tab w:val="right" w:pos="9026" w:leader="dot"/>
            </w:tabs>
            <w:rPr/>
          </w:pPr>
          <w:hyperlink w:anchor="__RefHeading___Toc316843_2142443653">
            <w:r>
              <w:rPr>
                <w:webHidden/>
                <w:rStyle w:val="IndexLink"/>
                <w:rtl w:val="true"/>
              </w:rPr>
              <w:t>و منها</w:t>
            </w:r>
            <w:r>
              <w:rPr>
                <w:rStyle w:val="IndexLink"/>
                <w:rtl w:val="true"/>
              </w:rPr>
              <w:t xml:space="preserve">: </w:t>
            </w:r>
            <w:r>
              <w:rPr>
                <w:rStyle w:val="IndexLink"/>
                <w:rtl w:val="true"/>
              </w:rPr>
              <w:t>أن يقول الثقة</w:t>
            </w:r>
            <w:r>
              <w:rPr>
                <w:rStyle w:val="IndexLink"/>
                <w:rtl w:val="true"/>
              </w:rPr>
              <w:t xml:space="preserve">: </w:t>
            </w:r>
            <w:r>
              <w:rPr>
                <w:rStyle w:val="IndexLink"/>
                <w:rtl w:val="true"/>
              </w:rPr>
              <w:t>حدثني الثقة،</w:t>
            </w:r>
            <w:r>
              <w:rPr>
                <w:rStyle w:val="IndexLink"/>
                <w:rtl w:val="true"/>
              </w:rPr>
              <w:tab/>
            </w:r>
            <w:r>
              <w:rPr>
                <w:rStyle w:val="IndexLink"/>
              </w:rPr>
              <w:t>288</w:t>
            </w:r>
          </w:hyperlink>
        </w:p>
        <w:p>
          <w:pPr>
            <w:pStyle w:val="Contents6"/>
            <w:tabs>
              <w:tab w:val="clear" w:pos="7609"/>
              <w:tab w:val="right" w:pos="9026" w:leader="dot"/>
            </w:tabs>
            <w:rPr/>
          </w:pPr>
          <w:hyperlink w:anchor="__RefHeading___Toc316845_2142443653">
            <w:r>
              <w:rPr>
                <w:webHidden/>
                <w:rStyle w:val="IndexLink"/>
                <w:rtl w:val="true"/>
              </w:rPr>
              <w:t>و منها</w:t>
            </w:r>
            <w:r>
              <w:rPr>
                <w:rStyle w:val="IndexLink"/>
                <w:rtl w:val="true"/>
              </w:rPr>
              <w:t xml:space="preserve">: </w:t>
            </w:r>
            <w:r>
              <w:rPr>
                <w:rStyle w:val="IndexLink"/>
                <w:rtl w:val="true"/>
              </w:rPr>
              <w:t>أن يكون الراوي ممن ادعي اتفاق الشيعة على العمل بروايته مثل</w:t>
            </w:r>
            <w:r>
              <w:rPr>
                <w:rStyle w:val="IndexLink"/>
                <w:rtl w:val="true"/>
              </w:rPr>
              <w:t xml:space="preserve">: </w:t>
            </w:r>
            <w:r>
              <w:rPr>
                <w:rStyle w:val="IndexLink"/>
                <w:rtl w:val="true"/>
              </w:rPr>
              <w:t>السكوني،</w:t>
            </w:r>
            <w:r>
              <w:rPr>
                <w:rStyle w:val="IndexLink"/>
                <w:rtl w:val="true"/>
              </w:rPr>
              <w:tab/>
            </w:r>
            <w:r>
              <w:rPr>
                <w:rStyle w:val="IndexLink"/>
              </w:rPr>
              <w:t>289</w:t>
            </w:r>
          </w:hyperlink>
        </w:p>
        <w:p>
          <w:pPr>
            <w:pStyle w:val="Contents6"/>
            <w:tabs>
              <w:tab w:val="clear" w:pos="7609"/>
              <w:tab w:val="right" w:pos="9026" w:leader="dot"/>
            </w:tabs>
            <w:rPr/>
          </w:pPr>
          <w:hyperlink w:anchor="__RefHeading___Toc316847_2142443653">
            <w:r>
              <w:rPr>
                <w:webHidden/>
                <w:rStyle w:val="IndexLink"/>
                <w:rtl w:val="true"/>
              </w:rPr>
              <w:t>و منها</w:t>
            </w:r>
            <w:r>
              <w:rPr>
                <w:rStyle w:val="IndexLink"/>
                <w:rtl w:val="true"/>
              </w:rPr>
              <w:t xml:space="preserve">: </w:t>
            </w:r>
            <w:r>
              <w:rPr>
                <w:rStyle w:val="IndexLink"/>
                <w:rtl w:val="true"/>
              </w:rPr>
              <w:t xml:space="preserve">وقوع الرجل في السند الذي حكم العلامة </w:t>
            </w:r>
            <w:r>
              <w:rPr>
                <w:rStyle w:val="IndexLink"/>
                <w:rtl w:val="true"/>
              </w:rPr>
              <w:t>(</w:t>
            </w:r>
            <w:r>
              <w:rPr>
                <w:rStyle w:val="IndexLink"/>
                <w:rtl w:val="true"/>
              </w:rPr>
              <w:t>رحمه اللّه</w:t>
            </w:r>
            <w:r>
              <w:rPr>
                <w:rStyle w:val="IndexLink"/>
                <w:rtl w:val="true"/>
              </w:rPr>
              <w:t xml:space="preserve">) </w:t>
            </w:r>
            <w:r>
              <w:rPr>
                <w:rStyle w:val="IndexLink"/>
                <w:rtl w:val="true"/>
              </w:rPr>
              <w:t>بصحة حديثه،</w:t>
            </w:r>
            <w:r>
              <w:rPr>
                <w:rStyle w:val="IndexLink"/>
                <w:rtl w:val="true"/>
              </w:rPr>
              <w:tab/>
            </w:r>
            <w:r>
              <w:rPr>
                <w:rStyle w:val="IndexLink"/>
              </w:rPr>
              <w:t>292</w:t>
            </w:r>
          </w:hyperlink>
        </w:p>
        <w:p>
          <w:pPr>
            <w:pStyle w:val="Contents6"/>
            <w:tabs>
              <w:tab w:val="clear" w:pos="7609"/>
              <w:tab w:val="right" w:pos="9026" w:leader="dot"/>
            </w:tabs>
            <w:rPr/>
          </w:pPr>
          <w:hyperlink w:anchor="__RefHeading___Toc316849_2142443653">
            <w:r>
              <w:rPr>
                <w:webHidden/>
                <w:rStyle w:val="IndexLink"/>
                <w:rtl w:val="true"/>
              </w:rPr>
              <w:t>و منها</w:t>
            </w:r>
            <w:r>
              <w:rPr>
                <w:rStyle w:val="IndexLink"/>
                <w:rtl w:val="true"/>
              </w:rPr>
              <w:t xml:space="preserve">: </w:t>
            </w:r>
            <w:r>
              <w:rPr>
                <w:rStyle w:val="IndexLink"/>
                <w:rtl w:val="true"/>
              </w:rPr>
              <w:t>أن ينقل حديث غير صحيح متضمن لوثاقة الرجل أو جلالته أو مدحه،</w:t>
            </w:r>
            <w:r>
              <w:rPr>
                <w:rStyle w:val="IndexLink"/>
                <w:rtl w:val="true"/>
              </w:rPr>
              <w:tab/>
            </w:r>
            <w:r>
              <w:rPr>
                <w:rStyle w:val="IndexLink"/>
              </w:rPr>
              <w:t>295</w:t>
            </w:r>
          </w:hyperlink>
        </w:p>
        <w:p>
          <w:pPr>
            <w:pStyle w:val="Contents6"/>
            <w:tabs>
              <w:tab w:val="clear" w:pos="7609"/>
              <w:tab w:val="right" w:pos="9026" w:leader="dot"/>
            </w:tabs>
            <w:rPr/>
          </w:pPr>
          <w:hyperlink w:anchor="__RefHeading___Toc316851_2142443653">
            <w:r>
              <w:rPr>
                <w:webHidden/>
                <w:rStyle w:val="IndexLink"/>
                <w:rtl w:val="true"/>
              </w:rPr>
              <w:t>و منها</w:t>
            </w:r>
            <w:r>
              <w:rPr>
                <w:rStyle w:val="IndexLink"/>
                <w:rtl w:val="true"/>
              </w:rPr>
              <w:t xml:space="preserve">: </w:t>
            </w:r>
            <w:r>
              <w:rPr>
                <w:rStyle w:val="IndexLink"/>
                <w:rtl w:val="true"/>
              </w:rPr>
              <w:t>أن يروي الراوي لنفسه ما يدلّ على أحد الأمور</w:t>
            </w:r>
            <w:r>
              <w:rPr>
                <w:rStyle w:val="IndexLink"/>
                <w:rtl w:val="true"/>
              </w:rPr>
              <w:tab/>
            </w:r>
            <w:r>
              <w:rPr>
                <w:rStyle w:val="IndexLink"/>
              </w:rPr>
              <w:t>295</w:t>
            </w:r>
          </w:hyperlink>
        </w:p>
        <w:p>
          <w:pPr>
            <w:pStyle w:val="Contents6"/>
            <w:tabs>
              <w:tab w:val="clear" w:pos="7609"/>
              <w:tab w:val="right" w:pos="9026" w:leader="dot"/>
            </w:tabs>
            <w:rPr/>
          </w:pPr>
          <w:hyperlink w:anchor="__RefHeading___Toc316853_2142443653">
            <w:r>
              <w:rPr>
                <w:webHidden/>
                <w:rStyle w:val="IndexLink"/>
                <w:rtl w:val="true"/>
              </w:rPr>
              <w:t>و منها</w:t>
            </w:r>
            <w:r>
              <w:rPr>
                <w:rStyle w:val="IndexLink"/>
                <w:rtl w:val="true"/>
              </w:rPr>
              <w:t xml:space="preserve">: </w:t>
            </w:r>
            <w:r>
              <w:rPr>
                <w:rStyle w:val="IndexLink"/>
                <w:rtl w:val="true"/>
              </w:rPr>
              <w:t>أن يكون الراوي من آل أبي جهم ،</w:t>
            </w:r>
            <w:r>
              <w:rPr>
                <w:rStyle w:val="IndexLink"/>
                <w:rtl w:val="true"/>
              </w:rPr>
              <w:tab/>
            </w:r>
            <w:r>
              <w:rPr>
                <w:rStyle w:val="IndexLink"/>
              </w:rPr>
              <w:t>296</w:t>
            </w:r>
          </w:hyperlink>
        </w:p>
        <w:p>
          <w:pPr>
            <w:pStyle w:val="Contents6"/>
            <w:tabs>
              <w:tab w:val="clear" w:pos="7609"/>
              <w:tab w:val="right" w:pos="9026" w:leader="dot"/>
            </w:tabs>
            <w:rPr/>
          </w:pPr>
          <w:hyperlink w:anchor="__RefHeading___Toc316855_2142443653">
            <w:r>
              <w:rPr>
                <w:webHidden/>
                <w:rStyle w:val="IndexLink"/>
                <w:rtl w:val="true"/>
              </w:rPr>
              <w:t>و منها</w:t>
            </w:r>
            <w:r>
              <w:rPr>
                <w:rStyle w:val="IndexLink"/>
                <w:rtl w:val="true"/>
              </w:rPr>
              <w:t xml:space="preserve">: </w:t>
            </w:r>
            <w:r>
              <w:rPr>
                <w:rStyle w:val="IndexLink"/>
                <w:rtl w:val="true"/>
              </w:rPr>
              <w:t>أن يكون الراوي من آل أبي شعبة ،</w:t>
            </w:r>
            <w:r>
              <w:rPr>
                <w:rStyle w:val="IndexLink"/>
                <w:rtl w:val="true"/>
              </w:rPr>
              <w:tab/>
            </w:r>
            <w:r>
              <w:rPr>
                <w:rStyle w:val="IndexLink"/>
              </w:rPr>
              <w:t>296</w:t>
            </w:r>
          </w:hyperlink>
        </w:p>
        <w:p>
          <w:pPr>
            <w:pStyle w:val="Contents6"/>
            <w:tabs>
              <w:tab w:val="clear" w:pos="7609"/>
              <w:tab w:val="right" w:pos="9026" w:leader="dot"/>
            </w:tabs>
            <w:rPr/>
          </w:pPr>
          <w:hyperlink w:anchor="__RefHeading___Toc316857_2142443653">
            <w:r>
              <w:rPr>
                <w:webHidden/>
                <w:rStyle w:val="IndexLink"/>
                <w:rtl w:val="true"/>
              </w:rPr>
              <w:t>و منها</w:t>
            </w:r>
            <w:r>
              <w:rPr>
                <w:rStyle w:val="IndexLink"/>
                <w:rtl w:val="true"/>
              </w:rPr>
              <w:t xml:space="preserve">: </w:t>
            </w:r>
            <w:r>
              <w:rPr>
                <w:rStyle w:val="IndexLink"/>
                <w:rtl w:val="true"/>
              </w:rPr>
              <w:t>كون الرّاوي من بيت آل نعيم الأزدي ،</w:t>
            </w:r>
            <w:r>
              <w:rPr>
                <w:rStyle w:val="IndexLink"/>
                <w:rtl w:val="true"/>
              </w:rPr>
              <w:tab/>
            </w:r>
            <w:r>
              <w:rPr>
                <w:rStyle w:val="IndexLink"/>
              </w:rPr>
              <w:t>297</w:t>
            </w:r>
          </w:hyperlink>
        </w:p>
        <w:p>
          <w:pPr>
            <w:pStyle w:val="Contents6"/>
            <w:tabs>
              <w:tab w:val="clear" w:pos="7609"/>
              <w:tab w:val="right" w:pos="9026" w:leader="dot"/>
            </w:tabs>
            <w:rPr/>
          </w:pPr>
          <w:hyperlink w:anchor="__RefHeading___Toc316859_2142443653">
            <w:r>
              <w:rPr>
                <w:webHidden/>
                <w:rStyle w:val="IndexLink"/>
                <w:rtl w:val="true"/>
              </w:rPr>
              <w:t>و منها</w:t>
            </w:r>
            <w:r>
              <w:rPr>
                <w:rStyle w:val="IndexLink"/>
                <w:rtl w:val="true"/>
              </w:rPr>
              <w:t xml:space="preserve">: </w:t>
            </w:r>
            <w:r>
              <w:rPr>
                <w:rStyle w:val="IndexLink"/>
                <w:rtl w:val="true"/>
              </w:rPr>
              <w:t>أن يذكره الكشّي و لا يطعن عليه ،</w:t>
            </w:r>
            <w:r>
              <w:rPr>
                <w:rStyle w:val="IndexLink"/>
                <w:rtl w:val="true"/>
              </w:rPr>
              <w:tab/>
            </w:r>
            <w:r>
              <w:rPr>
                <w:rStyle w:val="IndexLink"/>
              </w:rPr>
              <w:t>297</w:t>
            </w:r>
          </w:hyperlink>
        </w:p>
        <w:p>
          <w:pPr>
            <w:pStyle w:val="Contents6"/>
            <w:tabs>
              <w:tab w:val="clear" w:pos="7609"/>
              <w:tab w:val="right" w:pos="9026" w:leader="dot"/>
            </w:tabs>
            <w:rPr/>
          </w:pPr>
          <w:hyperlink w:anchor="__RefHeading___Toc316861_2142443653">
            <w:r>
              <w:rPr>
                <w:webHidden/>
                <w:rStyle w:val="IndexLink"/>
                <w:rtl w:val="true"/>
              </w:rPr>
              <w:t>و منها</w:t>
            </w:r>
            <w:r>
              <w:rPr>
                <w:rStyle w:val="IndexLink"/>
                <w:rtl w:val="true"/>
              </w:rPr>
              <w:t xml:space="preserve">: </w:t>
            </w:r>
            <w:r>
              <w:rPr>
                <w:rStyle w:val="IndexLink"/>
                <w:rtl w:val="true"/>
              </w:rPr>
              <w:t>أن يقول العدل</w:t>
            </w:r>
            <w:r>
              <w:rPr>
                <w:rStyle w:val="IndexLink"/>
                <w:rtl w:val="true"/>
              </w:rPr>
              <w:t xml:space="preserve">: </w:t>
            </w:r>
            <w:r>
              <w:rPr>
                <w:rStyle w:val="IndexLink"/>
                <w:rtl w:val="true"/>
              </w:rPr>
              <w:t>حدثني بعض أصحابنا</w:t>
            </w:r>
            <w:r>
              <w:rPr>
                <w:rStyle w:val="IndexLink"/>
                <w:rtl w:val="true"/>
              </w:rPr>
              <w:t>.</w:t>
              <w:tab/>
            </w:r>
            <w:r>
              <w:rPr>
                <w:rStyle w:val="IndexLink"/>
              </w:rPr>
              <w:t>298</w:t>
            </w:r>
          </w:hyperlink>
        </w:p>
        <w:p>
          <w:pPr>
            <w:pStyle w:val="Contents6"/>
            <w:tabs>
              <w:tab w:val="clear" w:pos="7609"/>
              <w:tab w:val="right" w:pos="9026" w:leader="dot"/>
            </w:tabs>
            <w:rPr/>
          </w:pPr>
          <w:hyperlink w:anchor="__RefHeading___Toc316863_2142443653">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316865_2142443653">
            <w:r>
              <w:rPr>
                <w:webHidden/>
                <w:rStyle w:val="IndexLink"/>
                <w:rtl w:val="true"/>
              </w:rPr>
              <w:t>تذييل يتضمن أمرين</w:t>
            </w:r>
            <w:r>
              <w:rPr>
                <w:rStyle w:val="IndexLink"/>
                <w:rtl w:val="true"/>
              </w:rPr>
              <w:t>:</w:t>
              <w:tab/>
            </w:r>
            <w:r>
              <w:rPr>
                <w:rStyle w:val="IndexLink"/>
              </w:rPr>
              <w:t>299</w:t>
            </w:r>
          </w:hyperlink>
        </w:p>
        <w:p>
          <w:pPr>
            <w:pStyle w:val="Contents6"/>
            <w:tabs>
              <w:tab w:val="clear" w:pos="7609"/>
              <w:tab w:val="right" w:pos="9026" w:leader="dot"/>
            </w:tabs>
            <w:rPr/>
          </w:pPr>
          <w:hyperlink w:anchor="__RefHeading___Toc316867_2142443653">
            <w:r>
              <w:rPr>
                <w:webHidden/>
                <w:rStyle w:val="IndexLink"/>
                <w:rtl w:val="true"/>
              </w:rPr>
              <w:t>الاول</w:t>
            </w:r>
            <w:r>
              <w:rPr>
                <w:rStyle w:val="IndexLink"/>
                <w:rtl w:val="true"/>
              </w:rPr>
              <w:t xml:space="preserve">: </w:t>
            </w:r>
            <w:r>
              <w:rPr>
                <w:rStyle w:val="IndexLink"/>
                <w:rtl w:val="true"/>
              </w:rPr>
              <w:t>كون هذه الامارات كثيرة جدا</w:t>
            </w:r>
            <w:r>
              <w:rPr>
                <w:rStyle w:val="IndexLink"/>
                <w:rtl w:val="true"/>
              </w:rPr>
              <w:tab/>
            </w:r>
            <w:r>
              <w:rPr>
                <w:rStyle w:val="IndexLink"/>
              </w:rPr>
              <w:t>299</w:t>
            </w:r>
          </w:hyperlink>
        </w:p>
        <w:p>
          <w:pPr>
            <w:pStyle w:val="Contents6"/>
            <w:tabs>
              <w:tab w:val="clear" w:pos="7609"/>
              <w:tab w:val="right" w:pos="9026" w:leader="dot"/>
            </w:tabs>
            <w:rPr/>
          </w:pPr>
          <w:hyperlink w:anchor="__RefHeading___Toc316869_2142443653">
            <w:r>
              <w:rPr>
                <w:webHidden/>
                <w:rStyle w:val="IndexLink"/>
                <w:rtl w:val="true"/>
              </w:rPr>
              <w:t>الثاني</w:t>
            </w:r>
            <w:r>
              <w:rPr>
                <w:rStyle w:val="IndexLink"/>
                <w:rtl w:val="true"/>
              </w:rPr>
              <w:t xml:space="preserve">: </w:t>
            </w:r>
            <w:r>
              <w:rPr>
                <w:rStyle w:val="IndexLink"/>
                <w:rtl w:val="true"/>
              </w:rPr>
              <w:t>كون المدار في هذه الامارات على الظن الفعلي</w:t>
            </w:r>
            <w:r>
              <w:rPr>
                <w:rStyle w:val="IndexLink"/>
                <w:rtl w:val="true"/>
              </w:rPr>
              <w:tab/>
            </w:r>
            <w:r>
              <w:rPr>
                <w:rStyle w:val="IndexLink"/>
              </w:rPr>
              <w:t>300</w:t>
            </w:r>
          </w:hyperlink>
        </w:p>
        <w:p>
          <w:pPr>
            <w:pStyle w:val="Contents4"/>
            <w:tabs>
              <w:tab w:val="clear" w:pos="8176"/>
              <w:tab w:val="right" w:pos="9026" w:leader="dot"/>
            </w:tabs>
            <w:rPr/>
          </w:pPr>
          <w:hyperlink w:anchor="__RefHeading___Toc316871_2142443653">
            <w:r>
              <w:rPr>
                <w:webHidden/>
                <w:rStyle w:val="IndexLink"/>
                <w:rtl w:val="true"/>
              </w:rPr>
              <w:t>المقام الثالث في ألفاظ الذم و القدح</w:t>
            </w:r>
            <w:r>
              <w:rPr>
                <w:rStyle w:val="IndexLink"/>
                <w:rtl w:val="true"/>
              </w:rPr>
              <w:tab/>
            </w:r>
            <w:r>
              <w:rPr>
                <w:rStyle w:val="IndexLink"/>
              </w:rPr>
              <w:t>304</w:t>
            </w:r>
          </w:hyperlink>
        </w:p>
        <w:p>
          <w:pPr>
            <w:pStyle w:val="Contents5"/>
            <w:tabs>
              <w:tab w:val="clear" w:pos="7892"/>
              <w:tab w:val="right" w:pos="9026" w:leader="dot"/>
            </w:tabs>
            <w:rPr/>
          </w:pPr>
          <w:hyperlink w:anchor="__RefHeading___Toc316873_2142443653">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316875_2142443653">
            <w:r>
              <w:rPr>
                <w:webHidden/>
                <w:rStyle w:val="IndexLink"/>
                <w:rtl w:val="true"/>
              </w:rPr>
              <w:t>قولهم</w:t>
            </w:r>
            <w:r>
              <w:rPr>
                <w:rStyle w:val="IndexLink"/>
                <w:rtl w:val="true"/>
              </w:rPr>
              <w:t xml:space="preserve">: </w:t>
            </w:r>
            <w:r>
              <w:rPr>
                <w:rStyle w:val="IndexLink"/>
                <w:rtl w:val="true"/>
              </w:rPr>
              <w:t>فاسق</w:t>
            </w:r>
            <w:r>
              <w:rPr>
                <w:rStyle w:val="IndexLink"/>
                <w:rtl w:val="true"/>
              </w:rPr>
              <w:t xml:space="preserve">.. </w:t>
            </w:r>
            <w:r>
              <w:rPr>
                <w:rStyle w:val="IndexLink"/>
                <w:rtl w:val="true"/>
              </w:rPr>
              <w:t>و ليس بعدل</w:t>
            </w:r>
            <w:r>
              <w:rPr>
                <w:rStyle w:val="IndexLink"/>
                <w:rtl w:val="true"/>
              </w:rPr>
              <w:t xml:space="preserve">... </w:t>
            </w:r>
            <w:r>
              <w:rPr>
                <w:rStyle w:val="IndexLink"/>
                <w:rtl w:val="true"/>
              </w:rPr>
              <w:t>و غيرهما</w:t>
            </w:r>
            <w:r>
              <w:rPr>
                <w:rStyle w:val="IndexLink"/>
                <w:rtl w:val="true"/>
              </w:rPr>
              <w:tab/>
            </w:r>
            <w:r>
              <w:rPr>
                <w:rStyle w:val="IndexLink"/>
              </w:rPr>
              <w:t>304</w:t>
            </w:r>
          </w:hyperlink>
        </w:p>
        <w:p>
          <w:pPr>
            <w:pStyle w:val="Contents5"/>
            <w:tabs>
              <w:tab w:val="clear" w:pos="7892"/>
              <w:tab w:val="right" w:pos="9026" w:leader="dot"/>
            </w:tabs>
            <w:rPr/>
          </w:pPr>
          <w:hyperlink w:anchor="__RefHeading___Toc316877_2142443653">
            <w:r>
              <w:rPr>
                <w:webHidden/>
                <w:rStyle w:val="IndexLink"/>
                <w:rtl w:val="true"/>
              </w:rPr>
              <w:t>قولهم</w:t>
            </w:r>
            <w:r>
              <w:rPr>
                <w:rStyle w:val="IndexLink"/>
                <w:rtl w:val="true"/>
              </w:rPr>
              <w:t xml:space="preserve">: </w:t>
            </w:r>
            <w:r>
              <w:rPr>
                <w:rStyle w:val="IndexLink"/>
                <w:rtl w:val="true"/>
              </w:rPr>
              <w:t>ضعيف</w:t>
            </w:r>
            <w:r>
              <w:rPr>
                <w:rStyle w:val="IndexLink"/>
                <w:rtl w:val="true"/>
              </w:rPr>
              <w:tab/>
            </w:r>
            <w:r>
              <w:rPr>
                <w:rStyle w:val="IndexLink"/>
              </w:rPr>
              <w:t>306</w:t>
            </w:r>
          </w:hyperlink>
        </w:p>
        <w:p>
          <w:pPr>
            <w:pStyle w:val="Contents5"/>
            <w:tabs>
              <w:tab w:val="clear" w:pos="7892"/>
              <w:tab w:val="right" w:pos="9026" w:leader="dot"/>
            </w:tabs>
            <w:rPr/>
          </w:pPr>
          <w:hyperlink w:anchor="__RefHeading___Toc316879_2142443653">
            <w:r>
              <w:rPr>
                <w:webHidden/>
                <w:rStyle w:val="IndexLink"/>
                <w:rtl w:val="true"/>
              </w:rPr>
              <w:t>قولهم</w:t>
            </w:r>
            <w:r>
              <w:rPr>
                <w:rStyle w:val="IndexLink"/>
                <w:rtl w:val="true"/>
              </w:rPr>
              <w:t xml:space="preserve">: </w:t>
            </w:r>
            <w:r>
              <w:rPr>
                <w:rStyle w:val="IndexLink"/>
                <w:rtl w:val="true"/>
              </w:rPr>
              <w:t>ضعيف الحديث</w:t>
            </w:r>
            <w:r>
              <w:rPr>
                <w:rStyle w:val="IndexLink"/>
                <w:rtl w:val="true"/>
              </w:rPr>
              <w:tab/>
            </w:r>
            <w:r>
              <w:rPr>
                <w:rStyle w:val="IndexLink"/>
              </w:rPr>
              <w:t>309</w:t>
            </w:r>
          </w:hyperlink>
        </w:p>
        <w:p>
          <w:pPr>
            <w:pStyle w:val="Contents5"/>
            <w:tabs>
              <w:tab w:val="clear" w:pos="7892"/>
              <w:tab w:val="right" w:pos="9026" w:leader="dot"/>
            </w:tabs>
            <w:rPr/>
          </w:pPr>
          <w:hyperlink w:anchor="__RefHeading___Toc316881_2142443653">
            <w:r>
              <w:rPr>
                <w:webHidden/>
                <w:rStyle w:val="IndexLink"/>
                <w:rtl w:val="true"/>
              </w:rPr>
              <w:t>قولهم</w:t>
            </w:r>
            <w:r>
              <w:rPr>
                <w:rStyle w:val="IndexLink"/>
                <w:rtl w:val="true"/>
              </w:rPr>
              <w:t xml:space="preserve">: </w:t>
            </w:r>
            <w:r>
              <w:rPr>
                <w:rStyle w:val="IndexLink"/>
                <w:rtl w:val="true"/>
              </w:rPr>
              <w:t>مخلط أو مختلط</w:t>
            </w:r>
            <w:r>
              <w:rPr>
                <w:rStyle w:val="IndexLink"/>
                <w:rtl w:val="true"/>
              </w:rPr>
              <w:tab/>
            </w:r>
            <w:r>
              <w:rPr>
                <w:rStyle w:val="IndexLink"/>
              </w:rPr>
              <w:t>313</w:t>
            </w:r>
          </w:hyperlink>
        </w:p>
        <w:p>
          <w:pPr>
            <w:pStyle w:val="Contents5"/>
            <w:tabs>
              <w:tab w:val="clear" w:pos="7892"/>
              <w:tab w:val="right" w:pos="9026" w:leader="dot"/>
            </w:tabs>
            <w:rPr/>
          </w:pPr>
          <w:hyperlink w:anchor="__RefHeading___Toc316883_2142443653">
            <w:r>
              <w:rPr>
                <w:webHidden/>
                <w:rStyle w:val="IndexLink"/>
                <w:rtl w:val="true"/>
              </w:rPr>
              <w:t>قولهم</w:t>
            </w:r>
            <w:r>
              <w:rPr>
                <w:rStyle w:val="IndexLink"/>
                <w:rtl w:val="true"/>
              </w:rPr>
              <w:t xml:space="preserve">: </w:t>
            </w:r>
            <w:r>
              <w:rPr>
                <w:rStyle w:val="IndexLink"/>
                <w:rtl w:val="true"/>
              </w:rPr>
              <w:t>مرتفع القول</w:t>
            </w:r>
            <w:r>
              <w:rPr>
                <w:rStyle w:val="IndexLink"/>
                <w:rtl w:val="true"/>
              </w:rPr>
              <w:tab/>
            </w:r>
            <w:r>
              <w:rPr>
                <w:rStyle w:val="IndexLink"/>
              </w:rPr>
              <w:t>316</w:t>
            </w:r>
          </w:hyperlink>
        </w:p>
        <w:p>
          <w:pPr>
            <w:pStyle w:val="Contents5"/>
            <w:tabs>
              <w:tab w:val="clear" w:pos="7892"/>
              <w:tab w:val="right" w:pos="9026" w:leader="dot"/>
            </w:tabs>
            <w:rPr/>
          </w:pPr>
          <w:hyperlink w:anchor="__RefHeading___Toc316885_2142443653">
            <w:r>
              <w:rPr>
                <w:webHidden/>
                <w:rStyle w:val="IndexLink"/>
                <w:rtl w:val="true"/>
              </w:rPr>
              <w:t>قولهم</w:t>
            </w:r>
            <w:r>
              <w:rPr>
                <w:rStyle w:val="IndexLink"/>
                <w:rtl w:val="true"/>
              </w:rPr>
              <w:t xml:space="preserve">: </w:t>
            </w:r>
            <w:r>
              <w:rPr>
                <w:rStyle w:val="IndexLink"/>
                <w:rtl w:val="true"/>
              </w:rPr>
              <w:t>متهم بالكذب أو الغلو</w:t>
            </w:r>
            <w:r>
              <w:rPr>
                <w:rStyle w:val="IndexLink"/>
                <w:rtl w:val="true"/>
              </w:rPr>
              <w:t>..</w:t>
              <w:tab/>
            </w:r>
            <w:r>
              <w:rPr>
                <w:rStyle w:val="IndexLink"/>
              </w:rPr>
              <w:t>317</w:t>
            </w:r>
          </w:hyperlink>
        </w:p>
        <w:p>
          <w:pPr>
            <w:pStyle w:val="Contents4"/>
            <w:tabs>
              <w:tab w:val="clear" w:pos="8176"/>
              <w:tab w:val="right" w:pos="9026" w:leader="dot"/>
            </w:tabs>
            <w:rPr/>
          </w:pPr>
          <w:hyperlink w:anchor="__RefHeading___Toc316887_2142443653">
            <w:r>
              <w:rPr>
                <w:webHidden/>
                <w:rStyle w:val="IndexLink"/>
                <w:rtl w:val="true"/>
              </w:rPr>
              <w:t>المقام الرابع في سائر أسباب الذم و ما تخيل كونه من ذلك</w:t>
            </w:r>
            <w:r>
              <w:rPr>
                <w:rStyle w:val="IndexLink"/>
                <w:rtl w:val="true"/>
              </w:rPr>
              <w:t>:</w:t>
              <w:tab/>
            </w:r>
            <w:r>
              <w:rPr>
                <w:rStyle w:val="IndexLink"/>
              </w:rPr>
              <w:t>318</w:t>
            </w:r>
          </w:hyperlink>
        </w:p>
        <w:p>
          <w:pPr>
            <w:pStyle w:val="Contents5"/>
            <w:tabs>
              <w:tab w:val="clear" w:pos="7892"/>
              <w:tab w:val="right" w:pos="9026" w:leader="dot"/>
            </w:tabs>
            <w:rPr/>
          </w:pPr>
          <w:hyperlink w:anchor="__RefHeading___Toc316889_2142443653">
            <w:r>
              <w:rPr>
                <w:webHidden/>
                <w:rStyle w:val="IndexLink"/>
                <w:rtl w:val="true"/>
              </w:rPr>
              <w:t>منها</w:t>
            </w:r>
            <w:r>
              <w:rPr>
                <w:rStyle w:val="IndexLink"/>
                <w:rtl w:val="true"/>
              </w:rPr>
              <w:t xml:space="preserve">: </w:t>
            </w:r>
            <w:r>
              <w:rPr>
                <w:rStyle w:val="IndexLink"/>
                <w:rtl w:val="true"/>
              </w:rPr>
              <w:t>كثرة روايته عن الضعفاء و المجاهيل</w:t>
            </w:r>
            <w:r>
              <w:rPr>
                <w:rStyle w:val="IndexLink"/>
                <w:rtl w:val="true"/>
              </w:rPr>
              <w:tab/>
            </w:r>
            <w:r>
              <w:rPr>
                <w:rStyle w:val="IndexLink"/>
              </w:rPr>
              <w:t>318</w:t>
            </w:r>
          </w:hyperlink>
        </w:p>
        <w:p>
          <w:pPr>
            <w:pStyle w:val="Contents5"/>
            <w:tabs>
              <w:tab w:val="clear" w:pos="7892"/>
              <w:tab w:val="right" w:pos="9026" w:leader="dot"/>
            </w:tabs>
            <w:rPr/>
          </w:pPr>
          <w:hyperlink w:anchor="__RefHeading___Toc316891_2142443653">
            <w:r>
              <w:rPr>
                <w:webHidden/>
                <w:rStyle w:val="IndexLink"/>
                <w:rtl w:val="true"/>
              </w:rPr>
              <w:t>منها</w:t>
            </w:r>
            <w:r>
              <w:rPr>
                <w:rStyle w:val="IndexLink"/>
                <w:rtl w:val="true"/>
              </w:rPr>
              <w:t xml:space="preserve">: </w:t>
            </w:r>
            <w:r>
              <w:rPr>
                <w:rStyle w:val="IndexLink"/>
                <w:rtl w:val="true"/>
              </w:rPr>
              <w:t>كثرة رواية المذمومين عنه</w:t>
            </w:r>
            <w:r>
              <w:rPr>
                <w:rStyle w:val="IndexLink"/>
                <w:rtl w:val="true"/>
              </w:rPr>
              <w:tab/>
            </w:r>
            <w:r>
              <w:rPr>
                <w:rStyle w:val="IndexLink"/>
              </w:rPr>
              <w:t>319</w:t>
            </w:r>
          </w:hyperlink>
        </w:p>
        <w:p>
          <w:pPr>
            <w:pStyle w:val="Contents5"/>
            <w:tabs>
              <w:tab w:val="clear" w:pos="7892"/>
              <w:tab w:val="right" w:pos="9026" w:leader="dot"/>
            </w:tabs>
            <w:rPr/>
          </w:pPr>
          <w:hyperlink w:anchor="__RefHeading___Toc316893_2142443653">
            <w:r>
              <w:rPr>
                <w:webHidden/>
                <w:rStyle w:val="IndexLink"/>
                <w:rtl w:val="true"/>
              </w:rPr>
              <w:t>منها</w:t>
            </w:r>
            <w:r>
              <w:rPr>
                <w:rStyle w:val="IndexLink"/>
                <w:rtl w:val="true"/>
              </w:rPr>
              <w:t xml:space="preserve">: </w:t>
            </w:r>
            <w:r>
              <w:rPr>
                <w:rStyle w:val="IndexLink"/>
                <w:rtl w:val="true"/>
              </w:rPr>
              <w:t xml:space="preserve">روايته عنهم </w:t>
            </w:r>
            <w:r>
              <w:rPr>
                <w:rStyle w:val="IndexLink"/>
                <w:rtl w:val="true"/>
              </w:rPr>
              <w:t>(</w:t>
            </w:r>
            <w:r>
              <w:rPr>
                <w:rStyle w:val="IndexLink"/>
                <w:rtl w:val="true"/>
              </w:rPr>
              <w:t>ع</w:t>
            </w:r>
            <w:r>
              <w:rPr>
                <w:rStyle w:val="IndexLink"/>
                <w:rtl w:val="true"/>
              </w:rPr>
              <w:t xml:space="preserve">) </w:t>
            </w:r>
            <w:r>
              <w:rPr>
                <w:rStyle w:val="IndexLink"/>
                <w:rtl w:val="true"/>
              </w:rPr>
              <w:t>على وجه يظهر منه كونهم رواة لا حججا</w:t>
            </w:r>
            <w:r>
              <w:rPr>
                <w:rStyle w:val="IndexLink"/>
                <w:rtl w:val="true"/>
              </w:rPr>
              <w:tab/>
            </w:r>
            <w:r>
              <w:rPr>
                <w:rStyle w:val="IndexLink"/>
              </w:rPr>
              <w:t>319</w:t>
            </w:r>
          </w:hyperlink>
        </w:p>
        <w:p>
          <w:pPr>
            <w:pStyle w:val="Contents5"/>
            <w:tabs>
              <w:tab w:val="clear" w:pos="7892"/>
              <w:tab w:val="right" w:pos="9026" w:leader="dot"/>
            </w:tabs>
            <w:rPr/>
          </w:pPr>
          <w:hyperlink w:anchor="__RefHeading___Toc316895_2142443653">
            <w:r>
              <w:rPr>
                <w:webHidden/>
                <w:rStyle w:val="IndexLink"/>
                <w:rtl w:val="true"/>
              </w:rPr>
              <w:t>منها</w:t>
            </w:r>
            <w:r>
              <w:rPr>
                <w:rStyle w:val="IndexLink"/>
                <w:rtl w:val="true"/>
              </w:rPr>
              <w:t xml:space="preserve">: </w:t>
            </w:r>
            <w:r>
              <w:rPr>
                <w:rStyle w:val="IndexLink"/>
                <w:rtl w:val="true"/>
              </w:rPr>
              <w:t>كونه كاتب الخليفة و من عماله</w:t>
            </w:r>
            <w:r>
              <w:rPr>
                <w:rStyle w:val="IndexLink"/>
                <w:rtl w:val="true"/>
              </w:rPr>
              <w:tab/>
            </w:r>
            <w:r>
              <w:rPr>
                <w:rStyle w:val="IndexLink"/>
              </w:rPr>
              <w:t>320</w:t>
            </w:r>
          </w:hyperlink>
        </w:p>
        <w:p>
          <w:pPr>
            <w:pStyle w:val="Contents5"/>
            <w:tabs>
              <w:tab w:val="clear" w:pos="7892"/>
              <w:tab w:val="right" w:pos="9026" w:leader="dot"/>
            </w:tabs>
            <w:rPr/>
          </w:pPr>
          <w:hyperlink w:anchor="__RefHeading___Toc316897_2142443653">
            <w:r>
              <w:rPr>
                <w:webHidden/>
                <w:rStyle w:val="IndexLink"/>
                <w:rtl w:val="true"/>
              </w:rPr>
              <w:t>منها</w:t>
            </w:r>
            <w:r>
              <w:rPr>
                <w:rStyle w:val="IndexLink"/>
                <w:rtl w:val="true"/>
              </w:rPr>
              <w:t xml:space="preserve">: </w:t>
            </w:r>
            <w:r>
              <w:rPr>
                <w:rStyle w:val="IndexLink"/>
                <w:rtl w:val="true"/>
              </w:rPr>
              <w:t>كون الرجل من بني امية</w:t>
            </w:r>
            <w:r>
              <w:rPr>
                <w:rStyle w:val="IndexLink"/>
                <w:rtl w:val="true"/>
              </w:rPr>
              <w:tab/>
            </w:r>
            <w:r>
              <w:rPr>
                <w:rStyle w:val="IndexLink"/>
              </w:rPr>
              <w:t>322</w:t>
            </w:r>
          </w:hyperlink>
        </w:p>
        <w:p>
          <w:pPr>
            <w:pStyle w:val="Contents5"/>
            <w:tabs>
              <w:tab w:val="clear" w:pos="7892"/>
              <w:tab w:val="right" w:pos="9026" w:leader="dot"/>
            </w:tabs>
            <w:rPr/>
          </w:pPr>
          <w:hyperlink w:anchor="__RefHeading___Toc316899_2142443653">
            <w:r>
              <w:rPr>
                <w:webHidden/>
                <w:rStyle w:val="IndexLink"/>
                <w:rtl w:val="true"/>
              </w:rPr>
              <w:t>منها</w:t>
            </w:r>
            <w:r>
              <w:rPr>
                <w:rStyle w:val="IndexLink"/>
                <w:rtl w:val="true"/>
              </w:rPr>
              <w:t xml:space="preserve">: </w:t>
            </w:r>
            <w:r>
              <w:rPr>
                <w:rStyle w:val="IndexLink"/>
                <w:rtl w:val="true"/>
              </w:rPr>
              <w:t>فساد العقيدة</w:t>
            </w:r>
            <w:r>
              <w:rPr>
                <w:rStyle w:val="IndexLink"/>
                <w:rtl w:val="true"/>
              </w:rPr>
              <w:tab/>
            </w:r>
            <w:r>
              <w:rPr>
                <w:rStyle w:val="IndexLink"/>
              </w:rPr>
              <w:t>327</w:t>
            </w:r>
          </w:hyperlink>
        </w:p>
        <w:p>
          <w:pPr>
            <w:pStyle w:val="Contents5"/>
            <w:tabs>
              <w:tab w:val="clear" w:pos="7892"/>
              <w:tab w:val="right" w:pos="9026" w:leader="dot"/>
            </w:tabs>
            <w:rPr/>
          </w:pPr>
          <w:hyperlink w:anchor="__RefHeading___Toc316901_2142443653">
            <w:r>
              <w:rPr>
                <w:webHidden/>
                <w:rStyle w:val="IndexLink"/>
                <w:rtl w:val="true"/>
              </w:rPr>
              <w:t>من الفرق الفاسدة</w:t>
            </w:r>
            <w:r>
              <w:rPr>
                <w:rStyle w:val="IndexLink"/>
                <w:rtl w:val="true"/>
              </w:rPr>
              <w:t xml:space="preserve">: </w:t>
            </w:r>
            <w:r>
              <w:rPr>
                <w:rStyle w:val="IndexLink"/>
                <w:rtl w:val="true"/>
              </w:rPr>
              <w:t>العامة</w:t>
            </w:r>
            <w:r>
              <w:rPr>
                <w:rStyle w:val="IndexLink"/>
                <w:rtl w:val="true"/>
              </w:rPr>
              <w:tab/>
            </w:r>
            <w:r>
              <w:rPr>
                <w:rStyle w:val="IndexLink"/>
              </w:rPr>
              <w:t>327</w:t>
            </w:r>
          </w:hyperlink>
        </w:p>
        <w:p>
          <w:pPr>
            <w:pStyle w:val="Contents6"/>
            <w:tabs>
              <w:tab w:val="clear" w:pos="7609"/>
              <w:tab w:val="right" w:pos="9026" w:leader="dot"/>
            </w:tabs>
            <w:rPr/>
          </w:pPr>
          <w:hyperlink w:anchor="__RefHeading___Toc316903_2142443653">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316905_2142443653">
            <w:r>
              <w:rPr>
                <w:webHidden/>
                <w:rStyle w:val="IndexLink"/>
                <w:rtl w:val="true"/>
              </w:rPr>
              <w:t>و منها</w:t>
            </w:r>
            <w:r>
              <w:rPr>
                <w:rStyle w:val="IndexLink"/>
                <w:rtl w:val="true"/>
              </w:rPr>
              <w:t xml:space="preserve">: </w:t>
            </w:r>
            <w:r>
              <w:rPr>
                <w:rStyle w:val="IndexLink"/>
                <w:rtl w:val="true"/>
              </w:rPr>
              <w:t>الكيسانية</w:t>
            </w:r>
            <w:r>
              <w:rPr>
                <w:rStyle w:val="IndexLink"/>
                <w:rtl w:val="true"/>
              </w:rPr>
              <w:t>:</w:t>
              <w:tab/>
            </w:r>
            <w:r>
              <w:rPr>
                <w:rStyle w:val="IndexLink"/>
              </w:rPr>
              <w:t>328</w:t>
            </w:r>
          </w:hyperlink>
        </w:p>
        <w:p>
          <w:pPr>
            <w:pStyle w:val="Contents6"/>
            <w:tabs>
              <w:tab w:val="clear" w:pos="7609"/>
              <w:tab w:val="right" w:pos="9026" w:leader="dot"/>
            </w:tabs>
            <w:rPr/>
          </w:pPr>
          <w:hyperlink w:anchor="__RefHeading___Toc316907_2142443653">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316909_2142443653">
            <w:r>
              <w:rPr>
                <w:webHidden/>
                <w:rStyle w:val="IndexLink"/>
                <w:rtl w:val="true"/>
              </w:rPr>
              <w:t>الإسماعيلية</w:t>
            </w:r>
            <w:r>
              <w:rPr>
                <w:rStyle w:val="IndexLink"/>
                <w:rtl w:val="true"/>
              </w:rPr>
              <w:t>:</w:t>
              <w:tab/>
            </w:r>
            <w:r>
              <w:rPr>
                <w:rStyle w:val="IndexLink"/>
              </w:rPr>
              <w:t>332</w:t>
            </w:r>
          </w:hyperlink>
        </w:p>
        <w:p>
          <w:pPr>
            <w:pStyle w:val="Contents6"/>
            <w:tabs>
              <w:tab w:val="clear" w:pos="7609"/>
              <w:tab w:val="right" w:pos="9026" w:leader="dot"/>
            </w:tabs>
            <w:rPr/>
          </w:pPr>
          <w:hyperlink w:anchor="__RefHeading___Toc316911_2142443653">
            <w:r>
              <w:rPr>
                <w:webHidden/>
                <w:rStyle w:val="IndexLink"/>
                <w:rtl w:val="true"/>
              </w:rPr>
              <w:t>من الفرق الفاسدة</w:t>
            </w:r>
            <w:r>
              <w:rPr>
                <w:rStyle w:val="IndexLink"/>
                <w:rtl w:val="true"/>
              </w:rPr>
              <w:t xml:space="preserve">: </w:t>
            </w:r>
            <w:r>
              <w:rPr>
                <w:rStyle w:val="IndexLink"/>
                <w:rtl w:val="true"/>
              </w:rPr>
              <w:t>الهاشمية</w:t>
            </w:r>
            <w:r>
              <w:rPr>
                <w:rStyle w:val="IndexLink"/>
                <w:rtl w:val="true"/>
              </w:rPr>
              <w:tab/>
            </w:r>
            <w:r>
              <w:rPr>
                <w:rStyle w:val="IndexLink"/>
              </w:rPr>
              <w:t>333</w:t>
            </w:r>
          </w:hyperlink>
        </w:p>
        <w:p>
          <w:pPr>
            <w:pStyle w:val="Contents6"/>
            <w:tabs>
              <w:tab w:val="clear" w:pos="7609"/>
              <w:tab w:val="right" w:pos="9026" w:leader="dot"/>
            </w:tabs>
            <w:rPr/>
          </w:pPr>
          <w:hyperlink w:anchor="__RefHeading___Toc316913_2142443653">
            <w:r>
              <w:rPr>
                <w:webHidden/>
                <w:rStyle w:val="IndexLink"/>
                <w:rtl w:val="true"/>
              </w:rPr>
              <w:t>من الفرق الفاسدة</w:t>
            </w:r>
            <w:r>
              <w:rPr>
                <w:rStyle w:val="IndexLink"/>
                <w:rtl w:val="true"/>
              </w:rPr>
              <w:t xml:space="preserve">: </w:t>
            </w:r>
            <w:r>
              <w:rPr>
                <w:rStyle w:val="IndexLink"/>
                <w:rtl w:val="true"/>
              </w:rPr>
              <w:t>الحيانية</w:t>
            </w:r>
            <w:r>
              <w:rPr>
                <w:rStyle w:val="IndexLink"/>
                <w:rtl w:val="true"/>
              </w:rPr>
              <w:tab/>
            </w:r>
            <w:r>
              <w:rPr>
                <w:rStyle w:val="IndexLink"/>
              </w:rPr>
              <w:t>333</w:t>
            </w:r>
          </w:hyperlink>
        </w:p>
        <w:p>
          <w:pPr>
            <w:pStyle w:val="Contents6"/>
            <w:tabs>
              <w:tab w:val="clear" w:pos="7609"/>
              <w:tab w:val="right" w:pos="9026" w:leader="dot"/>
            </w:tabs>
            <w:rPr/>
          </w:pPr>
          <w:hyperlink w:anchor="__RefHeading___Toc316915_2142443653">
            <w:r>
              <w:rPr>
                <w:webHidden/>
                <w:rStyle w:val="IndexLink"/>
                <w:rtl w:val="true"/>
              </w:rPr>
              <w:t>من الفرق الفاسدة</w:t>
            </w:r>
            <w:r>
              <w:rPr>
                <w:rStyle w:val="IndexLink"/>
                <w:rtl w:val="true"/>
              </w:rPr>
              <w:t xml:space="preserve">: </w:t>
            </w:r>
            <w:r>
              <w:rPr>
                <w:rStyle w:val="IndexLink"/>
                <w:rtl w:val="true"/>
              </w:rPr>
              <w:t>الرزامية</w:t>
            </w:r>
            <w:r>
              <w:rPr>
                <w:rStyle w:val="IndexLink"/>
                <w:rtl w:val="true"/>
              </w:rPr>
              <w:tab/>
            </w:r>
            <w:r>
              <w:rPr>
                <w:rStyle w:val="IndexLink"/>
              </w:rPr>
              <w:t>333</w:t>
            </w:r>
          </w:hyperlink>
        </w:p>
        <w:p>
          <w:pPr>
            <w:pStyle w:val="Contents6"/>
            <w:tabs>
              <w:tab w:val="clear" w:pos="7609"/>
              <w:tab w:val="right" w:pos="9026" w:leader="dot"/>
            </w:tabs>
            <w:rPr/>
          </w:pPr>
          <w:hyperlink w:anchor="__RefHeading___Toc316917_2142443653">
            <w:r>
              <w:rPr>
                <w:webHidden/>
                <w:rStyle w:val="IndexLink"/>
                <w:rtl w:val="true"/>
              </w:rPr>
              <w:t>من الفرق الفاسدة</w:t>
            </w:r>
            <w:r>
              <w:rPr>
                <w:rStyle w:val="IndexLink"/>
                <w:rtl w:val="true"/>
              </w:rPr>
              <w:t xml:space="preserve">: </w:t>
            </w:r>
            <w:r>
              <w:rPr>
                <w:rStyle w:val="IndexLink"/>
                <w:rtl w:val="true"/>
              </w:rPr>
              <w:t>الفطحية</w:t>
            </w:r>
            <w:r>
              <w:rPr>
                <w:rStyle w:val="IndexLink"/>
                <w:rtl w:val="true"/>
              </w:rPr>
              <w:tab/>
            </w:r>
            <w:r>
              <w:rPr>
                <w:rStyle w:val="IndexLink"/>
              </w:rPr>
              <w:t>334</w:t>
            </w:r>
          </w:hyperlink>
        </w:p>
        <w:p>
          <w:pPr>
            <w:pStyle w:val="Contents6"/>
            <w:tabs>
              <w:tab w:val="clear" w:pos="7609"/>
              <w:tab w:val="right" w:pos="9026" w:leader="dot"/>
            </w:tabs>
            <w:rPr/>
          </w:pPr>
          <w:hyperlink w:anchor="__RefHeading___Toc316919_2142443653">
            <w:r>
              <w:rPr>
                <w:webHidden/>
                <w:rStyle w:val="IndexLink"/>
                <w:rtl w:val="true"/>
              </w:rPr>
              <w:t>من الفرق الفاسدة</w:t>
            </w:r>
            <w:r>
              <w:rPr>
                <w:rStyle w:val="IndexLink"/>
                <w:rtl w:val="true"/>
              </w:rPr>
              <w:t xml:space="preserve">: </w:t>
            </w:r>
            <w:r>
              <w:rPr>
                <w:rStyle w:val="IndexLink"/>
                <w:rtl w:val="true"/>
              </w:rPr>
              <w:t>السمطية</w:t>
            </w:r>
            <w:r>
              <w:rPr>
                <w:rStyle w:val="IndexLink"/>
                <w:rtl w:val="true"/>
              </w:rPr>
              <w:tab/>
            </w:r>
            <w:r>
              <w:rPr>
                <w:rStyle w:val="IndexLink"/>
              </w:rPr>
              <w:t>336</w:t>
            </w:r>
          </w:hyperlink>
        </w:p>
        <w:p>
          <w:pPr>
            <w:pStyle w:val="Contents6"/>
            <w:tabs>
              <w:tab w:val="clear" w:pos="7609"/>
              <w:tab w:val="right" w:pos="9026" w:leader="dot"/>
            </w:tabs>
            <w:rPr/>
          </w:pPr>
          <w:hyperlink w:anchor="__RefHeading___Toc316921_2142443653">
            <w:r>
              <w:rPr>
                <w:webHidden/>
                <w:rStyle w:val="IndexLink"/>
                <w:rtl w:val="true"/>
              </w:rPr>
              <w:t>من الفرق الفاسدة</w:t>
            </w:r>
            <w:r>
              <w:rPr>
                <w:rStyle w:val="IndexLink"/>
                <w:rtl w:val="true"/>
              </w:rPr>
              <w:t xml:space="preserve">: </w:t>
            </w:r>
            <w:r>
              <w:rPr>
                <w:rStyle w:val="IndexLink"/>
                <w:rtl w:val="true"/>
              </w:rPr>
              <w:t>الناووسية</w:t>
            </w:r>
            <w:r>
              <w:rPr>
                <w:rStyle w:val="IndexLink"/>
                <w:rtl w:val="true"/>
              </w:rPr>
              <w:tab/>
            </w:r>
            <w:r>
              <w:rPr>
                <w:rStyle w:val="IndexLink"/>
              </w:rPr>
              <w:t>337</w:t>
            </w:r>
          </w:hyperlink>
        </w:p>
        <w:p>
          <w:pPr>
            <w:pStyle w:val="Contents6"/>
            <w:tabs>
              <w:tab w:val="clear" w:pos="7609"/>
              <w:tab w:val="right" w:pos="9026" w:leader="dot"/>
            </w:tabs>
            <w:rPr/>
          </w:pPr>
          <w:hyperlink w:anchor="__RefHeading___Toc316923_2142443653">
            <w:r>
              <w:rPr>
                <w:webHidden/>
                <w:rStyle w:val="IndexLink"/>
                <w:rtl w:val="true"/>
              </w:rPr>
              <w:t>من الفرق الفاسدة</w:t>
            </w:r>
            <w:r>
              <w:rPr>
                <w:rStyle w:val="IndexLink"/>
                <w:rtl w:val="true"/>
              </w:rPr>
              <w:t xml:space="preserve">: </w:t>
            </w:r>
            <w:r>
              <w:rPr>
                <w:rStyle w:val="IndexLink"/>
                <w:rtl w:val="true"/>
              </w:rPr>
              <w:t>الواقفية</w:t>
            </w:r>
            <w:r>
              <w:rPr>
                <w:rStyle w:val="IndexLink"/>
                <w:rtl w:val="true"/>
              </w:rPr>
              <w:tab/>
            </w:r>
            <w:r>
              <w:rPr>
                <w:rStyle w:val="IndexLink"/>
              </w:rPr>
              <w:t>338</w:t>
            </w:r>
          </w:hyperlink>
        </w:p>
        <w:p>
          <w:pPr>
            <w:pStyle w:val="Contents6"/>
            <w:tabs>
              <w:tab w:val="clear" w:pos="7609"/>
              <w:tab w:val="right" w:pos="9026" w:leader="dot"/>
            </w:tabs>
            <w:rPr/>
          </w:pPr>
          <w:hyperlink w:anchor="__RefHeading___Toc316925_2142443653">
            <w:r>
              <w:rPr>
                <w:webHidden/>
                <w:rStyle w:val="IndexLink"/>
                <w:rtl w:val="true"/>
              </w:rPr>
              <w:t>من الفرق الفاسدة</w:t>
            </w:r>
            <w:r>
              <w:rPr>
                <w:rStyle w:val="IndexLink"/>
                <w:rtl w:val="true"/>
              </w:rPr>
              <w:t xml:space="preserve">: </w:t>
            </w:r>
            <w:r>
              <w:rPr>
                <w:rStyle w:val="IndexLink"/>
                <w:rtl w:val="true"/>
              </w:rPr>
              <w:t>الزيدية</w:t>
            </w:r>
            <w:r>
              <w:rPr>
                <w:rStyle w:val="IndexLink"/>
                <w:rtl w:val="true"/>
              </w:rPr>
              <w:tab/>
            </w:r>
            <w:r>
              <w:rPr>
                <w:rStyle w:val="IndexLink"/>
              </w:rPr>
              <w:t>358</w:t>
            </w:r>
          </w:hyperlink>
        </w:p>
        <w:p>
          <w:pPr>
            <w:pStyle w:val="Contents6"/>
            <w:tabs>
              <w:tab w:val="clear" w:pos="7609"/>
              <w:tab w:val="right" w:pos="9026" w:leader="dot"/>
            </w:tabs>
            <w:rPr/>
          </w:pPr>
          <w:hyperlink w:anchor="__RefHeading___Toc316927_2142443653">
            <w:r>
              <w:rPr>
                <w:webHidden/>
                <w:rStyle w:val="IndexLink"/>
                <w:rtl w:val="true"/>
              </w:rPr>
              <w:t>من الفرق الفاسدة</w:t>
            </w:r>
            <w:r>
              <w:rPr>
                <w:rStyle w:val="IndexLink"/>
                <w:rtl w:val="true"/>
              </w:rPr>
              <w:t xml:space="preserve">: </w:t>
            </w:r>
            <w:r>
              <w:rPr>
                <w:rStyle w:val="IndexLink"/>
                <w:rtl w:val="true"/>
              </w:rPr>
              <w:t>البترية</w:t>
            </w:r>
            <w:r>
              <w:rPr>
                <w:rStyle w:val="IndexLink"/>
                <w:rtl w:val="true"/>
              </w:rPr>
              <w:tab/>
            </w:r>
            <w:r>
              <w:rPr>
                <w:rStyle w:val="IndexLink"/>
              </w:rPr>
              <w:t>360</w:t>
            </w:r>
          </w:hyperlink>
        </w:p>
        <w:p>
          <w:pPr>
            <w:pStyle w:val="Contents6"/>
            <w:tabs>
              <w:tab w:val="clear" w:pos="7609"/>
              <w:tab w:val="right" w:pos="9026" w:leader="dot"/>
            </w:tabs>
            <w:rPr/>
          </w:pPr>
          <w:hyperlink w:anchor="__RefHeading___Toc316929_2142443653">
            <w:r>
              <w:rPr>
                <w:webHidden/>
                <w:rStyle w:val="IndexLink"/>
                <w:rtl w:val="true"/>
              </w:rPr>
              <w:t>من الفرق الفاسدة</w:t>
            </w:r>
            <w:r>
              <w:rPr>
                <w:rStyle w:val="IndexLink"/>
                <w:rtl w:val="true"/>
              </w:rPr>
              <w:t xml:space="preserve">: </w:t>
            </w:r>
            <w:r>
              <w:rPr>
                <w:rStyle w:val="IndexLink"/>
                <w:rtl w:val="true"/>
              </w:rPr>
              <w:t>الجارودية</w:t>
            </w:r>
            <w:r>
              <w:rPr>
                <w:rStyle w:val="IndexLink"/>
                <w:rtl w:val="true"/>
              </w:rPr>
              <w:tab/>
            </w:r>
            <w:r>
              <w:rPr>
                <w:rStyle w:val="IndexLink"/>
              </w:rPr>
              <w:t>364</w:t>
            </w:r>
          </w:hyperlink>
        </w:p>
        <w:p>
          <w:pPr>
            <w:pStyle w:val="Contents6"/>
            <w:tabs>
              <w:tab w:val="clear" w:pos="7609"/>
              <w:tab w:val="right" w:pos="9026" w:leader="dot"/>
            </w:tabs>
            <w:rPr/>
          </w:pPr>
          <w:hyperlink w:anchor="__RefHeading___Toc316931_2142443653">
            <w:r>
              <w:rPr>
                <w:webHidden/>
                <w:rStyle w:val="IndexLink"/>
                <w:rtl w:val="true"/>
              </w:rPr>
              <w:t>من الفرق الفاسدة</w:t>
            </w:r>
            <w:r>
              <w:rPr>
                <w:rStyle w:val="IndexLink"/>
                <w:rtl w:val="true"/>
              </w:rPr>
              <w:t xml:space="preserve">: </w:t>
            </w:r>
            <w:r>
              <w:rPr>
                <w:rStyle w:val="IndexLink"/>
                <w:rtl w:val="true"/>
              </w:rPr>
              <w:t>السليمانية</w:t>
            </w:r>
            <w:r>
              <w:rPr>
                <w:rStyle w:val="IndexLink"/>
                <w:rtl w:val="true"/>
              </w:rPr>
              <w:tab/>
            </w:r>
            <w:r>
              <w:rPr>
                <w:rStyle w:val="IndexLink"/>
              </w:rPr>
              <w:t>365</w:t>
            </w:r>
          </w:hyperlink>
        </w:p>
        <w:p>
          <w:pPr>
            <w:pStyle w:val="Contents6"/>
            <w:tabs>
              <w:tab w:val="clear" w:pos="7609"/>
              <w:tab w:val="right" w:pos="9026" w:leader="dot"/>
            </w:tabs>
            <w:rPr/>
          </w:pPr>
          <w:hyperlink w:anchor="__RefHeading___Toc316933_2142443653">
            <w:r>
              <w:rPr>
                <w:webHidden/>
                <w:rStyle w:val="IndexLink"/>
                <w:rtl w:val="true"/>
              </w:rPr>
              <w:t>من الفرق الفاسدة</w:t>
            </w:r>
            <w:r>
              <w:rPr>
                <w:rStyle w:val="IndexLink"/>
                <w:rtl w:val="true"/>
              </w:rPr>
              <w:t xml:space="preserve">: </w:t>
            </w:r>
            <w:r>
              <w:rPr>
                <w:rStyle w:val="IndexLink"/>
                <w:rtl w:val="true"/>
              </w:rPr>
              <w:t>الصالحية</w:t>
            </w:r>
            <w:r>
              <w:rPr>
                <w:rStyle w:val="IndexLink"/>
                <w:rtl w:val="true"/>
              </w:rPr>
              <w:tab/>
            </w:r>
            <w:r>
              <w:rPr>
                <w:rStyle w:val="IndexLink"/>
              </w:rPr>
              <w:t>366</w:t>
            </w:r>
          </w:hyperlink>
        </w:p>
        <w:p>
          <w:pPr>
            <w:pStyle w:val="Contents6"/>
            <w:tabs>
              <w:tab w:val="clear" w:pos="7609"/>
              <w:tab w:val="right" w:pos="9026" w:leader="dot"/>
            </w:tabs>
            <w:rPr/>
          </w:pPr>
          <w:hyperlink w:anchor="__RefHeading___Toc316935_2142443653">
            <w:r>
              <w:rPr>
                <w:webHidden/>
                <w:rStyle w:val="IndexLink"/>
                <w:rtl w:val="true"/>
              </w:rPr>
              <w:t>من الفرق الفاسدة</w:t>
            </w:r>
            <w:r>
              <w:rPr>
                <w:rStyle w:val="IndexLink"/>
                <w:rtl w:val="true"/>
              </w:rPr>
              <w:t xml:space="preserve">: </w:t>
            </w:r>
            <w:r>
              <w:rPr>
                <w:rStyle w:val="IndexLink"/>
                <w:rtl w:val="true"/>
              </w:rPr>
              <w:t>الخطابية</w:t>
            </w:r>
            <w:r>
              <w:rPr>
                <w:rStyle w:val="IndexLink"/>
                <w:rtl w:val="true"/>
              </w:rPr>
              <w:tab/>
            </w:r>
            <w:r>
              <w:rPr>
                <w:rStyle w:val="IndexLink"/>
              </w:rPr>
              <w:t>366</w:t>
            </w:r>
          </w:hyperlink>
        </w:p>
        <w:p>
          <w:pPr>
            <w:pStyle w:val="Contents6"/>
            <w:tabs>
              <w:tab w:val="clear" w:pos="7609"/>
              <w:tab w:val="right" w:pos="9026" w:leader="dot"/>
            </w:tabs>
            <w:rPr/>
          </w:pPr>
          <w:hyperlink w:anchor="__RefHeading___Toc316937_2142443653">
            <w:r>
              <w:rPr>
                <w:webHidden/>
                <w:rStyle w:val="IndexLink"/>
                <w:rtl w:val="true"/>
              </w:rPr>
              <w:t>من الفرق الفاسدة</w:t>
            </w:r>
            <w:r>
              <w:rPr>
                <w:rStyle w:val="IndexLink"/>
                <w:rtl w:val="true"/>
              </w:rPr>
              <w:t xml:space="preserve">: </w:t>
            </w:r>
            <w:r>
              <w:rPr>
                <w:rStyle w:val="IndexLink"/>
                <w:rtl w:val="true"/>
              </w:rPr>
              <w:t>البزيعية</w:t>
            </w:r>
            <w:r>
              <w:rPr>
                <w:rStyle w:val="IndexLink"/>
                <w:rtl w:val="true"/>
              </w:rPr>
              <w:tab/>
            </w:r>
            <w:r>
              <w:rPr>
                <w:rStyle w:val="IndexLink"/>
              </w:rPr>
              <w:t>368</w:t>
            </w:r>
          </w:hyperlink>
        </w:p>
        <w:p>
          <w:pPr>
            <w:pStyle w:val="Contents6"/>
            <w:tabs>
              <w:tab w:val="clear" w:pos="7609"/>
              <w:tab w:val="right" w:pos="9026" w:leader="dot"/>
            </w:tabs>
            <w:rPr/>
          </w:pPr>
          <w:hyperlink w:anchor="__RefHeading___Toc316939_2142443653">
            <w:r>
              <w:rPr>
                <w:webHidden/>
                <w:rStyle w:val="IndexLink"/>
                <w:rtl w:val="true"/>
              </w:rPr>
              <w:t>من الفرق الفاسدة</w:t>
            </w:r>
            <w:r>
              <w:rPr>
                <w:rStyle w:val="IndexLink"/>
                <w:rtl w:val="true"/>
              </w:rPr>
              <w:t xml:space="preserve">: </w:t>
            </w:r>
            <w:r>
              <w:rPr>
                <w:rStyle w:val="IndexLink"/>
                <w:rtl w:val="true"/>
              </w:rPr>
              <w:t>البيانية</w:t>
            </w:r>
            <w:r>
              <w:rPr>
                <w:rStyle w:val="IndexLink"/>
                <w:rtl w:val="true"/>
              </w:rPr>
              <w:tab/>
            </w:r>
            <w:r>
              <w:rPr>
                <w:rStyle w:val="IndexLink"/>
              </w:rPr>
              <w:t>369</w:t>
            </w:r>
          </w:hyperlink>
        </w:p>
        <w:p>
          <w:pPr>
            <w:pStyle w:val="Contents6"/>
            <w:tabs>
              <w:tab w:val="clear" w:pos="7609"/>
              <w:tab w:val="right" w:pos="9026" w:leader="dot"/>
            </w:tabs>
            <w:rPr/>
          </w:pPr>
          <w:hyperlink w:anchor="__RefHeading___Toc316941_2142443653">
            <w:r>
              <w:rPr>
                <w:webHidden/>
                <w:rStyle w:val="IndexLink"/>
                <w:rtl w:val="true"/>
              </w:rPr>
              <w:t>من الفرق الفاسدة</w:t>
            </w:r>
            <w:r>
              <w:rPr>
                <w:rStyle w:val="IndexLink"/>
                <w:rtl w:val="true"/>
              </w:rPr>
              <w:t xml:space="preserve">: </w:t>
            </w:r>
            <w:r>
              <w:rPr>
                <w:rStyle w:val="IndexLink"/>
                <w:rtl w:val="true"/>
              </w:rPr>
              <w:t>البنانية</w:t>
            </w:r>
            <w:r>
              <w:rPr>
                <w:rStyle w:val="IndexLink"/>
                <w:rtl w:val="true"/>
              </w:rPr>
              <w:tab/>
            </w:r>
            <w:r>
              <w:rPr>
                <w:rStyle w:val="IndexLink"/>
              </w:rPr>
              <w:t>370</w:t>
            </w:r>
          </w:hyperlink>
        </w:p>
        <w:p>
          <w:pPr>
            <w:pStyle w:val="Contents6"/>
            <w:tabs>
              <w:tab w:val="clear" w:pos="7609"/>
              <w:tab w:val="right" w:pos="9026" w:leader="dot"/>
            </w:tabs>
            <w:rPr/>
          </w:pPr>
          <w:hyperlink w:anchor="__RefHeading___Toc316943_2142443653">
            <w:r>
              <w:rPr>
                <w:webHidden/>
                <w:rStyle w:val="IndexLink"/>
                <w:rtl w:val="true"/>
              </w:rPr>
              <w:t>من الفرق الفاسدة</w:t>
            </w:r>
            <w:r>
              <w:rPr>
                <w:rStyle w:val="IndexLink"/>
                <w:rtl w:val="true"/>
              </w:rPr>
              <w:t xml:space="preserve">: </w:t>
            </w:r>
            <w:r>
              <w:rPr>
                <w:rStyle w:val="IndexLink"/>
                <w:rtl w:val="true"/>
              </w:rPr>
              <w:t>الحرورية</w:t>
            </w:r>
            <w:r>
              <w:rPr>
                <w:rStyle w:val="IndexLink"/>
                <w:rtl w:val="true"/>
              </w:rPr>
              <w:tab/>
            </w:r>
            <w:r>
              <w:rPr>
                <w:rStyle w:val="IndexLink"/>
              </w:rPr>
              <w:t>370</w:t>
            </w:r>
          </w:hyperlink>
        </w:p>
        <w:p>
          <w:pPr>
            <w:pStyle w:val="Contents6"/>
            <w:tabs>
              <w:tab w:val="clear" w:pos="7609"/>
              <w:tab w:val="right" w:pos="9026" w:leader="dot"/>
            </w:tabs>
            <w:rPr/>
          </w:pPr>
          <w:hyperlink w:anchor="__RefHeading___Toc316945_2142443653">
            <w:r>
              <w:rPr>
                <w:webHidden/>
                <w:rStyle w:val="IndexLink"/>
                <w:rtl w:val="true"/>
              </w:rPr>
              <w:t>من الفرق الفاسدة</w:t>
            </w:r>
            <w:r>
              <w:rPr>
                <w:rStyle w:val="IndexLink"/>
                <w:rtl w:val="true"/>
              </w:rPr>
              <w:t xml:space="preserve">: </w:t>
            </w:r>
            <w:r>
              <w:rPr>
                <w:rStyle w:val="IndexLink"/>
                <w:rtl w:val="true"/>
              </w:rPr>
              <w:t>المخمسة</w:t>
            </w:r>
            <w:r>
              <w:rPr>
                <w:rStyle w:val="IndexLink"/>
                <w:rtl w:val="true"/>
              </w:rPr>
              <w:tab/>
            </w:r>
            <w:r>
              <w:rPr>
                <w:rStyle w:val="IndexLink"/>
              </w:rPr>
              <w:t>372</w:t>
            </w:r>
          </w:hyperlink>
        </w:p>
        <w:p>
          <w:pPr>
            <w:pStyle w:val="Contents6"/>
            <w:tabs>
              <w:tab w:val="clear" w:pos="7609"/>
              <w:tab w:val="right" w:pos="9026" w:leader="dot"/>
            </w:tabs>
            <w:rPr/>
          </w:pPr>
          <w:hyperlink w:anchor="__RefHeading___Toc316947_2142443653">
            <w:r>
              <w:rPr>
                <w:webHidden/>
                <w:rStyle w:val="IndexLink"/>
                <w:rtl w:val="true"/>
              </w:rPr>
              <w:t>من الفرق الفاسدة</w:t>
            </w:r>
            <w:r>
              <w:rPr>
                <w:rStyle w:val="IndexLink"/>
                <w:rtl w:val="true"/>
              </w:rPr>
              <w:t xml:space="preserve">: </w:t>
            </w:r>
            <w:r>
              <w:rPr>
                <w:rStyle w:val="IndexLink"/>
                <w:rtl w:val="true"/>
              </w:rPr>
              <w:t>العلياوية</w:t>
            </w:r>
            <w:r>
              <w:rPr>
                <w:rStyle w:val="IndexLink"/>
                <w:rtl w:val="true"/>
              </w:rPr>
              <w:tab/>
            </w:r>
            <w:r>
              <w:rPr>
                <w:rStyle w:val="IndexLink"/>
              </w:rPr>
              <w:t>373</w:t>
            </w:r>
          </w:hyperlink>
        </w:p>
        <w:p>
          <w:pPr>
            <w:pStyle w:val="Contents6"/>
            <w:tabs>
              <w:tab w:val="clear" w:pos="7609"/>
              <w:tab w:val="right" w:pos="9026" w:leader="dot"/>
            </w:tabs>
            <w:rPr/>
          </w:pPr>
          <w:hyperlink w:anchor="__RefHeading___Toc316949_2142443653">
            <w:r>
              <w:rPr>
                <w:webHidden/>
                <w:rStyle w:val="IndexLink"/>
                <w:rtl w:val="true"/>
              </w:rPr>
              <w:t>من الفرق الفاسدة</w:t>
            </w:r>
            <w:r>
              <w:rPr>
                <w:rStyle w:val="IndexLink"/>
                <w:rtl w:val="true"/>
              </w:rPr>
              <w:t xml:space="preserve">: </w:t>
            </w:r>
            <w:r>
              <w:rPr>
                <w:rStyle w:val="IndexLink"/>
                <w:rtl w:val="true"/>
              </w:rPr>
              <w:t>القدرية</w:t>
            </w:r>
            <w:r>
              <w:rPr>
                <w:rStyle w:val="IndexLink"/>
                <w:rtl w:val="true"/>
              </w:rPr>
              <w:tab/>
            </w:r>
            <w:r>
              <w:rPr>
                <w:rStyle w:val="IndexLink"/>
              </w:rPr>
              <w:t>375</w:t>
            </w:r>
          </w:hyperlink>
        </w:p>
        <w:p>
          <w:pPr>
            <w:pStyle w:val="Contents6"/>
            <w:tabs>
              <w:tab w:val="clear" w:pos="7609"/>
              <w:tab w:val="right" w:pos="9026" w:leader="dot"/>
            </w:tabs>
            <w:rPr/>
          </w:pPr>
          <w:hyperlink w:anchor="__RefHeading___Toc316951_2142443653">
            <w:r>
              <w:rPr>
                <w:webHidden/>
                <w:rStyle w:val="IndexLink"/>
                <w:rtl w:val="true"/>
              </w:rPr>
              <w:t>من الفرق الفاسدة</w:t>
            </w:r>
            <w:r>
              <w:rPr>
                <w:rStyle w:val="IndexLink"/>
                <w:rtl w:val="true"/>
              </w:rPr>
              <w:t xml:space="preserve">: </w:t>
            </w:r>
            <w:r>
              <w:rPr>
                <w:rStyle w:val="IndexLink"/>
                <w:rtl w:val="true"/>
              </w:rPr>
              <w:t>المرجئة</w:t>
            </w:r>
            <w:r>
              <w:rPr>
                <w:rStyle w:val="IndexLink"/>
                <w:rtl w:val="true"/>
              </w:rPr>
              <w:tab/>
            </w:r>
            <w:r>
              <w:rPr>
                <w:rStyle w:val="IndexLink"/>
              </w:rPr>
              <w:t>380</w:t>
            </w:r>
          </w:hyperlink>
        </w:p>
        <w:p>
          <w:pPr>
            <w:pStyle w:val="Contents6"/>
            <w:tabs>
              <w:tab w:val="clear" w:pos="7609"/>
              <w:tab w:val="right" w:pos="9026" w:leader="dot"/>
            </w:tabs>
            <w:rPr/>
          </w:pPr>
          <w:hyperlink w:anchor="__RefHeading___Toc316953_2142443653">
            <w:r>
              <w:rPr>
                <w:webHidden/>
                <w:rStyle w:val="IndexLink"/>
                <w:rtl w:val="true"/>
              </w:rPr>
              <w:t>من الفرق الفاسدة</w:t>
            </w:r>
            <w:r>
              <w:rPr>
                <w:rStyle w:val="IndexLink"/>
                <w:rtl w:val="true"/>
              </w:rPr>
              <w:t xml:space="preserve">: </w:t>
            </w:r>
            <w:r>
              <w:rPr>
                <w:rStyle w:val="IndexLink"/>
                <w:rtl w:val="true"/>
              </w:rPr>
              <w:t>المغيرية</w:t>
            </w:r>
            <w:r>
              <w:rPr>
                <w:rStyle w:val="IndexLink"/>
                <w:rtl w:val="true"/>
              </w:rPr>
              <w:tab/>
            </w:r>
            <w:r>
              <w:rPr>
                <w:rStyle w:val="IndexLink"/>
              </w:rPr>
              <w:t>383</w:t>
            </w:r>
          </w:hyperlink>
        </w:p>
        <w:p>
          <w:pPr>
            <w:pStyle w:val="Contents6"/>
            <w:tabs>
              <w:tab w:val="clear" w:pos="7609"/>
              <w:tab w:val="right" w:pos="9026" w:leader="dot"/>
            </w:tabs>
            <w:rPr/>
          </w:pPr>
          <w:hyperlink w:anchor="__RefHeading___Toc316955_2142443653">
            <w:r>
              <w:rPr>
                <w:webHidden/>
                <w:rStyle w:val="IndexLink"/>
                <w:rtl w:val="true"/>
              </w:rPr>
              <w:t>من الفرق الفاسدة</w:t>
            </w:r>
            <w:r>
              <w:rPr>
                <w:rStyle w:val="IndexLink"/>
                <w:rtl w:val="true"/>
              </w:rPr>
              <w:t xml:space="preserve">: </w:t>
            </w:r>
            <w:r>
              <w:rPr>
                <w:rStyle w:val="IndexLink"/>
                <w:rtl w:val="true"/>
              </w:rPr>
              <w:t>النصيرية</w:t>
            </w:r>
            <w:r>
              <w:rPr>
                <w:rStyle w:val="IndexLink"/>
                <w:rtl w:val="true"/>
              </w:rPr>
              <w:tab/>
            </w:r>
            <w:r>
              <w:rPr>
                <w:rStyle w:val="IndexLink"/>
              </w:rPr>
              <w:t>385</w:t>
            </w:r>
          </w:hyperlink>
        </w:p>
        <w:p>
          <w:pPr>
            <w:pStyle w:val="Contents6"/>
            <w:tabs>
              <w:tab w:val="clear" w:pos="7609"/>
              <w:tab w:val="right" w:pos="9026" w:leader="dot"/>
            </w:tabs>
            <w:rPr/>
          </w:pPr>
          <w:hyperlink w:anchor="__RefHeading___Toc316957_2142443653">
            <w:r>
              <w:rPr>
                <w:webHidden/>
                <w:rStyle w:val="IndexLink"/>
                <w:rtl w:val="true"/>
              </w:rPr>
              <w:t>من الفرق الفاسدة</w:t>
            </w:r>
            <w:r>
              <w:rPr>
                <w:rStyle w:val="IndexLink"/>
                <w:rtl w:val="true"/>
              </w:rPr>
              <w:t xml:space="preserve">: </w:t>
            </w:r>
            <w:r>
              <w:rPr>
                <w:rStyle w:val="IndexLink"/>
                <w:rtl w:val="true"/>
              </w:rPr>
              <w:t>الشريعية</w:t>
            </w:r>
            <w:r>
              <w:rPr>
                <w:rStyle w:val="IndexLink"/>
                <w:rtl w:val="true"/>
              </w:rPr>
              <w:tab/>
            </w:r>
            <w:r>
              <w:rPr>
                <w:rStyle w:val="IndexLink"/>
              </w:rPr>
              <w:t>386</w:t>
            </w:r>
          </w:hyperlink>
        </w:p>
        <w:p>
          <w:pPr>
            <w:pStyle w:val="Contents6"/>
            <w:tabs>
              <w:tab w:val="clear" w:pos="7609"/>
              <w:tab w:val="right" w:pos="9026" w:leader="dot"/>
            </w:tabs>
            <w:rPr/>
          </w:pPr>
          <w:hyperlink w:anchor="__RefHeading___Toc316959_2142443653">
            <w:r>
              <w:rPr>
                <w:webHidden/>
                <w:rStyle w:val="IndexLink"/>
                <w:rtl w:val="true"/>
              </w:rPr>
              <w:t>من الفرق الفاسدة</w:t>
            </w:r>
            <w:r>
              <w:rPr>
                <w:rStyle w:val="IndexLink"/>
                <w:rtl w:val="true"/>
              </w:rPr>
              <w:t xml:space="preserve">: </w:t>
            </w:r>
            <w:r>
              <w:rPr>
                <w:rStyle w:val="IndexLink"/>
                <w:rtl w:val="true"/>
              </w:rPr>
              <w:t>المفوضة</w:t>
            </w:r>
            <w:r>
              <w:rPr>
                <w:rStyle w:val="IndexLink"/>
                <w:rtl w:val="true"/>
              </w:rPr>
              <w:tab/>
            </w:r>
            <w:r>
              <w:rPr>
                <w:rStyle w:val="IndexLink"/>
              </w:rPr>
              <w:t>387</w:t>
            </w:r>
          </w:hyperlink>
        </w:p>
        <w:p>
          <w:pPr>
            <w:pStyle w:val="Contents6"/>
            <w:tabs>
              <w:tab w:val="clear" w:pos="7609"/>
              <w:tab w:val="right" w:pos="9026" w:leader="dot"/>
            </w:tabs>
            <w:rPr/>
          </w:pPr>
          <w:hyperlink w:anchor="__RefHeading___Toc316961_2142443653">
            <w:r>
              <w:rPr>
                <w:webHidden/>
                <w:rStyle w:val="IndexLink"/>
                <w:rtl w:val="true"/>
              </w:rPr>
              <w:t>من الفرق الفاسدة</w:t>
            </w:r>
            <w:r>
              <w:rPr>
                <w:rStyle w:val="IndexLink"/>
                <w:rtl w:val="true"/>
              </w:rPr>
              <w:t xml:space="preserve">: </w:t>
            </w:r>
            <w:r>
              <w:rPr>
                <w:rStyle w:val="IndexLink"/>
                <w:rtl w:val="true"/>
              </w:rPr>
              <w:t>الجبرية</w:t>
            </w:r>
            <w:r>
              <w:rPr>
                <w:rStyle w:val="IndexLink"/>
                <w:rtl w:val="true"/>
              </w:rPr>
              <w:tab/>
            </w:r>
            <w:r>
              <w:rPr>
                <w:rStyle w:val="IndexLink"/>
              </w:rPr>
              <w:t>394</w:t>
            </w:r>
          </w:hyperlink>
        </w:p>
        <w:p>
          <w:pPr>
            <w:pStyle w:val="Contents6"/>
            <w:tabs>
              <w:tab w:val="clear" w:pos="7609"/>
              <w:tab w:val="right" w:pos="9026" w:leader="dot"/>
            </w:tabs>
            <w:rPr/>
          </w:pPr>
          <w:hyperlink w:anchor="__RefHeading___Toc316963_2142443653">
            <w:r>
              <w:rPr>
                <w:webHidden/>
                <w:rStyle w:val="IndexLink"/>
                <w:rtl w:val="true"/>
              </w:rPr>
              <w:t>من الفرق الفاسدة</w:t>
            </w:r>
            <w:r>
              <w:rPr>
                <w:rStyle w:val="IndexLink"/>
                <w:rtl w:val="true"/>
              </w:rPr>
              <w:t xml:space="preserve">: </w:t>
            </w:r>
            <w:r>
              <w:rPr>
                <w:rStyle w:val="IndexLink"/>
                <w:rtl w:val="true"/>
              </w:rPr>
              <w:t>الغلاة</w:t>
            </w:r>
            <w:r>
              <w:rPr>
                <w:rStyle w:val="IndexLink"/>
                <w:rtl w:val="true"/>
              </w:rPr>
              <w:tab/>
            </w:r>
            <w:r>
              <w:rPr>
                <w:rStyle w:val="IndexLink"/>
              </w:rPr>
              <w:t>403</w:t>
            </w:r>
          </w:hyperlink>
        </w:p>
        <w:p>
          <w:pPr>
            <w:pStyle w:val="Contents6"/>
            <w:tabs>
              <w:tab w:val="clear" w:pos="7609"/>
              <w:tab w:val="right" w:pos="9026" w:leader="dot"/>
            </w:tabs>
            <w:rPr/>
          </w:pPr>
          <w:hyperlink w:anchor="__RefHeading___Toc316965_2142443653">
            <w:r>
              <w:rPr>
                <w:webHidden/>
                <w:rStyle w:val="IndexLink"/>
                <w:rtl w:val="true"/>
              </w:rPr>
              <w:t>فرق الغلاة</w:t>
            </w:r>
            <w:r>
              <w:rPr>
                <w:rStyle w:val="IndexLink"/>
                <w:rtl w:val="true"/>
              </w:rPr>
              <w:tab/>
            </w:r>
            <w:r>
              <w:rPr>
                <w:rStyle w:val="IndexLink"/>
              </w:rPr>
              <w:t>405</w:t>
            </w:r>
          </w:hyperlink>
        </w:p>
        <w:p>
          <w:pPr>
            <w:pStyle w:val="Contents2"/>
            <w:tabs>
              <w:tab w:val="clear" w:pos="8743"/>
              <w:tab w:val="right" w:pos="9026" w:leader="dot"/>
            </w:tabs>
            <w:rPr/>
          </w:pPr>
          <w:hyperlink w:anchor="__RefHeading___Toc316967_2142443653">
            <w:r>
              <w:rPr>
                <w:webHidden/>
                <w:rStyle w:val="IndexLink"/>
                <w:rtl w:val="true"/>
              </w:rPr>
              <w:t>فهرس موضوعات الجزء الثاني من كتاب مقباس الهداية في علم الدراية</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33_241427"/>
      <w:bookmarkStart w:id="1" w:name="pg15033_241427"/>
      <w:bookmarkEnd w:id="1"/>
    </w:p>
    <w:p>
      <w:pPr>
        <w:pStyle w:val="Heading2"/>
        <w:numPr>
          <w:ilvl w:val="1"/>
          <w:numId w:val="1"/>
        </w:numPr>
        <w:rPr/>
      </w:pPr>
      <w:bookmarkStart w:id="2" w:name="pg15033_241427"/>
      <w:bookmarkStart w:id="3" w:name="__RefHeading___Toc316495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49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في علم الدراية </w:t>
      </w:r>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لموسسه آل البیت علیهم السلام لإحیاء التراث </w:t>
      </w:r>
    </w:p>
    <w:p>
      <w:pPr>
        <w:pStyle w:val="BookText"/>
        <w:rPr/>
      </w:pPr>
      <w:r>
        <w:rPr>
          <w:rFonts w:ascii="Amiri" w:hAnsi="Amiri" w:eastAsia="Amiri" w:cs="Amiri"/>
          <w:color w:val="111111"/>
          <w:sz w:val="28"/>
          <w:sz w:val="28"/>
          <w:szCs w:val="28"/>
          <w:rtl w:val="true"/>
          <w:lang w:bidi="ar-SA"/>
        </w:rPr>
        <w:t xml:space="preserve">الامام الباقرعليه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اعْرِفْ‌ مَنَازِلَ‌ الشِّيعَةِ عَلَى‌ قَدْرِ رِوَايَتِهِمْ‌ وَ مَعْرِفَتِهِمْ فَإِنَّ الْمَعْرِفَةَ هِيَ الدِّرَايَةُ لِلرِّوَايَةِ وَ بِالدِّرَايَاتِ لِلرِّوَايَاتِ يَعْلُو الْمُؤْمِنُ إِلَى أَقْصَى دَرَجَاتِ الْإِيمَانِ إِنِّي نَظَرْتُ فِي كِتَابٍ لِعَلِيٍّ عليه السلام فَوَجَدْتُ فِي الْكِتَابِ أَنَّ قِيمَةَ كُلِّ امْرِئٍ وَ قَدْرَهُ مَعْرِفَتُهُ إِنَّ اللَّهَ تَبَارَكَ وَ تَعَالَى يُحَاسِبُ النَّاسَ عَلَى قَدْرِ مَا آتَاهُمْ مِنَ الْعُقُولِ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بحارالأنوار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33_241435"/>
      <w:bookmarkStart w:id="8" w:name="pg15033_241435"/>
      <w:bookmarkEnd w:id="8"/>
    </w:p>
    <w:p>
      <w:pPr>
        <w:pStyle w:val="Heading2"/>
        <w:numPr>
          <w:ilvl w:val="1"/>
          <w:numId w:val="1"/>
        </w:numPr>
        <w:rPr/>
      </w:pPr>
      <w:bookmarkStart w:id="9" w:name="pg15033_241435"/>
      <w:bookmarkStart w:id="10" w:name="__RefHeading___Toc316499_2142443653"/>
      <w:bookmarkStart w:id="11" w:name="_Toc3"/>
      <w:bookmarkEnd w:id="9"/>
      <w:bookmarkEnd w:id="10"/>
      <w:r>
        <w:rPr>
          <w:rtl w:val="true"/>
        </w:rPr>
        <w:t xml:space="preserve">الفصل السادس فيمن تقبل روايته، و من تردّ روايته، و ما يتعلق به من الجرح و التعديل </w:t>
      </w:r>
      <w:r>
        <w:rPr>
          <w:rtl w:val="true"/>
        </w:rPr>
        <w:t>.</w:t>
      </w:r>
      <w:bookmarkEnd w:id="11"/>
    </w:p>
    <w:p>
      <w:pPr>
        <w:pStyle w:val="Heading3"/>
        <w:numPr>
          <w:ilvl w:val="2"/>
          <w:numId w:val="1"/>
        </w:numPr>
        <w:rPr/>
      </w:pPr>
      <w:bookmarkStart w:id="12" w:name="__RefHeading___Toc316501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السادس فيمن تقبل روايته، و من تردّ روايته، و ما يتعلق به من الجرح و التعديل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قبل الأخذ في ذلك تقديم مقدمة، ذكرها في البداية</w:t>
      </w:r>
      <w:r>
        <w:rPr>
          <w:rStyle w:val="FootnoteAnchor"/>
          <w:rtl w:val="true"/>
        </w:rPr>
        <w:footnoteReference w:id="3"/>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من تقبل روايته و من تردّ من أهم أنواع علم الحديث، و أتمها نفعا، و ألزمها ضبطا و حفظا، لأن بها يحصل التمييز بين صحيح الرواية و ضعيفها، و التفرقة بين الحجّة </w:t>
      </w:r>
    </w:p>
    <w:p>
      <w:pPr>
        <w:pStyle w:val="BookText"/>
        <w:rPr/>
      </w:pPr>
      <w:r>
        <w:rPr>
          <w:rFonts w:ascii="Amiri" w:hAnsi="Amiri" w:eastAsia="Amiri" w:cs="Amiri"/>
          <w:color w:val="111111"/>
          <w:sz w:val="28"/>
          <w:sz w:val="28"/>
          <w:szCs w:val="28"/>
          <w:rtl w:val="true"/>
          <w:lang w:bidi="ar-SA"/>
        </w:rPr>
        <w:t>اللاحجّة، و لذا جعلوا مصلحته أهم من مفسدة القدح في المسلم المستور</w:t>
      </w:r>
      <w:r>
        <w:rPr>
          <w:rStyle w:val="FootnoteAnchor"/>
          <w:rtl w:val="true"/>
        </w:rPr>
        <w:footnoteReference w:id="4"/>
      </w:r>
      <w:r>
        <w:rPr>
          <w:rFonts w:ascii="Amiri" w:hAnsi="Amiri" w:eastAsia="Amiri" w:cs="Amiri"/>
          <w:color w:val="111111"/>
          <w:sz w:val="28"/>
          <w:sz w:val="28"/>
          <w:szCs w:val="28"/>
          <w:rtl w:val="true"/>
          <w:lang w:bidi="ar-SA"/>
        </w:rPr>
        <w:t>، و إشاعة الفاحشة في الذين آمنوا، و اللازمين لذكر الجرح في الرواة، و جوّزوا لذلك هذا البحث، و وجه الأهمية ظاهر، فان فيه صيانة الشريعة المطهرة من ادخال ما ليس منها فيها، و نفيا للخطإ و الكذب عنها</w:t>
      </w:r>
      <w:r>
        <w:rPr>
          <w:rStyle w:val="FootnoteAnchor"/>
          <w:rtl w:val="true"/>
        </w:rPr>
        <w:footnoteReference w:id="5"/>
      </w:r>
      <w:r>
        <w:rPr>
          <w:rFonts w:ascii="Amiri" w:hAnsi="Amiri" w:eastAsia="Amiri" w:cs="Amiri"/>
          <w:color w:val="111111"/>
          <w:sz w:val="28"/>
          <w:sz w:val="28"/>
          <w:szCs w:val="28"/>
          <w:rtl w:val="true"/>
          <w:lang w:bidi="ar-SA"/>
        </w:rPr>
        <w:t>، و قد روى انه قيل لبعض العلماء</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تخشى أن يكون هؤلاء الذين تركت حديثهم خصماء لك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يكونوا خصمائي احب اليّ من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تذبّ الكذب عن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بعضهم سمع من بعض العلماء شيئا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تغتاب</w:t>
      </w:r>
      <w:r>
        <w:rPr>
          <w:rStyle w:val="FootnoteAnchor"/>
          <w:rtl w:val="true"/>
        </w:rPr>
        <w:footnoteReference w:id="7"/>
      </w:r>
      <w:r>
        <w:rPr>
          <w:rFonts w:ascii="Amiri" w:hAnsi="Amiri" w:eastAsia="Amiri" w:cs="Amiri"/>
          <w:color w:val="111111"/>
          <w:sz w:val="28"/>
          <w:sz w:val="28"/>
          <w:szCs w:val="28"/>
          <w:rtl w:val="true"/>
          <w:lang w:bidi="ar-SA"/>
        </w:rPr>
        <w:t>العلماء،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نصيحة، و ليست غيبة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ادّعى غير واحد من الأواخر الاجماع على استثنائه من حرمة الغيبة</w:t>
      </w:r>
      <w:r>
        <w:rPr>
          <w:rStyle w:val="FootnoteAnchor"/>
          <w:rtl w:val="true"/>
        </w:rPr>
        <w:footnoteReference w:id="9"/>
      </w:r>
      <w:r>
        <w:rPr>
          <w:rFonts w:ascii="Amiri" w:hAnsi="Amiri" w:eastAsia="Amiri" w:cs="Amiri"/>
          <w:color w:val="111111"/>
          <w:sz w:val="28"/>
          <w:sz w:val="28"/>
          <w:szCs w:val="28"/>
          <w:rtl w:val="true"/>
          <w:lang w:bidi="ar-SA"/>
        </w:rPr>
        <w:t xml:space="preserve">و استدلوا على ذلك مضافا اليه بأهمية مصلحة حفظ أحكام اللّه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عن الضياع من مفسدة الغيبة، و بالأخبار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جملة من الرواة، و بيان فسقهم و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مما لا شبهة فيه، بل هو من فروض الكفايات، كأصل المعرفة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المتكلم في ذلك التثبت في نظره و جرحه لئلا يقدح في برء</w:t>
      </w:r>
      <w:r>
        <w:rPr>
          <w:rStyle w:val="FootnoteAnchor"/>
          <w:rtl w:val="true"/>
        </w:rPr>
        <w:footnoteReference w:id="10"/>
      </w:r>
      <w:r>
        <w:rPr>
          <w:rFonts w:ascii="Amiri" w:hAnsi="Amiri" w:eastAsia="Amiri" w:cs="Amiri"/>
          <w:color w:val="111111"/>
          <w:sz w:val="28"/>
          <w:sz w:val="28"/>
          <w:szCs w:val="28"/>
          <w:rtl w:val="true"/>
          <w:lang w:bidi="ar-SA"/>
        </w:rPr>
        <w:t>غير مجروح بما ظنه جرحا، فيجرح سليما، يسم بريئا بسمة سوء يبقى عليه الدهر عارها، فقد أخطأ في ذلك غير واحد، فطعنوا في أكابر من الرواة استنادا الى طعن ورد فيهم له محمل، كما لا يخفى على من راجع كتب الرجال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 البداية حيث قال بعد التنبيه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ينبغي للماهر</w:t>
      </w:r>
      <w:r>
        <w:rPr>
          <w:rStyle w:val="FootnoteAnchor"/>
          <w:rtl w:val="true"/>
        </w:rPr>
        <w:footnoteReference w:id="11"/>
      </w:r>
      <w:r>
        <w:rPr>
          <w:rFonts w:ascii="Amiri" w:hAnsi="Amiri" w:eastAsia="Amiri" w:cs="Amiri"/>
          <w:color w:val="111111"/>
          <w:sz w:val="28"/>
          <w:sz w:val="28"/>
          <w:szCs w:val="28"/>
          <w:rtl w:val="true"/>
          <w:lang w:bidi="ar-SA"/>
        </w:rPr>
        <w:t xml:space="preserve">في هذه الصناعة، و من وهبه اللّه تعالى أحسن بضاعة، تدبر ما ذكروه، و مراعاة ما قرّروه، فلعله يظفر بكثير مما اهملوه، و يطّلع على توجيه في المدح و القدح قد أغفلوه، كما اطلعنا عليه كثيرا، و نبهنا عليه في مواضع كثيرة، وضعناها على كتب القوم، خصوصا مع تعارض الأخبار في الجرح و المدح، فانه وقع لكثير من أكابر الرواة، و قد أودعه الكشي في كتابه من غير ترجيح، و تكلم من بعده في ذلك فاختلفوا في ترجيح أيهما على الآخر اختلافا كثيرا، فلا ينبغي لمن قدر على البحث تقليدهم في ذلك، بل ينفق مما آتاه اللّه تعالى، فلكل </w:t>
      </w:r>
      <w:bookmarkStart w:id="14" w:name="pg15033_241438"/>
    </w:p>
    <w:p>
      <w:pPr>
        <w:pStyle w:val="BookText"/>
        <w:rPr/>
      </w:pPr>
      <w:bookmarkEnd w:id="14"/>
      <w:r>
        <w:rPr>
          <w:rFonts w:ascii="Amiri" w:hAnsi="Amiri" w:eastAsia="Amiri" w:cs="Amiri"/>
          <w:color w:val="111111"/>
          <w:sz w:val="28"/>
          <w:sz w:val="28"/>
          <w:szCs w:val="28"/>
          <w:rtl w:val="true"/>
          <w:lang w:bidi="ar-SA"/>
        </w:rPr>
        <w:t>مجتهد نصيب، فان طريق الجمع بينها ملتبس على كثير حسب اختلاف طرقه و أصوله في العمل بالأخبار الصحيحة و الحسنة و الموثقة و طرحها أو بعضها، فربما لم يكن في أحد الجانبين حديث صحيح فلا يحتاج الى البحث عن الجمع بينها، بل يعمل بالصحيح خاصة، حيث يكون ذلك من أصول الباحث، و ربما يكون بعضها صحيحا، و نقيضه حسنا أو موثقا، و يكون من أصله العمل بالجميع، و يجمع بينهما بما لا يوافق أصل الباحث الآخر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كثيرا ما يتفق لهم التعديل، بما لا يصلح تعديلا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الظاهر أن تتمة الكلام من الشهيد قدس سره الا أن درايتنا ليس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ليست في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غرض أو هوى يحملك كل منها على التحامل و الانحراف و ترك الانصاف أو الاطراء و الافتراء فذلك شر الأمور التي تدخل على القائم بذلك الآفة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يجرحون بما لا يكون جرحا، فلذلك يلزم المجتهد بذل الوسع في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 قد عرفت المقدمة، فاعلم أن هنا جهات من الكلام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16503_2142443653"/>
      <w:bookmarkStart w:id="16" w:name="_Toc5"/>
      <w:bookmarkEnd w:id="15"/>
      <w:r>
        <w:rPr>
          <w:rtl w:val="true"/>
        </w:rPr>
        <w:t>الجهة الأولى</w:t>
      </w:r>
      <w:r>
        <w:rPr>
          <w:rtl w:val="true"/>
        </w:rPr>
        <w:t xml:space="preserve">: </w:t>
      </w:r>
      <w:r>
        <w:rPr>
          <w:rtl w:val="true"/>
        </w:rPr>
        <w:t>شروطا قبول الخبر الواحد في الراوي</w:t>
      </w:r>
      <w:bookmarkEnd w:id="16"/>
    </w:p>
    <w:p>
      <w:pPr>
        <w:pStyle w:val="Heading4"/>
        <w:numPr>
          <w:ilvl w:val="3"/>
          <w:numId w:val="1"/>
        </w:numPr>
        <w:rPr/>
      </w:pPr>
      <w:bookmarkStart w:id="17" w:name="__RefHeading___Toc316505_2142443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ذكروا شروطا لقبول خبر الواحد في الراوي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اهلية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تلقي الحديث و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اهلية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تبليغ الحديث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الثانية هنا، و أشار في مطاوي كلماته الآتية في المقام الأول من الفصل السابع الى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سنفصل القول هناك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أغلبها مبني على اعتبار الخبر من الأدلة</w:t>
      </w:r>
      <w:bookmarkStart w:id="19" w:name="pg15033_241439"/>
    </w:p>
    <w:p>
      <w:pPr>
        <w:pStyle w:val="BookText"/>
        <w:rPr/>
      </w:pPr>
      <w:bookmarkEnd w:id="19"/>
      <w:r>
        <w:rPr>
          <w:rFonts w:ascii="Amiri" w:hAnsi="Amiri" w:eastAsia="Amiri" w:cs="Amiri"/>
          <w:color w:val="111111"/>
          <w:sz w:val="28"/>
          <w:sz w:val="28"/>
          <w:szCs w:val="28"/>
          <w:rtl w:val="true"/>
          <w:lang w:bidi="ar-SA"/>
        </w:rPr>
        <w:t>الخاصة</w:t>
      </w:r>
      <w:r>
        <w:rPr>
          <w:rStyle w:val="FootnoteAnchor"/>
          <w:rtl w:val="true"/>
        </w:rPr>
        <w:footnoteReference w:id="14"/>
      </w:r>
      <w:r>
        <w:rPr>
          <w:rFonts w:ascii="Amiri" w:hAnsi="Amiri" w:eastAsia="Amiri" w:cs="Amiri"/>
          <w:color w:val="111111"/>
          <w:sz w:val="28"/>
          <w:sz w:val="28"/>
          <w:szCs w:val="28"/>
          <w:rtl w:val="true"/>
          <w:lang w:bidi="ar-SA"/>
        </w:rPr>
        <w:t>، و أما بناء على اعتباره من باب مطلق الظن، أو من باب الاطمئنان، فلا وجه لاعتبار غير العقل و الضبط، بل المدار حينئذ على حصول الظن على الأول، و الاطمئنان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اعتبار تلك الشرائط على هذا المبنى إنما هو للتنبيه على أن الخالي عن المذكورات لا يفيد الظن أو الاطمئنان، أو لبيان مراتب الظن أو</w:t>
      </w:r>
      <w:r>
        <w:rPr>
          <w:rStyle w:val="FootnoteAnchor"/>
          <w:rtl w:val="true"/>
        </w:rPr>
        <w:footnoteReference w:id="15"/>
      </w:r>
      <w:r>
        <w:rPr>
          <w:rFonts w:ascii="Amiri" w:hAnsi="Amiri" w:eastAsia="Amiri" w:cs="Amiri"/>
          <w:color w:val="111111"/>
          <w:sz w:val="28"/>
          <w:sz w:val="28"/>
          <w:szCs w:val="28"/>
          <w:rtl w:val="true"/>
          <w:lang w:bidi="ar-SA"/>
        </w:rPr>
        <w:t>الاطمئنان، أو لاثبات تحريم العمل بالخالي عن الشرائط كالقياس، كما ترى، ضرورة كون حصول الاطمينان من خبر الفاسق و المخالف في جملة من المقامات، و إن لم يحتف بقرائن قطعية وجدانيا، و تحريم العمل بالاطمئنان العادي الذي على العمل به اتفاق العقلاء لا يحتمله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تحريم العمل بمطلق الظن الغير</w:t>
      </w:r>
      <w:r>
        <w:rPr>
          <w:rStyle w:val="FootnoteAnchor"/>
          <w:rtl w:val="true"/>
        </w:rPr>
        <w:footnoteReference w:id="16"/>
      </w:r>
      <w:r>
        <w:rPr>
          <w:rFonts w:ascii="Amiri" w:hAnsi="Amiri" w:eastAsia="Amiri" w:cs="Amiri"/>
          <w:color w:val="111111"/>
          <w:sz w:val="28"/>
          <w:sz w:val="28"/>
          <w:szCs w:val="28"/>
          <w:rtl w:val="true"/>
          <w:lang w:bidi="ar-SA"/>
        </w:rPr>
        <w:t>البالغ حد الاطمينان موجّه، كما برهن عليه في محله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16507_2142443653"/>
      <w:bookmarkStart w:id="21" w:name="_Toc7"/>
      <w:bookmarkEnd w:id="20"/>
      <w:r>
        <w:rPr>
          <w:rtl w:val="true"/>
        </w:rPr>
        <w:t>الشروط التي اعتبروها في الراوي</w:t>
      </w:r>
      <w:r>
        <w:rPr>
          <w:rtl w:val="true"/>
        </w:rPr>
        <w:t>:</w:t>
      </w:r>
      <w:bookmarkEnd w:id="21"/>
    </w:p>
    <w:p>
      <w:pPr>
        <w:pStyle w:val="Heading5"/>
        <w:numPr>
          <w:ilvl w:val="4"/>
          <w:numId w:val="1"/>
        </w:numPr>
        <w:rPr/>
      </w:pPr>
      <w:bookmarkStart w:id="22" w:name="__RefHeading___Toc316509_2142443653"/>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 كيف كان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التي اعتبروها في الراوي</w:t>
      </w:r>
      <w:r>
        <w:rPr>
          <w:rFonts w:eastAsia="Amiri" w:cs="Amiri" w:ascii="Amiri" w:hAnsi="Amiri"/>
          <w:color w:val="111111"/>
          <w:sz w:val="28"/>
          <w:szCs w:val="28"/>
          <w:rtl w:val="true"/>
          <w:lang w:bidi="ar-SA"/>
        </w:rPr>
        <w:t>:</w:t>
      </w:r>
      <w:r>
        <w:rPr>
          <w:rStyle w:val="FootnoteAnchor"/>
          <w:rtl w:val="true"/>
        </w:rPr>
        <w:footnoteReference w:id="17"/>
      </w:r>
    </w:p>
    <w:p>
      <w:pPr>
        <w:pStyle w:val="Heading5"/>
        <w:numPr>
          <w:ilvl w:val="4"/>
          <w:numId w:val="1"/>
        </w:numPr>
        <w:rPr/>
      </w:pPr>
      <w:bookmarkStart w:id="24" w:name="__RefHeading___Toc316511_2142443653"/>
      <w:bookmarkStart w:id="25" w:name="_Toc9"/>
      <w:bookmarkEnd w:id="24"/>
      <w:r>
        <w:rPr>
          <w:rtl w:val="true"/>
        </w:rPr>
        <w:t>الاول الاسلام</w:t>
      </w:r>
      <w:r>
        <w:rPr>
          <w:rtl w:val="true"/>
        </w:rPr>
        <w:t>:</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المشهور اعتباره، بل نقل في البداية اتفاق ائمة الحديث </w:t>
      </w:r>
    </w:p>
    <w:p>
      <w:pPr>
        <w:pStyle w:val="BookText"/>
        <w:rPr/>
      </w:pPr>
      <w:r>
        <w:rPr>
          <w:rFonts w:ascii="Amiri" w:hAnsi="Amiri" w:eastAsia="Amiri" w:cs="Amiri"/>
          <w:color w:val="111111"/>
          <w:sz w:val="28"/>
          <w:sz w:val="28"/>
          <w:szCs w:val="28"/>
          <w:rtl w:val="true"/>
          <w:lang w:bidi="ar-SA"/>
        </w:rPr>
        <w:t>و الأصول الفقهية عليه</w:t>
      </w:r>
      <w:r>
        <w:rPr>
          <w:rStyle w:val="FootnoteAnchor"/>
          <w:rtl w:val="true"/>
        </w:rPr>
        <w:footnoteReference w:id="18"/>
      </w:r>
      <w:r>
        <w:rPr>
          <w:rFonts w:ascii="Amiri" w:hAnsi="Amiri" w:eastAsia="Amiri" w:cs="Amiri"/>
          <w:color w:val="111111"/>
          <w:sz w:val="28"/>
          <w:sz w:val="28"/>
          <w:szCs w:val="28"/>
          <w:rtl w:val="true"/>
          <w:lang w:bidi="ar-SA"/>
        </w:rPr>
        <w:t>، فلا تقبل رواية الكافر مطلقا، سواء كان من غير أهل القبلة كاليهود و النصارى أو من أهل القبلة، كالمجسمة و الخوارج و الغلاة عند من يكفرهم</w:t>
      </w:r>
      <w:r>
        <w:rPr>
          <w:rStyle w:val="FootnoteAnchor"/>
          <w:rtl w:val="true"/>
        </w:rPr>
        <w:footnoteReference w:id="19"/>
      </w:r>
      <w:r>
        <w:rPr>
          <w:rFonts w:ascii="Amiri" w:hAnsi="Amiri" w:eastAsia="Amiri" w:cs="Amiri"/>
          <w:color w:val="111111"/>
          <w:sz w:val="28"/>
          <w:sz w:val="28"/>
          <w:szCs w:val="28"/>
          <w:rtl w:val="true"/>
          <w:lang w:bidi="ar-SA"/>
        </w:rPr>
        <w:t>، و الظاهر أن القسم الأول و هو غير أهل القبلة محل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ففيه خلاف، و قد حكي عن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روايته ان كان مذهبه تحريم الكذب، و عدم القبول ان لم يكن مذهبه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السيد عميد الدين في منية اللبيب في شرح التهذيب الاجماع على عدم قبول رواية غير أهل القبلة من الكفار</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كذا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 جملة من المصادر السابقة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سواء كان من مذهبه تحريم الكذب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حنيفة و إن كان يقبل شهادة الذمي على مثله للضرورة، صيانة للحقوق، اذ أكثر معاملاتهم لا يحضرها مسلمان الا أنه صرح بعدم قبول روايته، فلم يكن قادحا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جمع منهم ثاني الشهيدين في البداية على عدم القبول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البداية و غيره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يجب التثبت عند خبر الفاسق، فيلزم عدم اعتبار خبر الكافر بطريق أولى، إذ يشمل الفاسق الكافر، و قبول شهادته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أضعف من الشهادة</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خاص</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حكي عن المحرر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فيبقى العام معتبرا في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بين قوله في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تهافتا، فإن ظاهر الأول عدم شمول الفاسق في الآية</w:t>
      </w:r>
      <w:r>
        <w:rPr>
          <w:rStyle w:val="FootnoteAnchor"/>
          <w:rtl w:val="true"/>
        </w:rPr>
        <w:footnoteReference w:id="23"/>
      </w:r>
      <w:r>
        <w:rPr>
          <w:rFonts w:ascii="Amiri" w:hAnsi="Amiri" w:eastAsia="Amiri" w:cs="Amiri"/>
          <w:color w:val="111111"/>
          <w:sz w:val="28"/>
          <w:sz w:val="28"/>
          <w:szCs w:val="28"/>
          <w:rtl w:val="true"/>
          <w:lang w:bidi="ar-SA"/>
        </w:rPr>
        <w:t xml:space="preserve">للكافر، و أن الاستدلال بها </w:t>
      </w:r>
    </w:p>
    <w:p>
      <w:pPr>
        <w:pStyle w:val="BookText"/>
        <w:rPr/>
      </w:pPr>
      <w:r>
        <w:rPr>
          <w:rFonts w:ascii="Amiri" w:hAnsi="Amiri" w:eastAsia="Amiri" w:cs="Amiri"/>
          <w:color w:val="111111"/>
          <w:sz w:val="28"/>
          <w:sz w:val="28"/>
          <w:szCs w:val="28"/>
          <w:rtl w:val="true"/>
          <w:lang w:bidi="ar-SA"/>
        </w:rPr>
        <w:t>بمئونة الأولوية، و ظاهر الثاني شمول لفظ الفاسق للكافر، فيندرج تحت الآية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يمكن المناقشة في الأول بمنع الأولوية، فإن الفاسق إنما لم تقبل روايته لما علم من اجترائه على فعل المحرمات، مع اعتقاد تحريمها، و هذا المعنى غير متحقق في حق الكافر، إذا كان عدلا في دينه، معتقدا لتحريم الكذب، ممتنعا منه، حسب امتناع العدل المسلم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يتّجه على الثاني ما في مسالكه من منع دلالة آية النبأ على اشتراط الإسلام في الشاهد، معللا بأن الفسق إنما يتحقق بفعل المعصية المخصوصة مع العلم بكونه معصية، أما مع عدمه، بل مع اعتقاد أنه طاعة، بل من أمهات الطاعات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العدالة تتحقق في جميع أهل الملل مع قيامهم بمقتضاها بحسب اعتقادهم، و يحتاج في إخراج بعض الأفراد إلى الدليل</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إن كان يردّ ما ذكره تصريح جمع منهم الشيخ في الخلاف</w:t>
      </w:r>
      <w:r>
        <w:rPr>
          <w:rStyle w:val="FootnoteAnchor"/>
          <w:rtl w:val="true"/>
        </w:rPr>
        <w:footnoteReference w:id="26"/>
      </w:r>
      <w:r>
        <w:rPr>
          <w:rFonts w:ascii="IRNazanin" w:hAnsi="IRNazanin" w:eastAsia="IRNazanin"/>
          <w:color w:val="111111"/>
          <w:sz w:val="28"/>
          <w:sz w:val="28"/>
          <w:szCs w:val="28"/>
          <w:rtl w:val="true"/>
          <w:lang w:bidi="fa-IR"/>
        </w:rPr>
        <w:t>و المبسوط</w:t>
      </w:r>
      <w:r>
        <w:rPr>
          <w:rStyle w:val="FootnoteAnchor"/>
          <w:rtl w:val="true"/>
        </w:rPr>
        <w:footnoteReference w:id="27"/>
      </w:r>
      <w:r>
        <w:rPr>
          <w:rFonts w:ascii="IRNazanin" w:hAnsi="IRNazanin" w:eastAsia="IRNazanin"/>
          <w:color w:val="111111"/>
          <w:sz w:val="28"/>
          <w:sz w:val="28"/>
          <w:szCs w:val="28"/>
          <w:rtl w:val="true"/>
          <w:lang w:bidi="fa-IR"/>
        </w:rPr>
        <w:t>، و أبو الصلاح</w:t>
      </w:r>
      <w:r>
        <w:rPr>
          <w:rStyle w:val="FootnoteAnchor"/>
          <w:rtl w:val="true"/>
        </w:rPr>
        <w:footnoteReference w:id="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نعم لا مانع من أن يسمع المشرك و الذمي و المغالي و الناصب الحديث ثم يؤدونه مسلمين إذا كان ضابطا لها شهادة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بصدق الفاسق على الكافر حقيقه لغة و شرعا، فإن الكافر يحكم بغير ما أنزل اللّه تعالى،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هنا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وضعنا بدلا منها قوس، و لم نجد العبارة في درايتنا، و لا أعلم لمن هي، و الظاهر عدم الحاجة إلى كلمة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يمكن أن يقال مع تسليم صدق الفاسق على الكافر أيضا لا تدل الآية على عدم قبول روايته إذا كان ثقة، لأن معرفة كونه ثقة نوع تثبت في خبره، و قد حصل و إن كان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ثمرة يعتد بها في خصوص العمل برواياتنا و إن كان يثمر في غير الرواية المصطلحة مما يحتاج إليه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الثمرة في رواياتنا المروية من قبل أهل الفرق الباطلة إذا حكمنا بكفرهم و اشترطنا الإسلام في الراوي، دون ما لو اكتفينا بالوثاقة خاصة،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ظالم، و كل ظالم لا يجوز قبول خبره، فالكافر لا يجوز قبول 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الصغرى، فلأنه لا يحكم بما أنزل اللّه تعالى، و كل من كان كذلك، فهو ظالم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اَلظّالِمُونَ </w:t>
      </w:r>
      <w:r>
        <w:rPr>
          <w:rStyle w:val="FootnoteAnchor"/>
          <w:rtl w:val="true"/>
        </w:rPr>
        <w:footnoteReference w:id="30"/>
      </w:r>
      <w:r>
        <w:rPr>
          <w:rFonts w:ascii="Amiri" w:hAnsi="Amiri" w:eastAsia="Amiri" w:cs="Amiri"/>
          <w:color w:val="111111"/>
          <w:sz w:val="28"/>
          <w:sz w:val="28"/>
          <w:szCs w:val="28"/>
          <w:rtl w:val="true"/>
          <w:lang w:bidi="ar-SA"/>
        </w:rPr>
        <w:t>، و لا يختص هذا بمن نزل فيه و هم اليهود، لأن العبرة بعموم الجواب، لا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31"/>
      </w:r>
      <w:r>
        <w:rPr>
          <w:rFonts w:ascii="Amiri" w:hAnsi="Amiri" w:eastAsia="Amiri" w:cs="Amiri"/>
          <w:color w:val="111111"/>
          <w:sz w:val="28"/>
          <w:sz w:val="28"/>
          <w:szCs w:val="28"/>
          <w:rtl w:val="true"/>
          <w:lang w:bidi="ar-SA"/>
        </w:rPr>
        <w:t>و لا ريب في كون قبول روايته ركونا إليه، لكن يمكن التأمل في صدق الركون على قبول خبره،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عدم قبول شهادة الكافر، و عدم جواز الوصية، و في تمامية الفحوى نظر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خبر الكافر يستلزم المساواة بينه و بين المسلم، و قد نفى اللّه تعالى المساواة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33"/>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w:t>
      </w:r>
      <w:r>
        <w:rPr>
          <w:rStyle w:val="FootnoteAnchor"/>
          <w:rtl w:val="true"/>
        </w:rPr>
        <w:footnoteReference w:id="34"/>
      </w:r>
      <w:r>
        <w:rPr>
          <w:rFonts w:ascii="Amiri" w:hAnsi="Amiri" w:eastAsia="Amiri" w:cs="Amiri"/>
          <w:color w:val="111111"/>
          <w:sz w:val="28"/>
          <w:sz w:val="28"/>
          <w:szCs w:val="28"/>
          <w:rtl w:val="true"/>
          <w:lang w:bidi="ar-SA"/>
        </w:rPr>
        <w:t>، و أنت خبير بعدم شمول المساواة المنفية لمثل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الحسين لقبول رواية أهل القبلة من الكفار كالخوارج </w:t>
      </w:r>
      <w:bookmarkStart w:id="26" w:name="pg15033_241445"/>
    </w:p>
    <w:p>
      <w:pPr>
        <w:pStyle w:val="BookText"/>
        <w:rPr/>
      </w:pPr>
      <w:bookmarkEnd w:id="26"/>
      <w:r>
        <w:rPr>
          <w:rFonts w:ascii="Amiri" w:hAnsi="Amiri" w:eastAsia="Amiri" w:cs="Amiri"/>
          <w:color w:val="111111"/>
          <w:sz w:val="28"/>
          <w:sz w:val="28"/>
          <w:szCs w:val="28"/>
          <w:rtl w:val="true"/>
          <w:lang w:bidi="ar-SA"/>
        </w:rPr>
        <w:t>و الغلاة بأن أصحاب الحديث قبلوا أخبار السلف كالحسن البصري، و قتادة، و عمرو بن عبيدة، مع علمهم بمذهبهم، و اعتقادهم كفر القائل بذلك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قبول أصحاب الحديث رواية من يعتقدون بكفره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إن كان مجموع أصحاب الحديث بحيث يكون ذلك إجماعا منهم منعناه، لوضوح أن المشهور بينهم عدم القبول، و إن كان البعض لم يكن قبوله حجة</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أما الجواب الأول فكذلك، إلا أن نمنع حجية فعلهم مع كونها سيرة عملية كاشفة و لا أقل من أن يؤخذ بالقدر المتيقن منها،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316513_2142443653"/>
      <w:bookmarkStart w:id="28" w:name="_Toc10"/>
      <w:bookmarkEnd w:id="27"/>
      <w:r>
        <w:rPr>
          <w:rtl w:val="true"/>
        </w:rPr>
        <w:t>الثاني</w:t>
      </w:r>
      <w:r>
        <w:rPr>
          <w:rtl w:val="true"/>
        </w:rPr>
        <w:t xml:space="preserve">: </w:t>
      </w:r>
      <w:r>
        <w:rPr>
          <w:rtl w:val="true"/>
        </w:rPr>
        <w:t>العقل</w:t>
      </w:r>
      <w:r>
        <w:rPr>
          <w:rtl w:val="true"/>
        </w:rPr>
        <w:t>:</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يقبل خبر المجنون إجماعا، حكاه جماعة</w:t>
      </w:r>
      <w:r>
        <w:rPr>
          <w:rStyle w:val="FootnoteAnchor"/>
          <w:rtl w:val="true"/>
        </w:rPr>
        <w:footnoteReference w:id="36"/>
      </w:r>
      <w:r>
        <w:rPr>
          <w:rFonts w:ascii="Amiri" w:hAnsi="Amiri" w:eastAsia="Amiri" w:cs="Amiri"/>
          <w:color w:val="111111"/>
          <w:sz w:val="28"/>
          <w:sz w:val="28"/>
          <w:szCs w:val="28"/>
          <w:rtl w:val="true"/>
          <w:lang w:bidi="ar-SA"/>
        </w:rPr>
        <w:t xml:space="preserve">، و يدلّ عليه </w:t>
      </w:r>
    </w:p>
    <w:p>
      <w:pPr>
        <w:pStyle w:val="BookText"/>
        <w:rPr/>
      </w:pPr>
      <w:r>
        <w:rPr>
          <w:rFonts w:ascii="Amiri" w:hAnsi="Amiri" w:eastAsia="Amiri" w:cs="Amiri"/>
          <w:color w:val="111111"/>
          <w:sz w:val="28"/>
          <w:sz w:val="28"/>
          <w:szCs w:val="28"/>
          <w:rtl w:val="true"/>
          <w:lang w:bidi="ar-SA"/>
        </w:rPr>
        <w:t>عدم الاطمئنان و الوثوق بخبره، مضافا إلى رفع القلم عنه حتى يفيق</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قد نصت عليها كتب العامة بمضامين متفاوتة و طرق متعددة مستفيضة، كما حكي عن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و تيسير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264/7</w:t>
      </w:r>
      <w:r>
        <w:rPr>
          <w:rFonts w:ascii="Amiri" w:hAnsi="Amiri" w:eastAsia="Amiri" w:cs="Amiri"/>
          <w:color w:val="111111"/>
          <w:sz w:val="28"/>
          <w:sz w:val="28"/>
          <w:szCs w:val="28"/>
          <w:rtl w:val="true"/>
          <w:lang w:bidi="ar-SA"/>
        </w:rPr>
        <w:t xml:space="preserve">، و إرشاد الساري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 و في الفتح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 الحاكم عن غير واحد من الصحابة،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المغلوب على عقله حتى يبرأ، و عن النائم حتى يستيقظ، و عن الصبي حتى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يلزم عدم المؤاخذة المقتضي لعدم التحفظ من ارتكاب الكذب على تقدير تمييزه، و مع عدم التمييز فلا عبرة بقوله بحال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فحوى عدم قبول شهادته، و عدم صحة توكيله و الوصية إليه، و الظاهر انصراف إطلاق جمع إلى المطبق، ضرورة عدم المانع من قبول خبر الأدواري حال إفاقته التامة إذا انتفى عنه أثر الجنون بالمرة، و اجتمعت بقية شرائط قبول الرواية، لوجود الوثوق حينئذ، و ثبوت القلم عليه، نعم يعتبر الاطمئنان بإفاقته و لا يكفي الظن به على الأظهر، لعدم الدليل على حجيته حتى يرفع اليد به عن الاستصحاب</w:t>
      </w:r>
      <w:r>
        <w:rPr>
          <w:rFonts w:eastAsia="Amiri" w:cs="Amiri" w:ascii="Amiri" w:hAnsi="Amiri"/>
          <w:color w:val="111111"/>
          <w:sz w:val="28"/>
          <w:szCs w:val="28"/>
          <w:rtl w:val="true"/>
          <w:lang w:bidi="ar-SA"/>
        </w:rPr>
        <w:t>.</w:t>
      </w:r>
      <w:bookmarkStart w:id="29" w:name="pg15033_241447"/>
    </w:p>
    <w:p>
      <w:pPr>
        <w:pStyle w:val="BookText"/>
        <w:rPr/>
      </w:pPr>
      <w:bookmarkEnd w:id="29"/>
      <w:r>
        <w:rPr>
          <w:rFonts w:ascii="Amiri" w:hAnsi="Amiri" w:eastAsia="Amiri" w:cs="Amiri"/>
          <w:color w:val="111111"/>
          <w:sz w:val="28"/>
          <w:sz w:val="28"/>
          <w:szCs w:val="28"/>
          <w:rtl w:val="true"/>
          <w:lang w:bidi="ar-SA"/>
        </w:rPr>
        <w:t>و يلحق بالمجنون السكران، و النائم، و المغمى عليه، و 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السفيه فإن جمع الشرائط و منها الضبط قبلت روايته، و إلا فلا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16515_2142443653"/>
      <w:bookmarkStart w:id="31" w:name="_Toc11"/>
      <w:bookmarkEnd w:id="30"/>
      <w:r>
        <w:rPr>
          <w:rtl w:val="true"/>
        </w:rPr>
        <w:t>الثالث</w:t>
      </w:r>
      <w:r>
        <w:rPr>
          <w:rtl w:val="true"/>
        </w:rPr>
        <w:t xml:space="preserve">: </w:t>
      </w:r>
      <w:r>
        <w:rPr>
          <w:rtl w:val="true"/>
        </w:rPr>
        <w:t>البلوغ</w:t>
      </w:r>
      <w:r>
        <w:rPr>
          <w:rtl w:val="true"/>
        </w:rPr>
        <w:t>:</w:t>
      </w:r>
      <w:bookmarkEnd w:id="31"/>
    </w:p>
    <w:p>
      <w:pPr>
        <w:pStyle w:val="Heading6"/>
        <w:numPr>
          <w:ilvl w:val="5"/>
          <w:numId w:val="1"/>
        </w:numPr>
        <w:rPr/>
      </w:pPr>
      <w:bookmarkStart w:id="32" w:name="__RefHeading___Toc316517_2142443653"/>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اعتبره جمع كثير</w:t>
      </w:r>
      <w:r>
        <w:rPr>
          <w:rStyle w:val="FootnoteAnchor"/>
          <w:rtl w:val="true"/>
        </w:rPr>
        <w:footnoteReference w:id="38"/>
      </w:r>
      <w:r>
        <w:rPr>
          <w:rFonts w:ascii="Amiri" w:hAnsi="Amiri" w:eastAsia="Amiri" w:cs="Amiri"/>
          <w:color w:val="111111"/>
          <w:sz w:val="28"/>
          <w:sz w:val="28"/>
          <w:szCs w:val="28"/>
          <w:rtl w:val="true"/>
          <w:lang w:bidi="ar-SA"/>
        </w:rPr>
        <w:t>، فلا يقبل خبر الصبي غير البالغ، و ذلك في غيره المميز مما لا ريب فيه</w:t>
      </w:r>
      <w:r>
        <w:rPr>
          <w:rStyle w:val="FootnoteAnchor"/>
          <w:rtl w:val="true"/>
        </w:rPr>
        <w:footnoteReference w:id="39"/>
      </w:r>
      <w:r>
        <w:rPr>
          <w:rFonts w:ascii="IRNazanin" w:hAnsi="IRNazanin" w:eastAsia="IRNazanin"/>
          <w:color w:val="111111"/>
          <w:sz w:val="28"/>
          <w:sz w:val="28"/>
          <w:szCs w:val="28"/>
          <w:rtl w:val="true"/>
          <w:lang w:bidi="fa-IR"/>
        </w:rPr>
        <w:t>، بل و لا خلاف، لعدم الوثوق بخبره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المميز ففي قبول خبره قولان، فالمشهور عدم القبول، بل </w:t>
      </w:r>
      <w:bookmarkStart w:id="34" w:name="pg15033_241448"/>
    </w:p>
    <w:p>
      <w:pPr>
        <w:pStyle w:val="BookText"/>
        <w:rPr/>
      </w:pPr>
      <w:bookmarkEnd w:id="34"/>
      <w:r>
        <w:rPr>
          <w:rFonts w:ascii="Amiri" w:hAnsi="Amiri" w:eastAsia="Amiri" w:cs="Amiri"/>
          <w:color w:val="111111"/>
          <w:sz w:val="28"/>
          <w:sz w:val="28"/>
          <w:szCs w:val="28"/>
          <w:rtl w:val="true"/>
          <w:lang w:bidi="ar-SA"/>
        </w:rPr>
        <w:t>قيل</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المعروف من مذهب الأصحاب و جمهور العامة، و حكي عن جمع من العامة القبول إذا أفاد خبره الظن</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أخباره فيما كان طريقه المشاهدة بخلاف ما كان طريقه النقل كالإفتاء و رواية الأخبار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 ما إذا انضمت إليه قرينة، و في الكل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 الأواخر من أصحابنا الميل إلى موافقتهم مطلقا، أو إذا أفاد الاطمئنان</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316519_2142443653"/>
      <w:bookmarkStart w:id="36" w:name="_Toc13"/>
      <w:bookmarkEnd w:id="35"/>
      <w:r>
        <w:rPr>
          <w:rtl w:val="true"/>
        </w:rPr>
        <w:t>حجة المشهور أمور</w:t>
      </w:r>
      <w:r>
        <w:rPr>
          <w:rtl w:val="true"/>
        </w:rPr>
        <w:t>:</w:t>
      </w:r>
      <w:bookmarkEnd w:id="3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حرمة العمل بالظن، خرج من ذلك خبر البالغ، و بقي غيره، و منه خبر الصبي المميز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ذلك بعدم جريانها في قبال بناء العقلاء على قبول الخبر المفيد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w:t>
      </w:r>
      <w:r>
        <w:rPr>
          <w:rStyle w:val="FootnoteAnchor"/>
          <w:rtl w:val="true"/>
        </w:rPr>
        <w:footnoteReference w:id="43"/>
      </w:r>
      <w:r>
        <w:rPr>
          <w:rFonts w:ascii="Amiri" w:hAnsi="Amiri" w:eastAsia="Amiri" w:cs="Amiri"/>
          <w:color w:val="111111"/>
          <w:sz w:val="28"/>
          <w:sz w:val="28"/>
          <w:szCs w:val="28"/>
          <w:rtl w:val="true"/>
          <w:lang w:bidi="ar-SA"/>
        </w:rPr>
        <w:t>عنه حتى يحتلم و يبلغ، فإن لازمه سقوط جميع أفعاله و أقواله عن الاعتبار شرعا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نطق بعدم قبول خبر الفاسق، فإن للفاسق خشية من اللّه تعالى، و</w:t>
      </w:r>
      <w:r>
        <w:rPr>
          <w:rStyle w:val="FootnoteAnchor"/>
          <w:rtl w:val="true"/>
        </w:rPr>
        <w:footnoteReference w:id="44"/>
      </w:r>
      <w:r>
        <w:rPr>
          <w:rFonts w:ascii="Amiri" w:hAnsi="Amiri" w:eastAsia="Amiri" w:cs="Amiri"/>
          <w:color w:val="111111"/>
          <w:sz w:val="28"/>
          <w:sz w:val="28"/>
          <w:szCs w:val="28"/>
          <w:rtl w:val="true"/>
          <w:lang w:bidi="ar-SA"/>
        </w:rPr>
        <w:t>ربما تمنعه عن الكذب؛ سيما في أحكام اللّه تعالى بخلاف الصبي فإنه لعدم توجه التكاليف إليه، و عدم خوفه، قد يجتري على الكذب</w:t>
      </w:r>
      <w:r>
        <w:rPr>
          <w:rFonts w:eastAsia="Amiri" w:cs="Amiri" w:ascii="Amiri" w:hAnsi="Amiri"/>
          <w:color w:val="111111"/>
          <w:sz w:val="28"/>
          <w:szCs w:val="28"/>
          <w:rtl w:val="true"/>
          <w:lang w:bidi="ar-SA"/>
        </w:rPr>
        <w:t xml:space="preserve">. </w:t>
      </w:r>
      <w:bookmarkStart w:id="37" w:name="pg15033_241449"/>
    </w:p>
    <w:p>
      <w:pPr>
        <w:pStyle w:val="BookText"/>
        <w:rPr/>
      </w:pPr>
      <w:bookmarkEnd w:id="37"/>
      <w:r>
        <w:rPr>
          <w:rFonts w:ascii="Amiri" w:hAnsi="Amiri" w:eastAsia="Amiri" w:cs="Amiri"/>
          <w:color w:val="111111"/>
          <w:sz w:val="28"/>
          <w:sz w:val="28"/>
          <w:szCs w:val="28"/>
          <w:rtl w:val="true"/>
          <w:lang w:bidi="ar-SA"/>
        </w:rPr>
        <w:t>و نوقش في ذلك بمنع اطّراد الخشية من اللّه تعالى في الفاسق، و منع كلية عدم الخشية في الصبي،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عدم جواز معاملته، و توكيله، و الإيصاء إليه</w:t>
      </w:r>
      <w:r>
        <w:rPr>
          <w:rStyle w:val="FootnoteAnchor"/>
          <w:rtl w:val="true"/>
        </w:rPr>
        <w:footnoteReference w:id="45"/>
      </w:r>
      <w:r>
        <w:rPr>
          <w:rFonts w:ascii="Amiri" w:hAnsi="Amiri" w:eastAsia="Amiri" w:cs="Amiri"/>
          <w:color w:val="111111"/>
          <w:sz w:val="28"/>
          <w:sz w:val="28"/>
          <w:szCs w:val="28"/>
          <w:rtl w:val="true"/>
          <w:lang w:bidi="ar-SA"/>
        </w:rPr>
        <w:t>، و فيه تأمل</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316521_2142443653"/>
      <w:bookmarkStart w:id="39" w:name="_Toc14"/>
      <w:bookmarkEnd w:id="38"/>
      <w:r>
        <w:rPr>
          <w:rtl w:val="true"/>
        </w:rPr>
        <w:t>حجة من قال بقبول خبره أمور</w:t>
      </w:r>
      <w:r>
        <w:rPr>
          <w:rtl w:val="true"/>
        </w:rPr>
        <w:t>:</w:t>
      </w:r>
      <w:bookmarkEnd w:id="3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الاقتداء به، فيجوز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ببطلان القياس أولا، و بمنع الأصل ثانيا، و بوجود الفارق ثالثا، فإن العامة يجيزون الاقتداء بالفاسق و لا يقبلون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يقبل قوله في الأخبار عن كونه متطهرا، حتى يجوز الاقتداء به في الصلاة، فيلزم قبول أخباره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على نحو سابقه، مضافا إلى عدم تعقل الطهارة من الصبي على القول بكون عباداته تمرينية، و الى منع توقف صحة صلاة المأموم على صحة صلاة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الصبي في الجراح مقبولة، فيجب قبول روايته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منع القياس أولا، و منع الأصل على الأظهر الأشهر </w:t>
      </w:r>
    </w:p>
    <w:p>
      <w:pPr>
        <w:pStyle w:val="BookText"/>
        <w:rPr/>
      </w:pPr>
      <w:r>
        <w:rPr>
          <w:rFonts w:ascii="Amiri" w:hAnsi="Amiri" w:eastAsia="Amiri" w:cs="Amiri"/>
          <w:color w:val="111111"/>
          <w:sz w:val="28"/>
          <w:sz w:val="28"/>
          <w:szCs w:val="28"/>
          <w:rtl w:val="true"/>
          <w:lang w:bidi="ar-SA"/>
        </w:rPr>
        <w:t>ثانيا، كما أوضحناه في منتهى المقاصد</w:t>
      </w:r>
      <w:r>
        <w:rPr>
          <w:rStyle w:val="FootnoteAnchor"/>
          <w:rtl w:val="true"/>
        </w:rPr>
        <w:footnoteReference w:id="46"/>
      </w:r>
      <w:r>
        <w:rPr>
          <w:rFonts w:ascii="IRNazanin" w:hAnsi="IRNazanin" w:eastAsia="IRNazanin"/>
          <w:color w:val="111111"/>
          <w:sz w:val="28"/>
          <w:sz w:val="28"/>
          <w:szCs w:val="28"/>
          <w:rtl w:val="true"/>
          <w:lang w:bidi="fa-IR"/>
        </w:rPr>
        <w:t>، و وجود الفارق 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مكان أن يكون قبول شهادته في القتل احتياطا في الدم، لصحة خبره، كما يكشف عن ذلك تقييد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بأول كلامه، و أنه لا يؤخذ بالثاني</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يدلّ على المقام ما ورد في موجبات الضمان أيضا،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منصب الرواية أعظم، إذ الحكم بها مستمر و الثابت عنها شرع عام في المكلفين إلى ظهور الحجة عجل اللّه تعالى فرجه و جعلنا من كل مكروه فداه، و ليس كذلك الشهادة في الجراح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مورد النص خصوص الجراح، فقياس كل </w:t>
      </w:r>
      <w:bookmarkStart w:id="40" w:name="pg15033_241451"/>
    </w:p>
    <w:p>
      <w:pPr>
        <w:pStyle w:val="BookText"/>
        <w:rPr/>
      </w:pPr>
      <w:bookmarkEnd w:id="40"/>
      <w:r>
        <w:rPr>
          <w:rFonts w:ascii="Amiri" w:hAnsi="Amiri" w:eastAsia="Amiri" w:cs="Amiri"/>
          <w:color w:val="111111"/>
          <w:sz w:val="28"/>
          <w:sz w:val="28"/>
          <w:szCs w:val="28"/>
          <w:rtl w:val="true"/>
          <w:lang w:bidi="ar-SA"/>
        </w:rPr>
        <w:t>حكم به قياس مع الفارق</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بالقياس هنا هو المصطلح، بل قياس الأولوية، بمعنى إن خصوص ما كان ثبوت الحكم فيه بالأولوية القطعية الملازم مع تسليمه، لوجود الفارق، إلا أن ينكر أصل حجيّة الأولوية هنا أو موضوعها،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الصبي ليس بفاسق، فلا يجوز ردّ خبره، بل يقبل لعموم مفهوم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مضافا إلى الإشكالات الواردة على مفهوم آية النبأ المذكورة في بشرى الشيخ الوالد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تعالى برهانه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 و إلى أن العدالة شرط عند جمع، لا أن الفسق مانع، حتى يكفي عدمه، و إلى انصراف الآية إلى البالغ، أن مقتضى ما مرّ في حجة المشهور هو مانعية نفس الصبا، فهو مانع مستقل غير الفسق، فالقول المشهور أقوى،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16523_2142443653"/>
      <w:bookmarkStart w:id="42" w:name="_Toc15"/>
      <w:bookmarkEnd w:id="41"/>
      <w:r>
        <w:rPr>
          <w:rtl w:val="true"/>
        </w:rPr>
        <w:t>الرابع</w:t>
      </w:r>
      <w:r>
        <w:rPr>
          <w:rtl w:val="true"/>
        </w:rPr>
        <w:t xml:space="preserve">: </w:t>
      </w:r>
      <w:r>
        <w:rPr>
          <w:rtl w:val="true"/>
        </w:rPr>
        <w:t>الإيمان</w:t>
      </w:r>
      <w:r>
        <w:rPr>
          <w:rtl w:val="true"/>
        </w:rPr>
        <w:t>:</w:t>
      </w:r>
      <w:bookmarkEnd w:id="42"/>
    </w:p>
    <w:p>
      <w:pPr>
        <w:pStyle w:val="Heading6"/>
        <w:numPr>
          <w:ilvl w:val="5"/>
          <w:numId w:val="1"/>
        </w:numPr>
        <w:rPr/>
      </w:pPr>
      <w:bookmarkStart w:id="43" w:name="__RefHeading___Toc316525_2142443653"/>
      <w:bookmarkStart w:id="44" w:name="_Toc16"/>
      <w:bookmarkEnd w:id="43"/>
      <w:r>
        <w:rPr>
          <w:rtl w:val="true"/>
        </w:rPr>
        <w:t>اشارة</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به كونه إماميا اثنى عشريا، و قد اعتبر هذا الشرط جمع </w:t>
      </w:r>
    </w:p>
    <w:p>
      <w:pPr>
        <w:pStyle w:val="BookText"/>
        <w:rPr/>
      </w:pPr>
      <w:r>
        <w:rPr>
          <w:rFonts w:ascii="Amiri" w:hAnsi="Amiri" w:eastAsia="Amiri" w:cs="Amiri"/>
          <w:color w:val="111111"/>
          <w:sz w:val="28"/>
          <w:sz w:val="28"/>
          <w:szCs w:val="28"/>
          <w:rtl w:val="true"/>
          <w:lang w:bidi="ar-SA"/>
        </w:rPr>
        <w:t>منهم الفاضلان، و الشهيدان، و صاحب المعالم و المدارك و</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w:t>
      </w:r>
      <w:r>
        <w:rPr>
          <w:rStyle w:val="FootnoteAnchor"/>
          <w:rtl w:val="true"/>
        </w:rPr>
        <w:footnoteReference w:id="50"/>
      </w:r>
      <w:r>
        <w:rPr>
          <w:rFonts w:ascii="Amiri" w:hAnsi="Amiri" w:eastAsia="Amiri" w:cs="Amiri"/>
          <w:color w:val="111111"/>
          <w:sz w:val="28"/>
          <w:sz w:val="28"/>
          <w:szCs w:val="28"/>
          <w:rtl w:val="true"/>
          <w:lang w:bidi="ar-SA"/>
        </w:rPr>
        <w:t>، و مقتضاه عدم جواز العمل بخبر المخالفين، و لا سائر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العدة، حيث جوز العمل بخبر المخالفين إذا رووا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روايات الأصحاب ما يخالفه، و لا يعرف لهم قول فيه</w:t>
      </w:r>
      <w:r>
        <w:rPr>
          <w:rStyle w:val="FootnoteAnchor"/>
          <w:rtl w:val="true"/>
        </w:rPr>
        <w:footnoteReference w:id="51"/>
      </w:r>
      <w:r>
        <w:rPr>
          <w:rFonts w:ascii="Amiri" w:hAnsi="Amiri" w:eastAsia="Amiri" w:cs="Amiri"/>
          <w:color w:val="111111"/>
          <w:sz w:val="28"/>
          <w:sz w:val="28"/>
          <w:szCs w:val="28"/>
          <w:rtl w:val="true"/>
          <w:lang w:bidi="ar-SA"/>
        </w:rPr>
        <w:t xml:space="preserve">، لما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بكم حادثة لا تجدون</w:t>
      </w:r>
      <w:r>
        <w:rPr>
          <w:rStyle w:val="FootnoteAnchor"/>
          <w:rtl w:val="true"/>
        </w:rPr>
        <w:footnoteReference w:id="52"/>
      </w:r>
      <w:r>
        <w:rPr>
          <w:rFonts w:ascii="Amiri" w:hAnsi="Amiri" w:eastAsia="Amiri" w:cs="Amiri"/>
          <w:color w:val="111111"/>
          <w:sz w:val="28"/>
          <w:sz w:val="28"/>
          <w:szCs w:val="28"/>
          <w:rtl w:val="true"/>
          <w:lang w:bidi="ar-SA"/>
        </w:rPr>
        <w:t>حكمها فيما روى</w:t>
      </w:r>
      <w:r>
        <w:rPr>
          <w:rStyle w:val="FootnoteAnchor"/>
          <w:rtl w:val="true"/>
        </w:rPr>
        <w:footnoteReference w:id="53"/>
      </w:r>
      <w:r>
        <w:rPr>
          <w:rFonts w:ascii="Amiri" w:hAnsi="Amiri" w:eastAsia="Amiri" w:cs="Amiri"/>
          <w:color w:val="111111"/>
          <w:sz w:val="28"/>
          <w:sz w:val="28"/>
          <w:szCs w:val="28"/>
          <w:rtl w:val="true"/>
          <w:lang w:bidi="ar-SA"/>
        </w:rPr>
        <w:t xml:space="preserve">عنا فانظروا إلى 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به</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ما قلناه عملت الطائفة بما رواه حفص بن غياث، و غياث بن كلوب، و نوح بن دراج، و السكوني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من العامة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ينكروه، و لم يكن عندهم خلافه</w:t>
      </w:r>
      <w:r>
        <w:rPr>
          <w:rStyle w:val="FootnoteAnchor"/>
          <w:rtl w:val="true"/>
        </w:rPr>
        <w:footnoteReference w:id="55"/>
      </w:r>
      <w:r>
        <w:rPr>
          <w:rFonts w:ascii="IRNazanin" w:hAnsi="IRNazanin" w:eastAsia="IRNazanin"/>
          <w:color w:val="111111"/>
          <w:sz w:val="28"/>
          <w:sz w:val="28"/>
          <w:szCs w:val="28"/>
          <w:rtl w:val="true"/>
          <w:lang w:bidi="fa-IR"/>
        </w:rPr>
        <w:t xml:space="preserve">، و قال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محكي العدة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رواه سائر فرق الشيعة و الفطحية و الواقفية و الناووسية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إن كان ليس هناك ما يخالفه، و لا يعرف من الطائفة العمل بخلافه، وجب أن يعمل به إذا كان متحرجا</w:t>
      </w:r>
      <w:r>
        <w:rPr>
          <w:rStyle w:val="FootnoteAnchor"/>
          <w:rtl w:val="true"/>
        </w:rPr>
        <w:footnoteReference w:id="56"/>
      </w:r>
      <w:r>
        <w:rPr>
          <w:rFonts w:ascii="Amiri" w:hAnsi="Amiri" w:eastAsia="Amiri" w:cs="Amiri"/>
          <w:color w:val="111111"/>
          <w:sz w:val="28"/>
          <w:sz w:val="28"/>
          <w:szCs w:val="28"/>
          <w:rtl w:val="true"/>
          <w:lang w:bidi="ar-SA"/>
        </w:rPr>
        <w:t>في روايته موثوقا به في أمانته، و إن كان مخطئا في أصل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ما قلناه عملت الطائفة بأخبار الفطحية مثل عبد اللّه بن بكير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أخبار الواقفية مثل سماعة بن مهران، و علي بن أبي حمزة، و عثمان بن عيسى، و من بعد هؤلاء بما رواه بنو فضال، و بنو سماعة، و الطاطريون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فيما لم يكن عندهم فيه خلاف</w:t>
      </w:r>
      <w:r>
        <w:rPr>
          <w:rStyle w:val="FootnoteAnchor"/>
          <w:rtl w:val="true"/>
        </w:rPr>
        <w:footnoteReference w:id="57"/>
      </w:r>
      <w:r>
        <w:rPr>
          <w:rFonts w:ascii="Amiri" w:hAnsi="Amiri" w:eastAsia="Amiri" w:cs="Amiri"/>
          <w:color w:val="111111"/>
          <w:sz w:val="28"/>
          <w:sz w:val="28"/>
          <w:szCs w:val="28"/>
          <w:rtl w:val="true"/>
          <w:lang w:bidi="ar-SA"/>
        </w:rPr>
        <w:t>، و تبعه على ذلك أكثر الأواخر</w:t>
      </w:r>
      <w:r>
        <w:rPr>
          <w:rStyle w:val="FootnoteAnchor"/>
          <w:rtl w:val="true"/>
        </w:rPr>
        <w:footnoteReference w:id="58"/>
      </w:r>
      <w:r>
        <w:rPr>
          <w:rFonts w:ascii="Amiri" w:hAnsi="Amiri" w:eastAsia="Amiri" w:cs="Amiri"/>
          <w:color w:val="111111"/>
          <w:sz w:val="28"/>
          <w:sz w:val="28"/>
          <w:szCs w:val="28"/>
          <w:rtl w:val="true"/>
          <w:lang w:bidi="ar-SA"/>
        </w:rPr>
        <w:t>بل لم يقل بالأول منهم إلا النادر</w:t>
      </w:r>
      <w:r>
        <w:rPr>
          <w:rFonts w:eastAsia="Amiri" w:cs="Amiri" w:ascii="Amiri" w:hAnsi="Amiri"/>
          <w:color w:val="111111"/>
          <w:sz w:val="28"/>
          <w:szCs w:val="28"/>
          <w:rtl w:val="true"/>
          <w:lang w:bidi="ar-SA"/>
        </w:rPr>
        <w:t xml:space="preserve">. </w:t>
      </w:r>
      <w:bookmarkStart w:id="45" w:name="pg15033_241454"/>
    </w:p>
    <w:p>
      <w:pPr>
        <w:pStyle w:val="Heading6"/>
        <w:numPr>
          <w:ilvl w:val="5"/>
          <w:numId w:val="1"/>
        </w:numPr>
        <w:rPr/>
      </w:pPr>
      <w:bookmarkStart w:id="46" w:name="__RefHeading___Toc316527_2142443653"/>
      <w:bookmarkStart w:id="47" w:name="_Toc17"/>
      <w:bookmarkEnd w:id="45"/>
      <w:bookmarkEnd w:id="46"/>
      <w:r>
        <w:rPr>
          <w:rtl w:val="true"/>
        </w:rPr>
        <w:t>حجة الأولين أمور</w:t>
      </w:r>
      <w:r>
        <w:rPr>
          <w:rtl w:val="true"/>
        </w:rPr>
        <w:t>:</w:t>
      </w:r>
      <w:bookmarkEnd w:id="47"/>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وجوه اعتبار البلوغ المتقدم، مع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المؤمن فاسق، إذ لا فسق أعظم من عدم الإيمان، فيجب رد خبره بحكم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لم تنطق بردّ خبر الفاسق مطلقا، بل أوجبت التبين عند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التوثيق نوع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الاعتماد على خبر غير المؤمن، لساوى المؤمن، و هو منفي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مرّ من عدم شمول المساواة المنفية لمثل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المؤمن ظالم،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يَحْكُمْ بِما </w:t>
      </w:r>
    </w:p>
    <w:p>
      <w:pPr>
        <w:pStyle w:val="BookText"/>
        <w:rPr/>
      </w:pPr>
      <w:r>
        <w:rPr>
          <w:rFonts w:ascii="Amiri" w:hAnsi="Amiri" w:eastAsia="Amiri" w:cs="Amiri"/>
          <w:color w:val="111111"/>
          <w:sz w:val="28"/>
          <w:sz w:val="28"/>
          <w:szCs w:val="28"/>
          <w:rtl w:val="true"/>
          <w:lang w:bidi="ar-SA"/>
        </w:rPr>
        <w:t xml:space="preserve">أَنْزَلَ اَللّهُ فَأُولئِكَ هُمُ اَلظّالِمُونَ </w:t>
      </w:r>
      <w:r>
        <w:rPr>
          <w:rStyle w:val="FootnoteAnchor"/>
          <w:rtl w:val="true"/>
        </w:rPr>
        <w:footnoteReference w:id="60"/>
      </w:r>
      <w:r>
        <w:rPr>
          <w:rFonts w:ascii="Amiri" w:hAnsi="Amiri" w:eastAsia="Amiri" w:cs="Amiri"/>
          <w:color w:val="111111"/>
          <w:sz w:val="28"/>
          <w:sz w:val="28"/>
          <w:szCs w:val="28"/>
          <w:rtl w:val="true"/>
          <w:lang w:bidi="ar-SA"/>
        </w:rPr>
        <w:t>، و للأخبار الناطقة بضلالة المخالف، و إن من مات و لم يعرف إمام زمانه مات موتة كفر و نفاق</w:t>
      </w:r>
      <w:r>
        <w:rPr>
          <w:rStyle w:val="FootnoteAnchor"/>
          <w:rtl w:val="true"/>
        </w:rPr>
        <w:footnoteReference w:id="61"/>
      </w:r>
      <w:r>
        <w:rPr>
          <w:rFonts w:ascii="Amiri" w:hAnsi="Amiri" w:eastAsia="Amiri" w:cs="Amiri"/>
          <w:color w:val="111111"/>
          <w:sz w:val="28"/>
          <w:sz w:val="28"/>
          <w:szCs w:val="28"/>
          <w:rtl w:val="true"/>
          <w:lang w:bidi="ar-SA"/>
        </w:rPr>
        <w:t>، و حينئذ فلا يجوز الاعتماد على خبره، لأنه ركون إليه، و هو منهي عنه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ملازمة بين عدم الإيمان و بين الحكم بغير ما أنزل اللّه تعالى حتى يترتب عليه كونه ظالما مطلقا، و ظاهر الذين ظلموا في الآية الجائرون، و الركون إليهم مفسّر بالمودّة و النصيحة و الطاعة،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يأتي السلطان فيحب بقاءه إلى أن يدخل يده كيسه فيعطيه</w:t>
      </w:r>
      <w:r>
        <w:rPr>
          <w:rStyle w:val="FootnoteAnchor"/>
          <w:rtl w:val="true"/>
        </w:rPr>
        <w:footnoteReference w:id="63"/>
      </w:r>
      <w:r>
        <w:rPr>
          <w:rFonts w:ascii="Amiri" w:hAnsi="Amiri" w:eastAsia="Amiri" w:cs="Amiri"/>
          <w:color w:val="111111"/>
          <w:sz w:val="28"/>
          <w:sz w:val="28"/>
          <w:szCs w:val="28"/>
          <w:rtl w:val="true"/>
          <w:lang w:bidi="ar-SA"/>
        </w:rPr>
        <w:t>، فلا يشمل العمل بخبره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عدم قبول شهادته، و عدم صحة الاقتداء به، و عدم جواز الوصية إليه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الفحوى</w:t>
      </w:r>
      <w:r>
        <w:rPr>
          <w:rFonts w:eastAsia="Amiri" w:cs="Amiri" w:ascii="Amiri" w:hAnsi="Amiri"/>
          <w:color w:val="111111"/>
          <w:sz w:val="28"/>
          <w:szCs w:val="28"/>
          <w:rtl w:val="true"/>
          <w:lang w:bidi="ar-SA"/>
        </w:rPr>
        <w:t xml:space="preserve">. </w:t>
      </w:r>
      <w:bookmarkStart w:id="48" w:name="pg15033_241456"/>
    </w:p>
    <w:p>
      <w:pPr>
        <w:pStyle w:val="Heading6"/>
        <w:numPr>
          <w:ilvl w:val="5"/>
          <w:numId w:val="1"/>
        </w:numPr>
        <w:rPr/>
      </w:pPr>
      <w:bookmarkStart w:id="49" w:name="__RefHeading___Toc316529_2142443653"/>
      <w:bookmarkStart w:id="50" w:name="_Toc18"/>
      <w:bookmarkEnd w:id="48"/>
      <w:bookmarkEnd w:id="49"/>
      <w:r>
        <w:rPr>
          <w:rtl w:val="true"/>
        </w:rPr>
        <w:t>و حجة الآخرين أمور</w:t>
      </w:r>
      <w:r>
        <w:rPr>
          <w:rtl w:val="true"/>
        </w:rPr>
        <w:t>:</w:t>
      </w:r>
      <w:bookmarkEnd w:id="5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المؤمن إذا كان ثقة في مذهبه محترزا عن الكذب يحصل الاطمينان من خبره، فيجب قبول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فوجدانية، و أما الكبرى فلبناء العقلاء، و لذا ترى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أهل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متفقين خلفا عن سلف على الاعتماد على خبر غير المؤمن في متعلقات الأحكام من اللغة و التفسير و النحو و الصرف و التجويد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بمجرد الوثوق به، فيطالبون بالفارق</w:t>
      </w:r>
      <w:r>
        <w:rPr>
          <w:rStyle w:val="FootnoteAnchor"/>
          <w:rtl w:val="true"/>
        </w:rPr>
        <w:footnoteReference w:id="64"/>
      </w:r>
      <w:r>
        <w:rPr>
          <w:rFonts w:ascii="Amiri" w:hAnsi="Amiri" w:eastAsia="Amiri" w:cs="Amiri"/>
          <w:color w:val="111111"/>
          <w:sz w:val="28"/>
          <w:sz w:val="28"/>
          <w:szCs w:val="28"/>
          <w:rtl w:val="true"/>
          <w:lang w:bidi="ar-SA"/>
        </w:rPr>
        <w:t>بين المقامين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في القوانين</w:t>
      </w:r>
      <w:r>
        <w:rPr>
          <w:rStyle w:val="FootnoteAnchor"/>
          <w:rtl w:val="true"/>
        </w:rPr>
        <w:footnoteReference w:id="65"/>
      </w:r>
      <w:r>
        <w:rPr>
          <w:rFonts w:ascii="Amiri" w:hAnsi="Amiri" w:eastAsia="Amiri" w:cs="Amiri"/>
          <w:color w:val="111111"/>
          <w:sz w:val="28"/>
          <w:sz w:val="28"/>
          <w:szCs w:val="28"/>
          <w:rtl w:val="true"/>
          <w:lang w:bidi="ar-SA"/>
        </w:rPr>
        <w:t>من انه إن قلنا بصدق العدالة مع فساد العقيدة و عدم اطّلاع</w:t>
      </w:r>
      <w:r>
        <w:rPr>
          <w:rStyle w:val="FootnoteAnchor"/>
          <w:rtl w:val="true"/>
        </w:rPr>
        <w:footnoteReference w:id="66"/>
      </w:r>
      <w:r>
        <w:rPr>
          <w:rFonts w:ascii="Amiri" w:hAnsi="Amiri" w:eastAsia="Amiri" w:cs="Amiri"/>
          <w:color w:val="111111"/>
          <w:sz w:val="28"/>
          <w:sz w:val="28"/>
          <w:szCs w:val="28"/>
          <w:rtl w:val="true"/>
          <w:lang w:bidi="ar-SA"/>
        </w:rPr>
        <w:t>الفاسق عليهم، فيدلّ على الحجية مفهوم الآية، و إن لم نقل بذلك و قلنا بكونهم فساقا لأجل عقائدهم، فيدلّ على الحجية منطوق الآية لأن التوثيق نوع من التثبت، سيما مع ملاحظة العلّة المنصوصة، فإن التثبت إنما يحصل بتفحص حال كل واحد واحد من الأخبار، أو بتفحّص حال الرجل في خبره، فإذ حصل التثبت في حال الرجل و ظهر أنه لا يكذب في خبره، فهذا تثبت في خبره، لاتحاد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عن ذلك مع ظهوره، فالعلة المنصوصة تكفي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التمسك به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و مرجعه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على العمل بأخبار طائفة من غير</w:t>
      </w:r>
      <w:r>
        <w:rPr>
          <w:rStyle w:val="FootnoteAnchor"/>
          <w:rtl w:val="true"/>
        </w:rPr>
        <w:footnoteReference w:id="67"/>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نوقش في الرواية بالإرسال، و في الإجماع بالمنع،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نعلم إلى الآن أن الطائفة عملت بأخبار هؤلاء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أراد منع إجماعهم على العمل، و انه لا حجية في عمل البعض، و إلا فلا مجال لإنكار العمل مطلقا، كيف لا و قد عمل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بأخبار المخالفين كثيرا، فلا وجه لإنكاره أصل العمل، بل الوجه هو المناقشة بأن عملهم بها لعله كان لاحتفافها بقرائن قطعية، و الفعل مجمل، فلا يكون حجة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يجاب عن المناقشة في السند بأن احتجاج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هذا الأصل العظيم يكشف عن كون سنده معتبرا، فتأمل</w:t>
      </w:r>
      <w:r>
        <w:rPr>
          <w:rFonts w:eastAsia="Amiri" w:cs="Amiri" w:ascii="Amiri" w:hAnsi="Amiri"/>
          <w:color w:val="111111"/>
          <w:sz w:val="28"/>
          <w:szCs w:val="28"/>
          <w:rtl w:val="true"/>
          <w:lang w:bidi="ar-SA"/>
        </w:rPr>
        <w:t xml:space="preserve">. </w:t>
      </w:r>
      <w:bookmarkStart w:id="51" w:name="pg15033_241458"/>
    </w:p>
    <w:p>
      <w:pPr>
        <w:pStyle w:val="BookText"/>
        <w:rPr/>
      </w:pPr>
      <w:bookmarkEnd w:id="51"/>
      <w:r>
        <w:rPr>
          <w:rFonts w:ascii="Amiri" w:hAnsi="Amiri" w:eastAsia="Amiri" w:cs="Amiri"/>
          <w:color w:val="111111"/>
          <w:sz w:val="28"/>
          <w:sz w:val="28"/>
          <w:szCs w:val="28"/>
          <w:rtl w:val="true"/>
          <w:lang w:bidi="ar-SA"/>
        </w:rPr>
        <w:t xml:space="preserve">و لا يضرّ كون مورده رواية المخالفين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عدم القائل بالفصل بين ما يروونه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يروونه عن غيره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بما رواه بنو فضال و ترك ما رأوه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سيأتي البحث عنها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مع كونهم فطحيين يكشف عن عدم اعتبار الإيمان في الراوي، لعدم الفرق بين الفطحي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من أصناف غير الإمامي بالإجماع، فالقول الثاني أقرب،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316531_2142443653"/>
      <w:bookmarkStart w:id="53" w:name="_Toc19"/>
      <w:bookmarkEnd w:id="52"/>
      <w:r>
        <w:rPr>
          <w:rtl w:val="true"/>
        </w:rPr>
        <w:t>الخامس</w:t>
      </w:r>
      <w:r>
        <w:rPr>
          <w:rtl w:val="true"/>
        </w:rPr>
        <w:t xml:space="preserve">: </w:t>
      </w:r>
      <w:r>
        <w:rPr>
          <w:rtl w:val="true"/>
        </w:rPr>
        <w:t>العدالة</w:t>
      </w:r>
      <w:r>
        <w:rPr>
          <w:rtl w:val="true"/>
        </w:rPr>
        <w:t>:</w:t>
      </w:r>
      <w:bookmarkEnd w:id="53"/>
    </w:p>
    <w:p>
      <w:pPr>
        <w:pStyle w:val="Heading6"/>
        <w:numPr>
          <w:ilvl w:val="5"/>
          <w:numId w:val="1"/>
        </w:numPr>
        <w:rPr/>
      </w:pPr>
      <w:bookmarkStart w:id="54" w:name="__RefHeading___Toc316533_2142443653"/>
      <w:bookmarkStart w:id="55" w:name="_Toc20"/>
      <w:bookmarkEnd w:id="54"/>
      <w:r>
        <w:rPr>
          <w:rtl w:val="true"/>
        </w:rPr>
        <w:t>اشارة</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الخلاف تارة في موضوعها، و أخرى في اعتبارها في الراوي في قبول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الأول علم الفقه، و قد أوضحنا الكلام فيه في شهادات منتهى المقاصد، و أثبتنا أنها عبارة عن ملكة نفسانية راسخة باعثة على ملازمة التقوى، و ترك ارتكاب الكبائر، و الإصرار على الصغائر، و ترك ارتكاب منافيات المروءة</w:t>
      </w:r>
      <w:r>
        <w:rPr>
          <w:rStyle w:val="FootnoteAnchor"/>
          <w:rtl w:val="true"/>
        </w:rPr>
        <w:footnoteReference w:id="70"/>
      </w:r>
      <w:r>
        <w:rPr>
          <w:rFonts w:ascii="Amiri" w:hAnsi="Amiri" w:eastAsia="Amiri" w:cs="Amiri"/>
          <w:color w:val="111111"/>
          <w:sz w:val="28"/>
          <w:sz w:val="28"/>
          <w:szCs w:val="28"/>
          <w:rtl w:val="true"/>
          <w:lang w:bidi="ar-SA"/>
        </w:rPr>
        <w:t xml:space="preserve">الكاشف ارتكابها عن </w:t>
      </w:r>
    </w:p>
    <w:p>
      <w:pPr>
        <w:pStyle w:val="BookText"/>
        <w:rPr/>
      </w:pPr>
      <w:r>
        <w:rPr>
          <w:rFonts w:ascii="Amiri" w:hAnsi="Amiri" w:eastAsia="Amiri" w:cs="Amiri"/>
          <w:color w:val="111111"/>
          <w:sz w:val="28"/>
          <w:sz w:val="28"/>
          <w:szCs w:val="28"/>
          <w:rtl w:val="true"/>
          <w:lang w:bidi="ar-SA"/>
        </w:rPr>
        <w:t>قلة المبالاة بالدين بحيث لا يوثق منه التحرز عن الذنوب، و أنه لا يكفي فيها مجرد الإسلام، و لا مجرد عدم ارتكاب الكبيرة ما لم ينبعث الترك عن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حسن الظاهر فقط، و أنها تنكشف بالعلم و الاطمينان الحاصل من المعاشرة، و من مراجعة المعاشرين له، و أنه ليس الأصل في المسلم العدالة، و أنها لا تزول بارتكاب الصغيرة مرّة من غير إصرار، و لا بترك المندوبات و ارتكاب المكروهات، إلا أن يبلغ إلى حد يؤذن بالتهاون بالسنن و المكروهات و قلّة المبالاة بالدين، ذكرنا هناك معنى الكبائر، و عددها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يتعلق بتحقيق موضوع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حكمها المتعلق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اشتراطها في الراوي في قبول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القول في ذلك أنهم اختلفوا فيه على قولين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فلا تقبل رواية غير العدل و إن حاز بقية الشروط، و هذا هو خيرة المعارج</w:t>
      </w:r>
      <w:r>
        <w:rPr>
          <w:rStyle w:val="FootnoteAnchor"/>
          <w:rtl w:val="true"/>
        </w:rPr>
        <w:footnoteReference w:id="71"/>
      </w:r>
      <w:r>
        <w:rPr>
          <w:rFonts w:ascii="Amiri" w:hAnsi="Amiri" w:eastAsia="Amiri" w:cs="Amiri"/>
          <w:color w:val="111111"/>
          <w:sz w:val="28"/>
          <w:sz w:val="28"/>
          <w:szCs w:val="28"/>
          <w:rtl w:val="true"/>
          <w:lang w:bidi="ar-SA"/>
        </w:rPr>
        <w:t>و النهاية</w:t>
      </w:r>
      <w:r>
        <w:rPr>
          <w:rStyle w:val="FootnoteAnchor"/>
          <w:rtl w:val="true"/>
        </w:rPr>
        <w:footnoteReference w:id="72"/>
      </w:r>
      <w:r>
        <w:rPr>
          <w:rFonts w:ascii="Amiri" w:hAnsi="Amiri" w:eastAsia="Amiri" w:cs="Amiri"/>
          <w:color w:val="111111"/>
          <w:sz w:val="28"/>
          <w:sz w:val="28"/>
          <w:szCs w:val="28"/>
          <w:rtl w:val="true"/>
          <w:lang w:bidi="ar-SA"/>
        </w:rPr>
        <w:t>، و التهذيب</w:t>
      </w:r>
      <w:r>
        <w:rPr>
          <w:rStyle w:val="FootnoteAnchor"/>
          <w:rtl w:val="true"/>
        </w:rPr>
        <w:footnoteReference w:id="73"/>
      </w:r>
      <w:r>
        <w:rPr>
          <w:rFonts w:ascii="Amiri" w:hAnsi="Amiri" w:eastAsia="Amiri" w:cs="Amiri"/>
          <w:color w:val="111111"/>
          <w:sz w:val="28"/>
          <w:sz w:val="28"/>
          <w:szCs w:val="28"/>
          <w:rtl w:val="true"/>
          <w:lang w:bidi="ar-SA"/>
        </w:rPr>
        <w:t>، و المبادي، و شرحه</w:t>
      </w:r>
      <w:r>
        <w:rPr>
          <w:rStyle w:val="FootnoteAnchor"/>
          <w:rtl w:val="true"/>
        </w:rPr>
        <w:footnoteReference w:id="74"/>
      </w:r>
      <w:r>
        <w:rPr>
          <w:rFonts w:ascii="Amiri" w:hAnsi="Amiri" w:eastAsia="Amiri" w:cs="Amiri"/>
          <w:color w:val="111111"/>
          <w:sz w:val="28"/>
          <w:sz w:val="28"/>
          <w:szCs w:val="28"/>
          <w:rtl w:val="true"/>
          <w:lang w:bidi="ar-SA"/>
        </w:rPr>
        <w:t>و المنية</w:t>
      </w:r>
      <w:r>
        <w:rPr>
          <w:rStyle w:val="FootnoteAnchor"/>
          <w:rtl w:val="true"/>
        </w:rPr>
        <w:footnoteReference w:id="75"/>
      </w:r>
      <w:r>
        <w:rPr>
          <w:rFonts w:ascii="Amiri" w:hAnsi="Amiri" w:eastAsia="Amiri" w:cs="Amiri"/>
          <w:color w:val="111111"/>
          <w:sz w:val="28"/>
          <w:sz w:val="28"/>
          <w:szCs w:val="28"/>
          <w:rtl w:val="true"/>
          <w:lang w:bidi="ar-SA"/>
        </w:rPr>
        <w:t xml:space="preserve">و كنز </w:t>
      </w:r>
    </w:p>
    <w:p>
      <w:pPr>
        <w:pStyle w:val="BookText"/>
        <w:rPr/>
      </w:pPr>
      <w:r>
        <w:rPr>
          <w:rFonts w:ascii="IRNazanin" w:hAnsi="IRNazanin" w:eastAsia="IRNazanin"/>
          <w:color w:val="111111"/>
          <w:sz w:val="28"/>
          <w:sz w:val="28"/>
          <w:szCs w:val="28"/>
          <w:rtl w:val="true"/>
          <w:lang w:bidi="fa-IR"/>
        </w:rPr>
        <w:t>العرفان</w:t>
      </w:r>
      <w:r>
        <w:rPr>
          <w:rStyle w:val="FootnoteAnchor"/>
          <w:rtl w:val="true"/>
        </w:rPr>
        <w:footnoteReference w:id="76"/>
      </w:r>
      <w:r>
        <w:rPr>
          <w:rFonts w:ascii="Amiri" w:hAnsi="Amiri" w:eastAsia="Amiri" w:cs="Amiri"/>
          <w:color w:val="111111"/>
          <w:sz w:val="28"/>
          <w:sz w:val="28"/>
          <w:szCs w:val="28"/>
          <w:rtl w:val="true"/>
          <w:lang w:bidi="ar-SA"/>
        </w:rPr>
        <w:t>، و شرح الدراية</w:t>
      </w:r>
      <w:r>
        <w:rPr>
          <w:rStyle w:val="FootnoteAnchor"/>
          <w:rtl w:val="true"/>
        </w:rPr>
        <w:footnoteReference w:id="77"/>
      </w:r>
      <w:r>
        <w:rPr>
          <w:rFonts w:ascii="IRNazanin" w:hAnsi="IRNazanin" w:eastAsia="IRNazanin"/>
          <w:color w:val="111111"/>
          <w:sz w:val="28"/>
          <w:sz w:val="28"/>
          <w:szCs w:val="28"/>
          <w:rtl w:val="true"/>
          <w:lang w:bidi="fa-IR"/>
        </w:rPr>
        <w:t>، و المعالم</w:t>
      </w:r>
      <w:r>
        <w:rPr>
          <w:rStyle w:val="FootnoteAnchor"/>
          <w:rtl w:val="true"/>
        </w:rPr>
        <w:footnoteReference w:id="78"/>
      </w:r>
      <w:r>
        <w:rPr>
          <w:rFonts w:ascii="Amiri" w:hAnsi="Amiri" w:eastAsia="Amiri" w:cs="Amiri"/>
          <w:color w:val="111111"/>
          <w:sz w:val="28"/>
          <w:sz w:val="28"/>
          <w:szCs w:val="28"/>
          <w:rtl w:val="true"/>
          <w:lang w:bidi="ar-SA"/>
        </w:rPr>
        <w:t>و الزبدة</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جمهور أئمة الحديث و أصول الفقه</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جماهير أئمة الحديث و الفقه على أنه يشترط فيمن يحتج بروايته أن يكون عدلا ضابطا لما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المعالم و محكي 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و هو خيرة جمع مفترقين على قولين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مجهول الفسق، و هو المنقول عن ظاهر جمع من المتأخرين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خبر مجهول الحال، بل من يوثق بتحرزه عن الكذب خاصة، و هو خيرة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مخطئا في بعض الأفعال أو فاسقا بأفعال الجوارح، و كان ثقة في روايته، متحرزا فيها، فإن ذلك لا يوجب ردّ خبره، و يجوز العمل به، لأن العدالة المطلوبة في الرواية حاصلة فيه، و إنما الفسق بأفعال الجوارح يمنع من قبول شهادته، و ليس بمانع من قبول خبره، و لأجل ذلك قبلت الطائفة أخبار جماعة هذه صفتهم</w:t>
      </w:r>
      <w:r>
        <w:rPr>
          <w:rStyle w:val="FootnoteAnchor"/>
          <w:rtl w:val="true"/>
        </w:rPr>
        <w:footnoteReference w:id="82"/>
      </w:r>
      <w:r>
        <w:rPr>
          <w:rFonts w:ascii="Amiri" w:hAnsi="Amiri" w:eastAsia="Amiri" w:cs="Amiri"/>
          <w:color w:val="111111"/>
          <w:sz w:val="28"/>
          <w:sz w:val="28"/>
          <w:szCs w:val="28"/>
          <w:rtl w:val="true"/>
          <w:lang w:bidi="ar-SA"/>
        </w:rPr>
        <w:t>، و وافقه على ذلك جمع كثير من الأواخر، بل لعله المشهور بينهم</w:t>
      </w:r>
      <w:r>
        <w:rPr>
          <w:rStyle w:val="FootnoteAnchor"/>
          <w:rtl w:val="true"/>
        </w:rPr>
        <w:footnoteReference w:id="83"/>
      </w:r>
      <w:r>
        <w:rPr>
          <w:rFonts w:ascii="IRNazanin" w:hAnsi="IRNazanin" w:eastAsia="IRNazanin"/>
          <w:color w:val="111111"/>
          <w:sz w:val="28"/>
          <w:sz w:val="28"/>
          <w:szCs w:val="28"/>
          <w:rtl w:val="true"/>
          <w:lang w:bidi="fa-IR"/>
        </w:rPr>
        <w:t>، حتى تداولوا العمل بالأخبار الحسان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نظير الوجوه الخمسة المتقدمة حجة لاشتراط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تقرير الوجه الثاني هنا أن الآية أمرت بالتثبت عند خبر </w:t>
      </w:r>
    </w:p>
    <w:p>
      <w:pPr>
        <w:pStyle w:val="BookText"/>
        <w:rPr/>
      </w:pPr>
      <w:r>
        <w:rPr>
          <w:rFonts w:ascii="Amiri" w:hAnsi="Amiri" w:eastAsia="Amiri" w:cs="Amiri"/>
          <w:color w:val="111111"/>
          <w:sz w:val="28"/>
          <w:sz w:val="28"/>
          <w:szCs w:val="28"/>
          <w:rtl w:val="true"/>
          <w:lang w:bidi="ar-SA"/>
        </w:rPr>
        <w:t>الفاسق، فصار عدم الفسق شرطا لقبول الرواية، و مع الجهل يتحقق الجهل بالمشروط</w:t>
      </w:r>
      <w:r>
        <w:rPr>
          <w:rStyle w:val="FootnoteAnchor"/>
          <w:rtl w:val="true"/>
        </w:rPr>
        <w:footnoteReference w:id="85"/>
      </w:r>
      <w:r>
        <w:rPr>
          <w:rFonts w:ascii="Amiri" w:hAnsi="Amiri" w:eastAsia="Amiri" w:cs="Amiri"/>
          <w:color w:val="111111"/>
          <w:sz w:val="28"/>
          <w:sz w:val="28"/>
          <w:szCs w:val="28"/>
          <w:rtl w:val="true"/>
          <w:lang w:bidi="ar-SA"/>
        </w:rPr>
        <w:t>، فيجب الحكم بنفيه حتى يعلم وجود سبب انتفاء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قرره في البداية ناقلا عن أهل القول الأول</w:t>
      </w:r>
      <w:r>
        <w:rPr>
          <w:rStyle w:val="FootnoteAnchor"/>
          <w:rtl w:val="true"/>
        </w:rPr>
        <w:footnoteReference w:id="86"/>
      </w:r>
      <w:r>
        <w:rPr>
          <w:rFonts w:ascii="Amiri" w:hAnsi="Amiri" w:eastAsia="Amiri" w:cs="Amiri"/>
          <w:color w:val="111111"/>
          <w:sz w:val="28"/>
          <w:sz w:val="28"/>
          <w:szCs w:val="28"/>
          <w:rtl w:val="true"/>
          <w:lang w:bidi="ar-SA"/>
        </w:rPr>
        <w:t>، ثم تنظّر فيه بأن مقتضى الآية كون الفسق مانعا من قبول الرواية، فإذا جهل حال الراوي، لا يصح الحكم عليه بالفسق، فلا يجب التثبت عند خبره بمقتضى مفهوم الشرط، و لا نسلّم أن الشرط عدم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المانع ظهوره، فلا يجب العلم بانتفائه حيث يجهل، و الأصل عدم الفسق في المسلم و صحة قوله،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بعض آراء شيخنا أبي جعفر الطوسي، فإنه كثيرا ما يقبل خبر غير العدل و لا يبيّن سبب ذلك، و مذهب أبي حنيفة قبول رواية مجهول الحال محتجا بنحو ذلك و بقبول قوله في تذكية اللحم، و طهارة الماء، ورق الجارية، و الفرق بين ذلك و بين الرواية واضح</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منعه كون عدم الفسق شرطا فمتين، لما تقرّر في محله من أن الأمر العدمي لا يكون شرطا، مضافا إلى أن لسان الآية مانعية الفسق، لا شرطية العدالة أو عدم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ظهر صحة ما ذكره من دفع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العدم، و إن كان فيه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ناقش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في التمسك بالأصل، بأن الأظهر أن العدالة أمر وجودي، فالأصل بالنسبة إليهما سواء، مع أنه معارض بغلبة الفسق في الوجود، و أنه مقتضى الشهوة و الغضب اللتين هما غريزتان في الإنسان، و الراجح وقوع مقتضاهما ما لم يظهر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 التمسك بالأصل لا يسلّم شرطية العدالة، و إنما غرضه مانعية الفسق، و أصالة عدم المانع محكمة، و الظاهر لا يعارض الأصل، 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وضوح الفرق بين قبول قول المسلم في التذكية و الطهارة ورق الجارية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ففي محله أيضا، ضرورة أن قبول قوله في تلك الموارد إنما هو لقيام الدليل المخرج عن القاعدة على حمل فعله و قوله في نحو ذلك على الصحة، مضافا إلى موافقة بعض ذلك للأصل، كأصالة الطهارة و أصالة حجية قول ذي اليد في الاخبار عما بيده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استدل في القوانين</w:t>
      </w:r>
      <w:r>
        <w:rPr>
          <w:rStyle w:val="FootnoteAnchor"/>
          <w:rtl w:val="true"/>
        </w:rPr>
        <w:footnoteReference w:id="89"/>
      </w:r>
      <w:r>
        <w:rPr>
          <w:rFonts w:ascii="Amiri" w:hAnsi="Amiri" w:eastAsia="Amiri" w:cs="Amiri"/>
          <w:color w:val="111111"/>
          <w:sz w:val="28"/>
          <w:sz w:val="28"/>
          <w:szCs w:val="28"/>
          <w:rtl w:val="true"/>
          <w:lang w:bidi="ar-SA"/>
        </w:rPr>
        <w:t>لهذا القول بآية النبأ بتقريب أن الفاسق فيها من ثبت له الفسق في الواقع، لا خصوص من علم فسقه، لأن الألفاظ موضوعة لمعاني</w:t>
      </w:r>
      <w:r>
        <w:rPr>
          <w:rStyle w:val="FootnoteAnchor"/>
          <w:rtl w:val="true"/>
        </w:rPr>
        <w:footnoteReference w:id="90"/>
      </w:r>
      <w:r>
        <w:rPr>
          <w:rFonts w:ascii="Amiri" w:hAnsi="Amiri" w:eastAsia="Amiri" w:cs="Amiri"/>
          <w:color w:val="111111"/>
          <w:sz w:val="28"/>
          <w:sz w:val="28"/>
          <w:szCs w:val="28"/>
          <w:rtl w:val="true"/>
          <w:lang w:bidi="ar-SA"/>
        </w:rPr>
        <w:t xml:space="preserve">النفس الأمرية، فإذا وجب التثبت عند خبر من له هذه الصفة في الواقع توقف القبول على العلم </w:t>
      </w:r>
    </w:p>
    <w:p>
      <w:pPr>
        <w:pStyle w:val="BookText"/>
        <w:rPr/>
      </w:pPr>
      <w:r>
        <w:rPr>
          <w:rFonts w:ascii="Amiri" w:hAnsi="Amiri" w:eastAsia="Amiri" w:cs="Amiri"/>
          <w:color w:val="111111"/>
          <w:sz w:val="28"/>
          <w:sz w:val="28"/>
          <w:szCs w:val="28"/>
          <w:rtl w:val="true"/>
          <w:lang w:bidi="ar-SA"/>
        </w:rPr>
        <w:t>بانتفائها، و هو يقتضي اشتراط العدالة، إذ لا واسطة بين الفاسق و العادل في نفس الأمر فيما يبحث عنه من رواة الأخبار، لأن فرض كون الراوي في أول سن البلوغ مثلا بحيث لم يحصل له ملكة قبل البلوغ و لم يتجاوز عن أول زمان التكليف بمقدار تحصل له الملكة، و لم يصدر منه</w:t>
      </w:r>
      <w:r>
        <w:rPr>
          <w:rStyle w:val="FootnoteAnchor"/>
          <w:rtl w:val="true"/>
        </w:rPr>
        <w:footnoteReference w:id="91"/>
      </w:r>
      <w:r>
        <w:rPr>
          <w:rFonts w:ascii="Amiri" w:hAnsi="Amiri" w:eastAsia="Amiri" w:cs="Amiri"/>
          <w:color w:val="111111"/>
          <w:sz w:val="28"/>
          <w:sz w:val="28"/>
          <w:szCs w:val="28"/>
          <w:rtl w:val="true"/>
          <w:lang w:bidi="ar-SA"/>
        </w:rPr>
        <w:t>فسق أيضا، فرض نادر لا التفات إليه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غير ذلك، فهو إما فاسق في نفس الأمر أو عادل، و الواسطة إنما تحصل بين من علم عدالته و بين من علم فسقه، و هو من يشكّ في كونه عادلا أو فاسقا، و تلك الواسطة إنما هي في الذهن لا في نفس الأمر</w:t>
      </w:r>
      <w:r>
        <w:rPr>
          <w:rStyle w:val="FootnoteAnchor"/>
          <w:rtl w:val="true"/>
        </w:rPr>
        <w:footnoteReference w:id="92"/>
      </w:r>
      <w:r>
        <w:rPr>
          <w:rFonts w:ascii="Amiri" w:hAnsi="Amiri" w:eastAsia="Amiri" w:cs="Amiri"/>
          <w:color w:val="111111"/>
          <w:sz w:val="28"/>
          <w:sz w:val="28"/>
          <w:szCs w:val="28"/>
          <w:rtl w:val="true"/>
          <w:lang w:bidi="ar-SA"/>
        </w:rPr>
        <w:t>، و الواجبات المشروطة بوجود شيء إنما يتوقف وجوبها على وجود المشروط</w:t>
      </w:r>
      <w:r>
        <w:rPr>
          <w:rStyle w:val="FootnoteAnchor"/>
          <w:rtl w:val="true"/>
        </w:rPr>
        <w:footnoteReference w:id="93"/>
      </w:r>
      <w:r>
        <w:rPr>
          <w:rFonts w:ascii="Amiri" w:hAnsi="Amiri" w:eastAsia="Amiri" w:cs="Amiri"/>
          <w:color w:val="111111"/>
          <w:sz w:val="28"/>
          <w:sz w:val="28"/>
          <w:szCs w:val="28"/>
          <w:rtl w:val="true"/>
          <w:lang w:bidi="ar-SA"/>
        </w:rPr>
        <w:t>، لا على العلم بوجودها، فبالنسبة إلى العلم مطلق لا مشروط، و مقتضى تعليق الحكم على المتصف بوصف في نفس الأمر لزوم الفحص، ثم العمل على مقتضاه، و يؤيده التعليل المذكور في الآية، فإن الوقوع في الندم يحصل بقبول خبر من كان فاسقا في نفس الأمر و إن لم يحصل العلم به فيه، و أما خبر العدل و إن ظهر كذبه فيما بعد فلا ندم عليه</w:t>
      </w:r>
      <w:r>
        <w:rPr>
          <w:rStyle w:val="FootnoteAnchor"/>
          <w:rtl w:val="true"/>
        </w:rPr>
        <w:footnoteReference w:id="94"/>
      </w:r>
      <w:r>
        <w:rPr>
          <w:rFonts w:ascii="Amiri" w:hAnsi="Amiri" w:eastAsia="Amiri" w:cs="Amiri"/>
          <w:color w:val="111111"/>
          <w:sz w:val="28"/>
          <w:sz w:val="28"/>
          <w:szCs w:val="28"/>
          <w:rtl w:val="true"/>
          <w:lang w:bidi="ar-SA"/>
        </w:rPr>
        <w:t xml:space="preserve">، و لا ذمّ فيه على عدم الفحص، لأنه عمل على مقتضى الدليل، و مقتضى طريقة العرف </w:t>
      </w:r>
      <w:bookmarkStart w:id="56" w:name="pg15033_241465"/>
    </w:p>
    <w:p>
      <w:pPr>
        <w:pStyle w:val="BookText"/>
        <w:rPr/>
      </w:pPr>
      <w:bookmarkEnd w:id="56"/>
      <w:r>
        <w:rPr>
          <w:rFonts w:ascii="Amiri" w:hAnsi="Amiri" w:eastAsia="Amiri" w:cs="Amiri"/>
          <w:color w:val="111111"/>
          <w:sz w:val="28"/>
          <w:sz w:val="28"/>
          <w:szCs w:val="28"/>
          <w:rtl w:val="true"/>
          <w:lang w:bidi="ar-SA"/>
        </w:rPr>
        <w:t>و العادة، بخلاف مجهول الحال، و من حكاية التعليل يظهر أن في صورة فرض ثبوت الواسطة أيضا لا يجوز العمل، لعدم الاطمينان بخبر مثله، فهو يوجب</w:t>
      </w:r>
      <w:r>
        <w:rPr>
          <w:rStyle w:val="FootnoteAnchor"/>
          <w:rtl w:val="true"/>
        </w:rPr>
        <w:footnoteReference w:id="95"/>
      </w:r>
      <w:r>
        <w:rPr>
          <w:rFonts w:ascii="Amiri" w:hAnsi="Amiri" w:eastAsia="Amiri" w:cs="Amiri"/>
          <w:color w:val="111111"/>
          <w:sz w:val="28"/>
          <w:sz w:val="28"/>
          <w:szCs w:val="28"/>
          <w:rtl w:val="true"/>
          <w:lang w:bidi="ar-SA"/>
        </w:rPr>
        <w:t>الندم أيضا، مع أن العلم بتحقق الواسطة متعذر، لعدم إمكان العلم بانتفاء المعاصي الباطنية عادة، هذا ما في القوانين ملخصا</w:t>
      </w:r>
      <w:r>
        <w:rPr>
          <w:rStyle w:val="FootnoteAnchor"/>
          <w:rtl w:val="true"/>
        </w:rPr>
        <w:footnoteReference w:id="96"/>
      </w:r>
      <w:r>
        <w:rPr>
          <w:rFonts w:ascii="Amiri" w:hAnsi="Amiri" w:eastAsia="Amiri" w:cs="Amiri"/>
          <w:color w:val="111111"/>
          <w:sz w:val="28"/>
          <w:sz w:val="28"/>
          <w:szCs w:val="28"/>
          <w:rtl w:val="true"/>
          <w:lang w:bidi="ar-SA"/>
        </w:rPr>
        <w:t>، و ما ذكره لا بأس به</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316535_2142443653"/>
      <w:bookmarkStart w:id="58" w:name="_Toc21"/>
      <w:bookmarkEnd w:id="57"/>
      <w:r>
        <w:rPr>
          <w:rtl w:val="true"/>
        </w:rPr>
        <w:t>حجة القول بالعمل بخبر مجهول الحال</w:t>
      </w:r>
      <w:r>
        <w:rPr>
          <w:rtl w:val="true"/>
        </w:rPr>
        <w:t>:</w:t>
      </w:r>
      <w:bookmarkEnd w:id="58"/>
    </w:p>
    <w:p>
      <w:pPr>
        <w:pStyle w:val="BookText"/>
        <w:rPr/>
      </w:pPr>
      <w:r>
        <w:rPr>
          <w:rFonts w:ascii="Amiri" w:hAnsi="Amiri" w:eastAsia="Amiri" w:cs="Amiri"/>
          <w:color w:val="111111"/>
          <w:sz w:val="28"/>
          <w:sz w:val="28"/>
          <w:szCs w:val="28"/>
          <w:rtl w:val="true"/>
          <w:lang w:bidi="ar-SA"/>
        </w:rPr>
        <w:t>إن اللّه تعالى علّق وجوب التثبت على فسق المخبر، و ليس المراد الفسق الواقعي، و إن لم نعلم به، و إلا لزم التكليف بما لا يطاق، فتعيّن أن يكون المراد الفسق المعلوم، و انتفاء التثبت عند عدم العلم بالفسق يجامع كلا من الرد و القبول، لكن المراد ليس هو الأول، و إلا لزم كون مجهول الحال أسوأ حالا من معلوم الفسق، حيث يقبل خبره بعد التثبت، فتعين الثاني، و هو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المراد بالفسق في الآية هو فسق</w:t>
      </w:r>
      <w:r>
        <w:rPr>
          <w:rStyle w:val="FootnoteAnchor"/>
          <w:rtl w:val="true"/>
        </w:rPr>
        <w:footnoteReference w:id="97"/>
      </w:r>
      <w:r>
        <w:rPr>
          <w:rFonts w:ascii="Amiri" w:hAnsi="Amiri" w:eastAsia="Amiri" w:cs="Amiri"/>
          <w:color w:val="111111"/>
          <w:sz w:val="28"/>
          <w:sz w:val="28"/>
          <w:szCs w:val="28"/>
          <w:rtl w:val="true"/>
          <w:lang w:bidi="ar-SA"/>
        </w:rPr>
        <w:t>النفس الأمري لا المعلوم كما عرفت، و بعد إمكان تحصيل العلم به أو الظن، فلا يلزم تكليف بما لا يطاق</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316537_2142443653"/>
      <w:bookmarkStart w:id="60" w:name="_Toc22"/>
      <w:bookmarkEnd w:id="59"/>
      <w:r>
        <w:rPr>
          <w:rtl w:val="true"/>
        </w:rPr>
        <w:t xml:space="preserve">حجة الشيخ </w:t>
      </w:r>
      <w:r>
        <w:rPr>
          <w:rtl w:val="true"/>
        </w:rPr>
        <w:t>(</w:t>
      </w:r>
      <w:r>
        <w:rPr>
          <w:rtl w:val="true"/>
        </w:rPr>
        <w:t>رحمه اللّه</w:t>
      </w:r>
      <w:r>
        <w:rPr>
          <w:rtl w:val="true"/>
        </w:rPr>
        <w:t xml:space="preserve">) </w:t>
      </w:r>
      <w:r>
        <w:rPr>
          <w:rtl w:val="true"/>
        </w:rPr>
        <w:t>و من وافقه وجوه</w:t>
      </w:r>
      <w:r>
        <w:rPr>
          <w:rtl w:val="true"/>
        </w:rPr>
        <w:t>:</w:t>
      </w:r>
      <w:bookmarkEnd w:id="60"/>
    </w:p>
    <w:p>
      <w:pPr>
        <w:pStyle w:val="Heading6"/>
        <w:numPr>
          <w:ilvl w:val="5"/>
          <w:numId w:val="1"/>
        </w:numPr>
        <w:rPr/>
      </w:pPr>
      <w:bookmarkStart w:id="61" w:name="__RefHeading___Toc316539_2142443653"/>
      <w:bookmarkStart w:id="62" w:name="_Toc23"/>
      <w:bookmarkEnd w:id="61"/>
      <w:r>
        <w:rPr>
          <w:rtl w:val="true"/>
        </w:rPr>
        <w:t>اشارة</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العدة</w:t>
      </w:r>
      <w:r>
        <w:rPr>
          <w:rStyle w:val="FootnoteAnchor"/>
          <w:rtl w:val="true"/>
        </w:rPr>
        <w:footnoteReference w:id="98"/>
      </w:r>
      <w:r>
        <w:rPr>
          <w:rFonts w:ascii="Amiri" w:hAnsi="Amiri" w:eastAsia="Amiri" w:cs="Amiri"/>
          <w:color w:val="111111"/>
          <w:sz w:val="28"/>
          <w:sz w:val="28"/>
          <w:szCs w:val="28"/>
          <w:rtl w:val="true"/>
          <w:lang w:bidi="ar-SA"/>
        </w:rPr>
        <w:t xml:space="preserve">من عمل الطائفة بخبر </w:t>
      </w:r>
      <w:bookmarkStart w:id="63" w:name="pg15033_241466"/>
    </w:p>
    <w:p>
      <w:pPr>
        <w:pStyle w:val="BookText"/>
        <w:rPr/>
      </w:pPr>
      <w:bookmarkEnd w:id="63"/>
      <w:r>
        <w:rPr>
          <w:rFonts w:ascii="Amiri" w:hAnsi="Amiri" w:eastAsia="Amiri" w:cs="Amiri"/>
          <w:color w:val="111111"/>
          <w:sz w:val="28"/>
          <w:sz w:val="28"/>
          <w:szCs w:val="28"/>
          <w:rtl w:val="true"/>
          <w:lang w:bidi="ar-SA"/>
        </w:rPr>
        <w:t>الفاسق إذا كان ثقة في روايته متحرزا فيها</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316541_2142443653"/>
      <w:bookmarkStart w:id="65" w:name="_Toc24"/>
      <w:bookmarkEnd w:id="64"/>
      <w:r>
        <w:rPr>
          <w:rtl w:val="true"/>
        </w:rPr>
        <w:t>و أجاب عنه المحقق في المعارج</w:t>
      </w:r>
      <w:r>
        <w:rPr>
          <w:rtl w:val="true"/>
        </w:rPr>
        <w:t>:</w:t>
      </w:r>
      <w:bookmarkEnd w:id="6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ذلك، و المطالبة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لو سلمناها لاقتصرنا على المواضع التي عملت فيها بأخبار خاصة، و لم يجز التعدي في العمل إلى غيرها</w:t>
      </w:r>
      <w:r>
        <w:rPr>
          <w:rStyle w:val="FootnoteAnchor"/>
          <w:rtl w:val="true"/>
        </w:rPr>
        <w:footnoteReference w:id="99"/>
      </w:r>
      <w:r>
        <w:rPr>
          <w:rFonts w:ascii="Amiri" w:hAnsi="Amiri" w:eastAsia="Amiri" w:cs="Amiri"/>
          <w:color w:val="111111"/>
          <w:sz w:val="28"/>
          <w:sz w:val="28"/>
          <w:szCs w:val="28"/>
          <w:rtl w:val="true"/>
          <w:lang w:bidi="ar-SA"/>
        </w:rPr>
        <w:t>، و زاد في المعالم</w:t>
      </w:r>
      <w:r>
        <w:rPr>
          <w:rStyle w:val="FootnoteAnchor"/>
          <w:rtl w:val="true"/>
        </w:rPr>
        <w:footnoteReference w:id="100"/>
      </w:r>
      <w:r>
        <w:rPr>
          <w:rFonts w:ascii="Amiri" w:hAnsi="Amiri" w:eastAsia="Amiri" w:cs="Amiri"/>
          <w:color w:val="111111"/>
          <w:sz w:val="28"/>
          <w:sz w:val="28"/>
          <w:szCs w:val="28"/>
          <w:rtl w:val="true"/>
          <w:lang w:bidi="ar-SA"/>
        </w:rPr>
        <w:t>تعليل الاقتصار بأن عملهم لعله كان لانضمام القرائن إليها لا بمجرد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التحرز عن الكذب مع ظهور الفسق مستبعد، إذ الذي يظهر فسقه لا يوثق بما يظهر مما يخرجه عن الكذب، و قد وجّه الاستبعاد في القوانين</w:t>
      </w:r>
      <w:r>
        <w:rPr>
          <w:rStyle w:val="FootnoteAnchor"/>
          <w:rtl w:val="true"/>
        </w:rPr>
        <w:footnoteReference w:id="101"/>
      </w:r>
      <w:r>
        <w:rPr>
          <w:rFonts w:ascii="Amiri" w:hAnsi="Amiri" w:eastAsia="Amiri" w:cs="Amiri"/>
          <w:color w:val="111111"/>
          <w:sz w:val="28"/>
          <w:sz w:val="28"/>
          <w:szCs w:val="28"/>
          <w:rtl w:val="true"/>
          <w:lang w:bidi="ar-SA"/>
        </w:rPr>
        <w:t>بأن الداعي على ترك المعصية قد يكون هو الخوف من فضيحة الخلق، و قد يكون لأجل إنكار الطبيعة لخصوص المعصية، و قد يكون من أجل الخوف من الحاكم، و قد يكون هو الخوف من اللّه تعالى، و هذا هو الذي يعتمد عليه في عدم حصول المعصية في السر و العلن، بخلاف غيره، فمن كان فاسقا بالجوارح، و لا يبالي عن معصية الخالق، فكيف يعتمد عليه في ترك الكذب؟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إنكار عمل الطائفة بأخبار غير العدول فبعيد عن </w:t>
      </w:r>
    </w:p>
    <w:p>
      <w:pPr>
        <w:pStyle w:val="BookText"/>
        <w:rPr/>
      </w:pPr>
      <w:r>
        <w:rPr>
          <w:rFonts w:ascii="Amiri" w:hAnsi="Amiri" w:eastAsia="Amiri" w:cs="Amiri"/>
          <w:color w:val="111111"/>
          <w:sz w:val="28"/>
          <w:sz w:val="28"/>
          <w:szCs w:val="28"/>
          <w:rtl w:val="true"/>
          <w:lang w:bidi="ar-SA"/>
        </w:rPr>
        <w:t xml:space="preserve">الإنصاف، فإن من تتبع كتب الحديث و الرجال و الفقه وجد عملهم به في غاية الوضوح،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عمل في المعتبر و الشرائع بجملة منها</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قصر ذلك على موارد عملهم لاحتمال كونه لانضمام القرائن إليها، فيردّه كلمات جمع منهم، حيث إنها ظاهرة في العمل بالخبر من حيث هو، و لو سلم فلا وجه للاقتصار على مورد عملهم، بل اللازم التعميم لكل مورد قامت القرائن و الأمارات المفيدة للوثوق بالخبر، مضافا إلى أن الظاهر أن كل من جوّز الاعتماد على خبر الفاسق المتحرز عن الكذب في الجملة و في مورد خاص، جوّزه مطلقا، فالتفصيل خرق للإجماع المركب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ثالثا فمدفوع بملاحظة سيرة كثير من الناس من أهل الإيمان و الإسلام و الكفر من التحاشي و التحرز جدا عن الكذب، و ارتكاب كثير من المحرمات، و الاستبعاد إنما يتّجه حيث يكون الأمر على خلاف العادة، و من الظاهر أن ما ذكرناه مما جرت به العادة، و لقد أجاد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حصول الظن منه مطلقا لا وجه له، كما ترى بالعيان ان كثيرا ممن لا يجتنب عن أكل الحرام أنه يهتم في الصلاة و ترك الشرب و الزنا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p>
    <w:p>
      <w:pPr>
        <w:pStyle w:val="BookText"/>
        <w:rPr/>
      </w:pPr>
      <w:r>
        <w:rPr>
          <w:rFonts w:ascii="Amiri" w:hAnsi="Amiri" w:eastAsia="Amiri" w:cs="Amiri"/>
          <w:color w:val="111111"/>
          <w:sz w:val="28"/>
          <w:sz w:val="28"/>
          <w:szCs w:val="28"/>
          <w:rtl w:val="true"/>
          <w:lang w:bidi="ar-SA"/>
        </w:rPr>
        <w:t xml:space="preserve">كثيرا، و كذلك ممن هو مبتلى بأنواع الفسوق أنه لا يستخف بكتاب اللّه تعالى و سائر شعائره، و كذلك الكذب خصوصا في الرواية بالنسبة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ظهور سائر الفسوق ممن يعظم في نظره الكذب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حصول الظن بصدقه، و كذلك إذا كانت طبيعته مجبولة على الاجتناب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ترك الكذب محضا من جهة أن الشارع منعه أو وعد عليه لا يحصل الظن به، مع صدور ما هو أعظم منه مما يدلّ على عدم الاعتناء بوعيده تعالى و نواهيه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الإطاعة موكول إلى العقل و العقلاء، حتى إن ما ورد الأمر به من طرقه إنما هو من باب الإرشاد، و نحن نرى العقلاء مطبقين على العمل بخبر الفاسق بالجوارح، المتحرز عن الكذب في أمور معاشهم و معادهم عند الوثوق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بتقريب أن معرفة حال الراوي بأنه متحرز عن الكذب في الرواية تثبّت إجمالي محصل للاطمئنان بصدق الراوي، فيجوز العمل به، لأن الظاهر من الآية انه إذا حصل الاطمئنان من جهة خبر الفاسق بعد التثبت بمقدار يحصل من خبر العدل، فهو يكفي، سيما </w:t>
      </w:r>
      <w:bookmarkStart w:id="66" w:name="pg15033_241469"/>
    </w:p>
    <w:p>
      <w:pPr>
        <w:pStyle w:val="BookText"/>
        <w:rPr/>
      </w:pPr>
      <w:bookmarkEnd w:id="66"/>
      <w:r>
        <w:rPr>
          <w:rFonts w:ascii="Amiri" w:hAnsi="Amiri" w:eastAsia="Amiri" w:cs="Amiri"/>
          <w:color w:val="111111"/>
          <w:sz w:val="28"/>
          <w:sz w:val="28"/>
          <w:szCs w:val="28"/>
          <w:rtl w:val="true"/>
          <w:lang w:bidi="ar-SA"/>
        </w:rPr>
        <w:t xml:space="preserve">العدل الذي ثبتت عدالته بالظن، و الأدلة الظنية، فإن المراد بالعادل النفس الأمري هو ما اقتضى الدليل اطلاق العادل عليه في نفس الأمر، لا ما كان عادلا في نفس الامر، و الدليل قد يفيد القطع، و قد يفيد الظن، و بالجملة فقول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Style w:val="FootnoteAnchor"/>
          <w:rtl w:val="true"/>
        </w:rPr>
        <w:footnoteReference w:id="104"/>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Heading5"/>
        <w:numPr>
          <w:ilvl w:val="4"/>
          <w:numId w:val="1"/>
        </w:numPr>
        <w:rPr/>
      </w:pPr>
      <w:bookmarkStart w:id="67" w:name="__RefHeading___Toc316543_2142443653"/>
      <w:bookmarkStart w:id="68" w:name="_Toc25"/>
      <w:bookmarkEnd w:id="67"/>
      <w:r>
        <w:rPr>
          <w:rtl w:val="true"/>
        </w:rPr>
        <w:t>السادس</w:t>
      </w:r>
      <w:r>
        <w:rPr>
          <w:rtl w:val="true"/>
        </w:rPr>
        <w:t xml:space="preserve">: </w:t>
      </w:r>
      <w:r>
        <w:rPr>
          <w:rtl w:val="true"/>
        </w:rPr>
        <w:t>الضبط</w:t>
      </w:r>
      <w:r>
        <w:rPr>
          <w:rtl w:val="true"/>
        </w:rPr>
        <w:t>:</w:t>
      </w:r>
      <w:bookmarkEnd w:id="68"/>
    </w:p>
    <w:p>
      <w:pPr>
        <w:pStyle w:val="Heading6"/>
        <w:numPr>
          <w:ilvl w:val="5"/>
          <w:numId w:val="1"/>
        </w:numPr>
        <w:rPr/>
      </w:pPr>
      <w:bookmarkStart w:id="69" w:name="__RefHeading___Toc316545_2142443653"/>
      <w:bookmarkStart w:id="70" w:name="_Toc26"/>
      <w:bookmarkEnd w:id="69"/>
      <w:r>
        <w:rPr>
          <w:rtl w:val="true"/>
        </w:rPr>
        <w:t>اشارة</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يرويه، بمعنى كونه حافظا له مستيقظا غير مغفل</w:t>
      </w:r>
      <w:r>
        <w:rPr>
          <w:rStyle w:val="FootnoteAnchor"/>
          <w:rtl w:val="true"/>
        </w:rPr>
        <w:footnoteReference w:id="105"/>
      </w:r>
      <w:r>
        <w:rPr>
          <w:rFonts w:ascii="Amiri" w:hAnsi="Amiri" w:eastAsia="Amiri" w:cs="Amiri"/>
          <w:color w:val="111111"/>
          <w:sz w:val="28"/>
          <w:sz w:val="28"/>
          <w:szCs w:val="28"/>
          <w:rtl w:val="true"/>
          <w:lang w:bidi="ar-SA"/>
        </w:rPr>
        <w:t>إن حدّث من حفظه، ضابطا لكتابه</w:t>
      </w:r>
      <w:r>
        <w:rPr>
          <w:rStyle w:val="FootnoteAnchor"/>
          <w:rtl w:val="true"/>
        </w:rPr>
        <w:footnoteReference w:id="106"/>
      </w:r>
      <w:r>
        <w:rPr>
          <w:rFonts w:ascii="Amiri" w:hAnsi="Amiri" w:eastAsia="Amiri" w:cs="Amiri"/>
          <w:color w:val="111111"/>
          <w:sz w:val="28"/>
          <w:sz w:val="28"/>
          <w:szCs w:val="28"/>
          <w:rtl w:val="true"/>
          <w:lang w:bidi="ar-SA"/>
        </w:rPr>
        <w:t>، حافظا له من الغلط و التصحيف و التحريف إن حدّث منه، عارفا بما يختل به المعنى حيث يجوز له ذلك، و قد صرح باعتباره جمع كثير</w:t>
      </w:r>
      <w:r>
        <w:rPr>
          <w:rStyle w:val="FootnoteAnchor"/>
          <w:rtl w:val="true"/>
        </w:rPr>
        <w:footnoteReference w:id="107"/>
      </w:r>
      <w:r>
        <w:rPr>
          <w:rFonts w:ascii="Amiri" w:hAnsi="Amiri" w:eastAsia="Amiri" w:cs="Amiri"/>
          <w:color w:val="111111"/>
          <w:sz w:val="28"/>
          <w:sz w:val="28"/>
          <w:szCs w:val="28"/>
          <w:rtl w:val="true"/>
          <w:lang w:bidi="ar-SA"/>
        </w:rPr>
        <w:t>، بل نفى الخلاف في اشتراطه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أنه لا اعتماد و لا وثوق إلا مع الضبط، لأنه قد يسهو فيزيد في الحديث أو ينقص أو يغيّر أو يبدّل بما يوجب اختلاف الحكم، و اختلاف مدلوله المقصود، و قد يسهو عن الواسطة </w:t>
      </w:r>
      <w:bookmarkStart w:id="71" w:name="pg15033_241470"/>
    </w:p>
    <w:p>
      <w:pPr>
        <w:pStyle w:val="BookText"/>
        <w:rPr/>
      </w:pPr>
      <w:bookmarkEnd w:id="71"/>
      <w:r>
        <w:rPr>
          <w:rFonts w:ascii="Amiri" w:hAnsi="Amiri" w:eastAsia="Amiri" w:cs="Amiri"/>
          <w:color w:val="111111"/>
          <w:sz w:val="28"/>
          <w:sz w:val="28"/>
          <w:szCs w:val="28"/>
          <w:rtl w:val="true"/>
          <w:lang w:bidi="ar-SA"/>
        </w:rPr>
        <w:t>مع وجودها، و بذلك قد يحصل الاشتباه بين السند الصحيح و الضعيف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الاعتماد على الخبر من باب بناء العقلاء، و من البيّن عدم اعتمادهم إلا على خبر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فمفهوم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لقبول خبر العدل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بالضابط، لإشعار المنطوق به، و لإجماعهم ظاهرا عليه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 w:name="__RefHeading___Toc316547_2142443653"/>
      <w:bookmarkStart w:id="73" w:name="_Toc27"/>
      <w:bookmarkEnd w:id="72"/>
      <w:r>
        <w:rPr>
          <w:rtl w:val="true"/>
        </w:rPr>
        <w:t>تنبيهات</w:t>
      </w:r>
      <w:bookmarkEnd w:id="73"/>
    </w:p>
    <w:p>
      <w:pPr>
        <w:pStyle w:val="Heading6"/>
        <w:numPr>
          <w:ilvl w:val="5"/>
          <w:numId w:val="1"/>
        </w:numPr>
        <w:rPr/>
      </w:pPr>
      <w:bookmarkStart w:id="74" w:name="__RefHeading___Toc316549_2142443653"/>
      <w:bookmarkStart w:id="75" w:name="_Toc28"/>
      <w:bookmarkEnd w:id="74"/>
      <w:r>
        <w:rPr>
          <w:rtl w:val="true"/>
        </w:rPr>
        <w:t>الاول</w:t>
      </w:r>
      <w:r>
        <w:rPr>
          <w:rtl w:val="true"/>
        </w:rPr>
        <w:t xml:space="preserve">: </w:t>
      </w:r>
      <w:r>
        <w:rPr>
          <w:rtl w:val="true"/>
        </w:rPr>
        <w:t>ما المراد من الضابط؟</w:t>
      </w:r>
      <w:bookmarkEnd w:id="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بالضابط، من يغلب ذكره سهوه، لا من لا يسهو أصلا، و إلا لانحصر الأمر فيما يرويه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السهو، و هو باطل بالضرورة، فلا يقدح عروض السهو عليه نادرا، كما صرح به جماعة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ذكره الأشياء المعلومة له على نسيانه إياها جماعة، منهم السيد عميد الدين في محكي المنية،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بحيث لا يضبط الأحاديث و لا يفرق بين مزايا الألفاظ و لم يتمكن من حفظها لا تقبل روايته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76" w:name="pg15033_241471"/>
    </w:p>
    <w:p>
      <w:pPr>
        <w:pStyle w:val="Heading6"/>
        <w:numPr>
          <w:ilvl w:val="5"/>
          <w:numId w:val="1"/>
        </w:numPr>
        <w:rPr/>
      </w:pPr>
      <w:bookmarkStart w:id="77" w:name="__RefHeading___Toc316551_2142443653"/>
      <w:bookmarkStart w:id="78" w:name="_Toc29"/>
      <w:bookmarkEnd w:id="76"/>
      <w:bookmarkEnd w:id="77"/>
      <w:r>
        <w:rPr>
          <w:rtl w:val="true"/>
        </w:rPr>
        <w:t>الثاني</w:t>
      </w:r>
      <w:r>
        <w:rPr>
          <w:rtl w:val="true"/>
        </w:rPr>
        <w:t xml:space="preserve">: </w:t>
      </w:r>
      <w:r>
        <w:rPr>
          <w:rtl w:val="true"/>
        </w:rPr>
        <w:t>هل قيد العدالة يغني عن الضبط؟</w:t>
      </w:r>
      <w:bookmarkEnd w:id="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جمع منهم الشهيد الثاني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العدالة في الحقيقة يغني عن اعتبار الضبط، لأن العدل لا يروي إلا ما ضبطه و تحققه على الوجه المعتبر، و تخصيصه بالذكر تأكيد و</w:t>
      </w:r>
      <w:r>
        <w:rPr>
          <w:rStyle w:val="FootnoteAnchor"/>
          <w:rtl w:val="true"/>
        </w:rPr>
        <w:footnoteReference w:id="111"/>
      </w:r>
      <w:r>
        <w:rPr>
          <w:rFonts w:ascii="Amiri" w:hAnsi="Amiri" w:eastAsia="Amiri" w:cs="Amiri"/>
          <w:color w:val="111111"/>
          <w:sz w:val="28"/>
          <w:sz w:val="28"/>
          <w:szCs w:val="28"/>
          <w:rtl w:val="true"/>
          <w:lang w:bidi="ar-SA"/>
        </w:rPr>
        <w:t>جرى على العادة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ناقش في ذلك في محكي مشرق الشمسين</w:t>
      </w:r>
      <w:r>
        <w:rPr>
          <w:rStyle w:val="FootnoteAnchor"/>
          <w:rtl w:val="true"/>
        </w:rPr>
        <w:footnoteReference w:id="113"/>
      </w:r>
      <w:r>
        <w:rPr>
          <w:rFonts w:ascii="Amiri" w:hAnsi="Amiri" w:eastAsia="Amiri" w:cs="Amiri"/>
          <w:color w:val="111111"/>
          <w:sz w:val="28"/>
          <w:sz w:val="28"/>
          <w:szCs w:val="28"/>
          <w:rtl w:val="true"/>
          <w:lang w:bidi="ar-SA"/>
        </w:rPr>
        <w:t>بأن العدالة إنما تمنع من تعمد نقل غير المضبوط عنده، لا من نقل ما يسهو عن كونه غير مضبوط فيظنه مضبوطا</w:t>
      </w:r>
      <w:r>
        <w:rPr>
          <w:rStyle w:val="FootnoteAnchor"/>
          <w:rtl w:val="true"/>
        </w:rPr>
        <w:footnoteReference w:id="114"/>
      </w:r>
      <w:r>
        <w:rPr>
          <w:rFonts w:ascii="Amiri" w:hAnsi="Amiri" w:eastAsia="Amiri" w:cs="Amiri"/>
          <w:color w:val="111111"/>
          <w:sz w:val="28"/>
          <w:sz w:val="28"/>
          <w:szCs w:val="28"/>
          <w:rtl w:val="true"/>
          <w:lang w:bidi="ar-SA"/>
        </w:rPr>
        <w:t>، و ما ذكره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العادل إذا عرف من نفسه كثرة السهو لم يجترئ على الرواية تحرزا من إدخال ما ليس من الدّين فيه، مدفوع بأنه إذا كثر سهوه، فربما يسهو عن أنه كثير السهو، فيروي، فالحق أن اعتبار العدالة لا يغني عن اعتبار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الضبط شرطا للزم أهل الرجال الاعتناء به و تحقيقه و التصريح به كما في العدالة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مدفوع بما ذكره جمع منهم الشيخ البهائي </w:t>
      </w:r>
      <w:bookmarkStart w:id="79" w:name="pg15033_241472"/>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مشرق الشمسين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لنا الحكم بصحة الحديث بمجرد توثيق علماء الرجال رجال سنده من غير نص على ضبطهم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ثقة أنه عدل ضابط، لأن لفظة الثقة من الوثوق، و لا وثوق بمن يتساوى سهوه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ذكره أو يغلب سهوه على ذكره، و هذا هو السّر في عدولهم عن قولهم عدل إلى قولهم ثقة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 w:name="__RefHeading___Toc316553_2142443653"/>
      <w:bookmarkStart w:id="81" w:name="_Toc30"/>
      <w:bookmarkEnd w:id="80"/>
      <w:r>
        <w:rPr>
          <w:rtl w:val="true"/>
        </w:rPr>
        <w:t>الثالث</w:t>
      </w:r>
      <w:r>
        <w:rPr>
          <w:rtl w:val="true"/>
        </w:rPr>
        <w:t xml:space="preserve">: </w:t>
      </w:r>
      <w:r>
        <w:rPr>
          <w:rtl w:val="true"/>
        </w:rPr>
        <w:t>من يطلق عليه ضابط؟</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جمع بأنه يكفي في إطلاق الضابط على الراوي كثرة اهتمامه في نقل الحديث، بأن يكون بمجرد سماعه الحديث يكتبه و يحفظه و يراجعه و يزاوله، بحيث يحصل له</w:t>
      </w:r>
      <w:r>
        <w:rPr>
          <w:rStyle w:val="FootnoteAnchor"/>
          <w:rtl w:val="true"/>
        </w:rPr>
        <w:footnoteReference w:id="117"/>
      </w:r>
      <w:r>
        <w:rPr>
          <w:rFonts w:ascii="Amiri" w:hAnsi="Amiri" w:eastAsia="Amiri" w:cs="Amiri"/>
          <w:color w:val="111111"/>
          <w:sz w:val="28"/>
          <w:sz w:val="28"/>
          <w:szCs w:val="28"/>
          <w:rtl w:val="true"/>
          <w:lang w:bidi="ar-SA"/>
        </w:rPr>
        <w:t>الاعتماد و إن كان كثير السهو، إذ ربما يكون الإنسان متفطنا ذكيا لا يغفل عن درك المطلب حين الاستماع، و لكن يعرضه السهو بعد ساعة أو أكثر، فمثل هذا إذا كتب و أتقن حين السماع فقد ضبط الحديث، و هو ضابط، و بمثل هذا يجاب عما يقال من أن حبيبا الخثعمي</w:t>
      </w:r>
      <w:r>
        <w:rPr>
          <w:rStyle w:val="FootnoteAnchor"/>
          <w:rtl w:val="true"/>
        </w:rPr>
        <w:footnoteReference w:id="118"/>
      </w:r>
      <w:r>
        <w:rPr>
          <w:rFonts w:ascii="Amiri" w:hAnsi="Amiri" w:eastAsia="Amiri" w:cs="Amiri"/>
          <w:color w:val="111111"/>
          <w:sz w:val="28"/>
          <w:sz w:val="28"/>
          <w:szCs w:val="28"/>
          <w:rtl w:val="true"/>
          <w:lang w:bidi="ar-SA"/>
        </w:rPr>
        <w:t xml:space="preserve">ممن وثقوه في الرجال، مع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الفقيه أنه </w:t>
      </w:r>
      <w:bookmarkStart w:id="82" w:name="pg15033_241473"/>
    </w:p>
    <w:p>
      <w:pPr>
        <w:pStyle w:val="BookText"/>
        <w:rPr/>
      </w:pPr>
      <w:bookmarkEnd w:id="82"/>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رجل كثير السهو فما أحفظ على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فإن كونه كثير السهو يجتمع مع توثيقهم له بأنه كان يضبط الخبر بالكتابة و الإتقان حين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القوانين الجواب بوجه آخر، و هو أن كثرة السهو في الصلاة لا تنافي الضبط و عدم السهو في الرواية، و بوجه ثالث و هو أن المراد كثير الشك لكثرة استعمال السهو في الشك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316555_2142443653"/>
      <w:bookmarkStart w:id="84" w:name="_Toc31"/>
      <w:bookmarkEnd w:id="83"/>
      <w:r>
        <w:rPr>
          <w:rtl w:val="true"/>
        </w:rPr>
        <w:t>الرابع</w:t>
      </w:r>
      <w:r>
        <w:rPr>
          <w:rtl w:val="true"/>
        </w:rPr>
        <w:t xml:space="preserve">: </w:t>
      </w:r>
      <w:r>
        <w:rPr>
          <w:rtl w:val="true"/>
        </w:rPr>
        <w:t>كيفية اعتبار الضبط في الراوي؟</w:t>
      </w:r>
      <w:bookmarkEnd w:id="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ضبط الراوي بأن تعتبر روايته برواية الثقات المعروفين بالضبط و الإتقان، فإن وجدت رواياته موافقة لها غالبا، و لو من حيث المعنى بحيث لا يخالفها، أو تكون المخالفة نادرة عرف حينئذ كونه ضابطا ثبتا، و إن وجدت</w:t>
      </w:r>
      <w:r>
        <w:rPr>
          <w:rStyle w:val="FootnoteAnchor"/>
          <w:rtl w:val="true"/>
        </w:rPr>
        <w:footnoteReference w:id="121"/>
      </w:r>
      <w:r>
        <w:rPr>
          <w:rFonts w:ascii="Amiri" w:hAnsi="Amiri" w:eastAsia="Amiri" w:cs="Amiri"/>
          <w:color w:val="111111"/>
          <w:sz w:val="28"/>
          <w:sz w:val="28"/>
          <w:szCs w:val="28"/>
          <w:rtl w:val="true"/>
          <w:lang w:bidi="ar-SA"/>
        </w:rPr>
        <w:t xml:space="preserve">كثيرة المخالفة لروايات </w:t>
      </w:r>
      <w:bookmarkStart w:id="85" w:name="pg15033_241474"/>
    </w:p>
    <w:p>
      <w:pPr>
        <w:pStyle w:val="BookText"/>
        <w:rPr/>
      </w:pPr>
      <w:bookmarkEnd w:id="85"/>
      <w:r>
        <w:rPr>
          <w:rFonts w:ascii="Amiri" w:hAnsi="Amiri" w:eastAsia="Amiri" w:cs="Amiri"/>
          <w:color w:val="111111"/>
          <w:sz w:val="28"/>
          <w:sz w:val="28"/>
          <w:szCs w:val="28"/>
          <w:rtl w:val="true"/>
          <w:lang w:bidi="ar-SA"/>
        </w:rPr>
        <w:t>المعروفين عرف اختلال ضبطه، أو اختلال حاله في الضبط، و لم يحتجّ بحديثه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ضبط الراوي إن ثبت بالاعتبار المذكور أو بالبينة العادلة،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حصل الاطمينان من شهادة ثقة 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 الحال،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التوقف،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حينئذ على ما هو الأغلب من حال الرواة بل مطلق الناس من الضبط، و عدم غلبة السهو، و هذا القول أظهر لحجية الظن في الرجال، و الغلبة تفيده وجدانا، و قد تؤيد الغلبة بأصالة بقاء التذكّر و العلم بالمعنى المنافي للنسيان لا بمعنى التذكّر الفعلي حتى يكون متعذرا أو متعسرا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كثرة السهو المنافية للقبول، فتأمل</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316557_2142443653"/>
      <w:bookmarkStart w:id="87" w:name="_Toc32"/>
      <w:bookmarkEnd w:id="86"/>
      <w:r>
        <w:rPr>
          <w:rtl w:val="true"/>
        </w:rPr>
        <w:t>الخامس</w:t>
      </w:r>
      <w:r>
        <w:rPr>
          <w:rtl w:val="true"/>
        </w:rPr>
        <w:t xml:space="preserve">: </w:t>
      </w:r>
      <w:r>
        <w:rPr>
          <w:rtl w:val="true"/>
        </w:rPr>
        <w:t>الاكثار من الرواية لا يدل على عدم الضبط</w:t>
      </w:r>
      <w:bookmarkEnd w:id="8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أن الإكثار من الرواية لا تدلّ على عدم ضبط الراوي، كما صرح به جماعة، منهم العلامة في النهاية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316559_2142443653"/>
      <w:bookmarkStart w:id="89" w:name="_Toc33"/>
      <w:bookmarkEnd w:id="88"/>
      <w:r>
        <w:rPr>
          <w:rtl w:val="true"/>
        </w:rPr>
        <w:t>السادس</w:t>
      </w:r>
      <w:r>
        <w:rPr>
          <w:rtl w:val="true"/>
        </w:rPr>
        <w:t xml:space="preserve">: </w:t>
      </w:r>
      <w:r>
        <w:rPr>
          <w:rtl w:val="true"/>
        </w:rPr>
        <w:t>رواية الاصول لا تحتاج الى الضبط</w:t>
      </w:r>
      <w:bookmarkEnd w:id="8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البداية</w:t>
      </w:r>
      <w:r>
        <w:rPr>
          <w:rStyle w:val="FootnoteAnchor"/>
          <w:rtl w:val="true"/>
        </w:rPr>
        <w:footnoteReference w:id="124"/>
      </w:r>
      <w:r>
        <w:rPr>
          <w:rFonts w:ascii="Amiri" w:hAnsi="Amiri" w:eastAsia="Amiri" w:cs="Amiri"/>
          <w:color w:val="111111"/>
          <w:sz w:val="28"/>
          <w:sz w:val="28"/>
          <w:szCs w:val="28"/>
          <w:rtl w:val="true"/>
          <w:lang w:bidi="ar-SA"/>
        </w:rPr>
        <w:t>أن اشتراط الضبط إنما يفتقر إليه فيمن يروي الأحاديث من حفظه، أو يخرّجها بغير الطرق المذكورة في المصنفات، و أما رواية الأصول المشهورة فلا يعتبر فيها ذلك</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16561_2142443653"/>
      <w:bookmarkStart w:id="91" w:name="_Toc34"/>
      <w:bookmarkEnd w:id="90"/>
      <w:r>
        <w:rPr>
          <w:rtl w:val="true"/>
        </w:rPr>
        <w:t>السابع</w:t>
      </w:r>
      <w:r>
        <w:rPr>
          <w:rtl w:val="true"/>
        </w:rPr>
        <w:t xml:space="preserve">: </w:t>
      </w:r>
      <w:r>
        <w:rPr>
          <w:rtl w:val="true"/>
        </w:rPr>
        <w:t>تفرد الضابط الثقة، حجة و إن لم يكن له موافق</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أحرز ضبط الراوي و وثاقته أخذ بخبره، و لو لم </w:t>
      </w:r>
    </w:p>
    <w:p>
      <w:pPr>
        <w:pStyle w:val="BookText"/>
        <w:rPr/>
      </w:pPr>
      <w:r>
        <w:rPr>
          <w:rFonts w:ascii="Amiri" w:hAnsi="Amiri" w:eastAsia="Amiri" w:cs="Amiri"/>
          <w:color w:val="111111"/>
          <w:sz w:val="28"/>
          <w:sz w:val="28"/>
          <w:szCs w:val="28"/>
          <w:rtl w:val="true"/>
          <w:lang w:bidi="ar-SA"/>
        </w:rPr>
        <w:t>يكن له موافق فيما يرويه، و لم يعضده ظاهر مقطوع من كتاب أو سنّة متواترة و لا عمل بعض الصحابة به</w:t>
      </w:r>
      <w:r>
        <w:rPr>
          <w:rStyle w:val="FootnoteAnchor"/>
          <w:rtl w:val="true"/>
        </w:rPr>
        <w:footnoteReference w:id="125"/>
      </w:r>
      <w:r>
        <w:rPr>
          <w:rFonts w:ascii="Amiri" w:hAnsi="Amiri" w:eastAsia="Amiri" w:cs="Amiri"/>
          <w:color w:val="111111"/>
          <w:sz w:val="28"/>
          <w:sz w:val="28"/>
          <w:szCs w:val="28"/>
          <w:rtl w:val="true"/>
          <w:lang w:bidi="ar-SA"/>
        </w:rPr>
        <w:t>، و لم يكن منتشرا و مشهورا بينهم، وفاقا لجماعة منهم العلامة و ابن أخته العميد</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عليه المعظم، بل استظهر بعضهم اتفاق الأصحاب عليه، و خالف في ذلك أبو علي الجبائي فاعتبر تعدد الرواية، فلا تقبل عنده رواية الواحد إلا إذا اعتضد بظاهر مقطوع، أو عمل بها بعض الصحابة، أو كانت منتشرة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احتجوا عليه بقبول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الصحابة لخبر الواحد المجرد عن الأمور المذكورة، مضافا إلى مفهوم آية النبأ، و إلى بناء العقلاء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عليك أن جمعا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تداولوا ردّ بعض الأخبار بعدم عمل الأصحاب به، و قد قرّرنا في محله أن شرطية عمل الأصحاب بالخبر في حجيته مما لا دليل عليه، و إنما الثابت مانعية إعراضهم عن الخبر عن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فيما إذا كان عدم العمل ثابتا، و الإعراض مشكوكا، فإنه على الشرطية يسقط عن الحجية، و على المانعية يدفع المانع بالأصل، فاحفظ ذلك و اغتنم، فقد اشتبه في ذلك أقوام</w:t>
      </w:r>
      <w:r>
        <w:rPr>
          <w:rFonts w:eastAsia="Amiri" w:cs="Amiri" w:ascii="Amiri" w:hAnsi="Amiri"/>
          <w:color w:val="111111"/>
          <w:sz w:val="28"/>
          <w:szCs w:val="28"/>
          <w:rtl w:val="true"/>
          <w:lang w:bidi="ar-SA"/>
        </w:rPr>
        <w:t xml:space="preserve">. </w:t>
      </w:r>
      <w:bookmarkStart w:id="92" w:name="pg15033_241476"/>
    </w:p>
    <w:p>
      <w:pPr>
        <w:pStyle w:val="BookText"/>
        <w:rPr/>
      </w:pPr>
      <w:bookmarkEnd w:id="92"/>
      <w:r>
        <w:rPr>
          <w:rFonts w:ascii="Amiri" w:hAnsi="Amiri" w:eastAsia="Amiri" w:cs="Amiri"/>
          <w:color w:val="111111"/>
          <w:sz w:val="28"/>
          <w:sz w:val="28"/>
          <w:szCs w:val="28"/>
          <w:rtl w:val="true"/>
          <w:lang w:bidi="ar-SA"/>
        </w:rPr>
        <w:t>هذا تمام الكلام في الجهة الأولى المتكفلة لشروط الخبر</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16563_2142443653"/>
      <w:bookmarkStart w:id="94" w:name="_Toc35"/>
      <w:bookmarkEnd w:id="93"/>
      <w:r>
        <w:rPr>
          <w:rtl w:val="true"/>
        </w:rPr>
        <w:t>تذييل</w:t>
      </w:r>
      <w:r>
        <w:rPr>
          <w:rtl w:val="true"/>
        </w:rPr>
        <w:t xml:space="preserve">: </w:t>
      </w:r>
      <w:r>
        <w:rPr>
          <w:rtl w:val="true"/>
        </w:rPr>
        <w:t>فيه امران</w:t>
      </w:r>
      <w:bookmarkEnd w:id="94"/>
    </w:p>
    <w:p>
      <w:pPr>
        <w:pStyle w:val="Heading6"/>
        <w:numPr>
          <w:ilvl w:val="5"/>
          <w:numId w:val="1"/>
        </w:numPr>
        <w:rPr/>
      </w:pPr>
      <w:bookmarkStart w:id="95" w:name="__RefHeading___Toc316565_2142443653"/>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و قد بقي هنا أمران ينبغي تذييل هذه الجهة بهما</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316567_2142443653"/>
      <w:bookmarkStart w:id="98" w:name="_Toc37"/>
      <w:bookmarkEnd w:id="97"/>
      <w:r>
        <w:rPr>
          <w:rtl w:val="true"/>
        </w:rPr>
        <w:t>الاول</w:t>
      </w:r>
      <w:r>
        <w:rPr>
          <w:rtl w:val="true"/>
        </w:rPr>
        <w:t xml:space="preserve">: </w:t>
      </w:r>
      <w:r>
        <w:rPr>
          <w:rtl w:val="true"/>
        </w:rPr>
        <w:t>لا يلزم غير ما ذكر من الشروط كالذكورية و الحرية و غيرهما</w:t>
      </w:r>
      <w:bookmarkEnd w:id="98"/>
    </w:p>
    <w:p>
      <w:pPr>
        <w:pStyle w:val="Heading6"/>
        <w:numPr>
          <w:ilvl w:val="5"/>
          <w:numId w:val="1"/>
        </w:numPr>
        <w:rPr/>
      </w:pPr>
      <w:bookmarkStart w:id="99" w:name="__RefHeading___Toc316569_2142443653"/>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الخبر غير ما ذكر من الشروط، و قد وقع التنصيص في كلماتهم على عدم اشتراط أمور للأصل، و 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فتقبل رواية الأنثى و الخنثى إذا جمعت الشروط المذكورة</w:t>
      </w:r>
      <w:r>
        <w:rPr>
          <w:rStyle w:val="FootnoteAnchor"/>
          <w:rtl w:val="true"/>
        </w:rPr>
        <w:footnoteReference w:id="128"/>
      </w:r>
      <w:r>
        <w:rPr>
          <w:rFonts w:ascii="Amiri" w:hAnsi="Amiri" w:eastAsia="Amiri" w:cs="Amiri"/>
          <w:color w:val="111111"/>
          <w:sz w:val="28"/>
          <w:sz w:val="28"/>
          <w:szCs w:val="28"/>
          <w:rtl w:val="true"/>
          <w:lang w:bidi="ar-SA"/>
        </w:rPr>
        <w:t>، حرة كانت أو مملوكة، كما صرح بذلك كله الفاضلان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بل نفى العلامة في النهاية الخلاف فيه</w:t>
      </w:r>
      <w:r>
        <w:rPr>
          <w:rStyle w:val="FootnoteAnchor"/>
          <w:rtl w:val="true"/>
        </w:rPr>
        <w:footnoteReference w:id="129"/>
      </w:r>
      <w:r>
        <w:rPr>
          <w:rFonts w:ascii="Amiri" w:hAnsi="Amiri" w:eastAsia="Amiri" w:cs="Amiri"/>
          <w:color w:val="111111"/>
          <w:sz w:val="28"/>
          <w:sz w:val="28"/>
          <w:szCs w:val="28"/>
          <w:rtl w:val="true"/>
          <w:lang w:bidi="ar-SA"/>
        </w:rPr>
        <w:t>و ادّعى في البداية إطباق السلف و الخلف على الرواية عن المرأة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ذلك ما مرّ من الأصل،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شهادتها تقبل، فروايتها أولى بالقبول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فتقبل رواية المملوك مطلقا و لو كان قنّا، إذا جمع سائر الشرائط، كما صرح به الفاضلان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بل نفى في نهاية الأصول الخلاف فيه</w:t>
      </w:r>
      <w:r>
        <w:rPr>
          <w:rStyle w:val="FootnoteAnchor"/>
          <w:rtl w:val="true"/>
        </w:rPr>
        <w:footnoteReference w:id="132"/>
      </w:r>
      <w:r>
        <w:rPr>
          <w:rFonts w:ascii="Amiri" w:hAnsi="Amiri" w:eastAsia="Amiri" w:cs="Amiri"/>
          <w:color w:val="111111"/>
          <w:sz w:val="28"/>
          <w:sz w:val="28"/>
          <w:szCs w:val="28"/>
          <w:rtl w:val="true"/>
          <w:lang w:bidi="ar-SA"/>
        </w:rPr>
        <w:t>، لنحو ما ذكر في سابقه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فتقبل رواية الأعمى إذا جمع الشرائط، كما صرح بذلك جمع، بل نفى الخلاف فيه في النهاية، و ظاهر البداية اتفاق السلف و الخلف عليه</w:t>
      </w:r>
      <w:r>
        <w:rPr>
          <w:rStyle w:val="FootnoteAnchor"/>
          <w:rtl w:val="true"/>
        </w:rPr>
        <w:footnoteReference w:id="134"/>
      </w:r>
      <w:r>
        <w:rPr>
          <w:rFonts w:ascii="Amiri" w:hAnsi="Amiri" w:eastAsia="Amiri" w:cs="Amiri"/>
          <w:color w:val="111111"/>
          <w:sz w:val="28"/>
          <w:sz w:val="28"/>
          <w:szCs w:val="28"/>
          <w:rtl w:val="true"/>
          <w:lang w:bidi="ar-SA"/>
        </w:rPr>
        <w:t>، و عن شرح المختصر نقل اتفاق الصحابة عليه، للأصل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يخالفه نقل بعضهم عن غير واحد من علماء العامة ردّ رواية الأعمى،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القرابة، فيجوز رواية الولد عن والده و بالعكس، لاتفاق الصحابة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كذا الحال في عدم العداوة و عدم الصداقة بين الراوي و المروي له، فإنه لا يعتبر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الكتابة، فتقبل رواية الأمّي إذا جمع الشرائط بلا خلاف و لا إشكال، للأصل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بالفقه و العربية، فإنه لا يشترط ذلك</w:t>
      </w:r>
      <w:r>
        <w:rPr>
          <w:rStyle w:val="FootnoteAnchor"/>
          <w:rtl w:val="true"/>
        </w:rPr>
        <w:footnoteReference w:id="135"/>
      </w:r>
      <w:r>
        <w:rPr>
          <w:rFonts w:ascii="Amiri" w:hAnsi="Amiri" w:eastAsia="Amiri" w:cs="Amiri"/>
          <w:color w:val="111111"/>
          <w:sz w:val="28"/>
          <w:sz w:val="28"/>
          <w:szCs w:val="28"/>
          <w:rtl w:val="true"/>
          <w:lang w:bidi="ar-SA"/>
        </w:rPr>
        <w:t>، كما صرح بذلك جماعة للأصل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مما مرّ، مضافا إلى أن الغرض من الخبر الرواية لا الدراية، و هي تتحقق بدونهما، و لعموم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830/2</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839/2</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212/5</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بداية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الصاد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سنفصل الكلام في الحديث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امرأ سمع مقالتي فوعاها و أداها كما سمعها، فربّ حامل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فقه ليس بفقيه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عند العامة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جامع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المضمون عن عبد اللّه بن مسعود كما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الحديث المشهور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في إسناده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مقالتي فأداها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بيان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 تعرّض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لطرق هذا الحديث بغير ما ذكرناه، و انظر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 قال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الحديث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المشهور الذي يخرّج في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البداية أنه ينبغي مؤكدا معرفته بالعربية حذرا من اللحن </w:t>
      </w:r>
    </w:p>
    <w:p>
      <w:pPr>
        <w:pStyle w:val="BookText"/>
        <w:rPr/>
      </w:pPr>
      <w:r>
        <w:rPr>
          <w:rFonts w:ascii="Amiri" w:hAnsi="Amiri" w:eastAsia="Amiri" w:cs="Amiri"/>
          <w:color w:val="111111"/>
          <w:sz w:val="28"/>
          <w:sz w:val="28"/>
          <w:szCs w:val="28"/>
          <w:rtl w:val="true"/>
          <w:lang w:bidi="ar-SA"/>
        </w:rPr>
        <w:t>و التصحيف</w:t>
      </w:r>
      <w:r>
        <w:rPr>
          <w:rStyle w:val="FootnoteAnchor"/>
          <w:rtl w:val="true"/>
        </w:rPr>
        <w:footnoteReference w:id="137"/>
      </w:r>
      <w:r>
        <w:rPr>
          <w:rFonts w:ascii="Amiri" w:hAnsi="Amiri" w:eastAsia="Amiri" w:cs="Amiri"/>
          <w:color w:val="111111"/>
          <w:sz w:val="28"/>
          <w:sz w:val="28"/>
          <w:szCs w:val="28"/>
          <w:rtl w:val="true"/>
          <w:lang w:bidi="ar-SA"/>
        </w:rPr>
        <w:t xml:space="preserve">و قد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كلامنا فإنّا قوم فصحاء</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هو يشمل إعراب القلم و اللسان، 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الأحاديث عن الأصل معربة، و عن آخر</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على طالب الحديث إذا لم يعرف النحو أن يدخل في جملة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يلحن، فمهما روى عنه حديثا و قد لحن فيه فقد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حينئذ أن يعلم قدرا يسلم معه من اللحن و التحريف</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معروفية النسب، فلو لم يعرف نسبه، و حصلت الشرائط قبلت روايته، للأصل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مما مرّ، و لو كان جامعا للشرائط لكنه ولد الزنا، فعلى القول بعدم كفره فلا شبهة في قبول خبره، و أما على القول بكفره فلا يقبل خبره لفقد الشرط، و هو الإسلام</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عليه، فهو شرط مبنائي معتبر في الجملة لا مطلقا،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التي قيل باعتبارها غير ما ذكره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في زماننا هذا لا تعتبر كثير من هذه الشروط الفرعية، و سقوط كثير من هذه الفروع العلمية ما مرّ منها أو سيأتي خروجا موضوعيا بانتفاء موضوعها أو سقوطا حكميا أو لتعذر الوفاء بها، و قد جارينا في بعضها ما ذكره العامة و ما بنوه و تبنوه، و نحن بحمد اللّه في غنى عن جملة منها، و قد آل السماع في يومنا هذا إلى مجرد إبقاء سلسلة السند لتبقى هذه الكرامة و الخصيصة التي خصت بها هذه الأمة المرحومة شرفا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كرامة من اللّه علينا، و سنرجع لهذا الموضوع في فصل أقسام تحمّل الحديث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5033_241480"/>
    </w:p>
    <w:p>
      <w:pPr>
        <w:pStyle w:val="Heading6"/>
        <w:numPr>
          <w:ilvl w:val="5"/>
          <w:numId w:val="1"/>
        </w:numPr>
        <w:rPr/>
      </w:pPr>
      <w:bookmarkStart w:id="102" w:name="__RefHeading___Toc316571_2142443653"/>
      <w:bookmarkStart w:id="103" w:name="_Toc39"/>
      <w:bookmarkEnd w:id="101"/>
      <w:bookmarkEnd w:id="102"/>
      <w:r>
        <w:rPr>
          <w:rtl w:val="true"/>
        </w:rPr>
        <w:t>فرع</w:t>
      </w:r>
      <w:r>
        <w:rPr>
          <w:rtl w:val="true"/>
        </w:rPr>
        <w:t xml:space="preserve">: </w:t>
      </w:r>
      <w:r>
        <w:rPr>
          <w:rtl w:val="true"/>
        </w:rPr>
        <w:t>لو كان للراوي اسمان،</w:t>
      </w:r>
      <w:bookmarkEnd w:id="103"/>
    </w:p>
    <w:p>
      <w:pPr>
        <w:pStyle w:val="BookText"/>
        <w:rPr/>
      </w:pPr>
      <w:r>
        <w:rPr>
          <w:rFonts w:ascii="Amiri" w:hAnsi="Amiri" w:eastAsia="Amiri" w:cs="Amiri"/>
          <w:color w:val="111111"/>
          <w:sz w:val="28"/>
          <w:sz w:val="28"/>
          <w:szCs w:val="28"/>
          <w:rtl w:val="true"/>
          <w:lang w:bidi="ar-SA"/>
        </w:rPr>
        <w:t>و هو بأحدهما أشهر، جازت الرواية عنه، و لو كان مترددا بينهما و هو بأحدهما مجروح، و بالآخر معدل ففي القبول تردد</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16573_2142443653"/>
      <w:bookmarkStart w:id="105" w:name="_Toc40"/>
      <w:bookmarkEnd w:id="104"/>
      <w:r>
        <w:rPr>
          <w:rtl w:val="true"/>
        </w:rPr>
        <w:t>فائدة</w:t>
      </w:r>
      <w:r>
        <w:rPr>
          <w:rtl w:val="true"/>
        </w:rPr>
        <w:t xml:space="preserve">: </w:t>
      </w:r>
      <w:r>
        <w:rPr>
          <w:rtl w:val="true"/>
        </w:rPr>
        <w:t>لا يعتبر في حجية الخبر وجوده في أحد الكتب الأربعة</w:t>
      </w:r>
      <w:bookmarkEnd w:id="1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زعمه بعض القاصرين</w:t>
      </w:r>
      <w:r>
        <w:rPr>
          <w:rStyle w:val="FootnoteAnchor"/>
          <w:rtl w:val="true"/>
        </w:rPr>
        <w:footnoteReference w:id="142"/>
      </w:r>
      <w:r>
        <w:rPr>
          <w:rFonts w:ascii="Amiri" w:hAnsi="Amiri" w:eastAsia="Amiri" w:cs="Amiri"/>
          <w:color w:val="111111"/>
          <w:sz w:val="28"/>
          <w:sz w:val="28"/>
          <w:szCs w:val="28"/>
          <w:rtl w:val="true"/>
          <w:lang w:bidi="ar-SA"/>
        </w:rPr>
        <w:t xml:space="preserve">، بل المدار على جمع الخبر للشرائط أينما وجد، و ليس من شرائط حجيته وجوده في هذه الأربعة، كيف و قصر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الحجية على ما فيها من الأخبار يقتضي سقوط ما عداها من كتب الحديث عن درجة الاعتبار، مع أن كثيرا منها يقرب من هذه الأربعة في الاشتهار، و لا يقصر عنها بكثير في الظهور و الانتشار، كالعيون، و الخصال، و الإكمال من مصنفات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الكتب المعروفة المشهورة الظاهرة النسبة إلى مؤلفيها الثقات الأجلة و علماء الطائفة، و وجوه الفرقة المحقة، لم يزالوا في جميع الأعصار و الأمصار يستندون إليها و يفرعون عليها فيما تضمنته من الأخبار و الآثار المروية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 من أحد منهم الاقتصار على الكتب الأربعة، و لا إنكار الحديث لكونه من غيرها، و إقبال الفقهاء على تلك الأربعة، و انكبابهم عليها، ليس لعدم اعتبار غيرها عندهم، بل لما في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جودة الترتيب، و حسن التهذيب و كون مؤلفيها رؤساء الشيعة، و شيوخ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كتب الحديث و أشملها لما يناسب أنظار الفقهاء من أحاديث الفروع، و ما عدا الكافي منها مقصور على روايات الأحكام، موضوع لخصوص ما يتعلق بالحلال و الحرام، و سائر كتب الحديث و إن اشتملت على كثير من الأخبار المتعلقة بهذا الغرض، إلا أن وضعها لغيره اقتضى تفرق ذلك فيها، و شتاته في أبوابها و فصولها، على وجه يصعب الوصول إليه، و يعسر الإحاطة به، فلذلك قلّت رغبة من يطلب الفقه فيها، و انصرفت عمدة همتهم إلى تلك الأربعة، لا لقصر الحجية عليها لعموم أدلة حجية الخبر إذا جمع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كونه موجودا في كتب معتبرة معلومة النسبة إلى مؤلفيها، مأمونة من الدسّ و التغيير و التبديل، مصححة على </w:t>
      </w:r>
      <w:bookmarkStart w:id="106" w:name="pg15033_241482"/>
    </w:p>
    <w:p>
      <w:pPr>
        <w:pStyle w:val="BookText"/>
        <w:rPr/>
      </w:pPr>
      <w:bookmarkEnd w:id="106"/>
      <w:r>
        <w:rPr>
          <w:rFonts w:ascii="Amiri" w:hAnsi="Amiri" w:eastAsia="Amiri" w:cs="Amiri"/>
          <w:color w:val="111111"/>
          <w:sz w:val="28"/>
          <w:sz w:val="28"/>
          <w:szCs w:val="28"/>
          <w:rtl w:val="true"/>
          <w:lang w:bidi="ar-SA"/>
        </w:rPr>
        <w:t>صاحبها، معتنى بها بين العلماء و شيوخ الطائفة، لا مرغوبة عنها و ساقطة من أعينهم، فإن ذلك من أعظم الوهن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كما لا يعتبر وجوده في أحد الكتب الأربعة، فكذا لا يكفي في حجيته وجوده في أحدها ما لم يشتمل على شرائط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زعمه بعضهم من كون أخبارها كلا مقطوعة الصدور، استنادا إلى شهادات سطرها في مقدمات الحدائق لا وجه له، كما أوضحناه في محله</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بجعل وجود الخبر في الكتب الأربعة بمقتضى تلك الشهادات من المرجحات عند التعارض بينه و بين ما ليس فيها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316575_2142443653"/>
      <w:bookmarkStart w:id="108" w:name="_Toc41"/>
      <w:bookmarkEnd w:id="107"/>
      <w:r>
        <w:rPr>
          <w:rtl w:val="true"/>
        </w:rPr>
        <w:t>الثاني</w:t>
      </w:r>
      <w:r>
        <w:rPr>
          <w:rtl w:val="true"/>
        </w:rPr>
        <w:t xml:space="preserve">: </w:t>
      </w:r>
      <w:r>
        <w:rPr>
          <w:rtl w:val="true"/>
        </w:rPr>
        <w:t>شرائط الراوي معتبرة حين الاداء لا حال التحمل</w:t>
      </w:r>
      <w:bookmarkEnd w:id="108"/>
    </w:p>
    <w:p>
      <w:pPr>
        <w:pStyle w:val="BookText"/>
        <w:rPr/>
      </w:pPr>
      <w:r>
        <w:rPr>
          <w:rFonts w:ascii="Amiri" w:hAnsi="Amiri" w:eastAsia="Amiri" w:cs="Amiri"/>
          <w:color w:val="111111"/>
          <w:sz w:val="28"/>
          <w:sz w:val="28"/>
          <w:szCs w:val="28"/>
          <w:rtl w:val="true"/>
          <w:lang w:bidi="ar-SA"/>
        </w:rPr>
        <w:t>الأمر الثاني</w:t>
      </w:r>
    </w:p>
    <w:p>
      <w:pPr>
        <w:pStyle w:val="BookText"/>
        <w:rPr/>
      </w:pPr>
      <w:r>
        <w:rPr>
          <w:rFonts w:ascii="Amiri" w:hAnsi="Amiri" w:eastAsia="Amiri" w:cs="Amiri"/>
          <w:color w:val="111111"/>
          <w:sz w:val="28"/>
          <w:sz w:val="28"/>
          <w:szCs w:val="28"/>
          <w:rtl w:val="true"/>
          <w:lang w:bidi="ar-SA"/>
        </w:rPr>
        <w:t>إنه قد صرح جماعة بأن المعتبر في شرائط الراوي هو حال الأداء، لا حال التحمل، فلو كان حال الأداء جامعا للشرائط مع فقده للشرائط كلا أو بعضا حال التحمل قبلت روايته، فتقبل رواية البالغ إذا تحمل في حال الصبا، و قد ادعى في محكي نهاية الأحكام إجماع السلف و الخلف على إحضار الصبيان مجالس الحديث، و قبولهم بعد البلوغ لما تحملوه في حال الصبا</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قال الشهيد الأول في القواعد و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في الراوي و الشاهد فإنه معتبر عند الأداء لا عند التحمل، إلا في الطلاق قطعا، و في البراءة من ضمان 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نعتبر روايته قبل البلوغ و إن صح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فتح المغيث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اعتبرها، و فرّعوا عليه جواز تدبيره و وصيته و أمانه كافرا و إسلامه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طفلا عند التحمل مميزا بالغا عند الرواية فتقبل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كذا من تاب و رجع عما كان عليه من مخالفة في دين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فسق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تقبل روايته حال استقامته، و قد جعلوا من هذا الباب قبول الصحابة رواية ابن عباس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ممن تحمل الرواية قبل البلوغ، فإن ثبت ذلك، و إلا لكان لمانع منع قبولهم إلا لما تحمله بعد البلوغ، و جعل بعض الأصحاب ردّ الصدوق رواية محمد بن عيسى، عن يونس من باب كون تحمله في حال الصبا</w:t>
      </w:r>
      <w:r>
        <w:rPr>
          <w:rStyle w:val="FootnoteAnchor"/>
          <w:rtl w:val="true"/>
        </w:rPr>
        <w:footnoteReference w:id="146"/>
      </w:r>
      <w:r>
        <w:rPr>
          <w:rFonts w:ascii="Amiri" w:hAnsi="Amiri" w:eastAsia="Amiri" w:cs="Amiri"/>
          <w:color w:val="111111"/>
          <w:sz w:val="28"/>
          <w:sz w:val="28"/>
          <w:szCs w:val="28"/>
          <w:rtl w:val="true"/>
          <w:lang w:bidi="ar-SA"/>
        </w:rPr>
        <w:t xml:space="preserve">، ورد بأن الوجه ليس ذلك، لأن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يعتبر الشروط حال التحمل بل حال الأداء خاصة، و جعل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أمثلة المقام رواية أبي الخطاب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يرويه الغلاة و المتهمون و المضعفون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هؤلاء، فما يختص الغلاة بروايته فإن كانوا ممن عرف لهم حال استقامة، و حال غلو، عمل بما رووه حال الاستقامة، و ترك ما رووه حال خطئهم</w:t>
      </w:r>
      <w:r>
        <w:rPr>
          <w:rStyle w:val="FootnoteAnchor"/>
          <w:rtl w:val="true"/>
        </w:rPr>
        <w:footnoteReference w:id="147"/>
      </w:r>
      <w:r>
        <w:rPr>
          <w:rFonts w:ascii="Amiri" w:hAnsi="Amiri" w:eastAsia="Amiri" w:cs="Amiri"/>
          <w:color w:val="111111"/>
          <w:sz w:val="28"/>
          <w:sz w:val="28"/>
          <w:szCs w:val="28"/>
          <w:rtl w:val="true"/>
          <w:lang w:bidi="ar-SA"/>
        </w:rPr>
        <w:t xml:space="preserve">، فلأجل ذلك عملت الطائفة بما رواه أبو الخطاب </w:t>
      </w:r>
    </w:p>
    <w:p>
      <w:pPr>
        <w:pStyle w:val="BookText"/>
        <w:rPr/>
      </w:pPr>
      <w:r>
        <w:rPr>
          <w:rFonts w:ascii="Amiri" w:hAnsi="Amiri" w:eastAsia="Amiri" w:cs="Amiri"/>
          <w:color w:val="111111"/>
          <w:sz w:val="28"/>
          <w:sz w:val="28"/>
          <w:szCs w:val="28"/>
          <w:rtl w:val="true"/>
          <w:lang w:bidi="ar-SA"/>
        </w:rPr>
        <w:t>محمد بن أبي زينب في حال استقامته، و تركوا ما رواه في حال تخليطه، و كذلك القول في أحمد بن هلال العبرتائي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هي بالعين المهملة المفتوحة و الباء الموحدة كذلك و الراء المهملة الساكنة و التاء المثناة من فوق و الألف و الهمزة و الياء نسبة إلى عبرتاء قرية كبيرة من نواحي النهروان ببغداد، كما قاله في مراصد الاطلاع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نقل عن التاج و الإيضاح و غيرها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قول آخر في المسألة،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العزاقر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يروونه في حال تخليطهم، فلا يجوز العمل به على كل حال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جعله رواية أبي الخطاب من هذا الباب بأن خطأ مثله لم يكن بعنوان السهو و الغفلة، بل دعته الأهواء الفاسدة إلى تعمد الكذب، و أنه لم يكن في المدة التي لم يظهر منه الكفر بريئا من غاية الشقاوة، بل كان قلبه على ما كان، و لكن جعل إخفاء المعصية و إظهار الطاعة وسيلتين إلى ما أراد من الرئاسة، و إضلال الجماعة، فكيف يمكن الاعتماد على روايته و رواية أمثاله كعثمان بن عيسى، و علي بن أبي حمزة البطائني، و في وقت من الأوقات؟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محل التعرض لأحوال آحاد الرجال حتى نسوق الكلام في ذلك و الغرض التمثيل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فإذا ورد خبر من أخبار من له حالة استقامة، و حالة قصور، فإن علم تاريخ الرواية فلا شبهة في العمل بها إن كانت في حال الاستقامة و تركها إن كانت في حال القصور، و إن جهل التاريخ لزم الرجوع إلى القرائن الخارجية و الاجتهاد فيها، و قد جعل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 غيره من القرائن عمل جمهور الأصحاب بها، و هو كذلك حيثما يفيد الاطمينان العادي، فإن المعيار عليه، فلا بد من الفحص و البحث و التدبر حتى يحصل الاطمينان فيعمل به، أو لا يحصل فيترك، و قد جعل غير واحد من باب الوثوق على الرواية لأجل صدور الرواية حال الاستقامة، أو لأجل القرائن الخارجية ما يرويه الأصحاب عن الحسين بن بشار الواقفي و علي بن أسباط الفطحي،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ممن كانوا من غير الإمامية ثم تابوا و رجعوا، و اعتمد الأصحاب على رواياتهم، و كذا ما يرويه الثقات عن علي بن رياح، و علي بن أبي حمزة، و إسحاق بن جرير من الواقفية الذين كانوا على الحق ثم توقفوا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قبول الثقات رواياتهم إما للعلم بصدورها في حال الاستقامة أو للقرائن الخارجية، ضرورة أن المعهود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الاجتناب عن الواقفية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أمثالهم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فرق الشيعة، و كانت معاندتهم معهم، و تبرّيهم عنهم، أزيد منها من العامة، سيما مع الواقفية، حتى إنهم كانوا يسمونهم الممطورة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الكلاب التي أصابها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يتنزهون عن صحبتهم و المكالمة معهم، و كان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يأمرونهم باللعن عليهم، التبري منهم</w:t>
      </w:r>
      <w:r>
        <w:rPr>
          <w:rStyle w:val="FootnoteAnchor"/>
          <w:rtl w:val="true"/>
        </w:rPr>
        <w:footnoteReference w:id="152"/>
      </w:r>
      <w:r>
        <w:rPr>
          <w:rFonts w:ascii="Amiri" w:hAnsi="Amiri" w:eastAsia="Amiri" w:cs="Amiri"/>
          <w:color w:val="111111"/>
          <w:sz w:val="28"/>
          <w:sz w:val="28"/>
          <w:szCs w:val="28"/>
          <w:rtl w:val="true"/>
          <w:lang w:bidi="ar-SA"/>
        </w:rPr>
        <w:t xml:space="preserve">، فرواية ثقاتهم و أجلائهم عنهم قرينة على أن الرواية كانت حال الاستقامة، أو أن الرواية عن أصلهم المعتمد المؤلف قبل فساد العقيدة، أو المأخوذ عن المشايخ المعتمدين من اصحابنا، ككتب علي بن الحسن الطاطري الذي هو من وجوه الواقفية،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الفهرست أنه روى كتبه عن الرجال الموثوق بهم و بروايتهم</w:t>
      </w:r>
      <w:r>
        <w:rPr>
          <w:rStyle w:val="FootnoteAnchor"/>
          <w:rtl w:val="true"/>
        </w:rPr>
        <w:footnoteReference w:id="153"/>
      </w:r>
      <w:r>
        <w:rPr>
          <w:rFonts w:ascii="Amiri" w:hAnsi="Amiri" w:eastAsia="Amiri" w:cs="Amiri"/>
          <w:color w:val="111111"/>
          <w:sz w:val="28"/>
          <w:sz w:val="28"/>
          <w:szCs w:val="28"/>
          <w:rtl w:val="true"/>
          <w:lang w:bidi="ar-SA"/>
        </w:rPr>
        <w:t xml:space="preserve">، و قد استظهر المحقق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مشرق الشمسين كون قبول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حمزة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تعصبه في مذهبه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كونها مأخوذة من أصله، فإنه من أصحاب الأصول</w:t>
      </w:r>
      <w:r>
        <w:rPr>
          <w:rStyle w:val="FootnoteAnchor"/>
          <w:rtl w:val="true"/>
        </w:rPr>
        <w:footnoteReference w:id="154"/>
      </w:r>
      <w:r>
        <w:rPr>
          <w:rFonts w:ascii="Amiri" w:hAnsi="Amiri" w:eastAsia="Amiri" w:cs="Amiri"/>
          <w:color w:val="111111"/>
          <w:sz w:val="28"/>
          <w:sz w:val="28"/>
          <w:szCs w:val="28"/>
          <w:rtl w:val="true"/>
          <w:lang w:bidi="ar-SA"/>
        </w:rPr>
        <w:t xml:space="preserve">، و كذا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رواية إسحاق بن جرير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ثقة من أصحاب الأصول أيضا</w:t>
      </w:r>
      <w:r>
        <w:rPr>
          <w:rStyle w:val="FootnoteAnchor"/>
          <w:rtl w:val="true"/>
        </w:rPr>
        <w:footnoteReference w:id="155"/>
      </w:r>
      <w:r>
        <w:rPr>
          <w:rFonts w:ascii="Amiri" w:hAnsi="Amiri" w:eastAsia="Amiri" w:cs="Amiri"/>
          <w:color w:val="111111"/>
          <w:sz w:val="28"/>
          <w:sz w:val="28"/>
          <w:szCs w:val="28"/>
          <w:rtl w:val="true"/>
          <w:lang w:bidi="ar-SA"/>
        </w:rPr>
        <w:t xml:space="preserve">، و تأليف هؤلاء أصولهم كان قبل الوقف، لأنه وقع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بلغنا </w:t>
      </w:r>
    </w:p>
    <w:p>
      <w:pPr>
        <w:pStyle w:val="BookText"/>
        <w:rPr/>
      </w:pPr>
      <w:r>
        <w:rPr>
          <w:rFonts w:ascii="Amiri" w:hAnsi="Amiri" w:eastAsia="Amiri" w:cs="Amiri"/>
          <w:color w:val="111111"/>
          <w:sz w:val="28"/>
          <w:sz w:val="28"/>
          <w:szCs w:val="28"/>
          <w:rtl w:val="true"/>
          <w:lang w:bidi="ar-SA"/>
        </w:rPr>
        <w:t xml:space="preserve">عن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دأب أصحاب الأصول أنهم إذا سمعوا من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بادروا إلى إثباته في أصولهم، لئلا يعرض لهم نسيان لبعضه أوكله بتمادي الأيام و توالي الشهور و الأعوام، كما صرح بذلك كله جمع منهم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له أصل، و مبدأ الأصول، و أنها ليست مختصة بزمن الصادق أو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يعلم منه وجه التأمل في الكلام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فيلزم بذل الجهد و الجدّ في تمييز من يقبل خبره عمن لا يقبل، وفقنا اللّه تعالى و إياك للعلم و العمل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5033_241489"/>
      <w:bookmarkStart w:id="110" w:name="pg15033_241489"/>
      <w:bookmarkEnd w:id="110"/>
    </w:p>
    <w:p>
      <w:pPr>
        <w:pStyle w:val="Heading3"/>
        <w:numPr>
          <w:ilvl w:val="2"/>
          <w:numId w:val="1"/>
        </w:numPr>
        <w:rPr/>
      </w:pPr>
      <w:bookmarkStart w:id="111" w:name="pg15033_241489"/>
      <w:bookmarkStart w:id="112" w:name="__RefHeading___Toc316577_2142443653"/>
      <w:bookmarkStart w:id="113" w:name="_Toc42"/>
      <w:bookmarkEnd w:id="111"/>
      <w:bookmarkEnd w:id="112"/>
      <w:r>
        <w:rPr>
          <w:rtl w:val="true"/>
        </w:rPr>
        <w:t>الجهة الثانية كيفية ثبوت عدالة الراوي</w:t>
      </w:r>
      <w:bookmarkEnd w:id="113"/>
    </w:p>
    <w:p>
      <w:pPr>
        <w:pStyle w:val="Heading4"/>
        <w:numPr>
          <w:ilvl w:val="3"/>
          <w:numId w:val="1"/>
        </w:numPr>
        <w:rPr/>
      </w:pPr>
      <w:bookmarkStart w:id="114" w:name="__RefHeading___Toc316579_2142443653"/>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أنه تثبت عدالة الراوي</w:t>
      </w:r>
      <w:r>
        <w:rPr>
          <w:rStyle w:val="FootnoteAnchor"/>
          <w:rtl w:val="true"/>
        </w:rPr>
        <w:footnoteReference w:id="157"/>
      </w:r>
      <w:r>
        <w:rPr>
          <w:rFonts w:ascii="Amiri" w:hAnsi="Amiri" w:eastAsia="Amiri" w:cs="Amiri"/>
          <w:color w:val="111111"/>
          <w:sz w:val="28"/>
          <w:sz w:val="28"/>
          <w:szCs w:val="28"/>
          <w:rtl w:val="true"/>
          <w:lang w:bidi="ar-SA"/>
        </w:rPr>
        <w:t>بشيء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و الصحبة المؤكدة، و المعاشرة التامة المطلعة على سريرته و باطن أمره، بحيث يحصل العلم أو الاطمئنان العادي بعدالته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اختصاص هذا الطريق بالراوي المعاصر، و اشتراك بقية الطرق بينه و بين الراوي السابق على زماننا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الاستفاضة و الشهرة، فمن اشتهرت عدالته بين أهل العلم من أهل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و شاع الثناء عليه بها، كفى في عدالته</w:t>
      </w:r>
      <w:r>
        <w:rPr>
          <w:rStyle w:val="FootnoteAnchor"/>
          <w:rtl w:val="true"/>
        </w:rPr>
        <w:footnoteReference w:id="158"/>
      </w:r>
      <w:r>
        <w:rPr>
          <w:rFonts w:ascii="Amiri" w:hAnsi="Amiri" w:eastAsia="Amiri" w:cs="Amiri"/>
          <w:color w:val="111111"/>
          <w:sz w:val="28"/>
          <w:sz w:val="28"/>
          <w:szCs w:val="28"/>
          <w:rtl w:val="true"/>
          <w:lang w:bidi="ar-SA"/>
        </w:rPr>
        <w:t xml:space="preserve">و لا يحتاج مع ذلك إلى معدّل ينص عليها، كمشايخنا السالفين من عهد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بعده إلى زماننا هذا، فإنه لا يحتاج أحد من هؤلاء المشايخ المشهورين إلى تنصيص على تزكية، و لا تنبيه على عدالة لما اشتهر في كل عصر من ثقتهم و ضبطهم و ورعهم زيادة على العدالة، و إنما يتوقف على التزكية غير هؤلاء من الرواة الذين لم يشتهروا بذلك، ككثير ممن سبق على هؤلاء، و هم طرق الأحاديث المدونة في الكتب غالبا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القرائن الكثيرة المتعاضدة الموجبة للاطمئنان بعدالته ككونه مرجع العلماء و الفقهاء، و كونه ممن يكثر عنه الرواية من لا يروي إلا عن عدل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من القرائن، فإنه إذا حصل الاطمئنان و العلم العادي منها بوثاقة الرجل كفى في قبول خبره، لبناء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عدلين على عدالته، 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أو عدل أو مقبول الرواية إن كانا ممن يرى العدالة شرطا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كفاية ذلك مما لا خلاف فيه و لا شبهة، لما قررناه في محله من حجية البينة في غير المرافعات أيضا مطلقا</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قد حكى الباقلاني اشتراط اثنين في الرواية و التزكية عن أكثر فقهاء أهل المدينة و غيرهم، كما ذكره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نستحبه أن يكون من يزكي المحدث اثنين للاحتياط، فإن اقتصر على تزكية الواحد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يثبت به الحكم يجب أن يكون أقوى مما تثبت به الصفة التي عند ثبوتها يجب الحكم، و كذلك يجب أن يكون ما يثبت عدالة المحدث أنقص مما يثبت الحكم بخبره، و الحكم في الشرعيات يثبت بخبر الواحد فيجب أن تثبت تزكيته بقول الواحد،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القاسمي في 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السيوطي في الاقتراح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ثقة الراوي بالتنصيص عليه من رواية، أو ذكره في تاريخ الثقات أو تخريج أحد الشيخين له في الصحيح و إن تكلم في بعض من خرج له فلا يلتفت إليه، أو تخريج من اشترط الصحة له أو من خرج له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حاوي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خطية من مكتبة ملك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خلافا بين العلماء في الاكتفاء بشهادة العدلين في تزكية الراوي و الشاهد، و عدم الاكتفاء بالواحد في الشاهد، و هل يكفي ذلك في الراوي؟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فهو مختار جماعة من متأخري علمائنا، و اختاره العلامة، و قيل لا كالشهادة، و اختاره المحقق ابن سعيد و تبعه بعض مشايخنا المعاصرين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5033_241491"/>
    </w:p>
    <w:p>
      <w:pPr>
        <w:pStyle w:val="Heading4"/>
        <w:numPr>
          <w:ilvl w:val="3"/>
          <w:numId w:val="1"/>
        </w:numPr>
        <w:rPr/>
      </w:pPr>
      <w:bookmarkStart w:id="117" w:name="__RefHeading___Toc316581_2142443653"/>
      <w:bookmarkStart w:id="118" w:name="_Toc44"/>
      <w:bookmarkEnd w:id="116"/>
      <w:bookmarkEnd w:id="117"/>
      <w:r>
        <w:rPr>
          <w:rtl w:val="true"/>
        </w:rPr>
        <w:t>و في كفاية تزكية العدل الواحد له في قبول روايته قولان</w:t>
      </w:r>
      <w:r>
        <w:rPr>
          <w:rtl w:val="true"/>
        </w:rPr>
        <w:t>:</w:t>
      </w:r>
      <w:bookmarkEnd w:id="118"/>
    </w:p>
    <w:p>
      <w:pPr>
        <w:pStyle w:val="Heading5"/>
        <w:numPr>
          <w:ilvl w:val="4"/>
          <w:numId w:val="1"/>
        </w:numPr>
        <w:rPr/>
      </w:pPr>
      <w:bookmarkStart w:id="119" w:name="__RefHeading___Toc316583_2142443653"/>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 في كفاية تزكية العدل الواحد له في قبول روايته</w:t>
      </w:r>
      <w:r>
        <w:rPr>
          <w:rStyle w:val="FootnoteAnchor"/>
          <w:rtl w:val="true"/>
        </w:rPr>
        <w:footnoteReference w:id="161"/>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و هو خيرة جمع كثير 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التعديل و الجرح، و الكلام هنا في الرواية دون الشهادة و إن أطلق القوم و ذهب إليه البعض مما أحدث قولا ثالثا في المقام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تعديل المحدث المزكى بواحد، و عدم الكفاية في تعديل الشاهد في الحقوق إلا باثنين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قيل إن عليه الأكثر، 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w:t>
      </w:r>
    </w:p>
    <w:p>
      <w:pPr>
        <w:pStyle w:val="BookText"/>
        <w:rPr/>
      </w:pPr>
      <w:r>
        <w:rPr>
          <w:rFonts w:ascii="Amiri" w:hAnsi="Amiri" w:eastAsia="Amiri" w:cs="Amiri"/>
          <w:color w:val="111111"/>
          <w:sz w:val="28"/>
          <w:sz w:val="28"/>
          <w:szCs w:val="28"/>
          <w:rtl w:val="true"/>
          <w:lang w:bidi="ar-SA"/>
        </w:rPr>
        <w:t>مشهور لنا و لمخالفينا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الكفاية و تعين الاثنين و هو خيرة آخرين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Style w:val="FootnoteAnchor"/>
          <w:rtl w:val="true"/>
        </w:rPr>
        <w:footnoteReference w:id="164"/>
      </w:r>
      <w:bookmarkStart w:id="121" w:name="pg15033_241493"/>
    </w:p>
    <w:p>
      <w:pPr>
        <w:pStyle w:val="BookText"/>
        <w:rPr/>
      </w:pPr>
      <w:bookmarkEnd w:id="121"/>
      <w:r>
        <w:rPr>
          <w:rFonts w:ascii="IRNazanin" w:hAnsi="IRNazanin" w:eastAsia="IRNazanin"/>
          <w:color w:val="111111"/>
          <w:sz w:val="28"/>
          <w:sz w:val="28"/>
          <w:szCs w:val="28"/>
          <w:rtl w:val="true"/>
          <w:lang w:bidi="fa-IR"/>
        </w:rPr>
        <w:t>و تابعوه و منهم</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سيد المدارك</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316585_2142443653"/>
      <w:bookmarkStart w:id="123" w:name="_Toc46"/>
      <w:bookmarkEnd w:id="122"/>
      <w:r>
        <w:rPr>
          <w:rtl w:val="true"/>
        </w:rPr>
        <w:t>حجية القول الأول أمور</w:t>
      </w:r>
      <w:r>
        <w:rPr>
          <w:rtl w:val="true"/>
        </w:rPr>
        <w:t>:</w:t>
      </w:r>
      <w:bookmarkEnd w:id="123"/>
    </w:p>
    <w:p>
      <w:pPr>
        <w:pStyle w:val="Heading6"/>
        <w:numPr>
          <w:ilvl w:val="5"/>
          <w:numId w:val="1"/>
        </w:numPr>
        <w:rPr/>
      </w:pPr>
      <w:bookmarkStart w:id="124" w:name="__RefHeading___Toc316587_2142443653"/>
      <w:bookmarkStart w:id="125" w:name="_Toc47"/>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الاشتراط بعد عدم الدليل عليه،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البداية</w:t>
      </w:r>
      <w:r>
        <w:rPr>
          <w:rStyle w:val="FootnoteAnchor"/>
          <w:rtl w:val="true"/>
        </w:rPr>
        <w:footnoteReference w:id="167"/>
      </w:r>
      <w:r>
        <w:rPr>
          <w:rFonts w:ascii="Amiri" w:hAnsi="Amiri" w:eastAsia="Amiri" w:cs="Amiri"/>
          <w:color w:val="111111"/>
          <w:sz w:val="28"/>
          <w:sz w:val="28"/>
          <w:szCs w:val="28"/>
          <w:rtl w:val="true"/>
          <w:lang w:bidi="ar-SA"/>
        </w:rPr>
        <w:t>و اشتهر الاستدلال به بين المتأخرين من أن العدالة شرط في الرواية، و شرط الشيء فرعه، و الاحتياط في الفرع لا يزيد على الاحتياط في الأصل</w:t>
      </w:r>
      <w:r>
        <w:rPr>
          <w:rStyle w:val="FootnoteAnchor"/>
          <w:rtl w:val="true"/>
        </w:rPr>
        <w:footnoteReference w:id="168"/>
      </w:r>
      <w:r>
        <w:rPr>
          <w:rFonts w:ascii="Amiri" w:hAnsi="Amiri" w:eastAsia="Amiri" w:cs="Amiri"/>
          <w:color w:val="111111"/>
          <w:sz w:val="28"/>
          <w:sz w:val="28"/>
          <w:szCs w:val="28"/>
          <w:rtl w:val="true"/>
          <w:lang w:bidi="ar-SA"/>
        </w:rPr>
        <w:t xml:space="preserve">، و قد اكتفى في الأصل و هي الرواية بواحد، فيكفي الواحد في الفرع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زاد الاحتياط في الفرع على الأصل</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فإن قلنا إن توثيق الرجالي للراوي إخبار بذلك فيكفي فيه الواحد، و إن قلنا إنه شهادة لزم التعدد، فتكون العدالة كسائر الأمور التي يتوقف ثبوتها على البيّنة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5033_241494"/>
    </w:p>
    <w:p>
      <w:pPr>
        <w:pStyle w:val="Heading6"/>
        <w:numPr>
          <w:ilvl w:val="5"/>
          <w:numId w:val="1"/>
        </w:numPr>
        <w:rPr/>
      </w:pPr>
      <w:bookmarkStart w:id="127" w:name="__RefHeading___Toc316589_2142443653"/>
      <w:bookmarkStart w:id="128" w:name="_Toc48"/>
      <w:bookmarkEnd w:id="126"/>
      <w:bookmarkEnd w:id="127"/>
      <w:r>
        <w:rPr>
          <w:rtl w:val="true"/>
        </w:rPr>
        <w:t>و أجيب عن ذلك بوجوه</w:t>
      </w:r>
      <w:r>
        <w:rPr>
          <w:rtl w:val="true"/>
        </w:rPr>
        <w:t>:</w:t>
      </w:r>
      <w:bookmarkEnd w:id="12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يشبه القياس، و توهم أنه من القياس، بالطريق الأولى ممنوع، لعدم القطع بالأولوية، بل يمكن دعوى كونه من القياس مع الفارق الذي لا يقول به حتى أهل القياس، و ذلك لأن ثبوت الحكم في الأصل أقوى منه في الفرع، 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أنه ليس بشهادة، فلا يعتبر فيه التعدد جزما، بخلاف الفرع لاحتمال كونه شهادة كما ادّعاه بعضهم، و إن كان فيه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زيادة الفرع على الأصل بناء على اعتبار التعدد، و ذلك لأن الأصل مشروط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و مزكّييه، و الفرع باثنين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المزكّيان، فالفرع لم يزد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المزية للفرع على الأصل بناء على اعتبار التعدد غير قابلة للانكار، ضرورة أنك تقبل رواية عدل واحد زكاه عدلان، و لا تقبل تزكية عدل واحد زكاه عدلان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جواز زيادة الفرع على الأصل بهذا المعنى، إذ لا دليل عليه من عقل و لا نقل، و الاستدلال عليه بأن المتبادر من الشرط أن لا يكون وجوده و اعتباره زائدا على المشروط كما هو شأن المقدمات، و إنكاره مكابرة، مردود بأن ذلك لو سلم فإنما هو من </w:t>
      </w:r>
    </w:p>
    <w:p>
      <w:pPr>
        <w:pStyle w:val="BookText"/>
        <w:rPr/>
      </w:pPr>
      <w:r>
        <w:rPr>
          <w:rFonts w:ascii="Amiri" w:hAnsi="Amiri" w:eastAsia="Amiri" w:cs="Amiri"/>
          <w:color w:val="111111"/>
          <w:sz w:val="28"/>
          <w:sz w:val="28"/>
          <w:szCs w:val="28"/>
          <w:rtl w:val="true"/>
          <w:lang w:bidi="ar-SA"/>
        </w:rPr>
        <w:t>جهة التبعية لا من حيث هو، أ لا ترى أن الإيمان شرط لصحة الصلاة، مع أن وجوده و اعتباره زائدا على المشروط من جهة اعتبار اليقين فيه، و الاكتفاء بالظن في المشروط، و كونه من أصول الدين، و هي من فروعه، مع أن فرض التعدد في الفرع دون الأصل أيضا موجود في الأحكام الشرعية، فإن بعض الحقوق يثبت بشهادة واحد، بل مرأة واحدة كربع ميراث المستهل، و ربع الوصية، مع أن تزكية الشاهد لا بد فيه من عدلين كما نبّه على ذلك في القوانين،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مثّل به من ثبوت وجوب الحد بالقذف بخبر الواحد، و هو مشروط بثبوت القذف و بلوغ القاذف و كل منهما يتوقف ثبوته على الشاهدين، ففيه نظر، فإنه إن أريد من خبر الواحد حكم الحاكم فهو فرع الشهادة لا أصلها، و إن أريد منه الرواية الدالّة على أصل المسألة فهو ليس بمشروط بثبوت القذف بالشاهدين، بل المشروط به هو إجراؤه في المادة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شهادة، و ثبوت التعدد فيها لا يوجب ثبوته في غيرها، و بعبارة أخرى إن هذا مخرّج بالدليل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زيادة الفرع على الأصل إن سلّم فهي قاعدة عقلية لا تقبل التخصيص</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محله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خبر الواحد إنما هي من باب الاطمئنان العقلائي كما هو المختار، و لا شبهة في كفاية تزكية الواحد إذا أفاد الاطمئنان، بل لا معنى لاشتراط العدالة عليه إلا باعتبار أعلام طرق الاطمئنان و التنبيه عليها، و التنبيه على أن خبر الفاسق لا يفيد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 المحقق القمي في القوانين</w:t>
      </w:r>
      <w:r>
        <w:rPr>
          <w:rStyle w:val="FootnoteAnchor"/>
          <w:rtl w:val="true"/>
        </w:rPr>
        <w:footnoteReference w:id="172"/>
      </w:r>
      <w:r>
        <w:rPr>
          <w:rFonts w:ascii="Amiri" w:hAnsi="Amiri" w:eastAsia="Amiri" w:cs="Amiri"/>
          <w:color w:val="111111"/>
          <w:sz w:val="28"/>
          <w:sz w:val="28"/>
          <w:szCs w:val="28"/>
          <w:rtl w:val="true"/>
          <w:lang w:bidi="ar-SA"/>
        </w:rPr>
        <w:t xml:space="preserve">مقتضى القاعدة كفاية الواحد في التزكية بناء على اعتبار خبر الواحد من حيث أنه خبر، أو اعتباره من باب أنه خبر مصطلح مروي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بعض ما ذكره لا يخلو من نظر، فراجع و تدبر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 بتقريب أن النبأ يصدق على التزكية من جهة الأخبار عن موافقة المعتقد، فيلزم قبول الواحد فيها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يفيده مفهوم الآية هو جواز العمل بنبإ غير الفاسق في الجملة، و إن كان من جهة كونه أحد شطري البينة، و ذلك </w:t>
      </w:r>
    </w:p>
    <w:p>
      <w:pPr>
        <w:pStyle w:val="BookText"/>
        <w:rPr/>
      </w:pPr>
      <w:r>
        <w:rPr>
          <w:rFonts w:ascii="Amiri" w:hAnsi="Amiri" w:eastAsia="Amiri" w:cs="Amiri"/>
          <w:color w:val="111111"/>
          <w:sz w:val="28"/>
          <w:sz w:val="28"/>
          <w:szCs w:val="28"/>
          <w:rtl w:val="true"/>
          <w:lang w:bidi="ar-SA"/>
        </w:rPr>
        <w:t>لا يفيد إلا جواز العمل به في الجملة، لا خصوص العمل إذا كان واحدا مطلقا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أجاب بعضهم عن الاستدلال بالآية بأنه مؤد إلى حصول التناقض في مدلول الآية، لأنه يدلّ على أن قبول خبر الواحد موقوف على انتفاء الفسق في نفس الأمر، و انتفاء الفسق في نفس الأمر لا يعلم إلا مع العلم بالعدالة، فشرط قبول الخبر هو العلم بالعدالة، و خبر المزكي الواحد لا يفيد العلم و إن كان عدلا، فإذا اعتبرنا تزكية الواحد فقد عملنا بالخبر مع عدم حصول العلم بعدالة الراوي، لعدم إفادته العلم، و هذا تناقض، فلا بد من حملها على ما سوى الاخبار بالعدالة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من قبول تزكية العدلين هو تخصيص الآية بدليل خارجي، و لا محذور فيه، بخلاف تزكية الواحد؛ فإنها على هذا التقدير يؤخذ من نفس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بأن المراد بالفاسق النفس الأمري و العادل النفس الأمري هو ما يجوز إطلاق العادل و الفاسق عليه، فنفس الأمر هنا مقابل مجهول الحال، لا مقابل مظنون الفسق و العدالة، أ لا ترى انا نكتفي في معرفة العدالة بالاختبار و الاشتهار، و هما لا يفيدان العلم غالبا، بل العدلان أيضا لا يفيدان العلم، فمن ظنناه عادلا بأحد الأمور المذكورة فنقول إنه عادل، 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w:t>
      </w:r>
      <w:r>
        <w:rPr>
          <w:rStyle w:val="FootnoteAnchor"/>
          <w:rtl w:val="true"/>
        </w:rPr>
        <w:footnoteReference w:id="175"/>
      </w:r>
      <w:r>
        <w:rPr>
          <w:rFonts w:ascii="Amiri" w:hAnsi="Amiri" w:eastAsia="Amiri" w:cs="Amiri"/>
          <w:color w:val="111111"/>
          <w:sz w:val="28"/>
          <w:sz w:val="28"/>
          <w:szCs w:val="28"/>
          <w:rtl w:val="true"/>
          <w:lang w:bidi="ar-SA"/>
        </w:rPr>
        <w:t xml:space="preserve">، و كذلك المرض المبيح للتيمم و الإفطار و إنبات </w:t>
      </w:r>
    </w:p>
    <w:p>
      <w:pPr>
        <w:pStyle w:val="BookText"/>
        <w:rPr/>
      </w:pPr>
      <w:r>
        <w:rPr>
          <w:rFonts w:ascii="Amiri" w:hAnsi="Amiri" w:eastAsia="Amiri" w:cs="Amiri"/>
          <w:color w:val="111111"/>
          <w:sz w:val="28"/>
          <w:sz w:val="28"/>
          <w:szCs w:val="28"/>
          <w:rtl w:val="true"/>
          <w:lang w:bidi="ar-SA"/>
        </w:rPr>
        <w:t>اللحم، و شد العظم،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فإنه يطلق على ما هو مظنون أنه كذلك، و الكلام فيها و في العدالة على السواء، سلمنا، لكن لا ريب أن مع انسداد باب العلم يكتفى بالظن في الأحكام و الموضوعات جميعا، مع أن اشتراط العلم بالعدالة مستفاد من المنطوق، فلا مانع من تخصيصه بمفهومها حيث أفاد بعمومه قبول خبر العدل الواحد في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تخصيص المنطوق بالمفهوم ليس بأولى من العكس، بل العكس أولى، مدفوع بأن المفهوم إذا كان أقوى بسبب المعاضدات الخارجة فيجوز تخصيص المنطوق به، و هو معتضد بالشهرة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مع أنه مخصص بشهادة العدلين جزما، و هو لا يفيد العلم، و ذلك أيضا يوجب و هنا في عمومه، و إن كان العام المخصص حجة في الباقي</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العلم بعدالة الرواة السلف للأخبار مسدود، و قيام البينة المصطلحة التي ثبتت حجيتها في الشريعة المطهرة متعذر، لأنا لا نجد الآن شهادة قطعية حسيّة بعدالة راو إلا نادرا، و أغلب ما يوجد في كتب الرجال من قبيل الشهادة الحدسية المبتنية على الظن و الاطمئنان، فتعين الاكتفاء في التزكية بالظن </w:t>
      </w:r>
    </w:p>
    <w:p>
      <w:pPr>
        <w:pStyle w:val="BookText"/>
        <w:rPr/>
      </w:pPr>
      <w:r>
        <w:rPr>
          <w:rFonts w:ascii="Amiri" w:hAnsi="Amiri" w:eastAsia="Amiri" w:cs="Amiri"/>
          <w:color w:val="111111"/>
          <w:sz w:val="28"/>
          <w:sz w:val="28"/>
          <w:szCs w:val="28"/>
          <w:rtl w:val="true"/>
          <w:lang w:bidi="ar-SA"/>
        </w:rPr>
        <w:t>و الاطمئنان، حتى لو جعلناها من باب الشهادة، و لا ريب في حصوله بشهادة الواحد، و الأصل عدم اشتراط ما زاد على ذلك، على أن كونها من باب الشهادة ممنوع، لأن الشهادة اخبار جازم و ذلك غير ممكن التحقق بالنسبة إلى الرواة، لاقتضائه إدراك الشاهد لهم، و هذا غير واقع بالنسبة إلى من كان سابقا بأزمنة كثيرة كزرارة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و ما كتب في كتب الرجال ليس من باب الشهادة، لأنه نقش، و الشهادة لا بد أن تكون من باب اللفظ، مع أن أكثره من باب فرع الفرع، بل فرع فرع الفرع، فلا يندرج في الشهادة المصطلحة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التزكية من باب الظنون الاجتهادية لا الرواية و الشهادة، و إن المعيار حصول الظن على أي نحو يكون، كيف لا و المزكون لم يلقوا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اعتمدوا على مثل ما رواه الكشي، و قد يفهمون منه ما لا دلالة فيه، أو فيه دلالة على خلافه، بل و كل منهم قد يعتمد على تزكية من تقدم عليه الحاصلة باجتهاده، و من ذلك قد يتطرق الخلل من جهة فهم كلام من تقدمه أيضا، فضلا عن عدم كونه موافقا للحق، أو كونه موافقا، مثل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في الخلاصة حمزة بن بزيع، مع أنه لم يوثقه أحد ممن اعتمد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توهمه من جهة عبارة النجاشي كما نبّه عليه جماعة من المحققين، فإن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بزيع ليس</w:t>
      </w:r>
      <w:r>
        <w:rPr>
          <w:rStyle w:val="FootnoteAnchor"/>
          <w:rtl w:val="true"/>
        </w:rPr>
        <w:footnoteReference w:id="177"/>
      </w:r>
      <w:r>
        <w:rPr>
          <w:rFonts w:ascii="Amiri" w:hAnsi="Amiri" w:eastAsia="Amiri" w:cs="Amiri"/>
          <w:color w:val="111111"/>
          <w:sz w:val="28"/>
          <w:sz w:val="28"/>
          <w:szCs w:val="28"/>
          <w:rtl w:val="true"/>
          <w:lang w:bidi="ar-SA"/>
        </w:rPr>
        <w:t>منهم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بعد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من صالحي هذه الطائفة و 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محمد لا حمزة، 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كذلك فيلزم أن يكون مثل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مقلدا لمن تقدمه، و كذلك من تقدمه لمن تقدمه، فإنهم قلّما ثبت لهم عدالة الرواة من جهة الاشتهار، كسلمان، و أبي ذر، أو من جهة المزكين الذين عاشروا الراوي و مع ذلك فلم يميزوا بينهم، و لم يفرقوا بين من ثبت عدالته عندهم من مثل ما ذكر، أو من جهة الاجتهاد، و يلزم من جميع ذلك جواز تقليد المجتهد للمجتهد، و إذا كان كذلك فلا فرق بين ما ذكر و بين أن يقول الصدوق مثلا أو الكليني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من الروايات صحيحة، أو يقول العلامة هذه الرواية صحيحة، مع كون السند مشتملا على من لم يوثقه أحد من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العدالة في الراوي إما للإجماع، أو للآية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إلا على اشتراطه لقبول الخبر من حيث هو، و إلا فلا ريب في أن أكثر الأصحاب يعملون بالأخبار الموثقة و الحسنة و الضعيفة المعمول بها عند جلّهم، و أما الآية فمنطوقها يدلّ على كفاية التثبت في العمل بخبر الفاسق فضلا من مجهول الحال، و هذا نوع تثبّت، مع أنّا قد حققنا سابقا أن المعيار في حجية خبر الواحد هو حصول الظن، و كذا الكلام في إثبات العدالة، فأي مانع من الاعتماد على هذا الظن؟ و ليس ذلك من باب التقليد، بل لأنه مفيد للظن للمجتهد كما يرجع إلى قول اللغوي، بل و اجتهادات المصنفين في اللغة، و ذلك لا ينافي حرمة تقليدهم في الفروع الشرعية، فإذا </w:t>
      </w:r>
    </w:p>
    <w:p>
      <w:pPr>
        <w:pStyle w:val="BookText"/>
        <w:rPr/>
      </w:pPr>
      <w:r>
        <w:rPr>
          <w:rFonts w:ascii="Amiri" w:hAnsi="Amiri" w:eastAsia="Amiri" w:cs="Amiri"/>
          <w:color w:val="111111"/>
          <w:sz w:val="28"/>
          <w:sz w:val="28"/>
          <w:szCs w:val="28"/>
          <w:rtl w:val="true"/>
          <w:lang w:bidi="ar-SA"/>
        </w:rPr>
        <w:t xml:space="preserve">حصل الظن من جهة تصحيح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أو تصحيح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للسند، و لم يحصل ظن أقوى منه من جهة تزكية غيره للراوي صريحا أو غير ذلك، فيتبع، و لا مانع منه</w:t>
      </w:r>
      <w:r>
        <w:rPr>
          <w:rStyle w:val="FootnoteAnchor"/>
          <w:rtl w:val="true"/>
        </w:rPr>
        <w:footnoteReference w:id="178"/>
      </w:r>
      <w:r>
        <w:rPr>
          <w:rFonts w:ascii="Amiri" w:hAnsi="Amiri" w:eastAsia="Amiri" w:cs="Amiri"/>
          <w:color w:val="111111"/>
          <w:sz w:val="28"/>
          <w:sz w:val="28"/>
          <w:szCs w:val="28"/>
          <w:rtl w:val="true"/>
          <w:lang w:bidi="ar-SA"/>
        </w:rPr>
        <w:t>هذا كلامه علا مقامه، و هو كلام متين، فإن الرجوع إلى أهل الخبرة لا يسمى تقليدا حتى يحرم، و لو سلم، فلا يحرم على المجتهد التقليد فيما انسد عليه باب الاجتهاد، و لا العمل بالاجتهاد الظني فيما انسد عليه باب العلم، كما هو ظاهر، لأن اللّه تعالى لا يكلف نفسا إلا وسعها</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ثم يمكن ذكر وجه سادس على كفاية تزكية الواحد في ثبوت الوثاقة، و هو ما ذكره الشيخ أبو علي في رجاله، الجهة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غيره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بنفسها رواية مقابل القول بأنها شهادة، و على هذا الاختلاف في حقيقتها بنى كثير من الفقهاء الخلاف في كفاية تزكية الواحد و عدمها، حيث يكتفى به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الميرزا القمي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لها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المصطلح الذي هو أحد أدلة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مقابل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التزكية ليست من الأول كي يشملها دليل حجية الخبر الواحد في الأحكام، و لم يقم دليل على كفاية الواحد في مطلق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السيد الحكيم في مستمسكه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القول، و استدل له بأن التوثيق بمدلوله الالتزامي يؤدي إلى الحكم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الجرح و التعديل بالواحد بأن التزكية بمنزلة الحكم و هو أيضا لا يشترط فيه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5033_241502"/>
    </w:p>
    <w:p>
      <w:pPr>
        <w:pStyle w:val="Heading5"/>
        <w:numPr>
          <w:ilvl w:val="4"/>
          <w:numId w:val="1"/>
        </w:numPr>
        <w:rPr/>
      </w:pPr>
      <w:bookmarkStart w:id="130" w:name="__RefHeading___Toc316591_2142443653"/>
      <w:bookmarkStart w:id="131" w:name="_Toc49"/>
      <w:bookmarkEnd w:id="129"/>
      <w:bookmarkEnd w:id="130"/>
      <w:r>
        <w:rPr>
          <w:rtl w:val="true"/>
        </w:rPr>
        <w:t>حجة القول الثاني أمور</w:t>
      </w:r>
      <w:r>
        <w:rPr>
          <w:rtl w:val="true"/>
        </w:rPr>
        <w:t>:</w:t>
      </w:r>
      <w:bookmarkEnd w:id="131"/>
    </w:p>
    <w:p>
      <w:pPr>
        <w:pStyle w:val="Heading6"/>
        <w:numPr>
          <w:ilvl w:val="5"/>
          <w:numId w:val="1"/>
        </w:numPr>
        <w:rPr/>
      </w:pPr>
      <w:bookmarkStart w:id="132" w:name="__RefHeading___Toc316593_2142443653"/>
      <w:bookmarkStart w:id="133" w:name="_Toc50"/>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التزكية شهادة، و من شأن الشهادة اعتبار التعدد فيها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بمنع الصغرى، و أخرى بمنع الكبرى</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316595_2142443653"/>
      <w:bookmarkStart w:id="135" w:name="_Toc51"/>
      <w:bookmarkEnd w:id="134"/>
      <w:r>
        <w:rPr>
          <w:rtl w:val="true"/>
        </w:rPr>
        <w:t>أما الأول</w:t>
      </w:r>
      <w:r>
        <w:rPr>
          <w:rtl w:val="true"/>
        </w:rPr>
        <w:t xml:space="preserve">: </w:t>
      </w:r>
      <w:r>
        <w:rPr>
          <w:rtl w:val="true"/>
        </w:rPr>
        <w:t>فتقريره من وجهين</w:t>
      </w:r>
      <w:r>
        <w:rPr>
          <w:rtl w:val="true"/>
        </w:rPr>
        <w:t>:</w:t>
      </w:r>
      <w:bookmarkEnd w:id="13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بأنها ليست بشهادة، بل خبر، و من شأن الخبر قبول الواحد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بأنه إن اريد بأنه من الخبر مقابل الإنشاء،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w:t>
      </w:r>
    </w:p>
    <w:p>
      <w:pPr>
        <w:pStyle w:val="BookText"/>
        <w:rPr/>
      </w:pPr>
      <w:r>
        <w:rPr>
          <w:rFonts w:ascii="Amiri" w:hAnsi="Amiri" w:eastAsia="Amiri" w:cs="Amiri"/>
          <w:color w:val="111111"/>
          <w:sz w:val="28"/>
          <w:sz w:val="28"/>
          <w:szCs w:val="28"/>
          <w:rtl w:val="true"/>
          <w:lang w:bidi="ar-SA"/>
        </w:rPr>
        <w:t>شهادة كذلك، و إن اريد أنه من الخبر بالمعنى الخاص، فواضح الفساد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كونها شهادة لأنها اخبار بحق لازم للغير من غير الحاكم، و لا يصدق على المقام هذا العنوان، لعدم كون المراد بها إثبات حق لازم للمخلوق أو الخالق، و إفادته لذلك بالآخرة بعد العلم بالرواية بسبب التعديل مشترك الورود في الخبر و الشهادة، مع أن العلم معتبر في الشهادة غالبا، بخلاف ما نحن فيه، لاستحالة العلم بالعدالة واقعا، و إذ لم تكن شهادة بقيت تحت باقي أقسام الخبر بالمعنى العام، الذي يقبل فيها الواحد لمفهوم آية النبأ،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باب الشهادة و لا الرواية بالمعنى الأخص، بل هو من قبيل الفتوى، و أنه من الظنون الاجتهادية الحاصلة لأرباب الخبرة بكل مسلك، كمعرفة المرض المبيح للتيمم و الإفطار،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و القيمة، و الأرش،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اعتراه الخبرية بالعرض أيضا من جهة أنه اخبار عما هو مطابق لظنه، فخبر أهل الخبرة إنما يعتبر بالنظر إلى كون ما ذكروه مطابقا لنفس لأمر بمعتقدهم و بحسب ظنهم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العدالة في هؤلاء إنما هو لأجل حصول الاعتماد بعدم كذبهم في ذلك، و عدم مسامحتهم في اجتهادهم، فبهذا يحصل الاطمئنان، بل قد يكتفى بما يحصل الاطمئنان و إن كان أهل الخبرة فساقا</w:t>
      </w:r>
      <w:r>
        <w:rPr>
          <w:rStyle w:val="FootnoteAnchor"/>
          <w:rtl w:val="true"/>
        </w:rPr>
        <w:footnoteReference w:id="181"/>
      </w:r>
      <w:r>
        <w:rPr>
          <w:rFonts w:ascii="Amiri" w:hAnsi="Amiri" w:eastAsia="Amiri" w:cs="Amiri"/>
          <w:color w:val="111111"/>
          <w:sz w:val="28"/>
          <w:sz w:val="28"/>
          <w:szCs w:val="28"/>
          <w:rtl w:val="true"/>
          <w:lang w:bidi="ar-SA"/>
        </w:rPr>
        <w:t xml:space="preserve">، فالأصل يقتضي الاكتفاء بالواحد في مطلق التزكية، إلا أن تزكية الشاهد خرج بالدليل من الإجماع كما ادّعاه بعضهم، أو لأجل </w:t>
      </w:r>
    </w:p>
    <w:p>
      <w:pPr>
        <w:pStyle w:val="BookText"/>
        <w:rPr/>
      </w:pPr>
      <w:r>
        <w:rPr>
          <w:rFonts w:ascii="Amiri" w:hAnsi="Amiri" w:eastAsia="Amiri" w:cs="Amiri"/>
          <w:color w:val="111111"/>
          <w:sz w:val="28"/>
          <w:sz w:val="28"/>
          <w:szCs w:val="28"/>
          <w:rtl w:val="true"/>
          <w:lang w:bidi="ar-SA"/>
        </w:rPr>
        <w:t>مقابلة حق المسلم، و لذلك خصّ حمل أفعال المسلمين و أقوالهم على الصحة بما لو لم يعارضه مثله أو أقوى منه، مع تأمل في الأخير، لأن الخبر أيضا قد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فتقريره أنّا نمنع أن كل شهادة يعتبر فيها التعدد، و سند المنع عدم الدليل عليه مع ثبوت كفاية الواحد في جملة من موارد الشهادة كربع ميراث المستهل، و ربع الوصية، و هلال شهر رمضان عند بعض، بل اجتزى بعضهم بالمرأة الواحدة في بعض الأحيان، و لا دليل على عدم كون التزكية مما يقبل فيه الواحد، فدعوى لزوم التعدد في كل شهادة إلا ما أخرجه الدليل ليس بأولى من دعوى كفاية مطلق الخبر إلا ما أثبت الدليل فيه اعتبار العدد فيتبع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اعتبار التعدد في الشهادة صار أصلا من جهة الاستقراء و تتبع الآيات و الأخبار، خرج ما خرج و بقي الباقي، مدفوع بمنع حجية الاستقراء، مع عدم تماميته، لاختلاف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غلبة اعتبار التعدد في الشهادة لا دليل على حجيتها،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اشتراط العدالة في الراوي هو اعتبار حصول العلم بها، و لا يحصل العلم بتزكية الواحد، و اكتفينا بالعدلين مع عدم إفادته العلم لقيامه مقامه شرعا، و لا دليل على قيام تزكية الواحد مقام العلم فلا يجتزي به</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حكاه غير واحد عنه كالشيخ الجد في فوائده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و الشيخ أبو علي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ردوه كما فصّل الجواب عنه السيد حسن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العلامة المجلسي في 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المنتقى ثم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خيال ضعيف، لأن المدار على الشهادة، و من أين علم أن هؤلاء الأجلاء شهدوا كذبا، بل جميع أصحابنا حيث عدوا أخبارهم صحيحة مع أنهم لو ذكروا وجه الصحة كابن داود و المتأخرين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له وجها؛ و إن كان الظاهر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بالتوثيق، و ذكروا هؤلاء لتقوية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قالوا وثقه الشيخ أو النجاشي فهو نقل التوثيق عنهما، على أن حكم القدماء بتوثيق من وثقهم كان أيضا من النقل، فينبغي أن لا يعتمد على توثيق أحد سيما إذا كان بمجرد نقلهم من الكتاب، لأنه تقدم الاخبار بأنه لا يجوز التعويل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يصل إلينا توثيق هؤلاء الأجلاء، فكيف يعتمد على تزكيتهم؟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إلينا متواترا أو مستفيضا ثقتهم و عدالتهم مع تتبع كتبهم الواصلة إلينا متواترة، و يعلم من تقواهم أن مثل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آية اللّه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يجزم بفتوى غالبا، و مداره على الاشكال و النظر، بل الظاهر للمتتبع أن مدار القدماء في التوثيق كان على هذا، فإن محمد بن أبي عمير كان ينقل في كتابه عن زرارة و محمد بن مسلم و بريد و غيرهم، و كانت كتبهم عندهم، و كانوا ينظرون إلى الكتب و يقابلونها مع كتبهم و لا يحصل المخالفة في شيء من الفاء و الواو، فيعلمون أنهم كانوا ثقات و كان مدارهم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أوجه للنظر يظهر أكثرها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تقرير هذا الوجه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التزكية صفة فتحتاج في ثبوتها إلى عدلين نظير الرشد و الكفاءة و أشباههما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ردّ بمنع اعتبار العلم فيها، كيف، و كل ما جعلوه طريقا لمعرفة العدالة لا يفيد إلا الظن؟ سلمنا، لكنه إنما يسلم إذا أمكن تحصيل العلم، و مع انسداد بابه يكفي الظن كما مرّ، و هو يحصل بالمزكى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اعتبر العلم بها لزم عدم الاكتفاء بتزكية عدلين أيضا في خصوص المقام، لما مرّ من عدم تحقق الشهادة الحسية المصطلحة هنا حتى تكون بيّنة نازلة شرعا 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شيء واحد، و المشروط بالعدالة مشروط بماهيتها، فإن كانت تثبت و تتحقق في الخارج و يحصل شرط القبول في مشروطها بتزكية الواحد، فلتثبت في كل من الرواية و الشهادة، و إلا فلا فيهما، و التفرقة بينهما لا وجه لها، و حيث إن اعتبار التعدد في مزكي الشاهد غير قابل للإنكار، لزم اعتبار التعدد في مزكي الراوي أيضا بحكم اتحاد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 المراد أن قبول شهادة العدل موقوف على كون مزكيه اثنين دون الرواية، لا أن ثبوت العدالة في الشاهد مشروط بتزكية اثنين دون الرواية، فهو شرط لقبول شهادة العدلين، لا لثبوت العدالة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ذلك كله أن القول الأول، هو الأظهر</w:t>
      </w:r>
      <w:r>
        <w:rPr>
          <w:rStyle w:val="FootnoteAnchor"/>
          <w:rtl w:val="true"/>
        </w:rPr>
        <w:footnoteReference w:id="183"/>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 xml:space="preserve">. </w:t>
      </w:r>
      <w:bookmarkStart w:id="136" w:name="pg15033_241507"/>
    </w:p>
    <w:p>
      <w:pPr>
        <w:pStyle w:val="Heading5"/>
        <w:numPr>
          <w:ilvl w:val="4"/>
          <w:numId w:val="1"/>
        </w:numPr>
        <w:rPr/>
      </w:pPr>
      <w:bookmarkStart w:id="137" w:name="__RefHeading___Toc316597_2142443653"/>
      <w:bookmarkStart w:id="138" w:name="_Toc52"/>
      <w:bookmarkEnd w:id="136"/>
      <w:bookmarkEnd w:id="137"/>
      <w:r>
        <w:rPr>
          <w:rtl w:val="true"/>
        </w:rPr>
        <w:t>تنبيهات</w:t>
      </w:r>
      <w:bookmarkEnd w:id="138"/>
    </w:p>
    <w:p>
      <w:pPr>
        <w:pStyle w:val="Heading6"/>
        <w:numPr>
          <w:ilvl w:val="5"/>
          <w:numId w:val="1"/>
        </w:numPr>
        <w:rPr/>
      </w:pPr>
      <w:bookmarkStart w:id="139" w:name="__RefHeading___Toc316599_2142443653"/>
      <w:bookmarkStart w:id="140" w:name="_Toc53"/>
      <w:bookmarkEnd w:id="139"/>
      <w:r>
        <w:rPr>
          <w:rtl w:val="true"/>
        </w:rPr>
        <w:t>الأول</w:t>
      </w:r>
      <w:r>
        <w:rPr>
          <w:rtl w:val="true"/>
        </w:rPr>
        <w:t xml:space="preserve">: </w:t>
      </w:r>
      <w:r>
        <w:rPr>
          <w:rtl w:val="true"/>
        </w:rPr>
        <w:t>إن لازم ما سلكناه في التزكية كفاية تزكية غير الإمامي الموثق أيضا،</w:t>
      </w:r>
      <w:bookmarkEnd w:id="140"/>
    </w:p>
    <w:p>
      <w:pPr>
        <w:pStyle w:val="BookText"/>
        <w:rPr/>
      </w:pPr>
      <w:r>
        <w:rPr>
          <w:rFonts w:ascii="Amiri" w:hAnsi="Amiri" w:eastAsia="Amiri" w:cs="Amiri"/>
          <w:color w:val="111111"/>
          <w:sz w:val="28"/>
          <w:sz w:val="28"/>
          <w:szCs w:val="28"/>
          <w:rtl w:val="true"/>
          <w:lang w:bidi="ar-SA"/>
        </w:rPr>
        <w:t>مثل علي بن الحسن بن فضال، و ابن عقدة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غيرهما</w:t>
      </w:r>
      <w:r>
        <w:rPr>
          <w:rStyle w:val="FootnoteAnchor"/>
          <w:rtl w:val="true"/>
        </w:rPr>
        <w:footnoteReference w:id="184"/>
      </w:r>
      <w:r>
        <w:rPr>
          <w:rFonts w:ascii="IRNazanin" w:hAnsi="IRNazanin" w:eastAsia="IRNazanin"/>
          <w:color w:val="111111"/>
          <w:sz w:val="28"/>
          <w:sz w:val="28"/>
          <w:szCs w:val="28"/>
          <w:rtl w:val="true"/>
          <w:lang w:bidi="fa-IR"/>
        </w:rPr>
        <w:t>، لأنه نوع تثبت و مورث للاطمئنان</w:t>
      </w:r>
      <w:r>
        <w:rPr>
          <w:rStyle w:val="FootnoteAnchor"/>
          <w:rtl w:val="true"/>
        </w:rPr>
        <w:footnoteReference w:id="185"/>
      </w:r>
      <w:r>
        <w:rPr>
          <w:rFonts w:ascii="Amiri" w:hAnsi="Amiri" w:eastAsia="Amiri" w:cs="Amiri"/>
          <w:color w:val="111111"/>
          <w:sz w:val="28"/>
          <w:sz w:val="28"/>
          <w:szCs w:val="28"/>
          <w:rtl w:val="true"/>
          <w:lang w:bidi="ar-SA"/>
        </w:rPr>
        <w:t>، و لازم ما سلكه المعتبرون للتعدد في المزكى عدم كفاية ذلك، لعدم كفاية تزكية مثله للشاهد، كما هو ظاهر</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هذه الحاشية لا توجد في الطبعة الأولى، و قد فصّل القول الشيخ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 الرجالية المطبوعة في مقدمة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316601_2142443653"/>
      <w:bookmarkStart w:id="142" w:name="_Toc54"/>
      <w:bookmarkEnd w:id="141"/>
      <w:r>
        <w:rPr>
          <w:rtl w:val="true"/>
        </w:rPr>
        <w:t>الثاني</w:t>
      </w:r>
      <w:r>
        <w:rPr>
          <w:rtl w:val="true"/>
        </w:rPr>
        <w:t xml:space="preserve">: </w:t>
      </w:r>
      <w:r>
        <w:rPr>
          <w:rtl w:val="true"/>
        </w:rPr>
        <w:t>ان الكلام في الجرح كالكلام في التزكية من حيث اعتبار التعدد و عدمه حرفا بحرف،</w:t>
      </w:r>
      <w:bookmarkEnd w:id="142"/>
    </w:p>
    <w:p>
      <w:pPr>
        <w:pStyle w:val="BookText"/>
        <w:rPr/>
      </w:pPr>
      <w:r>
        <w:rPr>
          <w:rFonts w:ascii="Amiri" w:hAnsi="Amiri" w:eastAsia="Amiri" w:cs="Amiri"/>
          <w:color w:val="111111"/>
          <w:sz w:val="28"/>
          <w:sz w:val="28"/>
          <w:szCs w:val="28"/>
          <w:rtl w:val="true"/>
          <w:lang w:bidi="ar-SA"/>
        </w:rPr>
        <w:t xml:space="preserve">و نقل عن المحقق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بالفرق بين التزكية و الجرح إذا صدر عن غير الإمامي</w:t>
      </w:r>
      <w:r>
        <w:rPr>
          <w:rStyle w:val="FootnoteAnchor"/>
          <w:rtl w:val="true"/>
        </w:rPr>
        <w:footnoteReference w:id="187"/>
      </w:r>
      <w:r>
        <w:rPr>
          <w:rFonts w:ascii="Amiri" w:hAnsi="Amiri" w:eastAsia="Amiri" w:cs="Amiri"/>
          <w:color w:val="111111"/>
          <w:sz w:val="28"/>
          <w:sz w:val="28"/>
          <w:szCs w:val="28"/>
          <w:rtl w:val="true"/>
          <w:lang w:bidi="ar-SA"/>
        </w:rPr>
        <w:t>، فيقبل الأول دون الثاني</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 المعدّل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خال عن مستند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الفرق</w:t>
      </w:r>
      <w:r>
        <w:rPr>
          <w:rStyle w:val="FootnoteAnchor"/>
          <w:rtl w:val="true"/>
        </w:rPr>
        <w:footnoteReference w:id="189"/>
      </w:r>
      <w:r>
        <w:rPr>
          <w:rFonts w:ascii="Amiri" w:hAnsi="Amiri" w:eastAsia="Amiri" w:cs="Amiri"/>
          <w:color w:val="111111"/>
          <w:sz w:val="28"/>
          <w:sz w:val="28"/>
          <w:szCs w:val="28"/>
          <w:rtl w:val="true"/>
          <w:lang w:bidi="ar-SA"/>
        </w:rPr>
        <w:t>بأن تزكيته من باب شهادة العدوّ بالفضل غير مشوب بالتهمة بخلاف جرحه فإنه مشوب فلا يقبل، لا وجه له، بعد كون المدار على الظن، و هو يستوي فيهما بعد إباء وثاقته عن جرحه من لا يستأهل الجرح</w:t>
      </w:r>
      <w:r>
        <w:rPr>
          <w:rStyle w:val="FootnoteAnchor"/>
          <w:rtl w:val="true"/>
        </w:rPr>
        <w:footnoteReference w:id="190"/>
      </w:r>
      <w:r>
        <w:rPr>
          <w:rFonts w:ascii="IRNazanin" w:hAnsi="IRNazanin" w:eastAsia="IRNazanin"/>
          <w:color w:val="111111"/>
          <w:sz w:val="28"/>
          <w:sz w:val="28"/>
          <w:szCs w:val="28"/>
          <w:rtl w:val="true"/>
          <w:lang w:bidi="fa-IR"/>
        </w:rPr>
        <w:t>، فتأمل</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بالتساهل بالسماع أو الاسماع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خبر التائب من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تعديل المرأة أو العبد أو الصبي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أخذ العوض على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التنبيهات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الفصل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5033_241509"/>
    </w:p>
    <w:p>
      <w:pPr>
        <w:pStyle w:val="Heading3"/>
        <w:numPr>
          <w:ilvl w:val="2"/>
          <w:numId w:val="1"/>
        </w:numPr>
        <w:rPr/>
      </w:pPr>
      <w:bookmarkStart w:id="144" w:name="__RefHeading___Toc316603_2142443653"/>
      <w:bookmarkStart w:id="145" w:name="_Toc55"/>
      <w:bookmarkEnd w:id="143"/>
      <w:bookmarkEnd w:id="144"/>
      <w:r>
        <w:rPr>
          <w:rtl w:val="true"/>
        </w:rPr>
        <w:t>الجهة الثالثة الخلاف في قبول الجرح و التعديل مطلقين او مع ذكر السبب</w:t>
      </w:r>
      <w:bookmarkEnd w:id="145"/>
    </w:p>
    <w:p>
      <w:pPr>
        <w:pStyle w:val="Heading4"/>
        <w:numPr>
          <w:ilvl w:val="3"/>
          <w:numId w:val="1"/>
        </w:numPr>
        <w:rPr/>
      </w:pPr>
      <w:bookmarkStart w:id="146" w:name="__RefHeading___Toc316605_2142443653"/>
      <w:bookmarkStart w:id="147" w:name="_Toc56"/>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انه قد وقع الخلاف في قبول الجرح و التعديل</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الجرح و التعديل من باب الشهادة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عدل أو ضعيف من دون ذكر سبب العدالة و الضعف،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الشهادة بكل من العدالة و الفسق مطلقة، و عدم قبول الشهادة فيهما إلا بعد تفسير ما شهد به من العدالة و الجرح،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لأني عاشرته سفرا و حضرا، و لم أجده يرتكب المعصية، و وجدته صاحب ملكة،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لأني أراه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التفاسير المختلفة بالآراء في العدالة، فلا تقبل الشهادة بالتعديل إلا مع تفسيره بما يطابق رأي من يريد تصحيح السند، و هكذا في طرف الجرح، فيلزم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فاسق لأني وجدته يرتكب الكبيرة الفلانية مثلا، فإن طابق رأي من يريد التصحيح قبل شهادته و إلاّ ردها، و هذا القول حكاه جمع قولا من دون تسمية قائله</w:t>
      </w:r>
      <w:r>
        <w:rPr>
          <w:rStyle w:val="FootnoteAnchor"/>
          <w:rtl w:val="true"/>
        </w:rPr>
        <w:footnoteReference w:id="193"/>
      </w:r>
      <w:r>
        <w:rPr>
          <w:rFonts w:ascii="Amiri" w:hAnsi="Amiri" w:eastAsia="Amiri" w:cs="Amiri"/>
          <w:color w:val="111111"/>
          <w:sz w:val="28"/>
          <w:sz w:val="28"/>
          <w:szCs w:val="28"/>
          <w:rtl w:val="true"/>
          <w:lang w:bidi="ar-SA"/>
        </w:rPr>
        <w:t>، و عزاه في قضاء المسالك إلى الإسكافي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الإطلاق فيهما، فلو قال أشهد أن فلانا عدل أو </w:t>
      </w:r>
    </w:p>
    <w:p>
      <w:pPr>
        <w:pStyle w:val="BookText"/>
        <w:rPr/>
      </w:pPr>
      <w:r>
        <w:rPr>
          <w:rFonts w:ascii="Amiri" w:hAnsi="Amiri" w:eastAsia="Amiri" w:cs="Amiri"/>
          <w:color w:val="111111"/>
          <w:sz w:val="28"/>
          <w:sz w:val="28"/>
          <w:szCs w:val="28"/>
          <w:rtl w:val="true"/>
          <w:lang w:bidi="ar-SA"/>
        </w:rPr>
        <w:t xml:space="preserve">فاسق قبل، و إن لم يبين سبب العدالة و الفسق، أرسله جمع قولا، و في خلاف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أبا حنيفة</w:t>
      </w:r>
      <w:r>
        <w:rPr>
          <w:rStyle w:val="FootnoteAnchor"/>
          <w:rtl w:val="true"/>
        </w:rPr>
        <w:footnoteReference w:id="195"/>
      </w:r>
      <w:r>
        <w:rPr>
          <w:rFonts w:ascii="IRNazanin" w:hAnsi="IRNazanin" w:eastAsia="IRNazanin"/>
          <w:color w:val="111111"/>
          <w:sz w:val="28"/>
          <w:sz w:val="28"/>
          <w:szCs w:val="28"/>
          <w:rtl w:val="true"/>
          <w:lang w:bidi="fa-IR"/>
        </w:rPr>
        <w:t>، و</w:t>
      </w:r>
      <w:r>
        <w:rPr>
          <w:rStyle w:val="FootnoteAnchor"/>
          <w:rtl w:val="true"/>
        </w:rPr>
        <w:footnoteReference w:id="196"/>
      </w:r>
      <w:r>
        <w:rPr>
          <w:rFonts w:ascii="Amiri" w:hAnsi="Amiri" w:eastAsia="Amiri" w:cs="Amiri"/>
          <w:color w:val="111111"/>
          <w:sz w:val="28"/>
          <w:sz w:val="28"/>
          <w:szCs w:val="28"/>
          <w:rtl w:val="true"/>
          <w:lang w:bidi="ar-SA"/>
        </w:rPr>
        <w:t xml:space="preserve">عزاه بعض من عاصرناه إلى كثير 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 عزاه السيد عميد الدين في شرح التهذيب</w:t>
      </w:r>
      <w:r>
        <w:rPr>
          <w:rStyle w:val="FootnoteAnchor"/>
          <w:rtl w:val="true"/>
        </w:rPr>
        <w:footnoteReference w:id="198"/>
      </w:r>
      <w:r>
        <w:rPr>
          <w:rFonts w:ascii="Amiri" w:hAnsi="Amiri" w:eastAsia="Amiri" w:cs="Amiri"/>
          <w:color w:val="111111"/>
          <w:sz w:val="28"/>
          <w:sz w:val="28"/>
          <w:szCs w:val="28"/>
          <w:rtl w:val="true"/>
          <w:lang w:bidi="ar-SA"/>
        </w:rPr>
        <w:t>إلى القاضي أبي بكر</w:t>
      </w:r>
      <w:r>
        <w:rPr>
          <w:rStyle w:val="FootnoteAnchor"/>
          <w:rtl w:val="true"/>
        </w:rPr>
        <w:footnoteReference w:id="199"/>
      </w:r>
      <w:r>
        <w:rPr>
          <w:rFonts w:ascii="Amiri" w:hAnsi="Amiri" w:eastAsia="Amiri" w:cs="Amiri"/>
          <w:color w:val="111111"/>
          <w:sz w:val="28"/>
          <w:sz w:val="28"/>
          <w:szCs w:val="28"/>
          <w:rtl w:val="true"/>
          <w:lang w:bidi="ar-SA"/>
        </w:rPr>
        <w:t>، و المنقول عنه في كلام غيره القول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الإطلاق مطلقا في التعديل دون الجرح، فإنه لا يقبل إلا مفسرا، و هو خيرة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الخلاف</w:t>
      </w:r>
      <w:r>
        <w:rPr>
          <w:rStyle w:val="FootnoteAnchor"/>
          <w:rtl w:val="true"/>
        </w:rPr>
        <w:footnoteReference w:id="200"/>
      </w:r>
      <w:r>
        <w:rPr>
          <w:rFonts w:ascii="Amiri" w:hAnsi="Amiri" w:eastAsia="Amiri" w:cs="Amiri"/>
          <w:color w:val="111111"/>
          <w:sz w:val="28"/>
          <w:sz w:val="28"/>
          <w:szCs w:val="28"/>
          <w:rtl w:val="true"/>
          <w:lang w:bidi="ar-SA"/>
        </w:rPr>
        <w:t>، حاكيا له عن الشافعي أيضا</w:t>
      </w:r>
      <w:r>
        <w:rPr>
          <w:rStyle w:val="FootnoteAnchor"/>
          <w:rtl w:val="true"/>
        </w:rPr>
        <w:footnoteReference w:id="201"/>
      </w:r>
      <w:r>
        <w:rPr>
          <w:rFonts w:ascii="Amiri" w:hAnsi="Amiri" w:eastAsia="Amiri" w:cs="Amiri"/>
          <w:color w:val="111111"/>
          <w:sz w:val="28"/>
          <w:sz w:val="28"/>
          <w:szCs w:val="28"/>
          <w:rtl w:val="true"/>
          <w:lang w:bidi="ar-SA"/>
        </w:rPr>
        <w:t>، و عزاه غير واحد إلى الأكثر، بل في المسالك</w:t>
      </w:r>
      <w:r>
        <w:rPr>
          <w:rStyle w:val="FootnoteAnchor"/>
          <w:rtl w:val="true"/>
        </w:rPr>
        <w:footnoteReference w:id="20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قد تبع بذلك الشيخ حسين بن الشيخ عبد الصمد العاملي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 كأنّه مختار الخطيب في كفايته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إلا أن الذي يظهر من آخر كلام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بيان سبب الجرح دون التعديل، و مال إليه العراقي في ألفيته و نسبه إلى المشهور السخاوي في شرحه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عليه حفاظ الأثر مع أهل النظر الى غير ذلك من كلماتهم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الثالث</w:t>
      </w:r>
      <w:r>
        <w:rPr>
          <w:rStyle w:val="FootnoteAnchor"/>
          <w:rtl w:val="true"/>
        </w:rPr>
        <w:footnoteReference w:id="204"/>
      </w:r>
      <w:r>
        <w:rPr>
          <w:rFonts w:ascii="Amiri" w:hAnsi="Amiri" w:eastAsia="Amiri" w:cs="Amiri"/>
          <w:color w:val="111111"/>
          <w:sz w:val="28"/>
          <w:sz w:val="28"/>
          <w:szCs w:val="28"/>
          <w:rtl w:val="true"/>
          <w:lang w:bidi="ar-SA"/>
        </w:rPr>
        <w:t>، نقله الغزالي و الرازي</w:t>
      </w:r>
      <w:r>
        <w:rPr>
          <w:rStyle w:val="FootnoteAnchor"/>
          <w:rtl w:val="true"/>
        </w:rPr>
        <w:footnoteReference w:id="205"/>
      </w:r>
      <w:r>
        <w:rPr>
          <w:rFonts w:ascii="IRNazanin" w:hAnsi="IRNazanin" w:eastAsia="IRNazanin"/>
          <w:color w:val="111111"/>
          <w:sz w:val="28"/>
          <w:sz w:val="28"/>
          <w:szCs w:val="28"/>
          <w:rtl w:val="true"/>
          <w:lang w:bidi="fa-IR"/>
        </w:rPr>
        <w:t>قولا</w:t>
      </w:r>
      <w:r>
        <w:rPr>
          <w:rStyle w:val="FootnoteAnchor"/>
          <w:rtl w:val="true"/>
        </w:rPr>
        <w:footnoteReference w:id="206"/>
      </w:r>
      <w:r>
        <w:rPr>
          <w:rFonts w:ascii="Amiri" w:hAnsi="Amiri" w:eastAsia="Amiri" w:cs="Amiri"/>
          <w:color w:val="111111"/>
          <w:sz w:val="28"/>
          <w:sz w:val="28"/>
          <w:szCs w:val="28"/>
          <w:rtl w:val="true"/>
          <w:lang w:bidi="ar-SA"/>
        </w:rPr>
        <w:t>، و نقله السيد العميد في شرح التهذيب عن جمع</w:t>
      </w:r>
      <w:r>
        <w:rPr>
          <w:rStyle w:val="FootnoteAnchor"/>
          <w:rtl w:val="true"/>
        </w:rPr>
        <w:footnoteReference w:id="207"/>
      </w:r>
      <w:r>
        <w:rPr>
          <w:rFonts w:ascii="Amiri" w:hAnsi="Amiri" w:eastAsia="Amiri" w:cs="Amiri"/>
          <w:color w:val="111111"/>
          <w:sz w:val="28"/>
          <w:sz w:val="28"/>
          <w:szCs w:val="28"/>
          <w:rtl w:val="true"/>
          <w:lang w:bidi="ar-SA"/>
        </w:rPr>
        <w:t>و في المسالك و</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فيهما من غير ذكر السبب، إذا كان كل من الجارح و المعدّل عالما بأسباب الجرح و التعديل، و بالخلاف في ذلك بصيرا مرضيا في اعتقاده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التفسير فيما إذا لم يكونا عارفين بالأسباب، اختاره العلامة</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المحكي عن إمام الحرمين</w:t>
      </w:r>
      <w:r>
        <w:rPr>
          <w:rStyle w:val="FootnoteAnchor"/>
          <w:rtl w:val="true"/>
        </w:rPr>
        <w:footnoteReference w:id="210"/>
      </w:r>
      <w:r>
        <w:rPr>
          <w:rFonts w:ascii="Amiri" w:hAnsi="Amiri" w:eastAsia="Amiri" w:cs="Amiri"/>
          <w:color w:val="111111"/>
          <w:sz w:val="28"/>
          <w:sz w:val="28"/>
          <w:szCs w:val="28"/>
          <w:rtl w:val="true"/>
          <w:lang w:bidi="ar-SA"/>
        </w:rPr>
        <w:t>و الغزالي</w:t>
      </w:r>
      <w:r>
        <w:rPr>
          <w:rStyle w:val="FootnoteAnchor"/>
          <w:rtl w:val="true"/>
        </w:rPr>
        <w:footnoteReference w:id="211"/>
      </w:r>
      <w:r>
        <w:rPr>
          <w:rFonts w:ascii="Amiri" w:hAnsi="Amiri" w:eastAsia="Amiri" w:cs="Amiri"/>
          <w:color w:val="111111"/>
          <w:sz w:val="28"/>
          <w:sz w:val="28"/>
          <w:szCs w:val="28"/>
          <w:rtl w:val="true"/>
          <w:lang w:bidi="ar-SA"/>
        </w:rPr>
        <w:t>و الرازي و الخطيب</w:t>
      </w:r>
      <w:r>
        <w:rPr>
          <w:rStyle w:val="FootnoteAnchor"/>
          <w:rtl w:val="true"/>
        </w:rPr>
        <w:footnoteReference w:id="212"/>
      </w:r>
      <w:r>
        <w:rPr>
          <w:rFonts w:ascii="Amiri" w:hAnsi="Amiri" w:eastAsia="Amiri" w:cs="Amiri"/>
          <w:color w:val="111111"/>
          <w:sz w:val="28"/>
          <w:sz w:val="28"/>
          <w:szCs w:val="28"/>
          <w:rtl w:val="true"/>
          <w:lang w:bidi="ar-SA"/>
        </w:rPr>
        <w:t>و الحافظ أبي الفضل العراقي</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العراقي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زين الدين البغدادي العراقي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اصوليا مقرئا، له كتب كثيرة في علوم الحديث كالإيضاح و الألفية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204/5</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ذكروها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البلقيني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محاسن الاصطلاح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فيهما مع العلم بالموافقة فيما يتحقق الجرح و التعديل، و عدم القبول إلا مفسرا في صورة عدم العلم بالموافقة، اختاره السيد عميد الدين في شرح التهذيب</w:t>
      </w:r>
      <w:r>
        <w:rPr>
          <w:rStyle w:val="FootnoteAnchor"/>
          <w:rtl w:val="true"/>
        </w:rPr>
        <w:footnoteReference w:id="214"/>
      </w:r>
      <w:r>
        <w:rPr>
          <w:rFonts w:ascii="Amiri" w:hAnsi="Amiri" w:eastAsia="Amiri" w:cs="Amiri"/>
          <w:color w:val="111111"/>
          <w:sz w:val="28"/>
          <w:sz w:val="28"/>
          <w:szCs w:val="28"/>
          <w:rtl w:val="true"/>
          <w:lang w:bidi="ar-SA"/>
        </w:rPr>
        <w:t>و الشهيد الثاني</w:t>
      </w:r>
      <w:r>
        <w:rPr>
          <w:rStyle w:val="FootnoteAnchor"/>
          <w:rtl w:val="true"/>
        </w:rPr>
        <w:footnoteReference w:id="215"/>
      </w:r>
      <w:r>
        <w:rPr>
          <w:rFonts w:ascii="IRNazanin" w:hAnsi="IRNazanin" w:eastAsia="IRNazanin"/>
          <w:color w:val="111111"/>
          <w:sz w:val="28"/>
          <w:sz w:val="28"/>
          <w:szCs w:val="28"/>
          <w:rtl w:val="true"/>
          <w:lang w:bidi="fa-IR"/>
        </w:rPr>
        <w:t>و ولده</w:t>
      </w:r>
      <w:r>
        <w:rPr>
          <w:rStyle w:val="FootnoteAnchor"/>
          <w:rtl w:val="true"/>
        </w:rPr>
        <w:footnoteReference w:id="216"/>
      </w:r>
      <w:r>
        <w:rPr>
          <w:rFonts w:ascii="Amiri" w:hAnsi="Amiri" w:eastAsia="Amiri" w:cs="Amiri"/>
          <w:color w:val="111111"/>
          <w:sz w:val="28"/>
          <w:sz w:val="28"/>
          <w:szCs w:val="28"/>
          <w:rtl w:val="true"/>
          <w:lang w:bidi="ar-SA"/>
        </w:rPr>
        <w:t>و الفاضل القمي</w:t>
      </w:r>
      <w:r>
        <w:rPr>
          <w:rStyle w:val="FootnoteAnchor"/>
          <w:rtl w:val="true"/>
        </w:rPr>
        <w:footnoteReference w:id="2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Style w:val="FootnoteAnchor"/>
          <w:rtl w:val="true"/>
        </w:rPr>
        <w:footnoteReference w:id="2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ذكر السبب في كتب الرجال نادر، مع عدم العلم بمذاهب المصنفين في الأسباب فيجيء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بعضهم بأن إطلاق الجرح موجب للريبة القوية في المجروح كذلك و إن لم يوجب الحكم بالفسق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الإشكال في جانب التعديل على تقدير اشتراط ذكر السبب، فإن ذكرهم لسبب التعديل نادر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لم نعلم مراد المعدّل أو الجارح، و الا فالحق قبول قوله مطلقا فيما اصطلح عليه من التوثيق و التضعيف لا مطلق الوثاقة، لأن كلام كل قوم يحمل على اصطلاحهم، فلو علمنا مراد الشيخ من العدالة في العدّة مثل كونه متحرزا عن الكذب و إن كان فاسقا بأفعال الجوارح حملنا قوله في رجاله و فهرسته بل كتابيه في الحديث على ذلك، و بهذا تبطل جملة من الأقوال، فتدبر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5033_241514"/>
    </w:p>
    <w:p>
      <w:pPr>
        <w:pStyle w:val="BookText"/>
        <w:rPr/>
      </w:pPr>
      <w:bookmarkEnd w:id="148"/>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رجّحه بعض الأواخر من اعتبار التفسير إن كان اختلافهما بحسب المفهوم أو احتمل ذلك، و عدم وجوب التفسير مع عدم ذلك</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316607_2142443653"/>
      <w:bookmarkStart w:id="150" w:name="_Toc57"/>
      <w:bookmarkEnd w:id="149"/>
      <w:r>
        <w:rPr>
          <w:rtl w:val="true"/>
        </w:rPr>
        <w:t>حجة القول الأول أمور</w:t>
      </w:r>
      <w:r>
        <w:rPr>
          <w:rtl w:val="true"/>
        </w:rPr>
        <w:t>:</w:t>
      </w:r>
      <w:bookmarkEnd w:id="1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كفى الإطلاق في الجرح لكفى في ثبوت الرضاع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إجماعا، فكذا المقدم، و الملازمة ظاهرة، فإن الملاك هو وقوع الخلاف في موجباته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مع الإغماض عن كونه قياسا، و تسليم اتحاد المناط فيهما قطعا، و عدم كون اعتبار التفسير في الرضاع من باب الاحتياط في الفروج،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الوجه هو اختيار القول السادس، لأنهم صرحوا في الرضاع أيضا بكفاية الإطلاق لو علم أن الشاهدين لا يخرجان عن مذهب الحاكم، بأن يكونا فقيهين مؤتمنين موافقين له في جميع أحكام الرضاع، أو يكونا من جملة مقلديه الموثوق بمراعاتهما في الشهادة مذهبه مع كونهما عارفين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ثبت التعديل أو الجرح مع الإطلاق، لثبت مع الشك أيضا، إذ لا يزيد عليه، لمكان اختلاف الآراء في معنى العدالة و الفسق و ما يحصلان به، و في معنى الكبيرة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فالمعاني مختلفة، و الإطلاق لا يثبت بعضها</w:t>
      </w:r>
      <w:r>
        <w:rPr>
          <w:rFonts w:eastAsia="Amiri" w:cs="Amiri" w:ascii="Amiri" w:hAnsi="Amiri"/>
          <w:color w:val="111111"/>
          <w:sz w:val="28"/>
          <w:szCs w:val="28"/>
          <w:rtl w:val="true"/>
          <w:lang w:bidi="ar-SA"/>
        </w:rPr>
        <w:t xml:space="preserve">. </w:t>
      </w:r>
      <w:bookmarkStart w:id="151" w:name="pg15033_241515"/>
    </w:p>
    <w:p>
      <w:pPr>
        <w:pStyle w:val="BookText"/>
        <w:rPr/>
      </w:pPr>
      <w:bookmarkEnd w:id="151"/>
      <w:r>
        <w:rPr>
          <w:rFonts w:ascii="Amiri" w:hAnsi="Amiri" w:eastAsia="Amiri" w:cs="Amiri"/>
          <w:color w:val="111111"/>
          <w:sz w:val="28"/>
          <w:sz w:val="28"/>
          <w:szCs w:val="28"/>
          <w:rtl w:val="true"/>
          <w:lang w:bidi="ar-SA"/>
        </w:rPr>
        <w:t>و فيه ما يأتي في حجة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كفاية الإطلاق، تمسّك بها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بكونها محكومة باصالة عدم اشتراط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الشاهد إنما يشهد بما يراه و يعتقده، و ذلك لعله غير معتبر عند المشهود</w:t>
      </w:r>
      <w:r>
        <w:rPr>
          <w:rStyle w:val="FootnoteAnchor"/>
          <w:rtl w:val="true"/>
        </w:rPr>
        <w:footnoteReference w:id="220"/>
      </w:r>
      <w:r>
        <w:rPr>
          <w:rFonts w:ascii="Amiri" w:hAnsi="Amiri" w:eastAsia="Amiri" w:cs="Amiri"/>
          <w:color w:val="111111"/>
          <w:sz w:val="28"/>
          <w:sz w:val="28"/>
          <w:szCs w:val="28"/>
          <w:rtl w:val="true"/>
          <w:lang w:bidi="ar-SA"/>
        </w:rPr>
        <w:t>عنده، فبعد اختلاف الآراء في العدالة و موجباتها، و الكبائر و غيرها، لا يصح الاعتماد على الشهادة المطلقة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16609_2142443653"/>
      <w:bookmarkStart w:id="153" w:name="_Toc58"/>
      <w:bookmarkEnd w:id="152"/>
      <w:r>
        <w:rPr>
          <w:rtl w:val="true"/>
        </w:rPr>
        <w:t>حجة القول الثاني امور</w:t>
      </w:r>
      <w:r>
        <w:rPr>
          <w:rtl w:val="true"/>
        </w:rPr>
        <w:t>:</w:t>
      </w:r>
      <w:bookmarkEnd w:id="1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و الفسق صفتان مستقلتان خارجتان، فإذا شهد الشاهدان العدلان بهما، وجب قبوله، كما في سائر الموارد التي يشهد بها، لشمول إطلاق أدلتها لجميعها، و إخراج خصوص مورد التزكية و الجرح عنها لا يخلو من تحكّم بحسب المحاورات لغة و عرفا، و دعوى الإجماع على ذلك واضحة المنع كدعوى الشهرة المعتبرة القادحة في التمسك بالإطلاقات و العمومات، و ذلك لكثرة الأقوال و تشتتها على وجه لا يحصل الظن بإرادة خلاف الإطلاقات في خصوص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اختلاف</w:t>
      </w:r>
      <w:r>
        <w:rPr>
          <w:rStyle w:val="FootnoteAnchor"/>
          <w:rtl w:val="true"/>
        </w:rPr>
        <w:footnoteReference w:id="221"/>
      </w:r>
      <w:r>
        <w:rPr>
          <w:rFonts w:ascii="Amiri" w:hAnsi="Amiri" w:eastAsia="Amiri" w:cs="Amiri"/>
          <w:color w:val="111111"/>
          <w:sz w:val="28"/>
          <w:sz w:val="28"/>
          <w:szCs w:val="28"/>
          <w:rtl w:val="true"/>
          <w:lang w:bidi="ar-SA"/>
        </w:rPr>
        <w:t xml:space="preserve">الآراء في أسباب العدالة و الفسق مانعا من قبول الشهادة عليهما مطلقة، مدفوع بأن عدالة الشاهدين مع </w:t>
      </w:r>
    </w:p>
    <w:p>
      <w:pPr>
        <w:pStyle w:val="BookText"/>
        <w:rPr/>
      </w:pPr>
      <w:r>
        <w:rPr>
          <w:rFonts w:ascii="Amiri" w:hAnsi="Amiri" w:eastAsia="Amiri" w:cs="Amiri"/>
          <w:color w:val="111111"/>
          <w:sz w:val="28"/>
          <w:sz w:val="28"/>
          <w:szCs w:val="28"/>
          <w:rtl w:val="true"/>
          <w:lang w:bidi="ar-SA"/>
        </w:rPr>
        <w:t xml:space="preserve">علمهما بهذا الاختلاف تأبى من الأخبار بما لا يوافق الواقع و نظر الحاكم، و أنت خبير بأن لازم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القول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المعدّل و الجارح لا بد أن يكون في نظر الحاكم عالما بسببهما، و إلا لم يصلح لهما، و مع العلم لا معنى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بأنه لو سلّم لا يتمّ إلا مع علم الحاكم بموافقة مذهب المزكي لمذهبه في أسباب الجرح و التعديل، بأن يكون مقلدا له، أو موافقا له في الفتوى، و ذلك هو القول الخامس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الدليل المذكور بأن المزكي إن كان من ذوي البصائر بهذا الشأن، لم يكن معنى للاستفسار، و إن لم يكن منهم لم يصلح للتزكية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بأنه مع اختلاف المجتهدين في معنى العدالة و الجرح و عدد الكبائر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فلا يكفي كونه ذا بصيرة، إذ لعله يبني كلامه على مذهبه، و لا يعلم موافقته للحاكم 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مخدوش، بأن إطلاق المزكي مع عدم علمه بالموافقة و احتماله عدم الموافقة تدليس تمنع منه عدالته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الجواب بما ذكر في ردّ 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حينئذ اعتبار علمه بأسباب الجرح و التعديل حتى يكون إطلاقه في الشهادة مع عدم علمه بالسبب المتفق عليه تدليسا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مقتضى ما هو المعلوم من طريقة الشرح من حمل عبارة الشاهد على الواقع، و إن اختلف الاجتهاد في تشخيصه، و من هنا لا يجب سؤاله عن سبب التملك مع الشهادة به، و كذا التطهير و التنجيس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و إن كانت هي أيضا مختلفة في الاجتهاد، بل يحمل قول الشاهد على الواقع كما يحمل فعله على الصحيح في نفس الأمر، لا في حق الفاعل خاصة، و ما العدالة و الفسق إلا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بأن الاختلاف في التعديل و الجرح في معناهما بخلاف الملك و التطهير و التنجيس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فإنه اختلاف في أسبابها، كما ترى، فإن ذلك لا يصلح فارقا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لازم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علمهما بالأسباب حتى يمكن منهما الشهادة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حالة لها مقتضيات،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صاحبها في الشهادة، و الفسق</w:t>
      </w:r>
      <w:r>
        <w:rPr>
          <w:rStyle w:val="FootnoteAnchor"/>
          <w:rtl w:val="true"/>
        </w:rPr>
        <w:footnoteReference w:id="222"/>
      </w:r>
      <w:r>
        <w:rPr>
          <w:rFonts w:ascii="Amiri" w:hAnsi="Amiri" w:eastAsia="Amiri" w:cs="Amiri"/>
          <w:color w:val="111111"/>
          <w:sz w:val="28"/>
          <w:sz w:val="28"/>
          <w:szCs w:val="28"/>
          <w:rtl w:val="true"/>
          <w:lang w:bidi="ar-SA"/>
        </w:rPr>
        <w:t>حالة لها مقتضيات منها رد قول صاحبها في الشهادة، فإذا قامت الحجة الشرعية و هي البينة على وجود تلك الحالة و كشفت عن تحققها، وجب القبول لإطلاق الأدلة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مرجع هذا الوجه إلى الوجه الأول، فجوابه جوابه</w:t>
      </w:r>
      <w:r>
        <w:rPr>
          <w:rFonts w:eastAsia="Amiri" w:cs="Amiri" w:ascii="Amiri" w:hAnsi="Amiri"/>
          <w:color w:val="111111"/>
          <w:sz w:val="28"/>
          <w:szCs w:val="28"/>
          <w:rtl w:val="true"/>
          <w:lang w:bidi="ar-SA"/>
        </w:rPr>
        <w:t xml:space="preserve">. </w:t>
      </w:r>
      <w:bookmarkStart w:id="154" w:name="pg15033_241518"/>
    </w:p>
    <w:p>
      <w:pPr>
        <w:pStyle w:val="Heading4"/>
        <w:numPr>
          <w:ilvl w:val="3"/>
          <w:numId w:val="1"/>
        </w:numPr>
        <w:rPr/>
      </w:pPr>
      <w:bookmarkStart w:id="155" w:name="__RefHeading___Toc316611_2142443653"/>
      <w:bookmarkStart w:id="156" w:name="_Toc59"/>
      <w:bookmarkEnd w:id="154"/>
      <w:bookmarkEnd w:id="155"/>
      <w:r>
        <w:rPr>
          <w:rtl w:val="true"/>
        </w:rPr>
        <w:t>حجة القول الثالث</w:t>
      </w:r>
      <w:r>
        <w:rPr>
          <w:rtl w:val="true"/>
        </w:rPr>
        <w:t>:</w:t>
      </w:r>
      <w:bookmarkEnd w:id="156"/>
    </w:p>
    <w:p>
      <w:pPr>
        <w:pStyle w:val="BookText"/>
        <w:rPr/>
      </w:pPr>
      <w:r>
        <w:rPr>
          <w:rFonts w:ascii="Amiri" w:hAnsi="Amiri" w:eastAsia="Amiri" w:cs="Amiri"/>
          <w:color w:val="111111"/>
          <w:sz w:val="28"/>
          <w:sz w:val="28"/>
          <w:szCs w:val="28"/>
          <w:rtl w:val="true"/>
          <w:lang w:bidi="ar-SA"/>
        </w:rPr>
        <w:t xml:space="preserve">أما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كفاية الإطلاق في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إطلاق ما دلّ على حجية البيّنة، و حيث إن المستدل أراد منع الإطلاق في الشق الثاني قرر ذلك بأن إطلاق أدلّة حجية البينة يقضي بلزوم سماع الشهادة مطلقة مطلقا، خرجنا عن ذلك في الجرح، لإعراض الأصحاب عن الإطلاقات فيه، و رجعنا فيه إلى الأصل، و بقي التعديل تحت الإطلاقات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قيام الإعراض الموهن للإطلاقات بعد تشتت الآراء في المسألة، فالإطلاقات في الجرح و التعديل كليهما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كفاية الإطلاق في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المذاهب فيما يوجب الفسق مختلفة، فلا بد من البيان، ليعمل المجتهد باجتهاده، إذ لو لم يبيّن فربما جرح بما يعتقده جرحا، و ليس بجرح في نفس الأمر، أو في اعتقاد الآخر، فلا بد من ذكر سببه لينظر فيه أ هو جرح أم لا؟ 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لكثير من العلماء جرح بعض، فلما استفسر ذكر ما لا يصلح جارحا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لبعضهم</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حديث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يركض على برذون</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آخر من الرواة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بحديثه؟ ذكر يوما عند حماد فامتخط</w:t>
      </w:r>
      <w:r>
        <w:rPr>
          <w:rStyle w:val="FootnoteAnchor"/>
          <w:rtl w:val="true"/>
        </w:rPr>
        <w:footnoteReference w:id="226"/>
      </w:r>
      <w:r>
        <w:rPr>
          <w:rFonts w:ascii="IRNazanin" w:hAnsi="IRNazanin" w:eastAsia="IRNazanin"/>
          <w:color w:val="111111"/>
          <w:sz w:val="28"/>
          <w:sz w:val="28"/>
          <w:szCs w:val="28"/>
          <w:rtl w:val="true"/>
          <w:lang w:bidi="fa-IR"/>
        </w:rPr>
        <w:t>حماد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نوقش في ذلك بأنه لا فرق بين الجرح و التعديل، بل التعديل تابع للجرح، فإن العدالة ترك لما هو موجب للجرح، و الاختلاف في أسباب الفسق يقتضي الاختلاف في أسباب العدالة، فإن الاختلاف مثلا في عدد الكبائر كما يوجب في بعضها ترتب الفسق على فعله، يوجب في بعض آخر عدم قدحه في العدالة بدون الاصرار عليه، فربما يزكيه المزكي مع علمه بفعل ما لا يقدح عنده فيها، و هو قادح عند الحاكم، و كما اتفق لكثير الجرح بما ليس بجارح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اتفق لكثير التعديل بما ليس موجبا للعدالة، فقد وثّق </w:t>
      </w:r>
      <w:bookmarkStart w:id="157" w:name="pg15033_241520"/>
    </w:p>
    <w:p>
      <w:pPr>
        <w:pStyle w:val="BookText"/>
        <w:rPr/>
      </w:pPr>
      <w:bookmarkEnd w:id="157"/>
      <w:r>
        <w:rPr>
          <w:rFonts w:ascii="Amiri" w:hAnsi="Amiri" w:eastAsia="Amiri" w:cs="Amiri"/>
          <w:color w:val="111111"/>
          <w:sz w:val="28"/>
          <w:sz w:val="28"/>
          <w:szCs w:val="28"/>
          <w:rtl w:val="true"/>
          <w:lang w:bidi="ar-SA"/>
        </w:rPr>
        <w:t>بعضهم بعضا برؤية لحيته و حسن هيئته، مع أن ذلك يشترك فيه العدل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الاطلاع على العدالة لا يحصل إلا بالمعاشرة مدة طويلة، و بملاحظة المزايا و الخفايا في أفعاله و أعماله و عباداته و معاملاته حتى يعرف منها باطنه من ظاهره، و حقه من باطله، و خلقه من تخلقه، و في ذكر هذه الأمور تعسّر بل تعذّر، و أيضا فأسباب العدالة كثيرة يشق ذكرها، لأن ذلك يحوج المعدل إلى قول لم يفعل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يرتكب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فيعدّد جميع ما يفسق بفعله أو تركه، و ذلك شاق جدا، بخلاف الجرح فإنه يكفي فيه معاينة صدور معصية كبيرة واحدة منه من غير أن يكون له تقادم عهد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ممن يقول باعتبار التفسير في العدالة لم يعتبر ذكر المزايا و الدقائق المذكورة، و إنما اعتبر ذكر أنه صاحب ملكة، أو حسن الظاهر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من الأقوال في العدالة، و ذلك لا مشقة فيه كالجرح، مع أن التعسر لا يوجب سقوطه إن قام على اعتباره دليل، فتدبر</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16613_2142443653"/>
      <w:bookmarkStart w:id="159" w:name="_Toc60"/>
      <w:bookmarkEnd w:id="158"/>
      <w:r>
        <w:rPr>
          <w:rtl w:val="true"/>
        </w:rPr>
        <w:t>حجة القول الرابع أمران</w:t>
      </w:r>
      <w:r>
        <w:rPr>
          <w:rtl w:val="true"/>
        </w:rPr>
        <w:t>:</w:t>
      </w:r>
      <w:bookmarkEnd w:id="15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اللبس كثيرا ما يقع في العدالة، بخلاف الجرح، و أيضا فالجارح إنما يشهد عن حس غالبا فلا يحتاج إلى ذكر السبب كما في سائر الحسيات المشهور بها، بخلاف المعدّل فإنه إنما يشهد عن </w:t>
      </w:r>
      <w:bookmarkStart w:id="160" w:name="pg15033_241521"/>
    </w:p>
    <w:p>
      <w:pPr>
        <w:pStyle w:val="BookText"/>
        <w:rPr/>
      </w:pPr>
      <w:bookmarkEnd w:id="160"/>
      <w:r>
        <w:rPr>
          <w:rFonts w:ascii="Amiri" w:hAnsi="Amiri" w:eastAsia="Amiri" w:cs="Amiri"/>
          <w:color w:val="111111"/>
          <w:sz w:val="28"/>
          <w:sz w:val="28"/>
          <w:szCs w:val="28"/>
          <w:rtl w:val="true"/>
          <w:lang w:bidi="ar-SA"/>
        </w:rPr>
        <w:t>حدس، و الحدسيات مظنة الخطأ، فلا بد من ذكر السبب عند الحاكم كي يتضح خطأه من صوابه، فيعمل عليه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اللبس يقع في الجرح أيضا، فكثيرا ما ترى تفسيق جمع لشخص لأمر ليس قادحا في العدالة، كما سمعت من البداية التنبيه عليه، و الاخبار بالعدالة و إن كان ناشئا عن حدس، إلا أنه قد يكون الحدس الحاصل من أسبابه أقوى من الحس، و حينئذ فأما أن يعمل فيهما بقول الشاهد من غير تفسير لأصالتي الصحة و عدم الغفلة و الخطأ، و أما أن يطلب التفسير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الجرح كاف في إبطال الوثوق برواية المجروح و شهادته، و ليس مطلق التعديل كذلك، لتسارع الناس إلى البناء على الظاهر فيها، فلا بد من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بما مر من أن الجرح أيضا مما وقع الاختلاف في أسبابه، فكيف يكتفى بمطلقه في إبطال الاعتماد؟ مع أن التسارع إلى البناء على الجرح أغلب و أقرب إلى طباع الناس من العدالة، لعدم اجتنابهم كثيرا من الظن، مضافا إلى أن تسارع الناس على البناء على الظاهر في العدالة مبني على القول المهجور عند عامة متأخري أصحابنا، بل و أكثر متقدميهم أيضا، و هو كون العدالة عبارة عن حسن الظاهر، فلا تذهل</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16615_2142443653"/>
      <w:bookmarkStart w:id="162" w:name="_Toc61"/>
      <w:bookmarkEnd w:id="161"/>
      <w:r>
        <w:rPr>
          <w:rtl w:val="true"/>
        </w:rPr>
        <w:t>حجة القول الخامس</w:t>
      </w:r>
      <w:r>
        <w:rPr>
          <w:rtl w:val="true"/>
        </w:rPr>
        <w:t>:</w:t>
      </w:r>
      <w:bookmarkEnd w:id="16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الشق الأول؛ هي حجة القول الثاني، و على الشق </w:t>
      </w:r>
      <w:bookmarkStart w:id="163" w:name="pg15033_241522"/>
    </w:p>
    <w:p>
      <w:pPr>
        <w:pStyle w:val="BookText"/>
        <w:rPr/>
      </w:pPr>
      <w:bookmarkEnd w:id="163"/>
      <w:r>
        <w:rPr>
          <w:rFonts w:ascii="Amiri" w:hAnsi="Amiri" w:eastAsia="Amiri" w:cs="Amiri"/>
          <w:color w:val="111111"/>
          <w:sz w:val="28"/>
          <w:sz w:val="28"/>
          <w:szCs w:val="28"/>
          <w:rtl w:val="true"/>
          <w:lang w:bidi="ar-SA"/>
        </w:rPr>
        <w:t>الثاني؛ هي حجة القول الأول، بعد ضم ما ذكر في الجواب عن حجة الثاني إليهما، فإنّا قد ذكرنا أن غاية ما تفيده تلك الأدلة إنما هو اعتبار التفسير في شهادة من لا يعرف الأسباب و الخلافات فيها، و إلا فبعد معرفته بذلك تمنع عدالته من الشهادة بما يحتمل أن لا يكون كذلك عند المشهور عنده، لكون ذلك تدليسا و إغراء بالجهل، و هما قبيحان لا يصدران من العادل</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16617_2142443653"/>
      <w:bookmarkStart w:id="165" w:name="_Toc62"/>
      <w:bookmarkEnd w:id="164"/>
      <w:r>
        <w:rPr>
          <w:rtl w:val="true"/>
        </w:rPr>
        <w:t>حجة القول السادس</w:t>
      </w:r>
      <w:r>
        <w:rPr>
          <w:rtl w:val="true"/>
        </w:rPr>
        <w:t>:</w:t>
      </w:r>
      <w:bookmarkEnd w:id="165"/>
    </w:p>
    <w:p>
      <w:pPr>
        <w:pStyle w:val="BookText"/>
        <w:rPr/>
      </w:pPr>
      <w:r>
        <w:rPr>
          <w:rFonts w:ascii="Amiri" w:hAnsi="Amiri" w:eastAsia="Amiri" w:cs="Amiri"/>
          <w:color w:val="111111"/>
          <w:sz w:val="28"/>
          <w:sz w:val="28"/>
          <w:szCs w:val="28"/>
          <w:rtl w:val="true"/>
          <w:lang w:bidi="ar-SA"/>
        </w:rPr>
        <w:t>أما على كفاية الإطلاق عند فقد المخالفة بين الشاهد و الحاكم فحجة القول الثاني، و أما على اعتبار التفسير عند المخالفة فحجة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اعتبار التفسير في صورة المخالفة لا وجه له بعد منع عدالته من أن يشهد بما لا يدري موافقة الحاكم له فيه، فالقول الخامس أجود من هذا القول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16619_2142443653"/>
      <w:bookmarkStart w:id="167" w:name="_Toc63"/>
      <w:bookmarkEnd w:id="166"/>
      <w:r>
        <w:rPr>
          <w:rtl w:val="true"/>
        </w:rPr>
        <w:t>حجة القول السابع</w:t>
      </w:r>
      <w:r>
        <w:rPr>
          <w:rtl w:val="true"/>
        </w:rPr>
        <w:t>:</w:t>
      </w:r>
      <w:bookmarkEnd w:id="167"/>
    </w:p>
    <w:p>
      <w:pPr>
        <w:pStyle w:val="BookText"/>
        <w:rPr/>
      </w:pPr>
      <w:r>
        <w:rPr>
          <w:rFonts w:ascii="Amiri" w:hAnsi="Amiri" w:eastAsia="Amiri" w:cs="Amiri"/>
          <w:color w:val="111111"/>
          <w:sz w:val="28"/>
          <w:sz w:val="28"/>
          <w:szCs w:val="28"/>
          <w:rtl w:val="true"/>
          <w:lang w:bidi="ar-SA"/>
        </w:rPr>
        <w:t>إن المفهوم هو الذي وقع فيه الخلاف، و أما المصداق فإنما يحتمل فيه عدم صحة الشهادة من باب احتمال الخطأ، و أصالة عدم الغفلة و الخطأ تنفي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 أن الأقرب في المسألة هو القول الخامس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كنّا رجحنا في كتاب القضاء قولا ثامنا، و هو قبول الشهادة </w:t>
      </w:r>
      <w:bookmarkStart w:id="168" w:name="pg15033_241523"/>
    </w:p>
    <w:p>
      <w:pPr>
        <w:pStyle w:val="BookText"/>
        <w:rPr/>
      </w:pPr>
      <w:bookmarkEnd w:id="168"/>
      <w:r>
        <w:rPr>
          <w:rFonts w:ascii="Amiri" w:hAnsi="Amiri" w:eastAsia="Amiri" w:cs="Amiri"/>
          <w:color w:val="111111"/>
          <w:sz w:val="28"/>
          <w:sz w:val="28"/>
          <w:szCs w:val="28"/>
          <w:rtl w:val="true"/>
          <w:lang w:bidi="ar-SA"/>
        </w:rPr>
        <w:t>مطلقة إن كان اختلافهما في المصداق، و التفصيل في صورة الاختلاف في المفهوم بين العارف بالأسباب و الخلافات و غير العارف بالقبول مطلقة من الأول دون الثاني، و إنما عدلنا هنا إلى القول الخامس نظرا إلى أن إجراء أصالة عدم غفلته، و عدم خطئه في المصداق فرع معرفته بالأسباب و الخلافات</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حكي عنهم في التعلق في ذلك مشترك في الضعف، و أما أصحابنا فالذي يظهر من تتبع طريقتهم في الرواة هو الأخذ بالإطلاق، غير أنهم لا يعولون إلا على أرباب البصائر التامة في هذا الشأن دون من ضعف مقامه أو كثر خطاؤه إلا أن يذكر السبب، فيستنهضون السبب و يجعلونه راويا و يجتهدون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أشكل بأن مثل هذا تقليدا، و دفعه بما حاصله أن المجتهد يحرم عليه التقليد في الأحكام و هنا موضوع الحكم الشرعي، و الحكم هو الأخذ بخبر الواحد العدل، و أما تعرّف العدالة فالناس في الاجتهاد فيه شرع سواء، و لا يختص بالعلماء، و أقصى ما يشترط الوثاقة لمكان الأخبار، فالأقوى الأخذ بإطلاقه من ذي البصيرة مع عدم العلم بالمخالفة، و فيه ما لا يخفى و سيأتي بيانه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للأقوال و أدلتها مما لم يسبقه أحد من الفريقين مما نعلم، و قد استدركت بقية الأقوال و الأدلة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16621_2142443653"/>
      <w:bookmarkStart w:id="170" w:name="_Toc64"/>
      <w:bookmarkEnd w:id="169"/>
      <w:r>
        <w:rPr>
          <w:rtl w:val="true"/>
        </w:rPr>
        <w:t>تنبيهان</w:t>
      </w:r>
      <w:r>
        <w:rPr>
          <w:rtl w:val="true"/>
        </w:rPr>
        <w:t>:</w:t>
      </w:r>
      <w:bookmarkEnd w:id="170"/>
    </w:p>
    <w:p>
      <w:pPr>
        <w:pStyle w:val="Heading5"/>
        <w:numPr>
          <w:ilvl w:val="4"/>
          <w:numId w:val="1"/>
        </w:numPr>
        <w:rPr/>
      </w:pPr>
      <w:bookmarkStart w:id="171" w:name="__RefHeading___Toc316623_2142443653"/>
      <w:bookmarkStart w:id="172" w:name="_Toc65"/>
      <w:bookmarkEnd w:id="171"/>
      <w:r>
        <w:rPr>
          <w:rtl w:val="true"/>
        </w:rPr>
        <w:t>الاول</w:t>
      </w:r>
      <w:r>
        <w:rPr>
          <w:rtl w:val="true"/>
        </w:rPr>
        <w:t xml:space="preserve">: </w:t>
      </w:r>
      <w:r>
        <w:rPr>
          <w:rtl w:val="true"/>
        </w:rPr>
        <w:t>الجرح المجمل من ائمة الفن لا أثر له</w:t>
      </w:r>
      <w:bookmarkEnd w:id="17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حكى بعض العامة</w:t>
      </w:r>
      <w:r>
        <w:rPr>
          <w:rStyle w:val="FootnoteAnchor"/>
          <w:rtl w:val="true"/>
        </w:rPr>
        <w:footnoteReference w:id="229"/>
      </w:r>
      <w:r>
        <w:rPr>
          <w:rFonts w:ascii="Amiri" w:hAnsi="Amiri" w:eastAsia="Amiri" w:cs="Amiri"/>
          <w:color w:val="111111"/>
          <w:sz w:val="28"/>
          <w:sz w:val="28"/>
          <w:szCs w:val="28"/>
          <w:rtl w:val="true"/>
          <w:lang w:bidi="ar-SA"/>
        </w:rPr>
        <w:t xml:space="preserve">عن شيخ الإسلام منهم قولا زعمه الحاكي خارجا عن أقوال المسألة و حسّنه، و هو أنه إن كان من جرح مجملا و قد وثّقه أحد من أئمة الفن لم يقبل الجرح فيه من </w:t>
      </w:r>
      <w:bookmarkStart w:id="173" w:name="pg15033_241524"/>
    </w:p>
    <w:p>
      <w:pPr>
        <w:pStyle w:val="BookText"/>
        <w:rPr/>
      </w:pPr>
      <w:bookmarkEnd w:id="173"/>
      <w:r>
        <w:rPr>
          <w:rFonts w:ascii="Amiri" w:hAnsi="Amiri" w:eastAsia="Amiri" w:cs="Amiri"/>
          <w:color w:val="111111"/>
          <w:sz w:val="28"/>
          <w:sz w:val="28"/>
          <w:szCs w:val="28"/>
          <w:rtl w:val="true"/>
          <w:lang w:bidi="ar-SA"/>
        </w:rPr>
        <w:t>أحد كائنا من كان إلا مفسرا، لأنه قد تثبت</w:t>
      </w:r>
      <w:r>
        <w:rPr>
          <w:rStyle w:val="FootnoteAnchor"/>
          <w:rtl w:val="true"/>
        </w:rPr>
        <w:footnoteReference w:id="230"/>
      </w:r>
      <w:r>
        <w:rPr>
          <w:rFonts w:ascii="Amiri" w:hAnsi="Amiri" w:eastAsia="Amiri" w:cs="Amiri"/>
          <w:color w:val="111111"/>
          <w:sz w:val="28"/>
          <w:sz w:val="28"/>
          <w:szCs w:val="28"/>
          <w:rtl w:val="true"/>
          <w:lang w:bidi="ar-SA"/>
        </w:rPr>
        <w:t>له رتبة الثقة، فلا يزحزح عنها إلا بأمر جلي، فإن أئمة هذا الفن لا يوثّقون إلا من اعتبروا حاله في دينه، ثم في حديثه و نقدره كما ينبغي، و هم أيقظ الناس، فلا ينقض حكم أحدهم إلا بأمر صريح، و إن خلا عن التعديل قبل الجرح فيه غير مفسر إذا صدر من عارف، لأنه إذا لم يعدّل فهو في حيز المجهول، و إعمال قول الجارح</w:t>
      </w:r>
      <w:r>
        <w:rPr>
          <w:rStyle w:val="FootnoteAnchor"/>
          <w:rtl w:val="true"/>
        </w:rPr>
        <w:footnoteReference w:id="231"/>
      </w:r>
      <w:r>
        <w:rPr>
          <w:rFonts w:ascii="Amiri" w:hAnsi="Amiri" w:eastAsia="Amiri" w:cs="Amiri"/>
          <w:color w:val="111111"/>
          <w:sz w:val="28"/>
          <w:sz w:val="28"/>
          <w:szCs w:val="28"/>
          <w:rtl w:val="true"/>
          <w:lang w:bidi="ar-SA"/>
        </w:rPr>
        <w:t>فيه أولى من 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أولوية إعمال قول الجارح في حق المجهول من إهماله إذا لم يحرز معرفته بالأسباب و الاختلافات كما مرّ، فالقول الخامس هو الأظهر</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16625_2142443653"/>
      <w:bookmarkStart w:id="175" w:name="_Toc66"/>
      <w:bookmarkEnd w:id="174"/>
      <w:r>
        <w:rPr>
          <w:rtl w:val="true"/>
        </w:rPr>
        <w:t>الثاني</w:t>
      </w:r>
      <w:r>
        <w:rPr>
          <w:rtl w:val="true"/>
        </w:rPr>
        <w:t xml:space="preserve">: </w:t>
      </w:r>
      <w:r>
        <w:rPr>
          <w:rtl w:val="true"/>
        </w:rPr>
        <w:t>الاشكالات الواردة في المقام</w:t>
      </w:r>
      <w:bookmarkEnd w:id="17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يورد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وقع تقريره من وجهين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جمع منهم</w:t>
      </w:r>
      <w:r>
        <w:rPr>
          <w:rStyle w:val="FootnoteAnchor"/>
          <w:rtl w:val="true"/>
        </w:rPr>
        <w:footnoteReference w:id="233"/>
      </w:r>
      <w:r>
        <w:rPr>
          <w:rFonts w:ascii="Amiri" w:hAnsi="Amiri" w:eastAsia="Amiri" w:cs="Amiri"/>
          <w:color w:val="111111"/>
          <w:sz w:val="28"/>
          <w:sz w:val="28"/>
          <w:szCs w:val="28"/>
          <w:rtl w:val="true"/>
          <w:lang w:bidi="ar-SA"/>
        </w:rPr>
        <w:t xml:space="preserve">، و قد 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جوابه الصادر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أنه يرد على المذهب المشهور من اعتبار التفصيل</w:t>
      </w:r>
      <w:r>
        <w:rPr>
          <w:rStyle w:val="FootnoteAnchor"/>
          <w:rtl w:val="true"/>
        </w:rPr>
        <w:footnoteReference w:id="234"/>
      </w:r>
      <w:r>
        <w:rPr>
          <w:rFonts w:ascii="Amiri" w:hAnsi="Amiri" w:eastAsia="Amiri" w:cs="Amiri"/>
          <w:color w:val="111111"/>
          <w:sz w:val="28"/>
          <w:sz w:val="28"/>
          <w:szCs w:val="28"/>
          <w:rtl w:val="true"/>
          <w:lang w:bidi="ar-SA"/>
        </w:rPr>
        <w:t>في الجرح إشكال مشهور، من حيث إن اعتماد الناس اليوم في الجرح و التعديل على الكتب المصنفة فيهما، و قلّ ما يتعرضون فيها لبيان السبب، بل يقصرون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ضعيف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بيان السبب يفضي إلى تعطيل ذلك، و سد باب الجرح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أطلقه الجارحون في كتبهم من غير بيان سببه، و إن لم يقتض الجرح على مذهب من يعتبر التفسير، لكن يوجب الريبة القوية في المجروح كذلك، المفضية إلى ترك الحديث الذي يرويه، فيتوقف عند</w:t>
      </w:r>
      <w:r>
        <w:rPr>
          <w:rStyle w:val="FootnoteAnchor"/>
          <w:rtl w:val="true"/>
        </w:rPr>
        <w:footnoteReference w:id="235"/>
      </w:r>
      <w:r>
        <w:rPr>
          <w:rFonts w:ascii="Amiri" w:hAnsi="Amiri" w:eastAsia="Amiri" w:cs="Amiri"/>
          <w:color w:val="111111"/>
          <w:sz w:val="28"/>
          <w:sz w:val="28"/>
          <w:szCs w:val="28"/>
          <w:rtl w:val="true"/>
          <w:lang w:bidi="ar-SA"/>
        </w:rPr>
        <w:t>قبول حديثه إلى أن تثبت العدالة، أو يتبين زوال موجب الجرح، و من انزاحت عنه تلك الريبة بحثنا عن حاله بحثا أوجب الثقة بعدالته فقبلنا روايته، و لم نتوقف، أو عدمها فنترك خبره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آخرون، و هو أن مذاهب علماء الرجال غير معلومة لنا الآن، فكيف نعلم موافقتهم لما هو مختارنا في العدالة، حتى يرجع إلى تعديلهم؟ إذ هم يطلقون العدالة و الجرح و لا نعلم سببه عندهم، بل نرى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تعديله على تعديل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مع أنا نعلم مخالفتهما في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أجيب عنه بما توضيحه ما في قوانين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أن يكون تعديلهم على وفق مذهبهم خاصة، مع كونهم عارفين بالاختلاف و تفاوت المذاهب، مع أن تأليفهم إنما هو للمجتهدين و أرباب النظر لا لمقلديهم في زمانهم، إذ لا يحتاج المقلد إلى معرفة الرجال، و الظاهر أن المصنف لمثل هذه الكتب لا يريد اختصاص مجتهدي زمانه به،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صنفه للعارفين بطريقته، سيما و طريقة أهل العصر من العلماء عدم الرجوع إلى كتب معاصريهم من جهة الاستناد غالبا، و إنما تنفع المصنفات بعد موت مصنفه غالبا، و سيما إذا تباعد الزمان، فعمدة مقاصدهم في تأليف هذه الكتب بقاؤها أبد الدهر، و انتفاع من سيجيء بعدهم منها</w:t>
      </w:r>
      <w:r>
        <w:rPr>
          <w:rStyle w:val="FootnoteAnchor"/>
          <w:rtl w:val="true"/>
        </w:rPr>
        <w:footnoteReference w:id="237"/>
      </w:r>
      <w:r>
        <w:rPr>
          <w:rFonts w:ascii="Amiri" w:hAnsi="Amiri" w:eastAsia="Amiri" w:cs="Amiri"/>
          <w:color w:val="111111"/>
          <w:sz w:val="28"/>
          <w:sz w:val="28"/>
          <w:szCs w:val="28"/>
          <w:rtl w:val="true"/>
          <w:lang w:bidi="ar-SA"/>
        </w:rPr>
        <w:t>، فإذا لوحظ هذا المعنى منضما إلى عدالة المصنفين و ورعهم و تقواهم و فطانتهم و حذقهم</w:t>
      </w:r>
      <w:r>
        <w:rPr>
          <w:rStyle w:val="FootnoteAnchor"/>
          <w:rtl w:val="true"/>
        </w:rPr>
        <w:footnoteReference w:id="238"/>
      </w:r>
      <w:r>
        <w:rPr>
          <w:rFonts w:ascii="Amiri" w:hAnsi="Amiri" w:eastAsia="Amiri" w:cs="Amiri"/>
          <w:color w:val="111111"/>
          <w:sz w:val="28"/>
          <w:sz w:val="28"/>
          <w:szCs w:val="28"/>
          <w:rtl w:val="true"/>
          <w:lang w:bidi="ar-SA"/>
        </w:rPr>
        <w:t>، يظهر أنهم أرادوا بما ذكروا من العدالة المعنى الذي هو مسلّم الكل، حتى ينتفع الكل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الغفلة للمؤلف عن هذا المعنى حين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تمادي زمان التأليف و الانتفاع به في حياته</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و خصوصا من مثل هؤلاء الفحول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معارض بأن إرادة المعنى الأعلى و إن كان مستلزما لتعميم النفع، و لكنه مفوت لفائدة أخرى، و هي أنه قد يكون مذهب المجتهدين اللاحقين أن العدالة هو المعنى الأدنى، فلا يعلم حينئذ هل كان الراوي متصفا بهذا المعنى أم لا؟ فلو لم يسقط المؤلف اعتبار هذا المقدار لكان النفع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النفع بالنسبة إلى الأول أقلّ، لمهجورية القول بكون العدالة هو ظاهر الإسلام عند المتأخرين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نراهم كثيرا ما يمدحون الرجل بمدائح كثيرة توجب العدالة، بمعنى حسن الظاهر، بل و أكثر منه، و مع ذلك لا يصرحون بعدالتهم، بل امتنعوا من تعديل أشخاص لا ينبغي الريب في عدالتهم، كإبراهيم بن هاشم و غيره، و اقتصروا على بيان مدائحه، فمن لحق بهؤلاء و ليس مذهبه في العدالة هو المعنى الأعلى فليأخذ بمقتضى هذا المدح، و يجعله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أعظم الشواهد على أنهم أرادوا بالعدالة المعنى الأعلى، فهم لاحظوا الأطراف، و أخذوا بمجامع النفع، سيما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يحتمل مجرد ظهور الإسلام مع عدم ظهور الفسق كما هو واضح، بل الظاهر أنه ليس مجرد حسن الظاهر أيضا، فإن الوثوق غالبا لا يحصل إلا مع اعتبار الملكة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أن العلماء اكتفوا بمجرد التعديل، و لم يتأملوا من هذه الجهة، </w:t>
      </w:r>
    </w:p>
    <w:p>
      <w:pPr>
        <w:pStyle w:val="BookText"/>
        <w:rPr/>
      </w:pPr>
      <w:r>
        <w:rPr>
          <w:rFonts w:ascii="Amiri" w:hAnsi="Amiri" w:eastAsia="Amiri" w:cs="Amiri"/>
          <w:color w:val="111111"/>
          <w:sz w:val="28"/>
          <w:sz w:val="28"/>
          <w:szCs w:val="28"/>
          <w:rtl w:val="true"/>
          <w:lang w:bidi="ar-SA"/>
        </w:rPr>
        <w:t>و لم يحصل لهم تشكيك من هذه الجهة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هذا التقرير أولى من التقرير الأول، لأن هذا رافع للإشكال بتقريرية، بخلاف ذاك، فإنه ينحل إلى الالتزام بالإشكال لأن التوقف في حال من نص عليه بجرح من دون ذكر سببه نوع قبول للجرح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عدم رفع هذا الجواب للإشكال الأول، و إن الإشكالين لا يرجعان إلى إشكال واحد، لأن الأول ناظر إلى حيث الجرح، و الثاني ناظر إلى حيث التعديل، و من لاحظ كتب الرجال و أمعن النظر في أحوال أهل الحديث بأن له نهاية تدقيقهم في أمر العدالة، و عدم توثيقهم إلا من هو ثقة على المذاهب، و اكتفائهم في أمر الجرح بمجرد ما يكون موهنا، أ لا ترى إلى إخراج القميين عدّة من أجلاء الرواة من قم لأمور جزئية غير موجبة للفسق؟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الاكتفاء في أمر العدالة على التوثيقات الموجودة في كتب الرجال</w:t>
      </w:r>
      <w:r>
        <w:rPr>
          <w:rStyle w:val="FootnoteAnchor"/>
          <w:rtl w:val="true"/>
        </w:rPr>
        <w:footnoteReference w:id="242"/>
      </w:r>
      <w:r>
        <w:rPr>
          <w:rFonts w:ascii="Amiri" w:hAnsi="Amiri" w:eastAsia="Amiri" w:cs="Amiri"/>
          <w:color w:val="111111"/>
          <w:sz w:val="28"/>
          <w:sz w:val="28"/>
          <w:szCs w:val="28"/>
          <w:rtl w:val="true"/>
          <w:lang w:bidi="ar-SA"/>
        </w:rPr>
        <w:t xml:space="preserve">، لما عرفت من مداقتهم في ذلك، الكاشفة عن إرادتهم الوثاقة المتفق عليها، و عدم الاكتفاء في أمر الجرح إلا بالتضعيف المبين سببه، بمعنى </w:t>
      </w:r>
    </w:p>
    <w:p>
      <w:pPr>
        <w:pStyle w:val="BookText"/>
        <w:rPr/>
      </w:pPr>
      <w:r>
        <w:rPr>
          <w:rFonts w:ascii="Amiri" w:hAnsi="Amiri" w:eastAsia="Amiri" w:cs="Amiri"/>
          <w:color w:val="111111"/>
          <w:sz w:val="28"/>
          <w:sz w:val="28"/>
          <w:szCs w:val="28"/>
          <w:rtl w:val="true"/>
          <w:lang w:bidi="ar-SA"/>
        </w:rPr>
        <w:t xml:space="preserve">التوقف عند الجرح المطلق و الفحص و البحث إلى أن يحصل الاطمئنان بضعفه فيردّ خبره، أو بوثاقته فيقبل حديثه، لأن المبادرة إلى ردّ خبر كل من ضعّفوه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ترى من مسامحتهم في أمر الضعف و مبادرتهم إلى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يؤدي إلى رد خبر منحصر فيه الوقوف على الحكم الشرعي مع وثاقة راويه في الواقع، فعليك بالجدّ و الجهد في ذلك، فإنه من موارد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هنا محذور الأخذ بقول الفاسق الجعّال، و الفتوى بما يخالف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محذور ترك الحديث الصادر من مصدر الشرع، و الرجوع إلى الأصل المحتمل مخالفته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وفقنا اللّه تعالى و إياك لنيل الصواب، بمحمد و آله الأطياب، عليهم صلوات اللّه الملك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يجوز التعويل على توثيق الموثقين مع العلم بعدم ملاقاتهم للموثقين، مع أنه إن كانت التزكية رواية فالجرح و التعديل من النجاشي و أضرابه ممن لم يلق الراوي رواية مرسلة منقطعة معضلة، للعلم بسقوط الواسطة، و ظهورات</w:t>
      </w:r>
      <w:r>
        <w:rPr>
          <w:rStyle w:val="FootnoteAnchor"/>
          <w:rtl w:val="true"/>
        </w:rPr>
        <w:footnoteReference w:id="244"/>
      </w:r>
      <w:r>
        <w:rPr>
          <w:rFonts w:ascii="Amiri" w:hAnsi="Amiri" w:eastAsia="Amiri" w:cs="Amiri"/>
          <w:color w:val="111111"/>
          <w:sz w:val="28"/>
          <w:sz w:val="28"/>
          <w:szCs w:val="28"/>
          <w:rtl w:val="true"/>
          <w:lang w:bidi="ar-SA"/>
        </w:rPr>
        <w:t>الواسطة ثقة عنده و من بعد الأول ثقة عند الأول، و من بعد الثاني ثقة عند الثاني،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لا يجدي نفعا، ضرورة أن الوثاقة عنده لا تستلزم الوثاقة عند غيره، و إن كانت التزكية شهادة؟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تعدد الشاهد على توثيق كل طبقة، و هو غير </w:t>
      </w:r>
    </w:p>
    <w:p>
      <w:pPr>
        <w:pStyle w:val="BookText"/>
        <w:rPr/>
      </w:pPr>
      <w:r>
        <w:rPr>
          <w:rFonts w:ascii="Amiri" w:hAnsi="Amiri" w:eastAsia="Amiri" w:cs="Amiri"/>
          <w:color w:val="111111"/>
          <w:sz w:val="28"/>
          <w:sz w:val="28"/>
          <w:szCs w:val="28"/>
          <w:rtl w:val="true"/>
          <w:lang w:bidi="ar-SA"/>
        </w:rPr>
        <w:t>معلوم، لاحتمال أن يكون الواسطة في توثيق النجاشي لزرارة مثلا غير الواسطة في توثيق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فرع الفرع غير مسموعة، فحاصل الكلام عدم قبول الجرح و التعديل من النجاشي و الشيخ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أضرابهما إلا فيمن لقوه، أو كانت الواسطة واحدا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أو الظن بالعدالة المعتبرين في جواز الشهادة بها لا يشترط أن يكونا حاصلين من معاشرة الرجل و ملاقاته، بل يكفيان و إن حصلا من إمارات خارجية تحصل غالبا في الأزمنة القريبة من عصر الراوي، كزمان الكشي و النجاشي و أضرابهما، بل لا يبعد حصولها في أمثال زماننا أيضا، لكن لا يخفى الفرق بينه و بين الحاصل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التزكية رواية، و الإرسال غير قادح هنا، للإجماع على تصحيح التوثيق على مذهب الجميع، و حمل التزكية على ما زعمه من العدالة ينافي ثمرة التزكية، فقرينة المقام تقضي بتزكية كل طبقة للأخرى، و قد تقدم اختلاف المقام بالنظر إلى ظهور الأخبار عن الاجتهاد و الرأي، و الأخبار عن الأمر الواقعي، و لا ريب أن مقام التوثيق مما يظهر منه الثاني، و إن سلمنا كون التزكية شهادة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عدم قبول شهادة فرع الفرع في المقام، </w:t>
      </w:r>
    </w:p>
    <w:p>
      <w:pPr>
        <w:pStyle w:val="BookText"/>
        <w:rPr/>
      </w:pPr>
      <w:r>
        <w:rPr>
          <w:rFonts w:ascii="Amiri" w:hAnsi="Amiri" w:eastAsia="Amiri" w:cs="Amiri"/>
          <w:color w:val="111111"/>
          <w:sz w:val="28"/>
          <w:sz w:val="28"/>
          <w:szCs w:val="28"/>
          <w:rtl w:val="true"/>
          <w:lang w:bidi="ar-SA"/>
        </w:rPr>
        <w:t xml:space="preserve">بل مقتضى دليل حجية البينة عموم حجيتها في المقام و غيره، فالذي خرج بالدليل شهادة فرع الفرع في إثبات الحقوق و نحو ذلك من المخاصمات التي تظهر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هو حجية نفس البينة المعلوم حصولها إلا ما أثبتته البينة، فشهادة الفرع خارجة عن ذلك، فضلا عن شهادة فرع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 دليل آخر على اعتبار شهادة الفرع و لا ينافي ذلك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التي هي من أدوات الحصر على المشهور، إذ الدليل الدال على اعتبار شهادة الفرع كالقرينة على أن المراد بالبينات أعم مما علم حصوله أو أثبتته البينة،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يحكم باتفاق زمان الوثاقة و زمان الرواية مع العلم بأن كل راو له حالة خالية عن ملكة العدالة، مع أنّا لم نر للموثقين تحديدا و تاريخا للوثاقة، و لا من الرواة تاريخا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سبق فسقه على زمان عدالته و كانت روايته في زمان العدالة، فواضح أنه كاف، لأن المدار على العدالة زمان الرواية، و إن سبق فسقه و كانت روايته حال فسقه، فسكوته في زمان عدالته بعد ذلك عن الأخبار بأن روايته حال فسقه لم تكن صحيحة </w:t>
      </w:r>
    </w:p>
    <w:p>
      <w:pPr>
        <w:pStyle w:val="BookText"/>
        <w:rPr/>
      </w:pPr>
      <w:r>
        <w:rPr>
          <w:rFonts w:ascii="Amiri" w:hAnsi="Amiri" w:eastAsia="Amiri" w:cs="Amiri"/>
          <w:color w:val="111111"/>
          <w:sz w:val="28"/>
          <w:sz w:val="28"/>
          <w:szCs w:val="28"/>
          <w:rtl w:val="true"/>
          <w:lang w:bidi="ar-SA"/>
        </w:rPr>
        <w:t>كاف في ترتب آثار خبر العدل على خبره</w:t>
      </w:r>
      <w:r>
        <w:rPr>
          <w:rStyle w:val="FootnoteAnchor"/>
          <w:rtl w:val="true"/>
        </w:rPr>
        <w:footnoteReference w:id="247"/>
      </w:r>
      <w:r>
        <w:rPr>
          <w:rFonts w:ascii="Amiri" w:hAnsi="Amiri" w:eastAsia="Amiri" w:cs="Amiri"/>
          <w:color w:val="111111"/>
          <w:sz w:val="28"/>
          <w:sz w:val="28"/>
          <w:szCs w:val="28"/>
          <w:rtl w:val="true"/>
          <w:lang w:bidi="ar-SA"/>
        </w:rPr>
        <w:t>و إن سبقت عدالته على فسقه، كشف تعديل علماء الرجال له عن إحرازهم وقوع رواياته في حال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التزكية له هو التوثيق بعد كونه راويا، و إن سبق له زمان لم يكن موثوقا به، فتوثيقهم كاشف عن وثاقته في زمان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ردّ الإشكال في ترجيح الجارح على المعدّل بعد ظهور كليهما في بيان صفة الراوي و عدم ظهور الجرح في تأخره أو في كونه إخبارا عن الجرح في زمان التوثيق،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الجرح مقدم على التوثيق، لأن الجارح يخبر عن أمر خفي على المعدّل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ثمرة تقديم الجارح على المعدل لا تظهر إلا بعد معرفة اتفاق زمان الجرح و التعديل و زمان الرواية، و إلا فلا يكاد شخص غير معصوم يخلو عن العلم بخلوه عن الملكة في بعض الأزمنة، فإن كان الجرح إخبارا عن عدم الملكة في زمان، فالعلم به حاصل قبل الاخبار عنه، و إن كان عدم قبول رواية المجروح للشبهة المحصورة، فالشبهة حاصلة قبل الاخبار بالجرح أيضا، فينبغي أن لا يسمع قول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يكون في سماعه ثمرة إلا إذا تشخص زمان الوثاقة و الرواية أو كان زمان الجرح معينا، فيحكم بتأخر زمان الرواية و التعديل عن زمان الجرح، فإن ظهر أيضا صدور الرواية بعد فرض </w:t>
      </w:r>
    </w:p>
    <w:p>
      <w:pPr>
        <w:pStyle w:val="BookText"/>
        <w:rPr/>
      </w:pPr>
      <w:r>
        <w:rPr>
          <w:rFonts w:ascii="Amiri" w:hAnsi="Amiri" w:eastAsia="Amiri" w:cs="Amiri"/>
          <w:color w:val="111111"/>
          <w:sz w:val="28"/>
          <w:sz w:val="28"/>
          <w:szCs w:val="28"/>
          <w:rtl w:val="true"/>
          <w:lang w:bidi="ar-SA"/>
        </w:rPr>
        <w:t>تحقق العدالة صحت الرواية، لكن ترى الأصحاب من السلف إلى الخلف يجرحون بمجرد وجود الجارح، و يقدمونه على المعدّل، و حيث خلا رجل عن الجرح حكموا بصحة التوثيق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فيه ما ذكرناه من أن التوثيق ظاهر في الوثاقة بعد صيرورته راويا، و هو لا ينافي العلم بوجود حالة للرجل قد خلت عن العدالة، بخلاف ما لو كان هناك جرح، فإن الجرح أيضا ظاهر في الاخبار عن جرح الراوي، لا من لم يصدر منه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الجرح و التعديل ظاهران في الاخبار عن الأمرين بعد صدور الرواية، فيخرج تلك الرواية التي اعتبر تقدمها، فتشتبه بغيرها، فيخرج الباقي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أنهما ظاهران في أن الراوي حال روايته موثق أو مجروح، فيقدم الجرح على التعديل، لما ذكروه من أن الجارح يخبر عن أمر خفي على المعدّل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بالنّقض بما لو أخبر المعدل بوجود ملكة مانعة عن صدور ما يخبر عنه الجارح، فيكون كلاهما أمرين وجوديين لا ترجيح في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الخطأ في التّعديل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بعض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احتماله في الجرح، فيقدّم الجرح حيث لا مرجّح في جانب التّعديل، و بالحمل على أنّ الجارح يخبر زيادة على ملكة الفسق بوجود أمر خارجي مناف للأصل،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الجرح عدل واحد أيضا، و من اعتبر التعدّد في التّعديل اعتبر هنا أيضا، لاتحاد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يوافق </w:t>
      </w:r>
    </w:p>
    <w:p>
      <w:pPr>
        <w:pStyle w:val="BookText"/>
        <w:rPr/>
      </w:pPr>
      <w:r>
        <w:rPr>
          <w:rFonts w:ascii="Amiri" w:hAnsi="Amiri" w:eastAsia="Amiri" w:cs="Amiri"/>
          <w:color w:val="111111"/>
          <w:sz w:val="28"/>
          <w:sz w:val="28"/>
          <w:szCs w:val="28"/>
          <w:rtl w:val="true"/>
          <w:lang w:bidi="ar-SA"/>
        </w:rPr>
        <w:t>المشهور في الجرح دون التّعديل، لقوّة الجرح، و موافقة لازمة للأصل، فيكفي فيه الواحد،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معنى العدالة خلافا معروفا، فلعلّ بناء المزكّي فيها على الدّرجة النّازلة، فكيف يجوز الاعتماد على تزكيته لمن لم يوافقه في المسلك؟ فما لم يعلم الموافقة في المسلك لا يجوز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وضع كتب الرجال لرجوع من بعدهم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باختلاف المسالك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إرادتهم بالتّوثيق فيها الدّرجة العليا، و إلاّ لكان تدليسا يحاشون منه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كثيرة كانوا غير إماميّين في أول الأمر، ثمّ رجعوا و تابوا و حسنت عقيدتهم، كحسين بن بشار و عليّ بن أسباط</w:t>
      </w:r>
      <w:r>
        <w:rPr>
          <w:rStyle w:val="FootnoteAnchor"/>
          <w:rtl w:val="true"/>
        </w:rPr>
        <w:footnoteReference w:id="248"/>
      </w:r>
      <w:r>
        <w:rPr>
          <w:rFonts w:ascii="Amiri" w:hAnsi="Amiri" w:eastAsia="Amiri" w:cs="Amiri"/>
          <w:color w:val="111111"/>
          <w:sz w:val="28"/>
          <w:sz w:val="28"/>
          <w:szCs w:val="28"/>
          <w:rtl w:val="true"/>
          <w:lang w:bidi="ar-SA"/>
        </w:rPr>
        <w:t>و غيرهما، و جماعة أخرى كانوا إماميّين على الحق ثمّ توقّفوا و وقفوا في ضلال مبين، مثل عليّ بن رياح</w:t>
      </w:r>
      <w:r>
        <w:rPr>
          <w:rStyle w:val="FootnoteAnchor"/>
          <w:rtl w:val="true"/>
        </w:rPr>
        <w:footnoteReference w:id="249"/>
      </w:r>
      <w:r>
        <w:rPr>
          <w:rFonts w:ascii="Amiri" w:hAnsi="Amiri" w:eastAsia="Amiri" w:cs="Amiri"/>
          <w:color w:val="111111"/>
          <w:sz w:val="28"/>
          <w:sz w:val="28"/>
          <w:szCs w:val="28"/>
          <w:rtl w:val="true"/>
          <w:lang w:bidi="ar-SA"/>
        </w:rPr>
        <w:t>و عليّ بن أبي حمزة</w:t>
      </w:r>
      <w:r>
        <w:rPr>
          <w:rStyle w:val="FootnoteAnchor"/>
          <w:rtl w:val="true"/>
        </w:rPr>
        <w:footnoteReference w:id="250"/>
      </w:r>
      <w:r>
        <w:rPr>
          <w:rFonts w:ascii="Amiri" w:hAnsi="Amiri" w:eastAsia="Amiri" w:cs="Amiri"/>
          <w:color w:val="111111"/>
          <w:sz w:val="28"/>
          <w:sz w:val="28"/>
          <w:szCs w:val="28"/>
          <w:rtl w:val="true"/>
          <w:lang w:bidi="ar-SA"/>
        </w:rPr>
        <w:t>و نحوهما، و قد ورد توثيق القبيلتين من أئمّة الرّجال، فكيف يعمل بروايتهم للتّوثيق، مع الجهل بالتّاريخ؟ و أصالة تأخّر الحادث غير مجدية، لا لكونها أصلا مثبتا، كما صدر من المحقّق الكاظمي</w:t>
      </w:r>
      <w:r>
        <w:rPr>
          <w:rStyle w:val="FootnoteAnchor"/>
          <w:rtl w:val="true"/>
        </w:rPr>
        <w:footnoteReference w:id="251"/>
      </w:r>
      <w:r>
        <w:rPr>
          <w:rFonts w:ascii="Amiri" w:hAnsi="Amiri" w:eastAsia="Amiri" w:cs="Amiri"/>
          <w:color w:val="111111"/>
          <w:sz w:val="28"/>
          <w:sz w:val="28"/>
          <w:szCs w:val="28"/>
          <w:rtl w:val="true"/>
          <w:lang w:bidi="ar-SA"/>
        </w:rPr>
        <w:t>،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الأصول المثبتة إنّما لا تعتبر في الأحكام من حيث عدم كون بيان العقليات و العاديات وظيفة الشارع، و أما في الموضوعات فلا مانع من حجيتها، بل لأنها معارضة بالمثل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فاسد المذهب ثم رجع إلى الحق يؤخذ برواياته مطلقا، لأن سكوته بعد رجوعه إلى الحق عن روايات حال اعوجاجه تكشف بمقتضى عدالته عن صدقه فيها</w:t>
      </w:r>
      <w:r>
        <w:rPr>
          <w:rStyle w:val="FootnoteAnchor"/>
          <w:rtl w:val="true"/>
        </w:rPr>
        <w:footnoteReference w:id="252"/>
      </w:r>
      <w:r>
        <w:rPr>
          <w:rFonts w:ascii="Amiri" w:hAnsi="Amiri" w:eastAsia="Amiri" w:cs="Amiri"/>
          <w:color w:val="111111"/>
          <w:sz w:val="28"/>
          <w:sz w:val="28"/>
          <w:szCs w:val="28"/>
          <w:rtl w:val="true"/>
          <w:lang w:bidi="ar-SA"/>
        </w:rPr>
        <w:t>و من رجع من الحق إلى المذهب الفاسد لا يؤخذ من رواياته إلا بما علم أو ظن بصدور الرواية منه حال الاستقامة، و مجرد توثيق أئمة الرجال له لا يدلّ على الأخذ برواياته مطلقا، مع تنبيههم على حاله</w:t>
      </w:r>
      <w:r>
        <w:rPr>
          <w:rStyle w:val="FootnoteAnchor"/>
          <w:rtl w:val="true"/>
        </w:rPr>
        <w:footnoteReference w:id="253"/>
      </w:r>
      <w:r>
        <w:rPr>
          <w:rFonts w:ascii="Amiri" w:hAnsi="Amiri" w:eastAsia="Amiri" w:cs="Amiri"/>
          <w:color w:val="111111"/>
          <w:sz w:val="28"/>
          <w:sz w:val="28"/>
          <w:szCs w:val="28"/>
          <w:rtl w:val="true"/>
          <w:lang w:bidi="ar-SA"/>
        </w:rPr>
        <w:t>، مضافا إلى أن الرجوع إلى الوقف و نحوه من المذاهب الفاسدة لا يقدح في حجية خبره و اعتباره، ما لم يؤد إلى الكفر، غاية الأمر كون روايته موثقة لا صحيحة، و مما يكشف عن صدور روايات الراجع عن الحق في زمان استقامته إجماعهم على العمل برواياته، كما في الحسين بن بشار</w:t>
      </w:r>
      <w:r>
        <w:rPr>
          <w:rStyle w:val="FootnoteAnchor"/>
          <w:rtl w:val="true"/>
        </w:rPr>
        <w:footnoteReference w:id="254"/>
      </w:r>
      <w:r>
        <w:rPr>
          <w:rFonts w:ascii="Amiri" w:hAnsi="Amiri" w:eastAsia="Amiri" w:cs="Amiri"/>
          <w:color w:val="111111"/>
          <w:sz w:val="28"/>
          <w:sz w:val="28"/>
          <w:szCs w:val="28"/>
          <w:rtl w:val="true"/>
          <w:lang w:bidi="ar-SA"/>
        </w:rPr>
        <w:t>و علي بن محمد بن رياح</w:t>
      </w:r>
      <w:r>
        <w:rPr>
          <w:rStyle w:val="FootnoteAnchor"/>
          <w:rtl w:val="true"/>
        </w:rPr>
        <w:footnoteReference w:id="255"/>
      </w:r>
      <w:r>
        <w:rPr>
          <w:rFonts w:ascii="Amiri" w:hAnsi="Amiri" w:eastAsia="Amiri" w:cs="Amiri"/>
          <w:color w:val="111111"/>
          <w:sz w:val="28"/>
          <w:sz w:val="28"/>
          <w:szCs w:val="28"/>
          <w:rtl w:val="true"/>
          <w:lang w:bidi="ar-SA"/>
        </w:rPr>
        <w:t xml:space="preserve">و لقد أجاد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العدة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يرويه الغلاة و المصنفون</w:t>
      </w:r>
      <w:r>
        <w:rPr>
          <w:rStyle w:val="FootnoteAnchor"/>
          <w:rtl w:val="true"/>
        </w:rPr>
        <w:footnoteReference w:id="256"/>
      </w:r>
      <w:r>
        <w:rPr>
          <w:rFonts w:ascii="Amiri" w:hAnsi="Amiri" w:eastAsia="Amiri" w:cs="Amiri"/>
          <w:color w:val="111111"/>
          <w:sz w:val="28"/>
          <w:sz w:val="28"/>
          <w:szCs w:val="28"/>
          <w:rtl w:val="true"/>
          <w:lang w:bidi="ar-SA"/>
        </w:rPr>
        <w:t>و غير هؤلاء، فما يختص الغلاة بروايته، فإن كانوا ممن عرف لهم حال استقامة و حال غلو عمل بما رووه حال الاستقامة، و ترك ما رووه حال التخليط، و لأجل ذلك عملت الطائفة بما رواه أبو الخطاب محمد بن أبي زينب في حال الاستقامة، و تركوا ما رواه في حال تخليطه، و كذلك القول في أحمد بن هلال العبرتائي، و ابن أبي العزاقر، و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يروونه في حال التخليط، فلا يجوز العمل به على كل حال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من الإشكالات المزبورة إشكالات سطرناها مع أجوبتها في أوائل حجج النافين للحاجة إلى علم الرجال، في المقام الثالث، من المقامات في مقدمة كتاب تنقيح المقال، فلاحظ</w:t>
      </w:r>
      <w:r>
        <w:rPr>
          <w:rStyle w:val="FootnoteAnchor"/>
          <w:rtl w:val="true"/>
        </w:rPr>
        <w:footnoteReference w:id="258"/>
      </w:r>
      <w:r>
        <w:rPr>
          <w:rFonts w:ascii="Amiri" w:hAnsi="Amiri" w:eastAsia="Amiri" w:cs="Amiri"/>
          <w:color w:val="111111"/>
          <w:sz w:val="28"/>
          <w:sz w:val="28"/>
          <w:szCs w:val="28"/>
          <w:rtl w:val="true"/>
          <w:lang w:bidi="ar-SA"/>
        </w:rPr>
        <w:t>و تدبر جيدا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176" w:name="pg15033_241537"/>
    </w:p>
    <w:p>
      <w:pPr>
        <w:pStyle w:val="Heading3"/>
        <w:numPr>
          <w:ilvl w:val="2"/>
          <w:numId w:val="1"/>
        </w:numPr>
        <w:rPr/>
      </w:pPr>
      <w:bookmarkStart w:id="177" w:name="__RefHeading___Toc316627_2142443653"/>
      <w:bookmarkStart w:id="178" w:name="_Toc67"/>
      <w:bookmarkEnd w:id="176"/>
      <w:bookmarkEnd w:id="177"/>
      <w:r>
        <w:rPr>
          <w:rtl w:val="true"/>
        </w:rPr>
        <w:t>الجهة الرابعة الأقوال في ما لو اجتمع الجرح و التعديل</w:t>
      </w:r>
      <w:bookmarkEnd w:id="178"/>
    </w:p>
    <w:p>
      <w:pPr>
        <w:pStyle w:val="BookText"/>
        <w:rPr/>
      </w:pPr>
      <w:r>
        <w:rPr>
          <w:rFonts w:ascii="Amiri" w:hAnsi="Amiri" w:eastAsia="Amiri" w:cs="Amiri"/>
          <w:color w:val="111111"/>
          <w:sz w:val="28"/>
          <w:sz w:val="28"/>
          <w:szCs w:val="28"/>
          <w:rtl w:val="true"/>
          <w:lang w:bidi="ar-SA"/>
        </w:rPr>
        <w:t>أنه إذا اجتمع في واحد جرح و تعديل</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نعم لو عرف بسوء الحفظ مثلا من شيخ معين أو لم يكتب عنه لاعتماده على حافظته في حين أنه موثوق به و حافظ عن غير هذا الشيخ لاعتماده على كتبه مثلا فمثل هذا يمكن الجمع فيه، و كذا لو عرف بفسق منه فجرح له ثم علمت توبته لمن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فالذي يظهر منهم في تقديم أيهما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الجرح مطلقا</w:t>
      </w:r>
      <w:r>
        <w:rPr>
          <w:rStyle w:val="FootnoteAnchor"/>
          <w:rtl w:val="true"/>
        </w:rPr>
        <w:footnoteReference w:id="261"/>
      </w:r>
      <w:r>
        <w:rPr>
          <w:rFonts w:ascii="IRNazanin" w:hAnsi="IRNazanin" w:eastAsia="IRNazanin"/>
          <w:color w:val="111111"/>
          <w:sz w:val="28"/>
          <w:sz w:val="28"/>
          <w:szCs w:val="28"/>
          <w:rtl w:val="true"/>
          <w:lang w:bidi="fa-IR"/>
        </w:rPr>
        <w:t>، و هذا هو المنقول عن جمهور العلماء</w:t>
      </w:r>
      <w:r>
        <w:rPr>
          <w:rStyle w:val="FootnoteAnchor"/>
          <w:rtl w:val="true"/>
        </w:rPr>
        <w:footnoteReference w:id="262"/>
      </w:r>
      <w:r>
        <w:rPr>
          <w:rFonts w:ascii="Amiri" w:hAnsi="Amiri" w:eastAsia="Amiri" w:cs="Amiri"/>
          <w:color w:val="111111"/>
          <w:sz w:val="28"/>
          <w:sz w:val="28"/>
          <w:szCs w:val="28"/>
          <w:rtl w:val="true"/>
          <w:lang w:bidi="ar-SA"/>
        </w:rPr>
        <w:t>، لأن المعدّل يخبر عما ظهر من حاله، و قول الجارح يشتمل</w:t>
      </w:r>
      <w:r>
        <w:rPr>
          <w:rStyle w:val="FootnoteAnchor"/>
          <w:rtl w:val="true"/>
        </w:rPr>
        <w:footnoteReference w:id="263"/>
      </w:r>
      <w:r>
        <w:rPr>
          <w:rFonts w:ascii="Amiri" w:hAnsi="Amiri" w:eastAsia="Amiri" w:cs="Amiri"/>
          <w:color w:val="111111"/>
          <w:sz w:val="28"/>
          <w:sz w:val="28"/>
          <w:szCs w:val="28"/>
          <w:rtl w:val="true"/>
          <w:lang w:bidi="ar-SA"/>
        </w:rPr>
        <w:t>على زيادة علم لم يطلع عليه المعدّل، فهو مصدّق للمعدّل فيما أخبر به عن ظاهر حاله، إلا أنه يخبر عن أمر باطن خفي على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التعديل و ان كان مشتملا على اثبات الملكة، الا أنه من حيث نفي المعصية الفعلية مستند الى الأصل، بخلاف الجرح فانه مثبت لها، و الاثبات مقدم على النفي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المعدل و الجارح مثبت من جهة </w:t>
      </w:r>
    </w:p>
    <w:p>
      <w:pPr>
        <w:pStyle w:val="BookText"/>
        <w:rPr/>
      </w:pPr>
      <w:r>
        <w:rPr>
          <w:rFonts w:ascii="Amiri" w:hAnsi="Amiri" w:eastAsia="Amiri" w:cs="Amiri"/>
          <w:color w:val="111111"/>
          <w:sz w:val="28"/>
          <w:sz w:val="28"/>
          <w:szCs w:val="28"/>
          <w:rtl w:val="true"/>
          <w:lang w:bidi="ar-SA"/>
        </w:rPr>
        <w:t>و ناف من جهة أخرى، فالمعدّل مثبت من حيث ثبوت أصل الملكة، و ناف اتكالا على الأصل من حيث صدور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الجارح مثبت من حيث صدور المعصية، و ناف من حيث تعقبه بالتوبة و الرجوع، فيقدم إثبات الجارح على نفي المعدل، لكونه نصا بالنسبة إليه، و ذاك ظاهر</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يمكن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لزوم مثل هذا الجمع، و هو يستلزم عدم تحقق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فيما لو تعارض التعيين على سبيل التباين الكلي أو الجزئي أو العموم المطلق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لا يقدم الجرح على التعديل من غير مرجح، إذ هما متساويان بالنظر إلى ذاتيهما لتساوي مستندهما من جهة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السبكي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القاسمي في قواعده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أطلقنا تقديم الجرح لما سلم لنا أحد من الأئمة، إذ ما من إمام إلا و قد طعن فيه طاعنون و هلك فيه الهالكون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المعدل مطلقا، نقله بعضهم قولا</w:t>
      </w:r>
      <w:r>
        <w:rPr>
          <w:rStyle w:val="FootnoteAnchor"/>
          <w:rtl w:val="true"/>
        </w:rPr>
        <w:footnoteReference w:id="265"/>
      </w:r>
      <w:r>
        <w:rPr>
          <w:rFonts w:ascii="Amiri" w:hAnsi="Amiri" w:eastAsia="Amiri" w:cs="Amiri"/>
          <w:color w:val="111111"/>
          <w:sz w:val="28"/>
          <w:sz w:val="28"/>
          <w:szCs w:val="28"/>
          <w:rtl w:val="true"/>
          <w:lang w:bidi="ar-SA"/>
        </w:rPr>
        <w:t>، و لم نقف على قائله، و لا على دليل له، و قصارى ما يتصور في توجيهه أنه إذا اجتمعا تعارضا، لأن احتمال اطلاع الجارح على ما خفي على المعدّل معارض باحتمال اطلاع المعدّل على ما خفي على الجارح من مجدد التوبة و الملكة، و إذا تعارضا تساقطا و رجعنا إلى أصالة العدالة في المسلم</w:t>
      </w:r>
      <w:r>
        <w:rPr>
          <w:rStyle w:val="FootnoteAnchor"/>
          <w:rtl w:val="true"/>
        </w:rPr>
        <w:footnoteReference w:id="266"/>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العدالة في المسلم ممنوعة، كما أوضحنا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الجارح نص في ثبوت المعصية الفعلية، فلا محيص عن وروده و حكومته على الأصل الذي هو مناط 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عند تحقق التعارض هو التماس المرجح لا التساقط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يكون من تقديم التعديل على الجرح، بل هو طرح لهما و رجوع إلى الأصل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صورة إمكان الجمع بينهما، بحيث لا يلزم تكذيب أحدهما في شهادته، كما إذا قال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و قال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يشرب الخمر، فإن المزكي إنما شهد بالملكة، و هي لا تقتضي العصمة، حتى ينافي صدور المحرم منه، فيجتمعان، و بين صورة عدم إمكان الجمع كما لو عيّن الجارح السبب و نفاه المعدل، كما لو قال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أول الظهر من اليوم </w:t>
      </w:r>
    </w:p>
    <w:p>
      <w:pPr>
        <w:pStyle w:val="BookText"/>
        <w:rPr/>
      </w:pPr>
      <w:r>
        <w:rPr>
          <w:rFonts w:ascii="Amiri" w:hAnsi="Amiri" w:eastAsia="Amiri" w:cs="Amiri"/>
          <w:color w:val="111111"/>
          <w:sz w:val="28"/>
          <w:sz w:val="28"/>
          <w:szCs w:val="28"/>
          <w:rtl w:val="true"/>
          <w:lang w:bidi="ar-SA"/>
        </w:rPr>
        <w:t>الفلاني يشرب الخمر، و قال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في ذلك الوقت بعينه يصلي، بتقديم الجرح على الأول لأنهما حجتان مجتمعتان، فيعمل بهما مع الإمكان، و الرجوع إلى المرجحات من الأكثرية و الأعدلية و الأورعية و الأضبطية و نحوها على الثاني، فيعمل بالراجح و يترك المرجوح، لما تقرّر في محله من الرجوع إلى المرجحات عند تعارض البينتين</w:t>
      </w:r>
      <w:r>
        <w:rPr>
          <w:rStyle w:val="FootnoteAnchor"/>
          <w:rtl w:val="true"/>
        </w:rPr>
        <w:footnoteReference w:id="267"/>
      </w:r>
      <w:r>
        <w:rPr>
          <w:rFonts w:ascii="Amiri" w:hAnsi="Amiri" w:eastAsia="Amiri" w:cs="Amiri"/>
          <w:color w:val="111111"/>
          <w:sz w:val="28"/>
          <w:sz w:val="28"/>
          <w:szCs w:val="28"/>
          <w:rtl w:val="true"/>
          <w:lang w:bidi="ar-SA"/>
        </w:rPr>
        <w:t>، فإن لم يتفق الترجيح وجب التوقف، للتعارض، مع استحالة الترجيح، من غير مرجح</w:t>
      </w:r>
      <w:r>
        <w:rPr>
          <w:rStyle w:val="FootnoteAnchor"/>
          <w:rtl w:val="true"/>
        </w:rPr>
        <w:footnoteReference w:id="268"/>
      </w:r>
      <w:r>
        <w:rPr>
          <w:rFonts w:ascii="Amiri" w:hAnsi="Amiri" w:eastAsia="Amiri" w:cs="Amiri"/>
          <w:color w:val="111111"/>
          <w:sz w:val="28"/>
          <w:sz w:val="28"/>
          <w:szCs w:val="28"/>
          <w:rtl w:val="true"/>
          <w:lang w:bidi="ar-SA"/>
        </w:rPr>
        <w:t xml:space="preserve">اختاره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269"/>
      </w:r>
      <w:r>
        <w:rPr>
          <w:rFonts w:ascii="Amiri" w:hAnsi="Amiri" w:eastAsia="Amiri" w:cs="Amiri"/>
          <w:color w:val="111111"/>
          <w:sz w:val="28"/>
          <w:sz w:val="28"/>
          <w:szCs w:val="28"/>
          <w:rtl w:val="true"/>
          <w:lang w:bidi="ar-SA"/>
        </w:rPr>
        <w:t>و المحقق القمي</w:t>
      </w:r>
      <w:r>
        <w:rPr>
          <w:rStyle w:val="FootnoteAnchor"/>
          <w:rtl w:val="true"/>
        </w:rPr>
        <w:footnoteReference w:id="270"/>
      </w:r>
      <w:r>
        <w:rPr>
          <w:rFonts w:ascii="Amiri" w:hAnsi="Amiri" w:eastAsia="Amiri" w:cs="Amiri"/>
          <w:color w:val="111111"/>
          <w:sz w:val="28"/>
          <w:sz w:val="28"/>
          <w:szCs w:val="28"/>
          <w:rtl w:val="true"/>
          <w:lang w:bidi="ar-SA"/>
        </w:rPr>
        <w:t>و غيرهما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الثالث مع التوقف في الصورة الثانية مطلقا، و هو المحكي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272"/>
      </w:r>
      <w:r>
        <w:rPr>
          <w:rFonts w:ascii="IRNazanin" w:hAnsi="IRNazanin" w:eastAsia="IRNazanin"/>
          <w:color w:val="111111"/>
          <w:sz w:val="28"/>
          <w:sz w:val="28"/>
          <w:szCs w:val="28"/>
          <w:rtl w:val="true"/>
          <w:lang w:bidi="fa-IR"/>
        </w:rPr>
        <w:t xml:space="preserve">، و علّل بأن مقتضى </w:t>
      </w:r>
    </w:p>
    <w:p>
      <w:pPr>
        <w:pStyle w:val="BookText"/>
        <w:rPr/>
      </w:pPr>
      <w:r>
        <w:rPr>
          <w:rFonts w:ascii="Amiri" w:hAnsi="Amiri" w:eastAsia="Amiri" w:cs="Amiri"/>
          <w:color w:val="111111"/>
          <w:sz w:val="28"/>
          <w:sz w:val="28"/>
          <w:szCs w:val="28"/>
          <w:rtl w:val="true"/>
          <w:lang w:bidi="ar-SA"/>
        </w:rPr>
        <w:t>القاعدة في صورة تعارض البينتين هو التساقط و التوقف، إلا أن يكون أصل في المورد فيرجع إليه، و الرجوع إلى الترجيح بالأكثرية و الأعدلية و نحوها في تعارض البينتين في الأملاك إنما هو لدليل خاص، فيقتصر على مورده، و يتوقف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أن يتعارضا في أصل ثبوت الملكة و عدمه، كأنّ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ذو ملكة رادعة،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عشّار</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عشرت القوم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منهم عشر أموالهم،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الكلام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ما مضى من عمره، بالتعارض و التساقط و الرجوع إلى الأصل الموجود، و هو في المقام على عدم الملكة بين أن يتعارضا في مجرد صدور المعصية و عدمه، فيقدم قول المعدّل و يعمل عليه، لأن الملكة قد ثبتت بقوله، و قد تساقطا من حيث صدور المعصية و عدمه فيرجع إلى أصالة العدم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أقرب في مسألة تعارض البينتين في باب القضاء، لأن حجية البينة هناك ليست من باب الظن و الاطمئنان، كي تنفع فيها المرجحات الظنية، و إنما هي من باب التعبد، و لا مسرح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للمرجحات الظنية في مثله، لعدم تقويتها لمناط الحجية التي هي المناط في الترجيح، إلا أن الأظهر هنا هو القول الرابع، لأن اعتبار التعديل هنا من باب الاطمئنان، و لذا أسقطنا فيه اعتبار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مدخلية المرجحات الظنية للاطمئنان في جانب مصاحبها، فيتعين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5033_241545"/>
      <w:bookmarkStart w:id="180" w:name="pg15033_241545"/>
      <w:bookmarkEnd w:id="180"/>
    </w:p>
    <w:p>
      <w:pPr>
        <w:pStyle w:val="Heading3"/>
        <w:numPr>
          <w:ilvl w:val="2"/>
          <w:numId w:val="1"/>
        </w:numPr>
        <w:rPr/>
      </w:pPr>
      <w:bookmarkStart w:id="181" w:name="pg15033_241545"/>
      <w:bookmarkStart w:id="182" w:name="__RefHeading___Toc316629_2142443653"/>
      <w:bookmarkStart w:id="183" w:name="_Toc68"/>
      <w:bookmarkEnd w:id="181"/>
      <w:bookmarkEnd w:id="182"/>
      <w:r>
        <w:rPr>
          <w:rtl w:val="true"/>
        </w:rPr>
        <w:t>الجهة الخامسة ما يعتبر في تصحيح السند</w:t>
      </w:r>
      <w:bookmarkEnd w:id="183"/>
    </w:p>
    <w:p>
      <w:pPr>
        <w:pStyle w:val="Heading4"/>
        <w:numPr>
          <w:ilvl w:val="3"/>
          <w:numId w:val="1"/>
        </w:numPr>
        <w:rPr/>
      </w:pPr>
      <w:bookmarkStart w:id="184" w:name="__RefHeading___Toc316631_2142443653"/>
      <w:bookmarkStart w:id="185" w:name="_Toc69"/>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إنه يعتبر في تصحيح السند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رجال السند واحدا بعد واحد، و تمييز المشترك منهم بين اثنين فما زاد، إذ بعد العلم الإجمالي بكثرة المشتركات لا يجوز الحكم بأن صاحب هذا الاسم هو الذي وثقه الكشي مثلا، إذ لعله غيره ممن سمي باسمه، فلا بد أولا من الجد و الجهد بحسب الوسع و الطاقة في تعيين رجال السند، و إحراز أن صاحب هذا الاسم هو الذي وثقه الكشي أو النجاشي مثلا، أما لاتحاد المسمى بذلك الاسم أو للقرائن المعينة للرجل من بين المسمّين بهذا الاسم من راو و مروي عنه و نحوهما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معارض التوثيق الصادر عن أحد علماء الرجال و مخصصه، لأن العلم الإجمالي بوجود المتعارضات في الرجال كثيرا يلجئنا إلى ذلك، كما أن العلم الإجمالي الجأنا إلى ترك العمل بالعام قبل الفحص عن المخصص و اليأس منه، و ترك الخبر حتى </w:t>
      </w:r>
      <w:bookmarkStart w:id="186" w:name="pg15033_241546"/>
    </w:p>
    <w:p>
      <w:pPr>
        <w:pStyle w:val="BookText"/>
        <w:rPr/>
      </w:pPr>
      <w:bookmarkEnd w:id="186"/>
      <w:r>
        <w:rPr>
          <w:rFonts w:ascii="Amiri" w:hAnsi="Amiri" w:eastAsia="Amiri" w:cs="Amiri"/>
          <w:color w:val="111111"/>
          <w:sz w:val="28"/>
          <w:sz w:val="28"/>
          <w:szCs w:val="28"/>
          <w:rtl w:val="true"/>
          <w:lang w:bidi="ar-SA"/>
        </w:rPr>
        <w:t>يحصل اليأس عن وجود معارض له، فحال التزكية و الجرح حال إخبار الآحاد في عدم جواز العمل بها إلاّ بعد الفحص و اليأس عن المعارض و المخصص، و العلم الإجمالي المذكور هو الفارق بين المقام و بين التعديل للبينة في المرافعات حيث يؤخذ به من غير فحص عن المعارض في وجه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16633_2142443653"/>
      <w:bookmarkStart w:id="188" w:name="_Toc70"/>
      <w:bookmarkEnd w:id="187"/>
      <w:r>
        <w:rPr>
          <w:rtl w:val="true"/>
        </w:rPr>
        <w:t>هل يقبل التوثيق المجهول؟</w:t>
      </w:r>
      <w:bookmarkEnd w:id="188"/>
    </w:p>
    <w:p>
      <w:pPr>
        <w:pStyle w:val="Heading5"/>
        <w:numPr>
          <w:ilvl w:val="4"/>
          <w:numId w:val="1"/>
        </w:numPr>
        <w:rPr/>
      </w:pPr>
      <w:bookmarkStart w:id="189" w:name="__RefHeading___Toc316635_2142443653"/>
      <w:bookmarkStart w:id="190" w:name="_Toc71"/>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و مما ذكرنا ظهر أنه إذا قال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ثقة بكذا و لم يسم الثقة لم يكف ذلك الإطلاق و التوثيق في عدّ الخبر صحيحا اصطلاحا حتى على القول بكفاية الواحد في تزكية الراوي، لأنه إذا لم يسمه لم يمكن النظر في أمره و الفحص عن وجود معارض لتوثيقه و عدمه، و من هنا سموا الرواية الصحيحة إلى من كان من أصحاب الإجماع كالصحيح، و لم يعدوه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الفحص إنما هو حيث يمكن، و لا يمكن ذلك في المجهول، و لا مانع من قبول مثل هذا التوثيق ما لم يظهر الخلاف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جواز العمل بمثل هذا الخبر و عدمه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عدم الجواز، و هو للعلامة في النهاية</w:t>
      </w:r>
      <w:r>
        <w:rPr>
          <w:rStyle w:val="FootnoteAnchor"/>
          <w:rtl w:val="true"/>
        </w:rPr>
        <w:footnoteReference w:id="274"/>
      </w:r>
      <w:r>
        <w:rPr>
          <w:rFonts w:ascii="Amiri" w:hAnsi="Amiri" w:eastAsia="Amiri" w:cs="Amiri"/>
          <w:color w:val="111111"/>
          <w:sz w:val="28"/>
          <w:sz w:val="28"/>
          <w:szCs w:val="28"/>
          <w:rtl w:val="true"/>
          <w:lang w:bidi="ar-SA"/>
        </w:rPr>
        <w:t>و ثاني الشهيدين في البداية</w:t>
      </w:r>
      <w:r>
        <w:rPr>
          <w:rStyle w:val="FootnoteAnchor"/>
          <w:rtl w:val="true"/>
        </w:rPr>
        <w:footnoteReference w:id="275"/>
      </w:r>
      <w:r>
        <w:rPr>
          <w:rFonts w:ascii="IRNazanin" w:hAnsi="IRNazanin" w:eastAsia="IRNazanin"/>
          <w:color w:val="111111"/>
          <w:sz w:val="28"/>
          <w:sz w:val="28"/>
          <w:szCs w:val="28"/>
          <w:rtl w:val="true"/>
          <w:lang w:bidi="fa-IR"/>
        </w:rPr>
        <w:t>، و صاحب المعالم</w:t>
      </w:r>
      <w:r>
        <w:rPr>
          <w:rStyle w:val="FootnoteAnchor"/>
          <w:rtl w:val="true"/>
        </w:rPr>
        <w:footnoteReference w:id="276"/>
      </w:r>
      <w:r>
        <w:rPr>
          <w:rFonts w:ascii="Amiri" w:hAnsi="Amiri" w:eastAsia="Amiri" w:cs="Amiri"/>
          <w:color w:val="111111"/>
          <w:sz w:val="28"/>
          <w:sz w:val="28"/>
          <w:szCs w:val="28"/>
          <w:rtl w:val="true"/>
          <w:lang w:bidi="ar-SA"/>
        </w:rPr>
        <w:t>، و غيرهم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91" w:name="pg15033_241547"/>
    </w:p>
    <w:p>
      <w:pPr>
        <w:pStyle w:val="BookText"/>
        <w:rPr/>
      </w:pPr>
      <w:bookmarkEnd w:id="191"/>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هو للمحقق البهبهاني</w:t>
      </w:r>
      <w:r>
        <w:rPr>
          <w:rStyle w:val="FootnoteAnchor"/>
          <w:rtl w:val="true"/>
        </w:rPr>
        <w:footnoteReference w:id="278"/>
      </w:r>
      <w:r>
        <w:rPr>
          <w:rFonts w:ascii="Amiri" w:hAnsi="Amiri" w:eastAsia="Amiri" w:cs="Amiri"/>
          <w:color w:val="111111"/>
          <w:sz w:val="28"/>
          <w:sz w:val="28"/>
          <w:szCs w:val="28"/>
          <w:rtl w:val="true"/>
          <w:lang w:bidi="ar-SA"/>
        </w:rPr>
        <w:t>، و سيد الرياض، و الآمدي في محكي الأحكام</w:t>
      </w:r>
      <w:r>
        <w:rPr>
          <w:rStyle w:val="FootnoteAnchor"/>
          <w:rtl w:val="true"/>
        </w:rPr>
        <w:footnoteReference w:id="279"/>
      </w:r>
      <w:r>
        <w:rPr>
          <w:rFonts w:ascii="Amiri" w:hAnsi="Amiri" w:eastAsia="Amiri" w:cs="Amiri"/>
          <w:color w:val="111111"/>
          <w:sz w:val="28"/>
          <w:sz w:val="28"/>
          <w:szCs w:val="28"/>
          <w:rtl w:val="true"/>
          <w:lang w:bidi="ar-SA"/>
        </w:rPr>
        <w:t>، و غيرهم، و هو المستفاد من عبارة المحقق</w:t>
      </w:r>
      <w:r>
        <w:rPr>
          <w:rStyle w:val="FootnoteAnchor"/>
          <w:rtl w:val="true"/>
        </w:rPr>
        <w:footnoteReference w:id="280"/>
      </w:r>
      <w:r>
        <w:rPr>
          <w:rFonts w:ascii="Amiri" w:hAnsi="Amiri" w:eastAsia="Amiri" w:cs="Amiri"/>
          <w:color w:val="111111"/>
          <w:sz w:val="28"/>
          <w:sz w:val="28"/>
          <w:szCs w:val="28"/>
          <w:rtl w:val="true"/>
          <w:lang w:bidi="ar-SA"/>
        </w:rPr>
        <w:t>، بل في المفاتيح</w:t>
      </w:r>
      <w:r>
        <w:rPr>
          <w:rStyle w:val="FootnoteAnchor"/>
          <w:rtl w:val="true"/>
        </w:rPr>
        <w:footnoteReference w:id="281"/>
      </w:r>
      <w:r>
        <w:rPr>
          <w:rFonts w:ascii="Amiri" w:hAnsi="Amiri" w:eastAsia="Amiri" w:cs="Amiri"/>
          <w:color w:val="111111"/>
          <w:sz w:val="28"/>
          <w:sz w:val="28"/>
          <w:szCs w:val="28"/>
          <w:rtl w:val="true"/>
          <w:lang w:bidi="ar-SA"/>
        </w:rPr>
        <w:t>أنه لو قيل إن ذلك مذهب المعظم لم يكن بعيدا</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16637_2142443653"/>
      <w:bookmarkStart w:id="193" w:name="_Toc72"/>
      <w:bookmarkEnd w:id="192"/>
      <w:r>
        <w:rPr>
          <w:rtl w:val="true"/>
        </w:rPr>
        <w:t>حجة الأولين</w:t>
      </w:r>
      <w:r>
        <w:rPr>
          <w:rtl w:val="true"/>
        </w:rPr>
        <w:t>:</w:t>
      </w:r>
      <w:bookmarkEnd w:id="19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يجوز أن يكون المروي عنه ثقة عند الراوي المصرح بوثاقته، و كأن غيره قد اطلع على جرحه بما هو جارح عند هذا الشاهد أيضا، و إنه إنما وثقه بناء على ظاهر حاله، و لو علم بما علم به الجارح لما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عدم الجارح مع ظهور تزكيته غير كاف في هذا المقام لمنع العلم إجمالا بوقوع الاختلاف في شأن كثير من الرواة من جريانها، فلا بد حينئذ من تسميته لينظر في أمره هل أطلق القوم عليه </w:t>
      </w:r>
      <w:bookmarkStart w:id="194" w:name="pg15033_241548"/>
    </w:p>
    <w:p>
      <w:pPr>
        <w:pStyle w:val="BookText"/>
        <w:rPr/>
      </w:pPr>
      <w:bookmarkEnd w:id="194"/>
      <w:r>
        <w:rPr>
          <w:rFonts w:ascii="Amiri" w:hAnsi="Amiri" w:eastAsia="Amiri" w:cs="Amiri"/>
          <w:color w:val="111111"/>
          <w:sz w:val="28"/>
          <w:sz w:val="28"/>
          <w:szCs w:val="28"/>
          <w:rtl w:val="true"/>
          <w:lang w:bidi="ar-SA"/>
        </w:rPr>
        <w:t>التعديل أو تعارض كلامهم فيه أو لم يذكروه، و لا بد من البحث عن حال الرواة على وجه يظهر به أحد الأمور الثلاثة من الجرح و التعديل أو تعارضهما حيث يمكن، بل إضرابه عن تسميته مريب في القلوب، كما نبّه عليه في البداية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316639_2142443653"/>
      <w:bookmarkStart w:id="196" w:name="_Toc73"/>
      <w:bookmarkEnd w:id="195"/>
      <w:r>
        <w:rPr>
          <w:rtl w:val="true"/>
        </w:rPr>
        <w:t>و حجة الآخرين</w:t>
      </w:r>
      <w:r>
        <w:rPr>
          <w:rtl w:val="true"/>
        </w:rPr>
        <w:t>:</w:t>
      </w:r>
      <w:bookmarkEnd w:id="196"/>
    </w:p>
    <w:p>
      <w:pPr>
        <w:pStyle w:val="BookText"/>
        <w:rPr/>
      </w:pPr>
      <w:r>
        <w:rPr>
          <w:rFonts w:ascii="Amiri" w:hAnsi="Amiri" w:eastAsia="Amiri" w:cs="Amiri"/>
          <w:color w:val="111111"/>
          <w:sz w:val="28"/>
          <w:sz w:val="28"/>
          <w:szCs w:val="28"/>
          <w:rtl w:val="true"/>
          <w:lang w:bidi="ar-SA"/>
        </w:rPr>
        <w:t>بأن المدار في التعديل و الجرح على الظن، فإن أراد أهل القول الأول أن ذلك لا يفيد الظن بسبب ذلك الاحتمال فهو باطل، لظهور حصول الظن من تعديل العدل العالم بأحوال الجرح و التعديل، و عدم الظفر بما يوجب الجرح، و لو كان الاحتمال المذكور مانعا من حصول الظن للزم أن لا يحصل من خبر العدل الظن بالحكم الشرعي أو المطلب اللغوي أو الجرح و التعديل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لاحتمال الخطأ في مستند عمله بالمذكورات، و أنه لو أبرزه لكان غير تام عندنا، و ذلك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أن هذا الظن ليس بحجة لأنه يشترط في حجية كل ظن حصول ظن آخر من جهة الفحص بعدم وجود معارض له فهو باطل، لأن ذلك لو سلم فإنما هو في صورة إمكان الفحص عن المعارض، و أما مع عدمه فلا يشترط، كما هو الظاهر من سيرة العقلاء في موارد عملهم بالظن، و كذلك معظم الأصحاب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كل من الحجتين نظر، ضرورة أن اعتبار </w:t>
      </w:r>
    </w:p>
    <w:p>
      <w:pPr>
        <w:pStyle w:val="BookText"/>
        <w:rPr/>
      </w:pPr>
      <w:r>
        <w:rPr>
          <w:rFonts w:ascii="Amiri" w:hAnsi="Amiri" w:eastAsia="Amiri" w:cs="Amiri"/>
          <w:color w:val="111111"/>
          <w:sz w:val="28"/>
          <w:sz w:val="28"/>
          <w:szCs w:val="28"/>
          <w:rtl w:val="true"/>
          <w:lang w:bidi="ar-SA"/>
        </w:rPr>
        <w:t>الفحص في العمل بالتعديل على نحو العمل بالعام المتوقف على الفحص على</w:t>
      </w:r>
      <w:r>
        <w:rPr>
          <w:rStyle w:val="FootnoteAnchor"/>
          <w:rtl w:val="true"/>
        </w:rPr>
        <w:footnoteReference w:id="283"/>
      </w:r>
      <w:r>
        <w:rPr>
          <w:rFonts w:ascii="Amiri" w:hAnsi="Amiri" w:eastAsia="Amiri" w:cs="Amiri"/>
          <w:color w:val="111111"/>
          <w:sz w:val="28"/>
          <w:sz w:val="28"/>
          <w:szCs w:val="28"/>
          <w:rtl w:val="true"/>
          <w:lang w:bidi="ar-SA"/>
        </w:rPr>
        <w:t>المخصص مما لا ينبغي التأمل فيه، كما لا ينبغي التأمل في اختصاص اعتبار الفحص بصورة الإمكان، و لازم الفقرتين هو التفصيل في المسألة بين إمكان استعلام الراوي الشاهد بالعدالة و الفحص عن حال المشهود له، و أنه هل ورد فيه جرح أم لا؟ و بين عدم إمكان الاستعلام باعتبار الاستعلام في الأول لتوقف قوة الظن عليه، و قضاء العلم الإجمالي بوجود الاختلاف في شأن كثير من الرواة بذلك، و وضوح أن من تمكن من تحصيل الاطمينان لم يجز له الاقتصار على مطلق الظن، و عدم اعتبار الاستعلام في الثاني، لأن اللّه تعالى لا يكلف نفسا إلا وسعها، و لقضاء بناء العقلاء على ذلك، فإنهم في الرجوع إلى الخبرة يعتمدون على خبر ذي الخبرة إذا لم يمكنهم الفحص، و يتفحصون في صورة إمكانه، و لازم ما ذكرنا جواز الاعتماد على تصحيح الغير للسند إذا لم يمكن للمجتهد الفحص عنه، و عدم جواز الاعتماد في صورة إمكان الفحص تحصيلا لقوة الظن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ما في إطلاق صاحب المعالم في قوله في آخر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وصف جماعة من الأصحاب كثيرا من الروايات بالصحة من هذا القبيل، لأنه في الحقيقة شهادة بتعديل رواتها، و هو بمجرده غير كاف في جواز العمل بالحديث، بل لا بد من مراجعة </w:t>
      </w:r>
      <w:bookmarkStart w:id="197" w:name="pg15033_241550"/>
    </w:p>
    <w:p>
      <w:pPr>
        <w:pStyle w:val="BookText"/>
        <w:rPr/>
      </w:pPr>
      <w:bookmarkEnd w:id="197"/>
      <w:r>
        <w:rPr>
          <w:rFonts w:ascii="Amiri" w:hAnsi="Amiri" w:eastAsia="Amiri" w:cs="Amiri"/>
          <w:color w:val="111111"/>
          <w:sz w:val="28"/>
          <w:sz w:val="28"/>
          <w:szCs w:val="28"/>
          <w:rtl w:val="true"/>
          <w:lang w:bidi="ar-SA"/>
        </w:rPr>
        <w:t>السند و النظر في حال الرواة ليؤمن من معارضة الجرح</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تقييده بصورة إمكان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القيد مراد له، بل لا ينبغي الريب في ذلك</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فلا تذهل</w:t>
      </w:r>
      <w:r>
        <w:rPr>
          <w:rFonts w:eastAsia="IRNazanin" w:cs="IRNazanin"/>
          <w:color w:val="111111"/>
          <w:sz w:val="28"/>
          <w:szCs w:val="28"/>
          <w:rtl w:val="true"/>
          <w:lang w:bidi="fa-IR"/>
        </w:rPr>
        <w:t>.</w:t>
      </w:r>
    </w:p>
    <w:p>
      <w:pPr>
        <w:pStyle w:val="Heading5"/>
        <w:numPr>
          <w:ilvl w:val="4"/>
          <w:numId w:val="1"/>
        </w:numPr>
        <w:rPr/>
      </w:pPr>
      <w:bookmarkStart w:id="198" w:name="__RefHeading___Toc316641_2142443653"/>
      <w:bookmarkStart w:id="199" w:name="_Toc74"/>
      <w:bookmarkEnd w:id="198"/>
      <w:r>
        <w:rPr>
          <w:rtl w:val="true"/>
        </w:rPr>
        <w:t>بقي هنا أمور ينبغي التنبيه عليها</w:t>
      </w:r>
      <w:r>
        <w:rPr>
          <w:rtl w:val="true"/>
        </w:rPr>
        <w:t>:</w:t>
      </w:r>
      <w:bookmarkEnd w:id="199"/>
    </w:p>
    <w:p>
      <w:pPr>
        <w:pStyle w:val="Heading6"/>
        <w:numPr>
          <w:ilvl w:val="5"/>
          <w:numId w:val="1"/>
        </w:numPr>
        <w:rPr/>
      </w:pPr>
      <w:bookmarkStart w:id="200" w:name="__RefHeading___Toc316643_2142443653"/>
      <w:bookmarkStart w:id="201" w:name="_Toc75"/>
      <w:bookmarkEnd w:id="200"/>
      <w:r>
        <w:rPr>
          <w:rtl w:val="true"/>
        </w:rPr>
        <w:t>الاول</w:t>
      </w:r>
      <w:r>
        <w:rPr>
          <w:rtl w:val="true"/>
        </w:rPr>
        <w:t xml:space="preserve">: </w:t>
      </w:r>
      <w:r>
        <w:rPr>
          <w:rtl w:val="true"/>
        </w:rPr>
        <w:t>قول الثقة حدثني الثقة تزكية للمروي عنه</w:t>
      </w:r>
      <w:bookmarkEnd w:id="2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الإشكال في كون قول الثقة حدثني ثقة به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من المسائل المهمة في علم دراية الحديث، و قد دونت مستقلا من الفريقين، و قد ألف فيها الشيخ ميرزا أبو المعالي بن الحاج محمد إبراهيم الكلباسي الاصفهاني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الغير للرواية، و قد اختار عدم جواز الاكتفاء بتصحيح الغير في العمل بالحديث، كما نصّ عليه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تزكية للمروي عنه، لصراحة كلامه في ذلك، و ثمرة ذلك أنه إذا سماه بعد ذلك و تفحصنا عن حاله و لم نجد ما يعارض ذلك التوثيق جاز الاعتماد عليه و الاستناد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اعتبار إحراز قصده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التوثيق، حيث قيّد كون ذلك توثيقا بقصده ذلك بعبارته، معللا بأنه قد يقصد به مجرد الاخبار من غير تعديل، فإنه قد يتجوّز في مثل هذه الألفاظ في غير مجلس الشهادات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عنونة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الأكثرون إلى أنه لا يكتفى به في التعديل حتى يسميه، لأنه و إن كان ثقة عنده فلعله ممن جرح بجرح قادح عند غيره، بل إضرابه عن تسميته ريبة توقع ترددا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ذلك متى كان ثقة مأمونا فإنه يكتفى به، كما لو عيّنه، إذ لو علم فيه جرحا لذكره، و لو لم يذكره لكان غاشا في الدين، و لا يلزم من إبهامه له تضعيفه عنده، لأنه قد يبهم لصغر سنة أو لطبقته المعاصرة أو المجاورة مما تقتضيه ظروف الزمان، و المحققون على الأول كما في التقريب و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الثقة و هو يعرفه بعينه و اسمه و صفته إلا أنه لم يسمعه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السامع قبول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شيخ الراوي مجهول عنده، و وصفه إياه بالثقة غير معمول به و لا معتمد عليه في حق السامع، لجواز أن يعرف إذا سماه الراوي بخلاف الثقة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مطاوي كلمات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يجيب عن ما استدلوا 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ظاهر كلامه حجة، و حمله على خلاف ظاهره من غير قرينة لا وجه له، و لذا قال في البداية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w:t>
      </w:r>
      <w:r>
        <w:rPr>
          <w:rStyle w:val="FootnoteAnchor"/>
          <w:rtl w:val="true"/>
        </w:rPr>
        <w:footnoteReference w:id="287"/>
      </w:r>
      <w:r>
        <w:rPr>
          <w:rFonts w:ascii="Amiri" w:hAnsi="Amiri" w:eastAsia="Amiri" w:cs="Amiri"/>
          <w:color w:val="111111"/>
          <w:sz w:val="28"/>
          <w:sz w:val="28"/>
          <w:szCs w:val="28"/>
          <w:rtl w:val="true"/>
          <w:lang w:bidi="ar-SA"/>
        </w:rPr>
        <w:t>ينزل الإطلاق على التزكية أم لا بد من استعلامه؟ وجهان، أجودهما تنزيله على ظاهره من عدم مجازفة الثقة في مثل ذلك</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اختاره جمع من أعلام الأخباريين منهم الشيخ ياسين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قول الثقة حدثني الثقة، هل يكتفى به في التوثيق؟ و الحق الاكتفاء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5033_241552"/>
    </w:p>
    <w:p>
      <w:pPr>
        <w:pStyle w:val="Heading6"/>
        <w:numPr>
          <w:ilvl w:val="5"/>
          <w:numId w:val="1"/>
        </w:numPr>
        <w:rPr/>
      </w:pPr>
      <w:bookmarkStart w:id="203" w:name="__RefHeading___Toc316645_2142443653"/>
      <w:bookmarkStart w:id="204" w:name="_Toc76"/>
      <w:bookmarkEnd w:id="202"/>
      <w:bookmarkEnd w:id="203"/>
      <w:r>
        <w:rPr>
          <w:rtl w:val="true"/>
        </w:rPr>
        <w:t>الثاني</w:t>
      </w:r>
      <w:r>
        <w:rPr>
          <w:rtl w:val="true"/>
        </w:rPr>
        <w:t xml:space="preserve">: </w:t>
      </w:r>
      <w:r>
        <w:rPr>
          <w:rtl w:val="true"/>
        </w:rPr>
        <w:t>هل مجرد رواية العدل عن رجل يكون تعديلا له؟</w:t>
      </w:r>
      <w:bookmarkEnd w:id="20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روى العدل الذي يعتمد على تزكيته عن رجل غير معلوم العدالة و سماه باسمه، و لم يعلم من حال العدل الراوي أنه لا يروي إلا عن ثقة، فهل مجرد روايته عنه يكون تعديلا له، مثل ما لو عدّ له صريحا أم لا؟ وجهان، فالمعروف بين العلماء من الفقهاء و الأصوليين و أهل الدراية و الحديث العدم</w:t>
      </w:r>
      <w:r>
        <w:rPr>
          <w:rStyle w:val="FootnoteAnchor"/>
          <w:rtl w:val="true"/>
        </w:rPr>
        <w:footnoteReference w:id="289"/>
      </w:r>
      <w:r>
        <w:rPr>
          <w:rFonts w:ascii="Amiri" w:hAnsi="Amiri" w:eastAsia="Amiri" w:cs="Amiri"/>
          <w:color w:val="111111"/>
          <w:sz w:val="28"/>
          <w:sz w:val="28"/>
          <w:szCs w:val="28"/>
          <w:rtl w:val="true"/>
          <w:lang w:bidi="ar-SA"/>
        </w:rPr>
        <w:t>، و أرسل جمع قولا بكونه تعديلا من دون تسمية قائله، و عزاه في البداية إلى شذوذ من المحدثين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المألوف هو القول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على ذلك أن رواية العدل عن غيره لا تدلّ‌</w:t>
      </w:r>
      <w:r>
        <w:rPr>
          <w:rStyle w:val="FootnoteAnchor"/>
          <w:rtl w:val="true"/>
        </w:rPr>
        <w:footnoteReference w:id="291"/>
      </w:r>
      <w:r>
        <w:rPr>
          <w:rFonts w:ascii="Amiri" w:hAnsi="Amiri" w:eastAsia="Amiri" w:cs="Amiri"/>
          <w:color w:val="111111"/>
          <w:sz w:val="28"/>
          <w:sz w:val="28"/>
          <w:szCs w:val="28"/>
          <w:rtl w:val="true"/>
          <w:lang w:bidi="ar-SA"/>
        </w:rPr>
        <w:t>على تعديله له بشيء من الدلالات، أما المطابقة و التضمن فظاهر، و أما الالتزام فلأنه لا ملازمة بين الأمرين لا عقلا و لا شرعا و لا عادة، و العدل كما يروي عن العدل فكذا يروي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عادة أكثر الأكابر من المحدثين و المصنفين الرواية عن كل من سمعوه، و لو كلفوا الثناء عليه لسكتوا و توقفوا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أن رواية العدل عمن عرف فسقه غش و تدليس في الدين، مدفوع بالمنع من كون ذلك غشا و تدليسا، لأنه لم يوجب على </w:t>
      </w:r>
    </w:p>
    <w:p>
      <w:pPr>
        <w:pStyle w:val="BookText"/>
        <w:rPr/>
      </w:pPr>
      <w:r>
        <w:rPr>
          <w:rFonts w:ascii="Amiri" w:hAnsi="Amiri" w:eastAsia="Amiri" w:cs="Amiri"/>
          <w:color w:val="111111"/>
          <w:sz w:val="28"/>
          <w:sz w:val="28"/>
          <w:szCs w:val="28"/>
          <w:rtl w:val="true"/>
          <w:lang w:bidi="ar-SA"/>
        </w:rPr>
        <w:t>غيره العمل،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قد صدق في ذلك، ثم قد يكون لم يعرف عدالة المروي عنه و لا فسقه، و أحال البحث عن حاله إلى من يريد العمل بروايته كما هي سجيتهم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ظاهر إطلاق العدل الرواية كون المروي عنه عدلا واضحة الفساد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المختار، فهل يعمّ ذلك ما لو علم أن ذلك العدل لا يروي إلا عن العدل دون غيره، أو يختص بغيره؟ وجهان، اختار العضدي الأول، و حكي عن نهاية الأصول</w:t>
      </w:r>
      <w:r>
        <w:rPr>
          <w:rStyle w:val="FootnoteAnchor"/>
          <w:rtl w:val="true"/>
        </w:rPr>
        <w:footnoteReference w:id="293"/>
      </w:r>
      <w:r>
        <w:rPr>
          <w:rFonts w:ascii="Amiri" w:hAnsi="Amiri" w:eastAsia="Amiri" w:cs="Amiri"/>
          <w:color w:val="111111"/>
          <w:sz w:val="28"/>
          <w:sz w:val="28"/>
          <w:szCs w:val="28"/>
          <w:rtl w:val="true"/>
          <w:lang w:bidi="ar-SA"/>
        </w:rPr>
        <w:t>و تهذيبه</w:t>
      </w:r>
      <w:r>
        <w:rPr>
          <w:rStyle w:val="FootnoteAnchor"/>
          <w:rtl w:val="true"/>
        </w:rPr>
        <w:footnoteReference w:id="294"/>
      </w:r>
      <w:r>
        <w:rPr>
          <w:rFonts w:ascii="Amiri" w:hAnsi="Amiri" w:eastAsia="Amiri" w:cs="Amiri"/>
          <w:color w:val="111111"/>
          <w:sz w:val="28"/>
          <w:sz w:val="28"/>
          <w:szCs w:val="28"/>
          <w:rtl w:val="true"/>
          <w:lang w:bidi="ar-SA"/>
        </w:rPr>
        <w:t>و المبادئ و المنية و غاية المبادئ و المحصول و الأحكام</w:t>
      </w:r>
      <w:r>
        <w:rPr>
          <w:rStyle w:val="FootnoteAnchor"/>
          <w:rtl w:val="true"/>
        </w:rPr>
        <w:footnoteReference w:id="2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الثاني</w:t>
      </w:r>
      <w:r>
        <w:rPr>
          <w:rStyle w:val="FootnoteAnchor"/>
          <w:rtl w:val="true"/>
        </w:rPr>
        <w:footnoteReference w:id="296"/>
      </w:r>
      <w:r>
        <w:rPr>
          <w:rFonts w:ascii="Amiri" w:hAnsi="Amiri" w:eastAsia="Amiri" w:cs="Amiri"/>
          <w:color w:val="111111"/>
          <w:sz w:val="28"/>
          <w:sz w:val="28"/>
          <w:szCs w:val="28"/>
          <w:rtl w:val="true"/>
          <w:lang w:bidi="ar-SA"/>
        </w:rPr>
        <w:t>، بل هو ظاهر الأكثر، حيث اعتمدوا على مراسيل ابن أبي عمير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bookmarkStart w:id="205" w:name="pg15033_241554"/>
    </w:p>
    <w:p>
      <w:pPr>
        <w:pStyle w:val="BookText"/>
        <w:rPr/>
      </w:pPr>
      <w:bookmarkEnd w:id="205"/>
      <w:r>
        <w:rPr>
          <w:rFonts w:ascii="Amiri" w:hAnsi="Amiri" w:eastAsia="Amiri" w:cs="Amiri"/>
          <w:color w:val="111111"/>
          <w:sz w:val="28"/>
          <w:sz w:val="28"/>
          <w:szCs w:val="28"/>
          <w:rtl w:val="true"/>
          <w:lang w:bidi="ar-SA"/>
        </w:rPr>
        <w:t>ممن علم أنه لا يروي أو لا يرسل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إدارة الأمر مدار حصول الاطمينان و عدمه، فإن حصل الاطمينان اجتزئ به، و إلا فلا، و من منع من الاجتزاء به فإنما ذلك منه لعدم الاجتزاء بتزكية مجهول العين</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16647_2142443653"/>
      <w:bookmarkStart w:id="207" w:name="_Toc77"/>
      <w:bookmarkEnd w:id="206"/>
      <w:r>
        <w:rPr>
          <w:rtl w:val="true"/>
        </w:rPr>
        <w:t>الثالث</w:t>
      </w:r>
      <w:r>
        <w:rPr>
          <w:rtl w:val="true"/>
        </w:rPr>
        <w:t xml:space="preserve">: </w:t>
      </w:r>
      <w:r>
        <w:rPr>
          <w:rtl w:val="true"/>
        </w:rPr>
        <w:t>فتوى المجتهد على طبق حديث ليس حكما منه بصحته</w:t>
      </w:r>
      <w:bookmarkEnd w:id="207"/>
    </w:p>
    <w:p>
      <w:pPr>
        <w:pStyle w:val="Heading6"/>
        <w:numPr>
          <w:ilvl w:val="5"/>
          <w:numId w:val="1"/>
        </w:numPr>
        <w:rPr/>
      </w:pPr>
      <w:bookmarkStart w:id="208" w:name="__RefHeading___Toc316649_2142443653"/>
      <w:bookmarkStart w:id="209" w:name="_Toc78"/>
      <w:bookmarkEnd w:id="208"/>
      <w:r>
        <w:rPr>
          <w:rtl w:val="true"/>
        </w:rPr>
        <w:t>اشارة</w:t>
      </w:r>
      <w:bookmarkEnd w:id="2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المجتهد العدل في الأحكام و فتياه لغيره بفتوى على طبق حديث ليس حكما منه بصحته، و لا مخالفته له قدحا فيه و لا في رواته</w:t>
      </w:r>
      <w:r>
        <w:rPr>
          <w:rStyle w:val="FootnoteAnchor"/>
          <w:rtl w:val="true"/>
        </w:rPr>
        <w:footnoteReference w:id="297"/>
      </w:r>
      <w:r>
        <w:rPr>
          <w:rFonts w:ascii="Amiri" w:hAnsi="Amiri" w:eastAsia="Amiri" w:cs="Amiri"/>
          <w:color w:val="111111"/>
          <w:sz w:val="28"/>
          <w:sz w:val="28"/>
          <w:szCs w:val="28"/>
          <w:rtl w:val="true"/>
          <w:lang w:bidi="ar-SA"/>
        </w:rPr>
        <w:t xml:space="preserve">، كما صرح بذلك جماعة منهم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298"/>
      </w:r>
      <w:r>
        <w:rPr>
          <w:rFonts w:ascii="Amiri" w:hAnsi="Amiri" w:eastAsia="Amiri" w:cs="Amiri"/>
          <w:color w:val="111111"/>
          <w:sz w:val="28"/>
          <w:sz w:val="28"/>
          <w:szCs w:val="28"/>
          <w:rtl w:val="true"/>
          <w:lang w:bidi="ar-SA"/>
        </w:rPr>
        <w:t>، خلافا لما حكى عن التهذيب</w:t>
      </w:r>
      <w:r>
        <w:rPr>
          <w:rStyle w:val="FootnoteAnchor"/>
          <w:rtl w:val="true"/>
        </w:rPr>
        <w:footnoteReference w:id="299"/>
      </w:r>
      <w:r>
        <w:rPr>
          <w:rFonts w:ascii="Amiri" w:hAnsi="Amiri" w:eastAsia="Amiri" w:cs="Amiri"/>
          <w:color w:val="111111"/>
          <w:sz w:val="28"/>
          <w:sz w:val="28"/>
          <w:szCs w:val="28"/>
          <w:rtl w:val="true"/>
          <w:lang w:bidi="ar-SA"/>
        </w:rPr>
        <w:t>و الأحكام</w:t>
      </w:r>
      <w:r>
        <w:rPr>
          <w:rStyle w:val="FootnoteAnchor"/>
          <w:rtl w:val="true"/>
        </w:rPr>
        <w:footnoteReference w:id="300"/>
      </w:r>
      <w:r>
        <w:rPr>
          <w:rFonts w:ascii="IRNazanin" w:hAnsi="IRNazanin" w:eastAsia="IRNazanin"/>
          <w:color w:val="111111"/>
          <w:sz w:val="28"/>
          <w:sz w:val="28"/>
          <w:szCs w:val="28"/>
          <w:rtl w:val="true"/>
          <w:lang w:bidi="fa-IR"/>
        </w:rPr>
        <w:t>و المحصول</w:t>
      </w:r>
      <w:r>
        <w:rPr>
          <w:rStyle w:val="FootnoteAnchor"/>
          <w:rtl w:val="true"/>
        </w:rPr>
        <w:footnoteReference w:id="301"/>
      </w:r>
      <w:r>
        <w:rPr>
          <w:rFonts w:ascii="IRNazanin" w:hAnsi="IRNazanin" w:eastAsia="IRNazanin"/>
          <w:color w:val="111111"/>
          <w:sz w:val="28"/>
          <w:sz w:val="28"/>
          <w:szCs w:val="28"/>
          <w:rtl w:val="true"/>
          <w:lang w:bidi="fa-IR"/>
        </w:rPr>
        <w:t>و المنهاج</w:t>
      </w:r>
      <w:r>
        <w:rPr>
          <w:rStyle w:val="FootnoteAnchor"/>
          <w:rtl w:val="true"/>
        </w:rPr>
        <w:footnoteReference w:id="302"/>
      </w:r>
      <w:r>
        <w:rPr>
          <w:rFonts w:ascii="IRNazanin" w:hAnsi="IRNazanin" w:eastAsia="IRNazanin"/>
          <w:color w:val="111111"/>
          <w:sz w:val="28"/>
          <w:sz w:val="28"/>
          <w:szCs w:val="28"/>
          <w:rtl w:val="true"/>
          <w:lang w:bidi="fa-IR"/>
        </w:rPr>
        <w:t>و المختصر</w:t>
      </w:r>
      <w:r>
        <w:rPr>
          <w:rStyle w:val="FootnoteAnchor"/>
          <w:rtl w:val="true"/>
        </w:rPr>
        <w:footnoteReference w:id="3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الأحكام دعوى الاتفاق عليه</w:t>
      </w:r>
      <w:r>
        <w:rPr>
          <w:rStyle w:val="FootnoteAnchor"/>
          <w:rtl w:val="true"/>
        </w:rPr>
        <w:footnoteReference w:id="304"/>
      </w:r>
      <w:r>
        <w:rPr>
          <w:rFonts w:ascii="Amiri" w:hAnsi="Amiri" w:eastAsia="Amiri" w:cs="Amiri"/>
          <w:color w:val="111111"/>
          <w:sz w:val="28"/>
          <w:sz w:val="28"/>
          <w:szCs w:val="28"/>
          <w:rtl w:val="true"/>
          <w:lang w:bidi="ar-SA"/>
        </w:rPr>
        <w:t>و إن كان ظاهر الفساد</w:t>
      </w:r>
      <w:r>
        <w:rPr>
          <w:rFonts w:eastAsia="Amiri" w:cs="Amiri" w:ascii="Amiri" w:hAnsi="Amiri"/>
          <w:color w:val="111111"/>
          <w:sz w:val="28"/>
          <w:szCs w:val="28"/>
          <w:rtl w:val="true"/>
          <w:lang w:bidi="ar-SA"/>
        </w:rPr>
        <w:t xml:space="preserve">. </w:t>
      </w:r>
      <w:bookmarkStart w:id="210" w:name="pg15033_241555"/>
    </w:p>
    <w:p>
      <w:pPr>
        <w:pStyle w:val="Heading6"/>
        <w:numPr>
          <w:ilvl w:val="5"/>
          <w:numId w:val="1"/>
        </w:numPr>
        <w:rPr/>
      </w:pPr>
      <w:bookmarkStart w:id="211" w:name="__RefHeading___Toc316651_2142443653"/>
      <w:bookmarkStart w:id="212" w:name="_Toc79"/>
      <w:bookmarkEnd w:id="210"/>
      <w:bookmarkEnd w:id="211"/>
      <w:r>
        <w:rPr>
          <w:rtl w:val="true"/>
        </w:rPr>
        <w:t>حجة الأول</w:t>
      </w:r>
      <w:r>
        <w:rPr>
          <w:rtl w:val="true"/>
        </w:rPr>
        <w:t>:</w:t>
      </w:r>
      <w:bookmarkEnd w:id="212"/>
    </w:p>
    <w:p>
      <w:pPr>
        <w:pStyle w:val="BookText"/>
        <w:rPr/>
      </w:pPr>
      <w:r>
        <w:rPr>
          <w:rFonts w:ascii="Amiri" w:hAnsi="Amiri" w:eastAsia="Amiri" w:cs="Amiri"/>
          <w:color w:val="111111"/>
          <w:sz w:val="28"/>
          <w:sz w:val="28"/>
          <w:szCs w:val="28"/>
          <w:rtl w:val="true"/>
          <w:lang w:bidi="ar-SA"/>
        </w:rPr>
        <w:t>ان كل واحد من العمل و المخالفة أعم من كونه مستندا إليه أو قادحا فيه، لإمكان كون الاستناد في العمل إلى دليل آخر من حديث صحيح أو غيره، أو إلى انجبار بشهرة أو قرينة أخرى توجب ظن الصدق، و إمكان كون المخالفة لشذوذه أو معارضته بما هو أرجح منه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و العام لا يدلّ على الخاص</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16653_2142443653"/>
      <w:bookmarkStart w:id="214" w:name="_Toc80"/>
      <w:bookmarkEnd w:id="213"/>
      <w:r>
        <w:rPr>
          <w:rtl w:val="true"/>
        </w:rPr>
        <w:t>و حجة الثاني</w:t>
      </w:r>
      <w:r>
        <w:rPr>
          <w:rtl w:val="true"/>
        </w:rPr>
        <w:t>:</w:t>
      </w:r>
      <w:bookmarkEnd w:id="214"/>
    </w:p>
    <w:p>
      <w:pPr>
        <w:pStyle w:val="BookText"/>
        <w:rPr/>
      </w:pPr>
      <w:r>
        <w:rPr>
          <w:rFonts w:ascii="Amiri" w:hAnsi="Amiri" w:eastAsia="Amiri" w:cs="Amiri"/>
          <w:color w:val="111111"/>
          <w:sz w:val="28"/>
          <w:sz w:val="28"/>
          <w:szCs w:val="28"/>
          <w:rtl w:val="true"/>
          <w:lang w:bidi="ar-SA"/>
        </w:rPr>
        <w:t>ما تمسّك به جمع من أهل هذا القول؛ من أن الراوي الذي عمل العدل بروايته لو لم يكن عدلا لزم عمل العدل بخبر غير العدل، و هو فسق، و التالي باطل، لأن المفروض عدالة العامل، فبطل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عمله بخبر غير العدل فسقا مطلقا، لما عرفت من إمكان استناد العمل إلى قيام قرينة من شهرة جابرة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بصدقه مع فسق راويه، فالقول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 العدل المذكور لا يعمل إلا بخبر الثقة، بحيث حصل الاطمينان باستناده إلى ذلك الخبر بخصوصه دون دليل آخر</w:t>
      </w:r>
      <w:r>
        <w:rPr>
          <w:rStyle w:val="FootnoteAnchor"/>
          <w:rtl w:val="true"/>
        </w:rPr>
        <w:footnoteReference w:id="305"/>
      </w:r>
      <w:r>
        <w:rPr>
          <w:rFonts w:ascii="Amiri" w:hAnsi="Amiri" w:eastAsia="Amiri" w:cs="Amiri"/>
          <w:color w:val="111111"/>
          <w:sz w:val="28"/>
          <w:sz w:val="28"/>
          <w:szCs w:val="28"/>
          <w:rtl w:val="true"/>
          <w:lang w:bidi="ar-SA"/>
        </w:rPr>
        <w:t>، و بعدم قيام قرينة خارجية بصدقه كان ذلك منه تعديلا، لكنه فرض نادر</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316655_2142443653"/>
      <w:bookmarkStart w:id="216" w:name="_Toc81"/>
      <w:bookmarkEnd w:id="215"/>
      <w:r>
        <w:rPr>
          <w:rtl w:val="true"/>
        </w:rPr>
        <w:t>الرابع</w:t>
      </w:r>
      <w:r>
        <w:rPr>
          <w:rtl w:val="true"/>
        </w:rPr>
        <w:t xml:space="preserve">: </w:t>
      </w:r>
      <w:r>
        <w:rPr>
          <w:rtl w:val="true"/>
        </w:rPr>
        <w:t>موافقة الحديث للاجماع لا يدلّ على صحة سنده</w:t>
      </w:r>
      <w:bookmarkEnd w:id="2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موافقة الحديث للإجمال</w:t>
      </w:r>
      <w:r>
        <w:rPr>
          <w:rStyle w:val="FootnoteAnchor"/>
          <w:rtl w:val="true"/>
        </w:rPr>
        <w:footnoteReference w:id="306"/>
      </w:r>
      <w:r>
        <w:rPr>
          <w:rFonts w:ascii="Amiri" w:hAnsi="Amiri" w:eastAsia="Amiri" w:cs="Amiri"/>
          <w:color w:val="111111"/>
          <w:sz w:val="28"/>
          <w:sz w:val="28"/>
          <w:szCs w:val="28"/>
          <w:rtl w:val="true"/>
          <w:lang w:bidi="ar-SA"/>
        </w:rPr>
        <w:t xml:space="preserve">لا يدلّ على صحة </w:t>
      </w:r>
      <w:bookmarkStart w:id="217" w:name="pg15033_241556"/>
    </w:p>
    <w:p>
      <w:pPr>
        <w:pStyle w:val="BookText"/>
        <w:rPr/>
      </w:pPr>
      <w:bookmarkEnd w:id="217"/>
      <w:r>
        <w:rPr>
          <w:rFonts w:ascii="Amiri" w:hAnsi="Amiri" w:eastAsia="Amiri" w:cs="Amiri"/>
          <w:color w:val="111111"/>
          <w:sz w:val="28"/>
          <w:sz w:val="28"/>
          <w:szCs w:val="28"/>
          <w:rtl w:val="true"/>
          <w:lang w:bidi="ar-SA"/>
        </w:rPr>
        <w:t>سنده، لجواز أن يكون مستند المجمعين غيره، أو يكونوا قد استندوا إليه لقيام قرينة خارجية بصدقه، و كذا إبقائهم خبرا تتوفر الدواعي إلى إبطاله لا يدلّ على صحة سنده، لما أبديناه من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للملازمة بين الإبقاء و بين صحة سنده</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316657_2142443653"/>
      <w:bookmarkStart w:id="219" w:name="_Toc82"/>
      <w:bookmarkEnd w:id="218"/>
      <w:r>
        <w:rPr>
          <w:rtl w:val="true"/>
        </w:rPr>
        <w:t>الخامس</w:t>
      </w:r>
      <w:r>
        <w:rPr>
          <w:rtl w:val="true"/>
        </w:rPr>
        <w:t xml:space="preserve">: </w:t>
      </w:r>
      <w:r>
        <w:rPr>
          <w:rtl w:val="true"/>
        </w:rPr>
        <w:t>من لم يقع في كتب الرجال تصريح بعدالته فهو مجهول</w:t>
      </w:r>
      <w:bookmarkEnd w:id="2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يدخل في بعض الأسانيد من لم يقع في كتب الرجال تصريح بعدالته و وثاقته و لا بضعفه و مجروحيته</w:t>
      </w:r>
      <w:r>
        <w:rPr>
          <w:rStyle w:val="FootnoteAnchor"/>
          <w:rtl w:val="true"/>
        </w:rPr>
        <w:footnoteReference w:id="307"/>
      </w:r>
      <w:r>
        <w:rPr>
          <w:rFonts w:ascii="Amiri" w:hAnsi="Amiri" w:eastAsia="Amiri" w:cs="Amiri"/>
          <w:color w:val="111111"/>
          <w:sz w:val="28"/>
          <w:sz w:val="28"/>
          <w:szCs w:val="28"/>
          <w:rtl w:val="true"/>
          <w:lang w:bidi="ar-SA"/>
        </w:rPr>
        <w:t>، فمقتضى القاعدة إدخالهم في المجهولين، بل لعل القاصر يستكشف من عدم تعرضهم لذكرهم في كتب الرجال عن عدم الاعتماد عليهم، بل و عدم الاعتداد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التأمل الصادق يقضي بخلاف ذلك، فإنا إذا وجدنا بعض الأعاظم من علمائنا المحدثين يعتني كثيرا بشأنه، و يكثر الرواية عنه، أو يترحّم عليه، و يترضّى عنه، كما يتفق ذلك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من يروي عنه، و لم يكن حاله معروفا من غير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يقدح في سند روايته من غير جهته و هو في طريقها، فلا ريب و لا إشكال في إفادة ذلك مدحا معتدا به، بل ربّما يبلغ هذا 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تكثّر الأمارات و تراكم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التوثيق، و يحصل لذلك الظن بعدالته و ضبطه، و يكون حاله حال الرجل المعدّل بتعديل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نبّه على ذلك جمع منهم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مشرق الشمسين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يدخل في أسانيد بعض الأحاديث من ليس له ذكر في كتب الجرح و التعديل بمدح و لا قدح غير أن أعاظم علمائنا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اعتنوا بشأنه و أكثروا الرواية عنه، و أعيان مشايخنا المتأخرين قد حكموا بصحة روايات هو في سندها، و الظاهر أن هذا القدر كاف في حصول الظن بعدالته</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تنزّلنا عن دعوى إفادته الظن بالعدالة، فلا أقل من إفادته الظن بوثاقته من جهة الخبر، و كونه موثوقا بصدقه، ضابطا في النقل، متحرزا عن الكذب، و ذلك كاف في الخبر، إذ الشرط في قبوله عندنا هو هذا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يقطع النظر عن الراوي بمجرد عدم النص عليه بجرح أو تعديل، بل لا بد من الفحص عن حاله، و تطلب الأمارات الدّالة عليه، فلربما تبلغ حد القبول و إن لم تبلغ حد التوثيق و التعديل،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w:t>
      </w:r>
      <w:r>
        <w:rPr>
          <w:rStyle w:val="FootnoteAnchor"/>
          <w:rtl w:val="true"/>
        </w:rPr>
        <w:footnoteReference w:id="309"/>
      </w:r>
      <w:r>
        <w:rPr>
          <w:rFonts w:ascii="Amiri" w:hAnsi="Amiri" w:eastAsia="Amiri" w:cs="Amiri"/>
          <w:color w:val="111111"/>
          <w:sz w:val="28"/>
          <w:sz w:val="28"/>
          <w:szCs w:val="28"/>
          <w:rtl w:val="true"/>
          <w:lang w:bidi="ar-SA"/>
        </w:rPr>
        <w:t>، فإن المذكور في كتب الرجال توثيق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هو ففي مشرق الشمسين</w:t>
      </w:r>
      <w:r>
        <w:rPr>
          <w:rStyle w:val="FootnoteAnchor"/>
          <w:rtl w:val="true"/>
        </w:rPr>
        <w:footnoteReference w:id="310"/>
      </w:r>
      <w:r>
        <w:rPr>
          <w:rFonts w:ascii="Amiri" w:hAnsi="Amiri" w:eastAsia="Amiri" w:cs="Amiri"/>
          <w:color w:val="111111"/>
          <w:sz w:val="28"/>
          <w:sz w:val="28"/>
          <w:szCs w:val="28"/>
          <w:rtl w:val="true"/>
          <w:lang w:bidi="ar-SA"/>
        </w:rPr>
        <w:t>أنه غير مذكور بجرح و لا تعديل، و مثله عن الحاوي</w:t>
      </w:r>
      <w:r>
        <w:rPr>
          <w:rStyle w:val="FootnoteAnchor"/>
          <w:rtl w:val="true"/>
        </w:rPr>
        <w:footnoteReference w:id="311"/>
      </w:r>
      <w:r>
        <w:rPr>
          <w:rFonts w:ascii="Amiri" w:hAnsi="Amiri" w:eastAsia="Amiri" w:cs="Amiri"/>
          <w:color w:val="111111"/>
          <w:sz w:val="28"/>
          <w:sz w:val="28"/>
          <w:szCs w:val="28"/>
          <w:rtl w:val="true"/>
          <w:lang w:bidi="ar-SA"/>
        </w:rPr>
        <w:t xml:space="preserve">، فإنه ذكره في خاتمة قسم الثقات التي عقدها لمن لم ينص على توثيقه، بل يستفاد من قرائن أخر أنه من مشايخ الإجازة و من مشايخ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الواسطة بينه و بين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الوجيزة</w:t>
      </w:r>
      <w:r>
        <w:rPr>
          <w:rStyle w:val="FootnoteAnchor"/>
          <w:rtl w:val="true"/>
        </w:rPr>
        <w:footnoteReference w:id="312"/>
      </w:r>
      <w:r>
        <w:rPr>
          <w:rFonts w:ascii="Amiri" w:hAnsi="Amiri" w:eastAsia="Amiri" w:cs="Amiri"/>
          <w:color w:val="111111"/>
          <w:sz w:val="28"/>
          <w:sz w:val="28"/>
          <w:szCs w:val="28"/>
          <w:rtl w:val="true"/>
          <w:lang w:bidi="ar-SA"/>
        </w:rPr>
        <w:t xml:space="preserve">و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قد نوقش الوحيد بأنه إن كان نظره إلى حكم العلامة بصحة روايته فهو لا يدل على توثيقه، لأن الحكم من باب الشهادة بالصحة، و ربما كان مبنيا على ما رجحه من دون قطع له فيه به، و شهادته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توثيقه، و عن المتوسط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توجد عندنا منه نسخه خطية ممتازة مكتوبة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العبارة هناك و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صحح العلامة رحمه اللّه كثيرا من الروايات و هو في الطريق بحيث لا يحتمل الغفلة، و لم أر الى الآن و لم اسمع من أحد يتأمل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من المشايخ المعتبرين، و قد صحح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في الطريق، بحيث لا يحتمل الغفلة، و لم أدر إلى الآن و لا أسمع من أحد يتأمل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الشيخ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ينص على تعديله 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فيما سمعت مما يتعلق بأحواله كفاية،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كثيرا، و هو من مشايخه، و الواسطة بينه و بين سعد بن عبد اللّه، و مثلهما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الحسين علي بن أبي جيد</w:t>
      </w:r>
      <w:r>
        <w:rPr>
          <w:rStyle w:val="FootnoteAnchor"/>
          <w:rtl w:val="true"/>
        </w:rPr>
        <w:footnoteReference w:id="314"/>
      </w:r>
      <w:r>
        <w:rPr>
          <w:rFonts w:ascii="Amiri" w:hAnsi="Amiri" w:eastAsia="Amiri" w:cs="Amiri"/>
          <w:color w:val="111111"/>
          <w:sz w:val="28"/>
          <w:sz w:val="28"/>
          <w:szCs w:val="28"/>
          <w:rtl w:val="true"/>
          <w:lang w:bidi="ar-SA"/>
        </w:rPr>
        <w:t xml:space="preserve">،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الرواية </w:t>
      </w:r>
      <w:bookmarkStart w:id="220" w:name="pg15033_241559"/>
    </w:p>
    <w:p>
      <w:pPr>
        <w:pStyle w:val="BookText"/>
        <w:rPr/>
      </w:pPr>
      <w:bookmarkEnd w:id="220"/>
      <w:r>
        <w:rPr>
          <w:rFonts w:ascii="Amiri" w:hAnsi="Amiri" w:eastAsia="Amiri" w:cs="Amiri"/>
          <w:color w:val="111111"/>
          <w:sz w:val="28"/>
          <w:sz w:val="28"/>
          <w:szCs w:val="28"/>
          <w:rtl w:val="true"/>
          <w:lang w:bidi="ar-SA"/>
        </w:rPr>
        <w:t>عنه سيما في الاستبصار و سنده أعلى من سند المفيد، لأنه يروي عن محمد بن الحسن بن الوليد بغير واسطة، و هو من مشايخ النجاشي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و أمثالهم من مشايخ الأصحاب لنا ظن بحسن حالهم و عدالتهم، و قد عددت حديثهم في الحبل المتين و في هذا الكتاب في الصحيح جريا على منوال مشايخنا المتأخرين، و نرجو من اللّه سبحانه أن يكون اعتقادنا فيهم مطابقا للواقع، و هو ولي الإعانة و التوفيق</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متين، فإن من البعيد جدا اتخاذ أولئك الأجلاء الرجل الضعيف أو المجهول شيخا يكثرون الرواية عنه، و يظهرون الاعتناء به، مع ما علم من حالهم من القدح في جملة من الرواة، و إخراجهم لهم عن قم بأمور غير موجبة للفسق، أ لا ترى إلى إخراجهم رئيسهم أحمد بن محمد بن عيسى البرقي عنها لكونه يروي عن الضعفاء و يعتمد المراسيل، و حينئذ فرواية الجليل فضلا عن الأجلاء عن شخص مما يشهد بحسن حاله، بل ربما يشير إلى الوثاقة و الاعتماد، و إذا انضمت إلى ذلك قرائن أخر أفادت الظن بالعدالة و الثقة، و كان الخبر الذي رواه حجة شرعية، فعليك بالجد و الاجتهاد حتى لا تبادر إلى ترك ما هو حجة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316659_2142443653"/>
      <w:bookmarkStart w:id="222" w:name="_Toc83"/>
      <w:bookmarkEnd w:id="221"/>
      <w:r>
        <w:rPr>
          <w:rtl w:val="true"/>
        </w:rPr>
        <w:t>السادس</w:t>
      </w:r>
      <w:r>
        <w:rPr>
          <w:rtl w:val="true"/>
        </w:rPr>
        <w:t xml:space="preserve">: </w:t>
      </w:r>
      <w:r>
        <w:rPr>
          <w:rtl w:val="true"/>
        </w:rPr>
        <w:t>اذا روى ثقة عن ثقة حديثا و نفاه المروي عنه</w:t>
      </w:r>
      <w:bookmarkEnd w:id="22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روى ثقة عن ثقة حديثا، و روجع المروي عنه في ذلك الحديث فنفاه و أنكر روايته، و كان جازما بنفيه، بأن قال </w:t>
      </w:r>
    </w:p>
    <w:p>
      <w:pPr>
        <w:pStyle w:val="BookText"/>
        <w:rPr/>
      </w:pPr>
      <w:r>
        <w:rPr>
          <w:rFonts w:ascii="Amiri" w:hAnsi="Amiri" w:eastAsia="Amiri" w:cs="Amiri"/>
          <w:color w:val="111111"/>
          <w:sz w:val="28"/>
          <w:sz w:val="28"/>
          <w:szCs w:val="28"/>
          <w:rtl w:val="true"/>
          <w:lang w:bidi="ar-SA"/>
        </w:rPr>
        <w:t>على وجه الجزم ما رويته، أو كذب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فقد صرح جمع بأنه يتعارض الجزمان، و الجاحد هو الأصل</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هو نظير البينتين إذا تكاذبتا، إذ الشيخ قطع بكذب الراوي، و الراوي قطع بالنقل، و لكل منهما جهة ترجيح، فيتعارضا و يتساقطا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حينئذ فيجب ردّ ذلك الحديث، لكن لا يكون ذلك جرحا للفرع و لا يقدح في باقي رواياته عنه و لا عن غيره، و إن كان مكذّبا لشيخه في ذلك، إذ ليس قبول جرح شيخه له بأولى من قبول جرحه لشيخه فتساقطا، و مقابل قول الجماعة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 ذلك الحديث المروي، حكي اختياره عن السمعاني و الشافعي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ذلك في صحة ذلك الحديث، إلا أنه لا يجوز للفرع أن يرويه عن ذلك الأصل، جزم به الماوردي و الروياني</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المسألة في كتب العامة في ما إذا روى حديثا ثم نفاه المسمع، ثم عددت هذه الأقوال، لا ما إذا روى ثقة عن ثقة حديثا و روجع المروي عنه في ذلك الحديث فنفاه،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يتعارضان و يرجّح أحدهما بأحد المرجحات، حكي ذلك عن إمام الحرمين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كل ذلك عدا الأول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أنكر الأصل رواية ذلك الحديث و كان جازما بنفيه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لم ينكره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أو لا أذكره، أو</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ذلك مما يقتضي جواز نسيانه لم يقدح ذلك في رواية الفرع على الأصح الأشهر، لعدم دلالة كلامه على تكذيب الفرع لاحتمال السهو و النسيان من الأصل، و الحال أن الفرع ثقة جازم فلا يرد بالاحتمال</w:t>
      </w:r>
      <w:r>
        <w:rPr>
          <w:rStyle w:val="FootnoteAnchor"/>
          <w:rtl w:val="true"/>
        </w:rPr>
        <w:footnoteReference w:id="322"/>
      </w:r>
      <w:r>
        <w:rPr>
          <w:rFonts w:ascii="Amiri" w:hAnsi="Amiri" w:eastAsia="Amiri" w:cs="Amiri"/>
          <w:color w:val="111111"/>
          <w:sz w:val="28"/>
          <w:sz w:val="28"/>
          <w:szCs w:val="28"/>
          <w:rtl w:val="true"/>
          <w:lang w:bidi="ar-SA"/>
        </w:rPr>
        <w:t>، بل كما لا تبطل رواية الفرع و يجوز لغيره أن يروي عنه بعد ذلك، فكذا يجوز للمروي عنه أولا الذي لا يذكر الحديث روايته عمّن ادعى أنه سمعه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الذي قد صار فرعا إذا أراد التحديث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عني أني حدثته عن فلان بكذا و كذا</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كثير من الأكابر أحاديث نسوها بعد ما حدثوا بها، و كان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عني عن فلان بكذا، و صنّف في ذلك الخطيب البغدادي أخبار من حدث و نسى، و كذلك الدارقطني</w:t>
      </w:r>
      <w:r>
        <w:rPr>
          <w:rStyle w:val="FootnoteAnchor"/>
          <w:rtl w:val="true"/>
        </w:rPr>
        <w:footnoteReference w:id="324"/>
      </w:r>
      <w:r>
        <w:rPr>
          <w:rFonts w:ascii="Amiri" w:hAnsi="Amiri" w:eastAsia="Amiri" w:cs="Amiri"/>
          <w:color w:val="111111"/>
          <w:sz w:val="28"/>
          <w:sz w:val="28"/>
          <w:szCs w:val="28"/>
          <w:rtl w:val="true"/>
          <w:lang w:bidi="ar-SA"/>
        </w:rPr>
        <w:t xml:space="preserve">، و من ذلك حديث ربيعة بن أبي عبد الرحمن، عن </w:t>
      </w:r>
    </w:p>
    <w:p>
      <w:pPr>
        <w:pStyle w:val="BookText"/>
        <w:rPr/>
      </w:pPr>
      <w:r>
        <w:rPr>
          <w:rFonts w:ascii="Amiri" w:hAnsi="Amiri" w:eastAsia="Amiri" w:cs="Amiri"/>
          <w:color w:val="111111"/>
          <w:sz w:val="28"/>
          <w:sz w:val="28"/>
          <w:szCs w:val="28"/>
          <w:rtl w:val="true"/>
          <w:lang w:bidi="ar-SA"/>
        </w:rPr>
        <w:t xml:space="preserve">سهيل بن أبي صالح، عن أبيه، 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باليمين مع الشاهد</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انظر من مجاميع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الاحكام،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لسهيل فقال أخبرني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حدثته إياه و لا أحفظه،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سهيل أصابته علّة أذهبت بعض عقله و نسى بعض حديثه، و كان سهيل بعد يحدثه عن ربيعة، عنه،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فجمهور أهل الحديث و الفقه و الكلام على أن من روى حديثا ثم نسيه، جاز العمل به لوجود المقتضى و عدم المانع، إذ ليس إلا صيرورة الأصل فرعا، و ذلك غير صالح للمانعية، و خالف في ذلك بعض الحنفية فأسقطوه عن الاعتبار، و هو منهم خطأ</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لذلك بأن الأصل كما أنه معرض للسهو و النسيان فكذا الفرع مردود، بأن الأصل غير ناف وقوعه، غايته أنه غير ذاكر، و الفرع جازم فيقدم عليه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23" w:name="pg15033_241563"/>
    </w:p>
    <w:p>
      <w:pPr>
        <w:pStyle w:val="Heading3"/>
        <w:numPr>
          <w:ilvl w:val="2"/>
          <w:numId w:val="1"/>
        </w:numPr>
        <w:rPr/>
      </w:pPr>
      <w:bookmarkStart w:id="224" w:name="__RefHeading___Toc316661_2142443653"/>
      <w:bookmarkStart w:id="225" w:name="_Toc84"/>
      <w:bookmarkEnd w:id="223"/>
      <w:bookmarkEnd w:id="224"/>
      <w:r>
        <w:rPr>
          <w:rtl w:val="true"/>
        </w:rPr>
        <w:t>الجهة السادسة في بيان الألفاظ المستعملة في التعديل و الجرح بين أهل هذا الشأن</w:t>
      </w:r>
      <w:r>
        <w:rPr>
          <w:rtl w:val="true"/>
        </w:rPr>
        <w:t>:</w:t>
      </w:r>
      <w:bookmarkEnd w:id="225"/>
    </w:p>
    <w:p>
      <w:pPr>
        <w:pStyle w:val="Heading4"/>
        <w:numPr>
          <w:ilvl w:val="3"/>
          <w:numId w:val="1"/>
        </w:numPr>
        <w:rPr/>
      </w:pPr>
      <w:bookmarkStart w:id="226" w:name="__RefHeading___Toc316663_2142443653"/>
      <w:bookmarkStart w:id="227" w:name="_Toc85"/>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قد استعمل المحدثون و علماء الرجال ألفاظا في التزكية و المدح، و أمارات دالة على المدح و ألفاظا في الجرح و الذم، و أمارات دالة على الذم، و لا بد من البحث عن كل منها ليتبين الصريح منها من الظاهر، و تذييلها بسائر الألفاظ المستعملة في كلمات أهل الرجال الغير</w:t>
      </w:r>
      <w:r>
        <w:rPr>
          <w:rStyle w:val="FootnoteAnchor"/>
          <w:rtl w:val="true"/>
        </w:rPr>
        <w:footnoteReference w:id="327"/>
      </w:r>
      <w:r>
        <w:rPr>
          <w:rFonts w:ascii="Amiri" w:hAnsi="Amiri" w:eastAsia="Amiri" w:cs="Amiri"/>
          <w:color w:val="111111"/>
          <w:sz w:val="28"/>
          <w:sz w:val="28"/>
          <w:szCs w:val="28"/>
          <w:rtl w:val="true"/>
          <w:lang w:bidi="ar-SA"/>
        </w:rPr>
        <w:t>الدالّة على التحقيق على مدح و لا قدح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فنضع الكلام في مقامات</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5033_241565"/>
      <w:bookmarkStart w:id="229" w:name="pg15033_241565"/>
      <w:bookmarkEnd w:id="229"/>
    </w:p>
    <w:p>
      <w:pPr>
        <w:pStyle w:val="Heading4"/>
        <w:numPr>
          <w:ilvl w:val="3"/>
          <w:numId w:val="1"/>
        </w:numPr>
        <w:rPr/>
      </w:pPr>
      <w:bookmarkStart w:id="230" w:name="pg15033_241565"/>
      <w:bookmarkStart w:id="231" w:name="__RefHeading___Toc316665_2142443653"/>
      <w:bookmarkStart w:id="232" w:name="_Toc86"/>
      <w:bookmarkEnd w:id="230"/>
      <w:bookmarkEnd w:id="231"/>
      <w:r>
        <w:rPr>
          <w:rtl w:val="true"/>
        </w:rPr>
        <w:t>المقام الأول في ألفاظ المدح و هي على أقسام</w:t>
      </w:r>
      <w:r>
        <w:rPr>
          <w:rtl w:val="true"/>
        </w:rPr>
        <w:t>:</w:t>
      </w:r>
      <w:bookmarkEnd w:id="232"/>
    </w:p>
    <w:p>
      <w:pPr>
        <w:pStyle w:val="Heading5"/>
        <w:numPr>
          <w:ilvl w:val="4"/>
          <w:numId w:val="1"/>
        </w:numPr>
        <w:rPr/>
      </w:pPr>
      <w:bookmarkStart w:id="233" w:name="__RefHeading___Toc316667_2142443653"/>
      <w:bookmarkStart w:id="234" w:name="_Toc87"/>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المقام الأول في ألفاظ المدح</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ألفاظ التعديل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 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ثقة و حجة، و الباقي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للتوسع في ألفاظ التوثيق و الجرح، 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الراشحة الثانية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مدح الراوي و حسن حاله مطابقة، و حسن روايته بالالتزام، كثقة و عدل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بالعكس، كصحيح الحديث، و ثقة في الحديث، و صدوق، و شيخ الإجازة، و أجمع على تصديقه، أو على تصحيح ما يصح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يبلغ المدح المستفاد منه إلى حد التوثيق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دالا على الاعتقاد الحق أو خلافه أم لا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اثنا عشر قسما، و يزيد بضم بعض الامور إليه، بأن يكون مع ما ذكر، له دخل في قوة المتن كفقيه، و رئيس العلماء، و فهيم، و حافظ، و له ذهن وقّاد و طبع نقّاد،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 لا يكون كذلك، و كذا بتعميم المدح إلى ما ليس له دخل لا في السند و لا في المتن كقارئ و منشئ و شاعر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ثم لا يخفى أن منشأ صيرورة الحديث حسنا أو قويا هي الألفاظ التي لها دخل في قوة السند و صدق القول مثل صالح، عدل، خيّر، أما الألفاظ التي لها دخل في المتن كحافظ و فهيم و عالم و غير ذلك فتعتبر في مقام الترجيح و التقوية بعد كون الحديث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أو قارئ و نظائرهما التي لا دخل لها في المتن و لا السند فلا اعتبار لها من جهة الراوي أو المروي، نعم ربما تضمّ إلى بعض التوثيقات و التعديلات و تصير من أسباب الحسن و القوة إظهارا لزيادة الكمال فهي من المكملات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المولى الوحيد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المولى الكني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فمراتب المدح متفاوتة جدا، و لا بد من القدر المعتد به في الجملة كي يحكم بالتوثيق و التعديل أو الحسن كما لا يخفى، و قد يحصل المعتد به باجتماع قرائن كثيرة كي يصير معتبرا في مقام التقوية و الترجيح،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اعتبار هذه الألفاظ و دلالتها على المدح أو التوثيق فيما لو صدرت من أصحابنا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يفيد قدحهم مدحا و مدحهم ذما كالرافضي و الشيعي و غيرهما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5033_241567"/>
    </w:p>
    <w:p>
      <w:pPr>
        <w:pStyle w:val="BookText"/>
        <w:rPr/>
      </w:pPr>
      <w:bookmarkEnd w:id="235"/>
      <w:r>
        <w:rPr>
          <w:rFonts w:ascii="Amiri" w:hAnsi="Amiri" w:eastAsia="Amiri" w:cs="Amiri"/>
          <w:color w:val="111111"/>
          <w:sz w:val="28"/>
          <w:sz w:val="28"/>
          <w:szCs w:val="28"/>
          <w:rtl w:val="true"/>
          <w:lang w:bidi="ar-SA"/>
        </w:rPr>
        <w:t>ثم اعلم أن الذي فهمته أن الأواخر إذا قالوا الوثاقة بالمعنى الأعم أرادوا بذلك كون الرجل في نفسه محل وثوق و طمأنينة من دون نظر إلى مذهبه، و إذا قالوا الوثاقة بالمعنى الأخص أرادوا به كونه عدلا إماميا ضابطا، و إذا قالوا العدالة بالمعنى الأخص أرادوا به العدالة في مذهبنا، و إذا قالوا العدالة بالمعنى الاعم أرادوا بذلك كونه ذا ملكة و إن لم يكن إماميا، بأن كان عدلا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قد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ألفاظ المدح قولهم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16669_2142443653"/>
      <w:bookmarkStart w:id="237" w:name="_Toc88"/>
      <w:bookmarkEnd w:id="236"/>
      <w:r>
        <w:rPr>
          <w:rtl w:val="true"/>
        </w:rPr>
        <w:t>قولهم</w:t>
      </w:r>
      <w:r>
        <w:rPr>
          <w:rtl w:val="true"/>
        </w:rPr>
        <w:t xml:space="preserve">: </w:t>
      </w:r>
      <w:r>
        <w:rPr>
          <w:rtl w:val="true"/>
        </w:rPr>
        <w:t>فلان عدل امامي ضابط</w:t>
      </w:r>
      <w:bookmarkEnd w:id="237"/>
    </w:p>
    <w:p>
      <w:pPr>
        <w:pStyle w:val="BookText"/>
        <w:rPr/>
      </w:pPr>
      <w:r>
        <w:rPr>
          <w:rFonts w:ascii="Amiri" w:hAnsi="Amiri" w:eastAsia="Amiri" w:cs="Amiri"/>
          <w:color w:val="111111"/>
          <w:sz w:val="28"/>
          <w:sz w:val="28"/>
          <w:szCs w:val="28"/>
          <w:rtl w:val="true"/>
          <w:lang w:bidi="ar-SA"/>
        </w:rPr>
        <w:t>فلان عدل إمامي ضابط،</w:t>
      </w:r>
    </w:p>
    <w:p>
      <w:pPr>
        <w:pStyle w:val="Heading5"/>
        <w:numPr>
          <w:ilvl w:val="4"/>
          <w:numId w:val="1"/>
        </w:numPr>
        <w:rPr/>
      </w:pPr>
      <w:bookmarkStart w:id="238" w:name="__RefHeading___Toc316671_2142443653"/>
      <w:bookmarkStart w:id="239" w:name="_Toc89"/>
      <w:bookmarkEnd w:id="238"/>
      <w:r>
        <w:rPr>
          <w:rtl w:val="true"/>
        </w:rPr>
        <w:t>قولهم</w:t>
      </w:r>
      <w:r>
        <w:rPr>
          <w:rtl w:val="true"/>
        </w:rPr>
        <w:t xml:space="preserve">: </w:t>
      </w:r>
      <w:r>
        <w:rPr>
          <w:rtl w:val="true"/>
        </w:rPr>
        <w:t>عدل من اصحابنا الامامية ضابط</w:t>
      </w:r>
      <w:bookmarkEnd w:id="239"/>
    </w:p>
    <w:p>
      <w:pPr>
        <w:pStyle w:val="BookText"/>
        <w:rPr/>
      </w:pPr>
      <w:r>
        <w:rPr>
          <w:rFonts w:ascii="Amiri" w:hAnsi="Amiri" w:eastAsia="Amiri" w:cs="Amiri"/>
          <w:color w:val="111111"/>
          <w:sz w:val="28"/>
          <w:sz w:val="28"/>
          <w:szCs w:val="28"/>
          <w:rtl w:val="true"/>
          <w:lang w:bidi="ar-SA"/>
        </w:rPr>
        <w:t>أو عدل من اصحابنا الإمامية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أحسن العبائر و أصرحها في جعل الرجل من الصحاح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نفى بعض من عاصرناه من الأجلة</w:t>
      </w:r>
      <w:r>
        <w:rPr>
          <w:rStyle w:val="FootnoteAnchor"/>
          <w:rtl w:val="true"/>
        </w:rPr>
        <w:footnoteReference w:id="331"/>
      </w:r>
      <w:r>
        <w:rPr>
          <w:rFonts w:ascii="Amiri" w:hAnsi="Amiri" w:eastAsia="Amiri" w:cs="Amiri"/>
          <w:color w:val="111111"/>
          <w:sz w:val="28"/>
          <w:sz w:val="28"/>
          <w:szCs w:val="28"/>
          <w:rtl w:val="true"/>
          <w:lang w:bidi="ar-SA"/>
        </w:rPr>
        <w:t xml:space="preserve">الخلاف في إفادته التزكية </w:t>
      </w:r>
    </w:p>
    <w:p>
      <w:pPr>
        <w:pStyle w:val="BookText"/>
        <w:rPr/>
      </w:pPr>
      <w:r>
        <w:rPr>
          <w:rFonts w:ascii="Amiri" w:hAnsi="Amiri" w:eastAsia="Amiri" w:cs="Amiri"/>
          <w:color w:val="111111"/>
          <w:sz w:val="28"/>
          <w:sz w:val="28"/>
          <w:szCs w:val="28"/>
          <w:rtl w:val="true"/>
          <w:lang w:bidi="ar-SA"/>
        </w:rPr>
        <w:t>المترتب عليها التصحيح بالاصطلاح المتأخر، حتى إذا كان المزكي من إحدى فرق الشيعة الغير</w:t>
      </w:r>
      <w:r>
        <w:rPr>
          <w:rStyle w:val="FootnoteAnchor"/>
          <w:rtl w:val="true"/>
        </w:rPr>
        <w:footnoteReference w:id="332"/>
      </w:r>
      <w:r>
        <w:rPr>
          <w:rFonts w:ascii="Amiri" w:hAnsi="Amiri" w:eastAsia="Amiri" w:cs="Amiri"/>
          <w:color w:val="111111"/>
          <w:sz w:val="28"/>
          <w:sz w:val="28"/>
          <w:szCs w:val="28"/>
          <w:rtl w:val="true"/>
          <w:lang w:bidi="ar-SA"/>
        </w:rPr>
        <w:t>الاثنى عشرية</w:t>
      </w:r>
      <w:r>
        <w:rPr>
          <w:rStyle w:val="FootnoteAnchor"/>
          <w:rtl w:val="true"/>
        </w:rPr>
        <w:footnoteReference w:id="333"/>
      </w:r>
      <w:r>
        <w:rPr>
          <w:rFonts w:ascii="Amiri" w:hAnsi="Amiri" w:eastAsia="Amiri" w:cs="Amiri"/>
          <w:color w:val="111111"/>
          <w:sz w:val="28"/>
          <w:sz w:val="28"/>
          <w:szCs w:val="28"/>
          <w:rtl w:val="true"/>
          <w:lang w:bidi="ar-SA"/>
        </w:rPr>
        <w:t>، فإن كونه منهم لا يكشف عن إرادته بالإمامي الإمامي بالمعنى الأعم الشامل لتلك الفرق، ضرورة ظهور الإمامي في الاثنى عشري، و كونه اصطلاحا فيه، فوثاقة المزكى تمنع من إرادته باللفظ خلاف ظاهره، كما أنها تمنع من إرادته بالعدالة إلا ما وقع الاتفاق عليه، كما مر توضيحه في ذيل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اقتصر على أحد الألفاظ الثلاثة أو اثنين منها فإن كان أحد الأخيرين أو هما فلا ريب في عدم إفادته المدح البالغ حدّ التوثيق، بل و لا مطلق المدح، و إن كان غيرهما فإما أن يكون الأول خاصة، أو هو مع الثاني، أو هو مع الثالث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الاقتصار على كلمة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الاقتصار على المذكور أو استفادة مفاد الأخيرين منه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منهما أن إحراز كل من الثلاثة شرط في قبول خبره، و الأصل عدم تحقق الشرط إلا بمقدار ما وقع التصريح به، و الاقتصار على المتيقن و دفع المشكوك بالأصل لازم، و لكن الأظهر هو الوجه الثاني</w:t>
      </w:r>
      <w:r>
        <w:rPr>
          <w:rStyle w:val="FootnoteAnchor"/>
          <w:rtl w:val="true"/>
        </w:rPr>
        <w:footnoteReference w:id="334"/>
      </w:r>
      <w:r>
        <w:rPr>
          <w:rFonts w:ascii="Amiri" w:hAnsi="Amiri" w:eastAsia="Amiri" w:cs="Amiri"/>
          <w:color w:val="111111"/>
          <w:sz w:val="28"/>
          <w:sz w:val="28"/>
          <w:szCs w:val="28"/>
          <w:rtl w:val="true"/>
          <w:lang w:bidi="ar-SA"/>
        </w:rPr>
        <w:t>، وفاقا لجمع من أهل التحقيق</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لنا؛ أما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إغناء قولهم عدل عن التصريح بكونه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العدالة المطلقة فرع الإسلام و الإيمان، فإن الكافر و المخالف و الفرق الباطلة من الشيعة ليسوا بعدول قطعا، فحمل العدل في كلام الشاهد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إذ لا يعدل عن الظاهر إلا لدليل هو هنا مفقود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 هذا الظاهر تارة بالاصالة المستفادة من ولادة كل شخص على الفطرة الظاهرة في التامة في الحق، و لو لانصرافها إليها، فتأمل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كلمات أهل الرجال بذلك، فإن المذكور في أوائل كثير من الكتب الرجالية ككتاب النجاشي</w:t>
      </w:r>
      <w:r>
        <w:rPr>
          <w:rStyle w:val="FootnoteAnchor"/>
          <w:rtl w:val="true"/>
        </w:rPr>
        <w:footnoteReference w:id="336"/>
      </w:r>
      <w:r>
        <w:rPr>
          <w:rFonts w:ascii="IRNazanin" w:hAnsi="IRNazanin" w:eastAsia="IRNazanin"/>
          <w:color w:val="111111"/>
          <w:sz w:val="28"/>
          <w:sz w:val="28"/>
          <w:szCs w:val="28"/>
          <w:rtl w:val="true"/>
          <w:lang w:bidi="fa-IR"/>
        </w:rPr>
        <w:t>، و الفهرست</w:t>
      </w:r>
      <w:r>
        <w:rPr>
          <w:rStyle w:val="FootnoteAnchor"/>
          <w:rtl w:val="true"/>
        </w:rPr>
        <w:footnoteReference w:id="337"/>
      </w:r>
      <w:r>
        <w:rPr>
          <w:rFonts w:ascii="IRNazanin" w:hAnsi="IRNazanin" w:eastAsia="IRNazanin"/>
          <w:color w:val="111111"/>
          <w:sz w:val="28"/>
          <w:sz w:val="28"/>
          <w:szCs w:val="28"/>
          <w:rtl w:val="true"/>
          <w:lang w:bidi="fa-IR"/>
        </w:rPr>
        <w:t>، و رجال ابن شهرآشوب</w:t>
      </w:r>
      <w:r>
        <w:rPr>
          <w:rStyle w:val="FootnoteAnchor"/>
          <w:rtl w:val="true"/>
        </w:rPr>
        <w:footnoteReference w:id="338"/>
      </w:r>
      <w:r>
        <w:rPr>
          <w:rFonts w:ascii="Amiri" w:hAnsi="Amiri" w:eastAsia="Amiri" w:cs="Amiri"/>
          <w:color w:val="111111"/>
          <w:sz w:val="28"/>
          <w:sz w:val="28"/>
          <w:szCs w:val="28"/>
          <w:rtl w:val="true"/>
          <w:lang w:bidi="ar-SA"/>
        </w:rPr>
        <w:t>أنها موضوعة لذكر رجال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عن الحاوي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إطلاق الأصحاب لذكر الرجال يقتضي كونه إماميا، فلا يحتاج إلى التقييد بكونه من أصحابنا، و لو </w:t>
      </w:r>
    </w:p>
    <w:p>
      <w:pPr>
        <w:pStyle w:val="BookText"/>
        <w:rPr/>
      </w:pPr>
      <w:r>
        <w:rPr>
          <w:rFonts w:ascii="Amiri" w:hAnsi="Amiri" w:eastAsia="Amiri" w:cs="Amiri"/>
          <w:color w:val="111111"/>
          <w:sz w:val="28"/>
          <w:sz w:val="28"/>
          <w:szCs w:val="28"/>
          <w:rtl w:val="true"/>
          <w:lang w:bidi="ar-SA"/>
        </w:rPr>
        <w:t>صرح كان تصريحا بما علم من العادة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رواشح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ذكر النجاشي كون الرجل إماميا في ترجمته يدلّ على عدم كونه عاميا عنده</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كلام القوم في جمع من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كالنجاشي و العلامة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ذكروا رجلا و لم يمدح و لم يقدح منهم فهل يدّل ذلك على وثاقته أو حسنه أو قوته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منتهى المقال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جملة كلام له ذكرناه في بعض ما كتبنا على التهذيب أن عدم نقل النجاشي كونه عاميا يدلّ على نفيه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كفاية قولهم عدل في التزكية المترتب عليها التصحيح، و عدم اعتبار التصريح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يستفاد </w:t>
      </w:r>
    </w:p>
    <w:p>
      <w:pPr>
        <w:pStyle w:val="BookText"/>
        <w:rPr/>
      </w:pPr>
      <w:r>
        <w:rPr>
          <w:rFonts w:ascii="Amiri" w:hAnsi="Amiri" w:eastAsia="Amiri" w:cs="Amiri"/>
          <w:color w:val="111111"/>
          <w:sz w:val="28"/>
          <w:sz w:val="28"/>
          <w:szCs w:val="28"/>
          <w:rtl w:val="true"/>
          <w:lang w:bidi="ar-SA"/>
        </w:rPr>
        <w:t>الضبط بمئونة غلبة الضبط في الرواة المؤيدة تلك الغلبة بالأصل، كما تقدمت الإشارة إلى ذلك في ذيل الكلام على اعتبار الضبط</w:t>
      </w:r>
      <w:r>
        <w:rPr>
          <w:rStyle w:val="FootnoteAnchor"/>
          <w:rtl w:val="true"/>
        </w:rPr>
        <w:footnoteReference w:id="34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علّل بعضهم إغناء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التصريح بالإمامية و الضبط بظهور قولهم في ذلك عند الإطلاق، أما لانصرافه إلى الفرد الكامل، أو لأن القائل إذا شهد به فظاهره بيان أنه ممن يترتب على قوله ما يترتب على قول البينة إذا انضم إلى مثله، و على الشاهد الواحد مع عدمه، بل ظاهره بيان أنه ممن يثبت له جميع آثار العدالة خصوصا في علم الرجال الموضوع لتشخيص من يؤخذ بقوله و لو مع فقد قرائن أخر للاعتماد و الاعتبار، و لعله لذلك يكتفي بالشهادة بالعدالة في تزكية الشاهد في مقام المرافعات و التقليد مع اعتبار الإمامية و الضبط في الشاهد و المجتهد المقلد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 المطلوب بأنهم يصفون الخبر بالحسن إذا مدح رواته بما لا يبلغ الوثاقة مع اعتبار الضبط و الإمامية في العمل به، بل في مفهومه أيضا، و كذا في الموثق بالنسبة إلى الضبط، و أقوى تأييدا لاستفادة الضبط بعد البناء على اعتباره أنهم قلّما يذكرونه في حق الرجال، فلو لا دلالة المدح و التوثيق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على الضبط لكان مدحهم و توثيقهم من غير تصريح بالضبط خاليا عن فائدة، فتصريحهم في بعض الرجال بالضبط تأكيد منهم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الحال فيما لو اقتصر على اللفظ الأول مع الثاني أو هو مع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0" w:name="pg15033_241572"/>
    </w:p>
    <w:p>
      <w:pPr>
        <w:pStyle w:val="Heading5"/>
        <w:numPr>
          <w:ilvl w:val="4"/>
          <w:numId w:val="1"/>
        </w:numPr>
        <w:rPr/>
      </w:pPr>
      <w:bookmarkStart w:id="241" w:name="__RefHeading___Toc316673_2142443653"/>
      <w:bookmarkStart w:id="242" w:name="_Toc90"/>
      <w:bookmarkEnd w:id="240"/>
      <w:bookmarkEnd w:id="241"/>
      <w:r>
        <w:rPr>
          <w:rtl w:val="true"/>
        </w:rPr>
        <w:t>قولهم</w:t>
      </w:r>
      <w:r>
        <w:rPr>
          <w:rtl w:val="true"/>
        </w:rPr>
        <w:t xml:space="preserve">: </w:t>
      </w:r>
      <w:r>
        <w:rPr>
          <w:rtl w:val="true"/>
        </w:rPr>
        <w:t>ثقة</w:t>
      </w:r>
      <w:bookmarkEnd w:id="242"/>
    </w:p>
    <w:p>
      <w:pPr>
        <w:pStyle w:val="Heading6"/>
        <w:numPr>
          <w:ilvl w:val="5"/>
          <w:numId w:val="1"/>
        </w:numPr>
        <w:rPr/>
      </w:pPr>
      <w:bookmarkStart w:id="243" w:name="__RefHeading___Toc316675_2142443653"/>
      <w:bookmarkStart w:id="244" w:name="_Toc91"/>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ascii="Amiri" w:hAnsi="Amiri" w:eastAsia="Amiri" w:cs="Amiri"/>
          <w:color w:val="111111"/>
          <w:sz w:val="28"/>
          <w:sz w:val="28"/>
          <w:szCs w:val="28"/>
          <w:rtl w:val="true"/>
          <w:lang w:bidi="ar-SA"/>
        </w:rPr>
        <w:t>و أصلها من الوثوق،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به ثقة ائتمنه، و 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كذا قال في القاموس</w:t>
      </w:r>
      <w:r>
        <w:rPr>
          <w:rStyle w:val="FootnoteAnchor"/>
          <w:rtl w:val="true"/>
        </w:rPr>
        <w:footnoteReference w:id="3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قال في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كلمة تدلّ على عقد و إحكام، و وثقت الشيء أحكمته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الميثاق العهد المحكم، و هو ثقة، و قد وثقت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 يظهر من الشهيد في المسالك أنها حقيقة شرعية في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فهي صفة مشبهة تدل على الدوام و الثبوت، و تقتضي الاطمئنان من الكذب و التحرز عن السهو و النسيان، إذ مع اعتياد الرجل الكذب و كثرة السهو و النسيان لا يمكن الوثوق به، و يمكن أن يسري إلى باقي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المعاصي، فإن العادة تقضي بعدم الوثوق بشارب الخمر و مرتكب الفجور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المعاصي، و هذا هو المراد بالعدالة بمعنى الملكة التي تبعث على ملازمة التقوى و اجتناب الكبائر و الإصرار على الصغائر، و لذلك اتفق الكل على إثبات العدالة بهذه الكلمة من غير شك و لا اضطراب</w:t>
      </w:r>
      <w:r>
        <w:rPr>
          <w:rStyle w:val="FootnoteAnchor"/>
          <w:rtl w:val="true"/>
        </w:rPr>
        <w:footnoteReference w:id="347"/>
      </w:r>
      <w:r>
        <w:rPr>
          <w:rFonts w:ascii="Amiri" w:hAnsi="Amiri" w:eastAsia="Amiri" w:cs="Amiri"/>
          <w:color w:val="111111"/>
          <w:sz w:val="28"/>
          <w:sz w:val="28"/>
          <w:szCs w:val="28"/>
          <w:rtl w:val="true"/>
          <w:lang w:bidi="ar-SA"/>
        </w:rPr>
        <w:t>، و حينئذ فحيثما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تستعمل هذه الكلمة في كتب الرجال مطلقا من غير تعقيبها بما يكشف عن فساد المذهب تكفي في إفادتها التزكية المترتب عليها التصحيح باصطلاح المتأخرين، لشهادة جمع باستقرار اصطلاحهم على إرادة العدل الإمامي الضابط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في تنبيهات الكلام على اشتراط </w:t>
      </w:r>
    </w:p>
    <w:p>
      <w:pPr>
        <w:pStyle w:val="BookText"/>
        <w:rPr/>
      </w:pPr>
      <w:r>
        <w:rPr>
          <w:rFonts w:ascii="Amiri" w:hAnsi="Amiri" w:eastAsia="Amiri" w:cs="Amiri"/>
          <w:color w:val="111111"/>
          <w:sz w:val="28"/>
          <w:sz w:val="28"/>
          <w:szCs w:val="28"/>
          <w:rtl w:val="true"/>
          <w:lang w:bidi="ar-SA"/>
        </w:rPr>
        <w:t>الضبط عبارة مشرق الشمسين الناطقة بذلك</w:t>
      </w:r>
      <w:r>
        <w:rPr>
          <w:rStyle w:val="FootnoteAnchor"/>
          <w:rtl w:val="true"/>
        </w:rPr>
        <w:footnoteReference w:id="350"/>
      </w:r>
      <w:r>
        <w:rPr>
          <w:rFonts w:ascii="Amiri" w:hAnsi="Amiri" w:eastAsia="Amiri" w:cs="Amiri"/>
          <w:color w:val="111111"/>
          <w:sz w:val="28"/>
          <w:sz w:val="28"/>
          <w:szCs w:val="28"/>
          <w:rtl w:val="true"/>
          <w:lang w:bidi="ar-SA"/>
        </w:rPr>
        <w:t>و بان السر في عدولهم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افادة الضبط، لاجتماع العدالة مع عدم الضبط بخلاف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اذ لا وثوق بمن يتساوى سهوه و ذكره أو يغلب سهوه على ذكره، فقولهم ثقة اقوى في التزكية المصححة للحديث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الضبط هناك كان يحرز بالاصل و الغلبة، و هنا بدلالة اللفظ بعد استقرار اصطلاحهم المذكور مع ما تقرر في محله من حمل كلام كل ذي اصطلاح على مصطلحه عند عدم القرينة على الخلاف، و كفى بالمحقق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باستقرار الاصطلاح</w:t>
      </w:r>
      <w:r>
        <w:rPr>
          <w:rStyle w:val="FootnoteAnchor"/>
          <w:rtl w:val="true"/>
        </w:rPr>
        <w:footnoteReference w:id="351"/>
      </w:r>
      <w:r>
        <w:rPr>
          <w:rFonts w:ascii="Amiri" w:hAnsi="Amiri" w:eastAsia="Amiri" w:cs="Amiri"/>
          <w:color w:val="111111"/>
          <w:sz w:val="28"/>
          <w:sz w:val="28"/>
          <w:szCs w:val="28"/>
          <w:rtl w:val="true"/>
          <w:lang w:bidi="ar-SA"/>
        </w:rPr>
        <w:t xml:space="preserve">، مضافا الى تأييدها بشهادة المحقق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اذا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لم يتعرض لفساد المذهب، فظاهره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امامي، لان ديدنه التعرض للفساد، فعدمه ظاهر في عدم ظفره، و هو ظاهر في عدمه، لبعد وجوده مع عدم ظفره، لشدة بذل جهده و زيادة معرفته، و عليه جماعة من المحققين</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قصره على النجاشي محل منع، فان الاصحاب لا يفرقون بين صدور هذه الكلمة من النجاشي أو</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و لقد اجاد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ذلك من </w:t>
      </w:r>
    </w:p>
    <w:p>
      <w:pPr>
        <w:pStyle w:val="BookText"/>
        <w:rPr/>
      </w:pPr>
      <w:r>
        <w:rPr>
          <w:rFonts w:ascii="Amiri" w:hAnsi="Amiri" w:eastAsia="Amiri" w:cs="Amiri"/>
          <w:color w:val="111111"/>
          <w:sz w:val="28"/>
          <w:sz w:val="28"/>
          <w:szCs w:val="28"/>
          <w:rtl w:val="true"/>
          <w:lang w:bidi="ar-SA"/>
        </w:rPr>
        <w:t>المسلّمات في حق النجاشي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الرواية المتعارفة المسلّمة المقبولة انه اذا قال عدل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انهم يحكمون بمجرد هذا القول بانه عدل إمامي</w:t>
      </w:r>
      <w:r>
        <w:rPr>
          <w:rStyle w:val="FootnoteAnchor"/>
          <w:rtl w:val="true"/>
        </w:rPr>
        <w:footnoteReference w:id="354"/>
      </w:r>
      <w:r>
        <w:rPr>
          <w:rFonts w:ascii="Amiri" w:hAnsi="Amiri" w:eastAsia="Amiri" w:cs="Amiri"/>
          <w:color w:val="111111"/>
          <w:sz w:val="28"/>
          <w:sz w:val="28"/>
          <w:szCs w:val="28"/>
          <w:rtl w:val="true"/>
          <w:lang w:bidi="ar-SA"/>
        </w:rPr>
        <w:t>، اما لما ذكر، أو لأن الظاهر من الرواة التشيّع</w:t>
      </w:r>
      <w:r>
        <w:rPr>
          <w:rStyle w:val="FootnoteAnchor"/>
          <w:rtl w:val="true"/>
        </w:rPr>
        <w:footnoteReference w:id="355"/>
      </w:r>
      <w:r>
        <w:rPr>
          <w:rFonts w:ascii="Amiri" w:hAnsi="Amiri" w:eastAsia="Amiri" w:cs="Amiri"/>
          <w:color w:val="111111"/>
          <w:sz w:val="28"/>
          <w:sz w:val="28"/>
          <w:szCs w:val="28"/>
          <w:rtl w:val="true"/>
          <w:lang w:bidi="ar-SA"/>
        </w:rPr>
        <w:t>، و الظاهر من الشيعة حسن العقيدة، أو لأنهم وجدوا منهم انهم اصطلحوا ذلك في الإمامية و ان كانوا يطلقون على غيرهم مع القرينة، فان معنى ثقة عادل أو عادل ثبت، فكما ان عادلا ظاهر فيهم فكذا ثقة، أو لأن المطلق ينصرف الى الكامل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ذلك على سبيل منع الخلو</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انك تراهم يصححون السند اذا كان رجاله ممن قيل في حقه ثقة أو عادل بدون التصريح بالضبط او كونه اماميا، مع ان المعروف المدعى عليه الاجماع اعتبار كونه اماميا ضابطا في التسمية </w:t>
      </w:r>
    </w:p>
    <w:p>
      <w:pPr>
        <w:pStyle w:val="BookText"/>
        <w:rPr/>
      </w:pPr>
      <w:r>
        <w:rPr>
          <w:rFonts w:ascii="Amiri" w:hAnsi="Amiri" w:eastAsia="Amiri" w:cs="Amiri"/>
          <w:color w:val="111111"/>
          <w:sz w:val="28"/>
          <w:sz w:val="28"/>
          <w:szCs w:val="28"/>
          <w:rtl w:val="true"/>
          <w:lang w:bidi="ar-SA"/>
        </w:rPr>
        <w:t>بالصحيح، فعملهم مع بنائهم على اشتراط الضبط أقوى شاهد على استفادة الضبط من هذه اللفظة</w:t>
      </w:r>
      <w:r>
        <w:rPr>
          <w:rStyle w:val="FootnoteAnchor"/>
          <w:rtl w:val="true"/>
        </w:rPr>
        <w:footnoteReference w:id="357"/>
      </w:r>
      <w:r>
        <w:rPr>
          <w:rFonts w:ascii="Amiri" w:hAnsi="Amiri" w:eastAsia="Amiri" w:cs="Amiri"/>
          <w:color w:val="111111"/>
          <w:sz w:val="28"/>
          <w:sz w:val="28"/>
          <w:szCs w:val="28"/>
          <w:rtl w:val="true"/>
          <w:lang w:bidi="ar-SA"/>
        </w:rPr>
        <w:t>فتأمل كي يظهر لك إمكان استفادة الضبط من الخارج صرفا للأصل أو للغلبة على ما مرّ</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ثم قد مرّ كلام الشيخ في العدة و غيره في بحث الصحيح، و أن اصطلاح القدماء في الصحيح أن يطلق على كل حديث اعتضد بما يقتضي الاعتماد عليه، أو اقترانه بما يوجب الوثوق به و الركون إليه، أما بالذات أو بالعرض، فتأمل أيضا كي يظهر لك الفرق بين الوصف للراوي و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جعل بعضهم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مع عدم التنبيه على فساد المذهب دالا على أمور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ضابط، للأصل و الغلبة المزبورتين، مضافا إلى تصريح اللغويين بما يقتضي ذلك، قال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الشيء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قوي و ثبت فهو وثيق ثابت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أوثقته جعلته وثيقا، و وثقت به أثق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وثوقا ائتمنته، و هو و هي و هم ثقة لأنه مصدر، و قد يجمع في الذكور و الإناث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كلمات غيره من أهل اللغة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الثقة بمن فيه وصف زائد على العدالة و هو الضبط إنما هو اصطلاح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ما سيأتي من البحث في كيفية الجمع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غير ضابط، حيث الكلام هنا ناظر إلى الاقتضاء الأولي للكلمة و المنصرف العرفي لها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 لا اعتماد مع عدم الضبط، و إذا ثبت ذلك لغة فكذا عرفا لأصالة عدم النقل، مضافا إلى التنافر في عرف أهل الرجال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كثير النسيان، ما ليس في قولهم فلان ثقة فطحي أو واقفي، و يقال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نصراني ثقة،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إمامي، للشهادات المزبورة، مضافا إلى كشف اللفظة عن العدالة كما يأتي، فتكشف عن الإمامية بالطريق الأولي</w:t>
      </w:r>
      <w:r>
        <w:rPr>
          <w:rStyle w:val="FootnoteAnchor"/>
          <w:rtl w:val="true"/>
        </w:rPr>
        <w:footnoteReference w:id="360"/>
      </w:r>
      <w:r>
        <w:rPr>
          <w:rFonts w:ascii="Amiri" w:hAnsi="Amiri" w:eastAsia="Amiri" w:cs="Amiri"/>
          <w:color w:val="111111"/>
          <w:sz w:val="28"/>
          <w:sz w:val="28"/>
          <w:szCs w:val="28"/>
          <w:rtl w:val="true"/>
          <w:lang w:bidi="ar-SA"/>
        </w:rPr>
        <w:t>، لوضوح عدم اجتماع العدالة المصطلحة مع فساد المذهب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مأمون الكذب صدوق معتمد عليه، لأنه مقتضى ما سمعت من أهل اللغة في تفسير اللفظة، مضافا إلى أنه المفهوم </w:t>
      </w:r>
    </w:p>
    <w:p>
      <w:pPr>
        <w:pStyle w:val="BookText"/>
        <w:rPr/>
      </w:pPr>
      <w:r>
        <w:rPr>
          <w:rFonts w:ascii="Amiri" w:hAnsi="Amiri" w:eastAsia="Amiri" w:cs="Amiri"/>
          <w:color w:val="111111"/>
          <w:sz w:val="28"/>
          <w:sz w:val="28"/>
          <w:szCs w:val="28"/>
          <w:rtl w:val="true"/>
          <w:lang w:bidi="ar-SA"/>
        </w:rPr>
        <w:t>و المتبادر منها عرفا، و إلى عدم صحة سلبها عمن اتصف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عادل متجنب عن المعاصي مقبول الشهادة، لتبادر ذلك من اللفظة و صحة السلب، فإنه يصح أن يقال لمن لم يكن عادلا أنه ليس بثقة و إن كان صدوقا، و يكذب من قال رأيت الثقة إذا رأى فاسقا متحرزا عن الكذب، و يستقبح قول فلان ثقة و يشرب النبيذ، كما يستقبح أن يستفهم بعد قوله فلان ثقة عن ارتكاب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المذكور مخالف للمعنى اللغوي، و هو مطلق الأمانة، فصيرورته حقيقة في هذا المعنى يستلزم النقل،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النقل لا تجري في قبال الوجوه المزبورة المثبتة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 تلك الوجوه كون لفظ الثقة حقيقة في المعنى المزبور في هذه الأزمنة، و لا يستلزم ذلك أن يكون كذلك في الأزمنة السابقة، كزمان الشيخ و النجاشي و العلامة، بل مقتضى أصالة تأخر الحادث الحكم بموافقة زمانهم لزمان اللغة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كلماتهم تكشف عن سبق النقل كما لا يخفى على من لاحظها، و كفاك 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الثقة و إن كانت مستعملة في أبواب الفقه أعمّ من العدالة، لكنها هنا لم تستعمل إلا بمعنى العدل، بل الأغلب </w:t>
      </w:r>
      <w:bookmarkStart w:id="245" w:name="pg15033_241579"/>
    </w:p>
    <w:p>
      <w:pPr>
        <w:pStyle w:val="BookText"/>
        <w:rPr/>
      </w:pPr>
      <w:bookmarkEnd w:id="245"/>
      <w:r>
        <w:rPr>
          <w:rFonts w:ascii="Amiri" w:hAnsi="Amiri" w:eastAsia="Amiri" w:cs="Amiri"/>
          <w:color w:val="111111"/>
          <w:sz w:val="28"/>
          <w:sz w:val="28"/>
          <w:szCs w:val="28"/>
          <w:rtl w:val="true"/>
          <w:lang w:bidi="ar-SA"/>
        </w:rPr>
        <w:t>استعمالها خاصة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تأخر الحادث محكومة بأصالة تشابه الأزمان</w:t>
      </w:r>
      <w:r>
        <w:rPr>
          <w:rStyle w:val="FootnoteAnchor"/>
          <w:rtl w:val="true"/>
        </w:rPr>
        <w:footnoteReference w:id="362"/>
      </w:r>
      <w:r>
        <w:rPr>
          <w:rFonts w:ascii="Amiri" w:hAnsi="Amiri" w:eastAsia="Amiri" w:cs="Amiri"/>
          <w:color w:val="111111"/>
          <w:sz w:val="28"/>
          <w:sz w:val="28"/>
          <w:szCs w:val="28"/>
          <w:rtl w:val="true"/>
          <w:lang w:bidi="ar-SA"/>
        </w:rPr>
        <w:t>، و لو تنزّلنا عن جميع ذلك و سلمنا عدم استقرار اصطلاح علماء الرجال على إرادة العدل من الثقة، فقد يقال بإمكان دعوى لزوم الحكم بعدالة من صرحوا بأنه ثقة إذا لم يقم على فسقه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لأن الغالب استعماله في العدل، فالإطلاق 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إذا لم يتعرضوا لفسقه يظهر عدمه، لأنه يبعد عدم اطّلاعهم على فسقه أو سكوتهم عن بيان فسقه بعد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الغالب كون الصادق المتحرز عن الكذب عادلا فيلحق الفرد المشكوك فيه بالغالب عملا بالاستقراء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المستفاد من طريقة متأخري الأصحاب الحكم بعدالة الراوي بمجرد قولهم فلان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إنما يصرحون بالتوثيق ليعمل بخبره، و هو لا يجوز إلا مع عدالته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316677_2142443653"/>
      <w:bookmarkStart w:id="247" w:name="_Toc92"/>
      <w:bookmarkEnd w:id="246"/>
      <w:r>
        <w:rPr>
          <w:rtl w:val="true"/>
        </w:rPr>
        <w:t>بقي هنا أمور ينبغي التنبيه عليها</w:t>
      </w:r>
      <w:r>
        <w:rPr>
          <w:rtl w:val="true"/>
        </w:rPr>
        <w:t>:</w:t>
      </w:r>
      <w:bookmarkEnd w:id="247"/>
    </w:p>
    <w:p>
      <w:pPr>
        <w:pStyle w:val="Heading6"/>
        <w:numPr>
          <w:ilvl w:val="5"/>
          <w:numId w:val="1"/>
        </w:numPr>
        <w:rPr/>
      </w:pPr>
      <w:bookmarkStart w:id="248" w:name="__RefHeading___Toc316679_2142443653"/>
      <w:bookmarkStart w:id="249" w:name="_Toc93"/>
      <w:bookmarkEnd w:id="248"/>
      <w:r>
        <w:rPr>
          <w:rtl w:val="true"/>
        </w:rPr>
        <w:t>الاول</w:t>
      </w:r>
      <w:r>
        <w:rPr>
          <w:rtl w:val="true"/>
        </w:rPr>
        <w:t xml:space="preserve">: </w:t>
      </w:r>
      <w:r>
        <w:rPr>
          <w:rtl w:val="true"/>
        </w:rPr>
        <w:t>حكم ما لو قال القائل</w:t>
      </w:r>
      <w:r>
        <w:rPr>
          <w:rtl w:val="true"/>
        </w:rPr>
        <w:t xml:space="preserve">: </w:t>
      </w:r>
      <w:r>
        <w:rPr>
          <w:rtl w:val="true"/>
        </w:rPr>
        <w:t>ثقة غير عدل أو ما شاكل ذلك</w:t>
      </w:r>
      <w:bookmarkEnd w:id="24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قائل اللفظة لو عقبها متصلا بها أو منفصلا أو أتى </w:t>
      </w:r>
    </w:p>
    <w:p>
      <w:pPr>
        <w:pStyle w:val="BookText"/>
        <w:rPr/>
      </w:pPr>
      <w:r>
        <w:rPr>
          <w:rFonts w:ascii="Amiri" w:hAnsi="Amiri" w:eastAsia="Amiri" w:cs="Amiri"/>
          <w:color w:val="111111"/>
          <w:sz w:val="28"/>
          <w:sz w:val="28"/>
          <w:szCs w:val="28"/>
          <w:rtl w:val="true"/>
          <w:lang w:bidi="ar-SA"/>
        </w:rPr>
        <w:t>غيره ممن يقدم قوله على قول القائل المذكور أو يعارض بقوله بما فيه نفي أحد المعاني المزبورة، كما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ثقة غير عدل، أو ثقة غير إمامي، أو ثقة فطحي، أو مخالف، أو ثقة غير ضابط، او كثير السهو، أو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فهل يستند إلى اللفظة في غير المنفي من مداليلها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يفصل بين ما ينفي العدالة و بين ما ينفي الضبط أو الإمامية بالقبول في الباقي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بين ما إذا كان نفي أحد المعاني من القائل نفسه أو من غيره بالعمل بما بقي بعد النفي من مداليلها على الأول، و إلقاء التعارض و التماس المرجّح على الثاني،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اللفظة تنحل إلى المعاني المذكورة، فنفي أحد المعاني إنما يعارض اللفظة في ذلك المعنى خاصة، فيجب قبولها في الباقي لعدم المعارض، فإنه لا ملازمة بين نفي مفاد أحد مداليل لفظ نفي غيره حتى يتصور التعارض، فهو كعام خصّ، أو مطلق قيّد، فكما أنهما حجة في الباقي فكذا هنا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اللفظة دالّة على المعاني المزبورة كان نفي أحدها معارضا لها، فتسقط اللفظة عن الاعتبار بالنسبة إلى الباقي أيضا على نحو ما قيل في العام المخصص، و أنت خبير بأنه غلط فاحش، ضرورة أن رفع اليد عن بعض ظواهر لفظ لقرينة لا يوجب رفع اليد عما لا قرينة على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أقيم دليلا على عدم حجية </w:t>
      </w:r>
    </w:p>
    <w:p>
      <w:pPr>
        <w:pStyle w:val="BookText"/>
        <w:rPr/>
      </w:pPr>
      <w:r>
        <w:rPr>
          <w:rFonts w:ascii="Amiri" w:hAnsi="Amiri" w:eastAsia="Amiri" w:cs="Amiri"/>
          <w:color w:val="111111"/>
          <w:sz w:val="28"/>
          <w:sz w:val="28"/>
          <w:szCs w:val="28"/>
          <w:rtl w:val="true"/>
          <w:lang w:bidi="ar-SA"/>
        </w:rPr>
        <w:t>العام المخصص في الباقي واضح الفساد،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القبول في الباقي إذا كان المنفي غير العدالة فحجة الأول، و أما على عدم القبول فيما إذا كان المنفي العدالة فهو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مترادفان، فنفي العدالة يعارض إثبات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ترادفهما، و إنما الوثاقة تنحل إلى معاني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فنفي أحدها لا يستلزم نفي الباقي،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غير عدل،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إمامي ضابط</w:t>
      </w:r>
      <w:r>
        <w:rPr>
          <w:rStyle w:val="FootnoteAnchor"/>
          <w:rtl w:val="true"/>
        </w:rPr>
        <w:footnoteReference w:id="363"/>
      </w:r>
      <w:r>
        <w:rPr>
          <w:rFonts w:ascii="Amiri" w:hAnsi="Amiri" w:eastAsia="Amiri" w:cs="Amiri"/>
          <w:color w:val="111111"/>
          <w:sz w:val="28"/>
          <w:sz w:val="28"/>
          <w:szCs w:val="28"/>
          <w:rtl w:val="true"/>
          <w:lang w:bidi="ar-SA"/>
        </w:rPr>
        <w:t>مأمون الكذب و ليس بصاحب ملكة، فكما لا منافاة بين قوله إمامي ضابط مأمون الكذب و قوله ليس بصاحب ملكة، فكذا لا منافاة بين قوله ثقة و ليس بعدل، فيؤخذ باللّفظة في غير المخرج من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الشق الأول فحجة الأول، و أما على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لفظة ثقة ظاهرة في المعاني المزبورة، فيعارضه نفي أحد تلك المعاني لإثباتها، و ليس النفي و الإثبات من واحد حتى يجعل النفي نصا في عدم بعض المعاني مقدما على ظاهر اللفظة في ذلك المعنى بالخصوص، و إبقاء اللفظة بالنسبة إلى بقية المعاني على أصالة حجية الظاهر، فإن كلام شخص لا يكون قرينة على المراد بكلام الآخر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التزم هذا القائل بجعل النفي عند اتحاد القائل قرينة على كون المثبت غير المنفي، فليلتزم بتقديم نص النافي فيما نفاه </w:t>
      </w:r>
      <w:bookmarkStart w:id="250" w:name="pg15033_241582"/>
    </w:p>
    <w:p>
      <w:pPr>
        <w:pStyle w:val="BookText"/>
        <w:rPr/>
      </w:pPr>
      <w:bookmarkEnd w:id="250"/>
      <w:r>
        <w:rPr>
          <w:rFonts w:ascii="Amiri" w:hAnsi="Amiri" w:eastAsia="Amiri" w:cs="Amiri"/>
          <w:color w:val="111111"/>
          <w:sz w:val="28"/>
          <w:sz w:val="28"/>
          <w:szCs w:val="28"/>
          <w:rtl w:val="true"/>
          <w:lang w:bidi="ar-SA"/>
        </w:rPr>
        <w:t>من المعاني على ظاهر المثبت، و الأخذ في غير المنفي من المعاني بظاهر المثبت السليم عن المعارض، فكأن المثبت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إمامي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عدالته أو إماميته أو ضبطه فلا، و أما الوصفان الآخران فلا أدري، فإن شهادة المثبت تبقى بالنسبة إلى ما سكت عنه النافي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أظهر الاحتمالات الأربعة هو الأول، و عليه عمل المتأخرين في ملاحظة أسانيد الأخبار</w:t>
      </w:r>
      <w:r>
        <w:rPr>
          <w:rStyle w:val="FootnoteAnchor"/>
          <w:rtl w:val="true"/>
        </w:rPr>
        <w:footnoteReference w:id="364"/>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316681_2142443653"/>
      <w:bookmarkStart w:id="252" w:name="_Toc94"/>
      <w:bookmarkEnd w:id="251"/>
      <w:r>
        <w:rPr>
          <w:rtl w:val="true"/>
        </w:rPr>
        <w:t>الثاني</w:t>
      </w:r>
      <w:r>
        <w:rPr>
          <w:rtl w:val="true"/>
        </w:rPr>
        <w:t xml:space="preserve">: </w:t>
      </w:r>
      <w:r>
        <w:rPr>
          <w:rtl w:val="true"/>
        </w:rPr>
        <w:t>تقرير اشكال على المختار</w:t>
      </w:r>
      <w:bookmarkEnd w:id="25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يورد على ما بيناه من استقرار الاصطلاح على ارادة العدل الإمامي الضابط من قولهم ثقة إشكال،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كثيرا ما يطلقون اللفظة في حق شخص ثم يصرحون متصلا به أو منفصلا، و كذا يصرح غيرهم بأنه فطحي أو واقفي أو عامي، فلو كان فيها دلالة على الإمامية كان بين التصريحين تناف و تناقض، و نحن نراهم لا يرتبون آثار التنافي، بل يبنون على الجمع بينهما إلا عند مرجح خارجي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فمقتضى التناقض التزام الترجيح مطلقا، فالتزامهم بتقديم الأخير على الأول و عدم التماس المرجح يكشف عن عدم دلالة اللفظة على الإمامية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 هذا الإشكال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عملهم يكشف عن </w:t>
      </w:r>
    </w:p>
    <w:p>
      <w:pPr>
        <w:pStyle w:val="BookText"/>
        <w:rPr/>
      </w:pPr>
      <w:r>
        <w:rPr>
          <w:rFonts w:ascii="Amiri" w:hAnsi="Amiri" w:eastAsia="Amiri" w:cs="Amiri"/>
          <w:color w:val="111111"/>
          <w:sz w:val="28"/>
          <w:sz w:val="28"/>
          <w:szCs w:val="28"/>
          <w:rtl w:val="true"/>
          <w:lang w:bidi="ar-SA"/>
        </w:rPr>
        <w:t>إرادتهم بقولهم ثقة فيما إذا عقبوه بقولهم واقفي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أنه موثق مؤتمن ضابط</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الإمامية من نفس قولهم ثقة أو مع القرينة لم تكن لدعوى صراحتها في ذلك حتى يلزم ما ذكر، بل المدعى ظهورها فيه، و لا ريب في أنه يخرج عن الظهور بالتصريح بالخلاف إذا لم يكن موهونا في نفسه، أو بأمر خارج، و لم يكن الظهور معتضدا بما لا يقاومه التصريح المذكور، فإن الجمع بين إطلاق توثيق شخص و رمي الآخر للموثق بالفطحية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ليس من الجمع بين المطلق و المقيد تعبدا أو ما يقرب منه، بل للظهور النوعي الذي يقدم عليه الظهور الشخصي على البناء على اعتبار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و في باب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الموثّق لعله لم يقف على ما ذكره المضعّف، أو اكتفى بظهور حال المضعف، أو بقرينة أخرى خارجية، فلا نقول بمسامحته و لا تقصيره و لا خطئه، مع أنه لا يوجب خطأه في أصل مدلول اللفظ، و هو العدالة المطلقة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ذلك بناء على القول بالملكة بأن المعدّل ادّعى كونه عادلا في مذهبنا، فإذا ظهر كذبه فالعدالة في مذهبه من أين؟ مدفوعة، بمنع ظهور كذبه بمجرد ظهور كونه فطحيا أو عاميا بعد إمكان وجود الملكة في المشهود له، غايته أنه ليس عدلا على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خطأه في كونه من أهل مذهبنا لا يستلزم خطأه في إحراز كونه ذا ملكة رادعة</w:t>
      </w:r>
      <w:r>
        <w:rPr>
          <w:rFonts w:eastAsia="Amiri" w:cs="Amiri" w:ascii="Amiri" w:hAnsi="Amiri"/>
          <w:color w:val="111111"/>
          <w:sz w:val="28"/>
          <w:szCs w:val="28"/>
          <w:rtl w:val="true"/>
          <w:lang w:bidi="ar-SA"/>
        </w:rPr>
        <w:t xml:space="preserve">. </w:t>
      </w:r>
      <w:bookmarkStart w:id="253" w:name="pg15033_241584"/>
    </w:p>
    <w:p>
      <w:pPr>
        <w:pStyle w:val="BookText"/>
        <w:rPr/>
      </w:pPr>
      <w:bookmarkEnd w:id="253"/>
      <w:r>
        <w:rPr>
          <w:rFonts w:ascii="Amiri" w:hAnsi="Amiri" w:eastAsia="Amiri" w:cs="Amiri"/>
          <w:color w:val="111111"/>
          <w:sz w:val="28"/>
          <w:sz w:val="28"/>
          <w:szCs w:val="28"/>
          <w:rtl w:val="true"/>
          <w:lang w:bidi="ar-SA"/>
        </w:rPr>
        <w:t>و بعبارة اخرى، أصل المعنى المعبّر عنه بالعدالة و الوثوق الموجب للركون إلى قول صاحبه و الاعتماد عليه هو معنى عام لا يختص بدين دون دين، و لا بمذهب دون مذهب، فإنه عبارة عن التزام العبد بمهمات ما في دينه، و معظمات ما في مذهبه، أو عن حالة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الاختلاف فيما في الدين و المذهب، غايته ظهورها عند الإطلاق و موافقة المعدّل و المعدّل في المذهب في العدالة في ذلك المذهب، و لذا يقيدونها عند الاختلاف في المذهب بالعدالة في مذهبه، صرفا للفظ عن الظهور الناشئ من الإطلاق الموجب للاختصاص ببعض أفراد المطلق، فتدبر جيدا</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16683_2142443653"/>
      <w:bookmarkStart w:id="255" w:name="_Toc95"/>
      <w:bookmarkEnd w:id="254"/>
      <w:r>
        <w:rPr>
          <w:rtl w:val="true"/>
        </w:rPr>
        <w:t>الثالث</w:t>
      </w:r>
      <w:r>
        <w:rPr>
          <w:rtl w:val="true"/>
        </w:rPr>
        <w:t xml:space="preserve">: </w:t>
      </w:r>
      <w:r>
        <w:rPr>
          <w:rtl w:val="true"/>
        </w:rPr>
        <w:t>حكم قول الامامي ان فلانا ثقة</w:t>
      </w:r>
      <w:bookmarkEnd w:id="2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غير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ثقة، دلّ على أنه متحرز عن الكذب صدوق مؤتمن، بل لا يبعد دلالته على أنه عادل في مذهبه، و في دلالته على كونه إماميا عدلا في مذهبنا مبني على إحراز التزام ذلك القائل بالاصطلاح الجاري في لفظ الثقة، فإن علم إرادته الثقة بالاصطلاح المزبور اعتبر، و إلا فالأظهر عدم دلالتها</w:t>
      </w:r>
      <w:r>
        <w:rPr>
          <w:rStyle w:val="FootnoteAnchor"/>
          <w:rtl w:val="true"/>
        </w:rPr>
        <w:footnoteReference w:id="367"/>
      </w:r>
      <w:r>
        <w:rPr>
          <w:rFonts w:ascii="Amiri" w:hAnsi="Amiri" w:eastAsia="Amiri" w:cs="Amiri"/>
          <w:color w:val="111111"/>
          <w:sz w:val="28"/>
          <w:sz w:val="28"/>
          <w:szCs w:val="28"/>
          <w:rtl w:val="true"/>
          <w:lang w:bidi="ar-SA"/>
        </w:rPr>
        <w:t>على كون المشهود له إماميا، و لا كونه عدلا على مذهبنا، ضرورة أن حمل اللفظ على المعنى المصطلح فرع إحراز كون المتفوه به من أهل ذلك الاصطلاح، فما لم يحرز ذلك يلزم حمل اللفظ على معناه اللغوي، و قد مرّ أن الثقة في اللغة و العرف هو المؤتمن المعتمد المتحرز عن الكذب، و ذلك أعم من كونه إماميا أو عدلا على مذهبنا، بل لو شهد غير الإمامي بعدالة شخص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عدل، كان ظاهر حاله </w:t>
      </w:r>
      <w:bookmarkStart w:id="256" w:name="pg15033_241585"/>
    </w:p>
    <w:p>
      <w:pPr>
        <w:pStyle w:val="BookText"/>
        <w:rPr/>
      </w:pPr>
      <w:bookmarkEnd w:id="256"/>
      <w:r>
        <w:rPr>
          <w:rFonts w:ascii="Amiri" w:hAnsi="Amiri" w:eastAsia="Amiri" w:cs="Amiri"/>
          <w:color w:val="111111"/>
          <w:sz w:val="28"/>
          <w:sz w:val="28"/>
          <w:szCs w:val="28"/>
          <w:rtl w:val="true"/>
          <w:lang w:bidi="ar-SA"/>
        </w:rPr>
        <w:t>بالظهور النوعي إرادته العادل عنده و في مذهبه، فيلزمه موافقة مذهب المشهود له لمذهب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أحرز من الخارج التزام الشاهد بالاصطلاح الحادث في لفظي الثقة و العدل كان لازم ديانته و وثاقته في مذهبه ارادته من لفظ الثقة الإمامي العدل الضابط، و لو شك في التزامه بالاصطلاح فالأصل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سقوط ما صدر من بعض أجلّة من عاصرناه من إطلاق دلالة قول غير الإمامي فلان ثقة على كون المشهود له إماميا بالمعنى الأخص عادلا بمذهبنا، فلاحظ ما ذكره و تأمل</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أكثر إشكالا ما لو كان الجارح إماميا و المعدّل غيره و هو ثقة، أما عكس ذلك فحاله ظاهر سواء قلنا إن التعديل و الجرح من باب الشهادة أو الرواية أو الظنون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العدالة و الوثاقة، و إذا وثق رجل فهل يدلّ ذلك على عدالته؟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316685_2142443653"/>
      <w:bookmarkStart w:id="258" w:name="_Toc96"/>
      <w:bookmarkEnd w:id="257"/>
      <w:r>
        <w:rPr>
          <w:rtl w:val="true"/>
        </w:rPr>
        <w:t>الرابع</w:t>
      </w:r>
      <w:r>
        <w:rPr>
          <w:rtl w:val="true"/>
        </w:rPr>
        <w:t xml:space="preserve">: </w:t>
      </w:r>
      <w:r>
        <w:rPr>
          <w:rtl w:val="true"/>
        </w:rPr>
        <w:t>حكم قول العدل</w:t>
      </w:r>
      <w:r>
        <w:rPr>
          <w:rtl w:val="true"/>
        </w:rPr>
        <w:t xml:space="preserve">: </w:t>
      </w:r>
      <w:r>
        <w:rPr>
          <w:rtl w:val="true"/>
        </w:rPr>
        <w:t>إن فلانا ليس بثقة</w:t>
      </w:r>
      <w:bookmarkEnd w:id="25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عدل من أهل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ليس بثقة </w:t>
      </w:r>
      <w:bookmarkStart w:id="259" w:name="pg15033_241586"/>
    </w:p>
    <w:p>
      <w:pPr>
        <w:pStyle w:val="BookText"/>
        <w:rPr/>
      </w:pPr>
      <w:bookmarkEnd w:id="259"/>
      <w:r>
        <w:rPr>
          <w:rFonts w:ascii="Amiri" w:hAnsi="Amiri" w:eastAsia="Amiri" w:cs="Amiri"/>
          <w:color w:val="111111"/>
          <w:sz w:val="28"/>
          <w:sz w:val="28"/>
          <w:szCs w:val="28"/>
          <w:rtl w:val="true"/>
          <w:lang w:bidi="ar-SA"/>
        </w:rPr>
        <w:t>فعند من ينكر استقرار الاصطلاح في لفظ الثقة، و يدعى استفادة عدالة الراوي، و كونه إماميا من القرائن الخارجية لا تفيد الشهادة المزبورة إلا نفي تحرزه عن الكذب، و أما عند من التزم باستقرار الاصطلاح</w:t>
      </w:r>
      <w:r>
        <w:rPr>
          <w:rStyle w:val="FootnoteAnchor"/>
          <w:rtl w:val="true"/>
        </w:rPr>
        <w:footnoteReference w:id="369"/>
      </w:r>
      <w:r>
        <w:rPr>
          <w:rFonts w:ascii="Amiri" w:hAnsi="Amiri" w:eastAsia="Amiri" w:cs="Amiri"/>
          <w:color w:val="111111"/>
          <w:sz w:val="28"/>
          <w:sz w:val="28"/>
          <w:szCs w:val="28"/>
          <w:rtl w:val="true"/>
          <w:lang w:bidi="ar-SA"/>
        </w:rPr>
        <w:t>، فمفاد الشهادة المذكورة أنه ليس فيه مجموع الصفات الثلاث، و لا يدلّ على انتفاء جميعها أو بعض منها بالخصوص، فلو قام دليل على اتصافه ببعضها لم يكن ذلك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دليل على اتصافه بجميعها كان ذلك معارضا له، و وجب الرجوع إلى ما تقتضيه قاعدة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بعيدا عدم دلالة النفي المزبور إلاّ على نفي تحرزه عن الكذب حتى على المختار من استقرار الاصطلاح، لأن الاصطلاح المذكور إنما ثبت استقراره عند إثبات الثقة لشخص دون نفيها عن شخص</w:t>
      </w:r>
      <w:r>
        <w:rPr>
          <w:rStyle w:val="FootnoteAnchor"/>
          <w:rtl w:val="true"/>
        </w:rPr>
        <w:footnoteReference w:id="370"/>
      </w:r>
      <w:r>
        <w:rPr>
          <w:rFonts w:ascii="IRNazanin" w:hAnsi="IRNazanin" w:eastAsia="IRNazanin"/>
          <w:color w:val="111111"/>
          <w:sz w:val="28"/>
          <w:sz w:val="28"/>
          <w:szCs w:val="28"/>
          <w:rtl w:val="true"/>
          <w:lang w:bidi="fa-IR"/>
        </w:rPr>
        <w:t>، فتأمل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316687_2142443653"/>
      <w:bookmarkStart w:id="261" w:name="_Toc97"/>
      <w:bookmarkEnd w:id="260"/>
      <w:r>
        <w:rPr>
          <w:rtl w:val="true"/>
        </w:rPr>
        <w:t>الخامس</w:t>
      </w:r>
      <w:r>
        <w:rPr>
          <w:rtl w:val="true"/>
        </w:rPr>
        <w:t xml:space="preserve">: </w:t>
      </w:r>
      <w:r>
        <w:rPr>
          <w:rtl w:val="true"/>
        </w:rPr>
        <w:t>من كرر في حقه لفظ الثقة</w:t>
      </w:r>
      <w:bookmarkEnd w:id="26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يتفق في بعض الرواة أنه يكرر في حقه لفظ الثقة</w:t>
      </w:r>
      <w:r>
        <w:rPr>
          <w:rStyle w:val="FootnoteAnchor"/>
          <w:rtl w:val="true"/>
        </w:rPr>
        <w:footnoteReference w:id="372"/>
      </w:r>
      <w:r>
        <w:rPr>
          <w:rFonts w:ascii="Amiri" w:hAnsi="Amiri" w:eastAsia="Amiri" w:cs="Amiri"/>
          <w:color w:val="111111"/>
          <w:sz w:val="28"/>
          <w:sz w:val="28"/>
          <w:szCs w:val="28"/>
          <w:rtl w:val="true"/>
          <w:lang w:bidi="ar-SA"/>
        </w:rPr>
        <w:t>، و ذلك يدل على زيادة المدح، كما صرّح بذلك جمع منهم ثاني الشهيدين في البداية</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الشيخ البهائي في مشرق الشمسين، قال والد البهائي في وصول الاخيار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مراتب التعديل ثقة، و قد يؤكد بالتكرار و إضافة ثبت و ورع و شبههما مما يدل على علو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المشهور، و تبعه الوحيد في تعليقته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اتفق التكرار في جماعة كصفوان بن يحيى، و عبيد بن زرارة، و حميد بن المثنى و غيرهم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ربما يحكى عن جمع من أهل اللغة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ابن دريد في الجمهرة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الاتباع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في الأول و النون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فاحتمل بعضهم أن يكون ما وقع فيه الجمع بين هاتين الجملتين جرى على طريق الاتباع لا التكرار، ثم ضعف فاعتقد أنه مكرر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يبعد هذا الاحتمال جزم جمع منهم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رجاله بالتكرار، و لا يضرّ خلو كلام السابقين عليه عن التعرض لبيان المراد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يزداد الاحتمال بعدا بعدم تداول كلمة 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ألسن أهل الرجال و الحديث، و لا تكلّم بها أحد قط، و استعمالها عقيب ثقة فقط لا</w:t>
      </w:r>
    </w:p>
    <w:p>
      <w:pPr>
        <w:pStyle w:val="BookText"/>
        <w:rPr/>
      </w:pPr>
      <w:r>
        <w:rPr>
          <w:rFonts w:ascii="Amiri" w:hAnsi="Amiri" w:eastAsia="Amiri" w:cs="Amiri"/>
          <w:color w:val="111111"/>
          <w:sz w:val="28"/>
          <w:sz w:val="28"/>
          <w:szCs w:val="28"/>
          <w:rtl w:val="true"/>
          <w:lang w:bidi="ar-SA"/>
        </w:rPr>
        <w:t>لا توجد هذه الحاشية في الطبعة الأولى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ابن داود أواخر القسم الأول منه ذكر جماعة قال النجاشي في كل منهم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ثلاثين رجلا، و زاد ابن الغضائري خمسة عليهم غيرهم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بين المعقوفين من زيادات الطبعة الثانية</w:t>
      </w:r>
      <w:r>
        <w:rPr>
          <w:rFonts w:eastAsia="Amiri" w:cs="Amiri" w:ascii="Amiri" w:hAnsi="Amiri"/>
          <w:color w:val="111111"/>
          <w:sz w:val="28"/>
          <w:szCs w:val="28"/>
          <w:rtl w:val="true"/>
          <w:lang w:bidi="ar-SA"/>
        </w:rPr>
        <w:t>.</w:t>
      </w:r>
      <w:bookmarkStart w:id="262" w:name="pg15033_241588"/>
    </w:p>
    <w:p>
      <w:pPr>
        <w:pStyle w:val="BookText"/>
        <w:rPr/>
      </w:pPr>
      <w:bookmarkEnd w:id="262"/>
      <w:r>
        <w:rPr>
          <w:rFonts w:ascii="Amiri" w:hAnsi="Amiri" w:eastAsia="Amiri" w:cs="Amiri"/>
          <w:color w:val="111111"/>
          <w:sz w:val="28"/>
          <w:sz w:val="28"/>
          <w:szCs w:val="28"/>
          <w:rtl w:val="true"/>
          <w:lang w:bidi="ar-SA"/>
        </w:rPr>
        <w:t>مقتضي له، و يبعد اختصاصه من بين جميع مواضع استعمالاتها بهذا الموضع مع عدم استعمالها في غيره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أن اللفظ وقع عليه خمس نقط، ثلاث للثاء و اثنتان للقاف، فلو لم يكن الثاني للتكرار لوقع عليه ثلاث نقط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63" w:name="__RefHeading___Toc316689_2142443653"/>
      <w:bookmarkStart w:id="264" w:name="_Toc98"/>
      <w:bookmarkEnd w:id="263"/>
      <w:r>
        <w:rPr>
          <w:rtl w:val="true"/>
        </w:rPr>
        <w:t>قولهم</w:t>
      </w:r>
      <w:r>
        <w:rPr>
          <w:rtl w:val="true"/>
        </w:rPr>
        <w:t xml:space="preserve">: </w:t>
      </w:r>
      <w:r>
        <w:rPr>
          <w:rtl w:val="true"/>
        </w:rPr>
        <w:t>ثقة في الحديث أو في الرواية</w:t>
      </w:r>
      <w:bookmarkEnd w:id="264"/>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أو في الرواية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إفادته المدح التام</w:t>
      </w:r>
      <w:r>
        <w:rPr>
          <w:rStyle w:val="FootnoteAnchor"/>
          <w:rtl w:val="true"/>
        </w:rPr>
        <w:footnoteReference w:id="375"/>
      </w:r>
      <w:r>
        <w:rPr>
          <w:rFonts w:ascii="Amiri" w:hAnsi="Amiri" w:eastAsia="Amiri" w:cs="Amiri"/>
          <w:color w:val="111111"/>
          <w:sz w:val="28"/>
          <w:sz w:val="28"/>
          <w:szCs w:val="28"/>
          <w:rtl w:val="true"/>
          <w:lang w:bidi="ar-SA"/>
        </w:rPr>
        <w:t>و كونه معتمدا ضابطا، فيكون حكمه حكم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 على كونه إماميا وجهان، استظهر أولهما بعض من عاصرناه من الأجلة في أول كلامه، بل جزم بذلك في آخر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استفادة الإمامية منه على حد استفادته من إطلاق الثقة ما لم يصرح بالخلاف</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ما ذكره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عدالته أيضا، فيكون حديثه من الصحيح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المشهور أنه تعديل و توثيق للراوي نفسه، و لعل منشأه الاتفاق على ثبوت العدالة، و إن يذكر لأجل الاعتماد على قياس ما ذكر في التوثيق، و إن الشيخ الواحد ربما يحكم على واحد بأنه ثقة و في موضع آخر بأنه ثقة في </w:t>
      </w:r>
    </w:p>
    <w:p>
      <w:pPr>
        <w:pStyle w:val="BookText"/>
        <w:rPr/>
      </w:pPr>
      <w:r>
        <w:rPr>
          <w:rFonts w:ascii="Amiri" w:hAnsi="Amiri" w:eastAsia="Amiri" w:cs="Amiri"/>
          <w:color w:val="111111"/>
          <w:sz w:val="28"/>
          <w:sz w:val="28"/>
          <w:szCs w:val="28"/>
          <w:rtl w:val="true"/>
          <w:lang w:bidi="ar-SA"/>
        </w:rPr>
        <w:t>الحديث، مضافا إلى أنه في الموضع الأول كان ملحوظ نظره الموضع الآخر كما سيجيء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أحمد، فتأمل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المدار في التزكية و الجرح على الظن، فالأظهر دلالة قولهم ثقة في الحديث أو في الرواية على كون المشهود له إماميا عادلا، لكفاية شهادة مثل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المتعارف المشهور في إفادة الظن بالعدالة و الإمامية، مضافا إلى شهادة الجمع بين قولهم ثقة و بين قولهم ثقة في الحديث في حق أشخاص باتحاد 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دلالة الأول على العدالة و الإمامية، فكذا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الضبط فيكفي في إحرازه الأصل و الغلبة، و حينئذ فلا ينبغي التأمل في دلالة قولهم ثقة في الحديث في حق شخص على كونه عدلا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حديثه من الصحيح بالاصطلاح المتأخر،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بل ادّعى بعض المحققين</w:t>
      </w:r>
      <w:r>
        <w:rPr>
          <w:rStyle w:val="FootnoteAnchor"/>
          <w:rtl w:val="true"/>
        </w:rPr>
        <w:footnoteReference w:id="379"/>
      </w:r>
      <w:r>
        <w:rPr>
          <w:rFonts w:ascii="Amiri" w:hAnsi="Amiri" w:eastAsia="Amiri" w:cs="Amiri"/>
          <w:color w:val="111111"/>
          <w:sz w:val="28"/>
          <w:sz w:val="28"/>
          <w:szCs w:val="28"/>
          <w:rtl w:val="true"/>
          <w:lang w:bidi="ar-SA"/>
        </w:rPr>
        <w:t>كون قولهم ثقة في الحديث أبلغ من مطلق ثقة، لكونه نصا في ضبطه المعتبر انضمامه مع العدالة في قبول حديثه بخلاف ثقة، فإنه ظاهر في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لا يصح تعلقه بلفظ ثقة، بل هو خبر لمبتدإ محذوف، فالتقدير فلان ثقة و وثاقته في الحديث، فينساق منه الانحصار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ثقة مصدر كعدة، فالجار متعلق به و التقدير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موثوقا به في الحديث فبغيره أولى،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في شدتي، فلا وجه حينئذ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عاصرناه من المشايخ</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استفادة العدالة بالمعنى الأخص أو الأعم من ذلك لا يخلو من نوع خفاء، لظهور التقييد في اختصاص وثاقته بالرواية، و لعل المستفاد منه كونه متحرزا عن الكذب، و هو الذي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كفايته في حجية الخبر، بل و زيادة اهتمامه في الرواية بأخذها عمن يوثق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مرجعه الوثوق بالرواية</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سبقه في إنكار الدلالة على العدالة غيره على ما حكى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بالفرق بين الثقة في الحديث و الثقة، و ليس ببالي القائل، و يمكن أن يقال بعد ملاحظة اشتراطهم العدالة أن العدالة المستفادة من الأول هي بالمعنى الأعم، و قد أشرنا و سنشير أيضا إلى أن التي وقع الاتفاق على اشتراطها هي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الاستفادة إشعار العبارة و كثير من التراجم مثل ترجمة</w:t>
      </w:r>
      <w:r>
        <w:rPr>
          <w:rStyle w:val="FootnoteAnchor"/>
          <w:rtl w:val="true"/>
        </w:rPr>
        <w:footnoteReference w:id="382"/>
      </w:r>
      <w:r>
        <w:rPr>
          <w:rFonts w:ascii="Amiri" w:hAnsi="Amiri" w:eastAsia="Amiri" w:cs="Amiri"/>
          <w:color w:val="111111"/>
          <w:sz w:val="28"/>
          <w:sz w:val="28"/>
          <w:szCs w:val="28"/>
          <w:rtl w:val="true"/>
          <w:lang w:bidi="ar-SA"/>
        </w:rPr>
        <w:t>أحمد بن بشير، و أحمد بن الحسن، و أبيه الحسن بن علي بن فضال، و الحسين بن أبي سعيد، و الحسين بن أحمد بن المغيرة، و علي بن الحسن الطاطري، و عمار بن موسى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الاستثناء راجع الى ما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يمكن توجيهه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العدالة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العدالة في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العدالة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العدالة على مذهب الراوي و إن لم يكن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كون الراوي ثقة متحرزا عن الكذب في الرواية و إن كان فاسقا بجوارحه، و هذا غير المعنى الأعم للعدالة التي يراد استفادتها من قولهم ثقة في الحديث، و لذا صح أن يقال إن العدالة بالمعنى الأعم هي التي وقع الاتفاق على اشتراطها دون ما دونها، و الماتن يقول بكفاية ما هو أقلّ منها، فلاحظ و تدبر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الراوي أن يكون ثقة متحرزا عن الكذب في الرواية و إن كان فاسقا بجوارحه، فتأمل</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 عليه بأن إشعار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قولهم ثقة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اختصاص الوثوق بالرواية لا أعمّية العدالة بحيث يجامع فساد العقيدة، و ما وجدنا في شيء من التراجم المزبورة إشعارا بما ذكره، فلا ينبغي التأمل في استفادة الإمامية منه على حد استفادتها من إطلاق الثقة ما لم يصرح بالخلاف، مضافا إلى استفادتها</w:t>
      </w:r>
      <w:r>
        <w:rPr>
          <w:rStyle w:val="FootnoteAnchor"/>
          <w:rtl w:val="true"/>
        </w:rPr>
        <w:footnoteReference w:id="385"/>
      </w:r>
      <w:r>
        <w:rPr>
          <w:rFonts w:ascii="IRNazanin" w:hAnsi="IRNazanin" w:eastAsia="IRNazanin"/>
          <w:color w:val="111111"/>
          <w:sz w:val="28"/>
          <w:sz w:val="28"/>
          <w:szCs w:val="28"/>
          <w:rtl w:val="true"/>
          <w:lang w:bidi="fa-IR"/>
        </w:rPr>
        <w:t xml:space="preserve">من جمعهم </w:t>
      </w:r>
      <w:bookmarkStart w:id="265" w:name="pg15033_241592"/>
    </w:p>
    <w:p>
      <w:pPr>
        <w:pStyle w:val="BookText"/>
        <w:rPr/>
      </w:pPr>
      <w:bookmarkEnd w:id="265"/>
      <w:r>
        <w:rPr>
          <w:rFonts w:ascii="Amiri" w:hAnsi="Amiri" w:eastAsia="Amiri" w:cs="Amiri"/>
          <w:color w:val="111111"/>
          <w:sz w:val="28"/>
          <w:sz w:val="28"/>
          <w:szCs w:val="28"/>
          <w:rtl w:val="true"/>
          <w:lang w:bidi="ar-SA"/>
        </w:rPr>
        <w:t>بين ثقة على الإطلاق و بين ثقة في الحديث في ترجمة شخص واحد من واحد أو متعدد الكاشف عن اتحاد المراد بهما، بل ذلك يكشف عن الدلالة على العدالة أيضا على نحو دلالة لفظة ثقة إذا أطلقت</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بعضهم كون تقييد الثقة بالحديث للإشارة إلى مأخذ التوثيق، لأنه يمكن عدم تمكن المعدل على الوقوف على جميع أحوال الرجل فيراه مراقبا على العبادات محترزا من الكذب و الغيبة و سائر المحرمات و لا يدري أنه يحترز من الباقي أم لا؟ لكنه يطمئن بعدالته بسبب مراقبة أحاديثه، فيقيد تعديله بأن منشأه الوثوق بأحاديثه بالمزاولة، فتدبر</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66" w:name="__RefHeading___Toc316691_2142443653"/>
      <w:bookmarkStart w:id="267" w:name="_Toc99"/>
      <w:bookmarkEnd w:id="266"/>
      <w:r>
        <w:rPr>
          <w:rtl w:val="true"/>
        </w:rPr>
        <w:t>قولهم</w:t>
      </w:r>
      <w:r>
        <w:rPr>
          <w:rtl w:val="true"/>
        </w:rPr>
        <w:t xml:space="preserve">: </w:t>
      </w:r>
      <w:r>
        <w:rPr>
          <w:rtl w:val="true"/>
        </w:rPr>
        <w:t>صحيح الحديث</w:t>
      </w:r>
      <w:bookmarkEnd w:id="267"/>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التأمل في إفادته صحة روايته بالاصطلاح المتأخر إن كانت العبارة في كلام أهل هذا الاصطلاح، ضرورة أن كلام كل ذي اصطلاح يحمل على مصطلحه عند عدم القرينة على خلافه، كما أوضحناه </w:t>
      </w:r>
    </w:p>
    <w:p>
      <w:pPr>
        <w:pStyle w:val="BookText"/>
        <w:rPr/>
      </w:pPr>
      <w:r>
        <w:rPr>
          <w:rFonts w:ascii="Amiri" w:hAnsi="Amiri" w:eastAsia="Amiri" w:cs="Amiri"/>
          <w:color w:val="111111"/>
          <w:sz w:val="28"/>
          <w:sz w:val="28"/>
          <w:szCs w:val="28"/>
          <w:rtl w:val="true"/>
          <w:lang w:bidi="ar-SA"/>
        </w:rPr>
        <w:t>في محله، و من البين عدم الفرق بين تصريح أهل هذا الاصطلاح بأنه عدل إمامي ضابط، و بين تصريحهم بأنه صحيح الحديث، و أما إن كانت العبارة في كلمات القدماء فلا ريب و لا شبهة في إفادتها مدح الراوي مدحا كاملا في روايته، بل في نفسه أيضا، و كون روايته من القوى</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إفادته كونه عدلا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ذلك</w:t>
      </w:r>
      <w:r>
        <w:rPr>
          <w:rStyle w:val="FootnoteAnchor"/>
          <w:rtl w:val="true"/>
        </w:rPr>
        <w:footnoteReference w:id="389"/>
      </w:r>
      <w:r>
        <w:rPr>
          <w:rFonts w:ascii="Amiri" w:hAnsi="Amiri" w:eastAsia="Amiri" w:cs="Amiri"/>
          <w:color w:val="111111"/>
          <w:sz w:val="28"/>
          <w:sz w:val="28"/>
          <w:szCs w:val="28"/>
          <w:rtl w:val="true"/>
          <w:lang w:bidi="ar-SA"/>
        </w:rPr>
        <w:t>، ضرورة أن إضافة الصحة إلى مطلق حديثه يكشف عن أن له أوصافا تورث بنفسها الاطمئنان به، و الائتمان بحديثه، و لا ريب في عدم الاطمئنان بمطلق حديث من لم يكن عادلا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استظهر بعض من عاصرناه من الأجلة</w:t>
      </w:r>
      <w:r>
        <w:rPr>
          <w:rStyle w:val="FootnoteAnchor"/>
          <w:rtl w:val="true"/>
        </w:rPr>
        <w:footnoteReference w:id="390"/>
      </w:r>
      <w:r>
        <w:rPr>
          <w:rFonts w:ascii="Amiri" w:hAnsi="Amiri" w:eastAsia="Amiri" w:cs="Amiri"/>
          <w:color w:val="111111"/>
          <w:sz w:val="28"/>
          <w:sz w:val="28"/>
          <w:szCs w:val="28"/>
          <w:rtl w:val="true"/>
          <w:lang w:bidi="ar-SA"/>
        </w:rPr>
        <w:t>عدم إفادته العدالة في عبائر القدماء، و أنه أضعف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ذلك بما حكاه غير واحد منهم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الفوائد من أن المراد بالصحيح عند القدماء هو ما وثقوا بكونه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منشأ وثوقهم كون الراوي من الثقات أو أمارات اخر، و من أن يقطعوا بصدوره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يظنوا به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قال في 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المتعارف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الصحيح على كل حديث اعتضد بما يقتضي اعتمادهم عليه و اقترن بما يوجب الوثوق به أو الركون إليه و ذلك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بمثله السيد نعمة اللّه الجزائري في شرح التهذيب، و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مكان، و الكاظمي في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 القدماء، و قد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الوحيد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في محله، و قد مرّ منا في تنبيهات الفصل الرابع</w:t>
      </w:r>
      <w:r>
        <w:rPr>
          <w:rStyle w:val="FootnoteAnchor"/>
          <w:rtl w:val="true"/>
        </w:rPr>
        <w:footnoteReference w:id="392"/>
      </w:r>
      <w:r>
        <w:rPr>
          <w:rFonts w:ascii="Amiri" w:hAnsi="Amiri" w:eastAsia="Amiri" w:cs="Amiri"/>
          <w:color w:val="111111"/>
          <w:sz w:val="28"/>
          <w:sz w:val="28"/>
          <w:szCs w:val="28"/>
          <w:rtl w:val="true"/>
          <w:lang w:bidi="ar-SA"/>
        </w:rPr>
        <w:t xml:space="preserve">بيان أن الصحيح عند القدماء هو ما وثقوا بكونه من المعصوم، أعمّ من أن يكون منشأ وثوقهم كون الراوي من الثقات أو من أمارات أخر، إلا أن ذلك لا يدل على مختار البعض هنا، لوضوح الفرق بين إطلاق اسم الصحيح على حديث، و بين </w:t>
      </w:r>
    </w:p>
    <w:p>
      <w:pPr>
        <w:pStyle w:val="BookText"/>
        <w:rPr/>
      </w:pPr>
      <w:r>
        <w:rPr>
          <w:rFonts w:ascii="Amiri" w:hAnsi="Amiri" w:eastAsia="Amiri" w:cs="Amiri"/>
          <w:color w:val="111111"/>
          <w:sz w:val="28"/>
          <w:sz w:val="28"/>
          <w:szCs w:val="28"/>
          <w:rtl w:val="true"/>
          <w:lang w:bidi="ar-SA"/>
        </w:rPr>
        <w:t xml:space="preserve">إطلاق صحيح الحديث على شخص، فإن الأول يجامع ما إذا كان منشأ الوثوق أمارات أخر، و أما الثاني فلا يجامع ذلك، لأنه لا يكون ممن يوثق بصدور جميع رواياته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عدلا إماميا ضابطا، كما هو ظاهر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لي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ليس بأضعف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إن لم يكن أقوى منه، بل الأظهر أنه أقوى منه</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ما قلناه 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التعديل الدالة عليه صريحا قول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أو هو ثقة</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هو صحيح الحديث، فإنه يقتضي كونه ثقة ضابطا، ففيه زيادة تزكية</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ثم هنا إشكال ظهر جوابه مما مرّ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تقتضي اختصاص المدح بالحديث دون المحدث، كما قال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سعد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سعيد بن طريف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الحديث و قد 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لا سعيد، و في نسخة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يعرف و ينكر، و روى الكشي في اختياره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أنه ناووسي، اللهم إلا أن تقوم قرينة على عدم إرادة ذلك، كما إذا قيل ذلك في الأجلاء بعد توثيقهم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يعدّ حديث المحدث صحيحا في نفسه و يتلقى منه بالقبول إذا كان ثقة، و الصدوق الضابط الإمامي لا يوصف عند المتقدمين بصحيح الحديث، بل بمقبول الحديث، فتأمل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5033_241596"/>
    </w:p>
    <w:p>
      <w:pPr>
        <w:pStyle w:val="Heading5"/>
        <w:numPr>
          <w:ilvl w:val="4"/>
          <w:numId w:val="1"/>
        </w:numPr>
        <w:rPr/>
      </w:pPr>
      <w:bookmarkStart w:id="269" w:name="__RefHeading___Toc316693_2142443653"/>
      <w:bookmarkStart w:id="270" w:name="_Toc100"/>
      <w:bookmarkEnd w:id="268"/>
      <w:bookmarkEnd w:id="269"/>
      <w:r>
        <w:rPr>
          <w:rtl w:val="true"/>
        </w:rPr>
        <w:t>و منها</w:t>
      </w:r>
      <w:r>
        <w:rPr>
          <w:rtl w:val="true"/>
        </w:rPr>
        <w:t xml:space="preserve">: </w:t>
      </w:r>
      <w:r>
        <w:rPr>
          <w:rtl w:val="true"/>
        </w:rPr>
        <w:t>قولهم</w:t>
      </w:r>
      <w:r>
        <w:rPr>
          <w:rtl w:val="true"/>
        </w:rPr>
        <w:t xml:space="preserve">: </w:t>
      </w:r>
      <w:r>
        <w:rPr>
          <w:rtl w:val="true"/>
        </w:rPr>
        <w:t>حجة</w:t>
      </w:r>
      <w:r>
        <w:rPr>
          <w:rtl w:val="true"/>
        </w:rPr>
        <w:t>:</w:t>
      </w:r>
      <w:bookmarkEnd w:id="27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شبهة في إفادته في حق من أطلق عليه مدحا كاملا في روايته، بل نفسه، و كون روايته من القوي، بل الأظهر دلالته على كونه عدلا إماميا ضابطا، لاستقرار اصطلاحهم على ذلك، كما شهد 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يحتج</w:t>
      </w:r>
      <w:r>
        <w:rPr>
          <w:rStyle w:val="FootnoteAnchor"/>
          <w:rtl w:val="true"/>
        </w:rPr>
        <w:footnoteReference w:id="396"/>
      </w:r>
      <w:r>
        <w:rPr>
          <w:rFonts w:ascii="Amiri" w:hAnsi="Amiri" w:eastAsia="Amiri" w:cs="Amiri"/>
          <w:color w:val="111111"/>
          <w:sz w:val="28"/>
          <w:sz w:val="28"/>
          <w:szCs w:val="28"/>
          <w:rtl w:val="true"/>
          <w:lang w:bidi="ar-SA"/>
        </w:rPr>
        <w:t xml:space="preserve">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إطلاق اسم المصدر عليه مبالغة ظاهرة في الثناء عليه بالثقة</w:t>
      </w:r>
      <w:r>
        <w:rPr>
          <w:rStyle w:val="FootnoteAnchor"/>
          <w:rtl w:val="true"/>
        </w:rPr>
        <w:footnoteReference w:id="397"/>
      </w:r>
      <w:r>
        <w:rPr>
          <w:rFonts w:ascii="Amiri" w:hAnsi="Amiri" w:eastAsia="Amiri" w:cs="Amiri"/>
          <w:color w:val="111111"/>
          <w:sz w:val="28"/>
          <w:sz w:val="28"/>
          <w:szCs w:val="28"/>
          <w:rtl w:val="true"/>
          <w:lang w:bidi="ar-SA"/>
        </w:rPr>
        <w:t xml:space="preserve">، و الاحتجاج بالحديث و إن كان أعمّ من الصحيح، </w:t>
      </w:r>
      <w:bookmarkStart w:id="271" w:name="pg15033_241597"/>
    </w:p>
    <w:p>
      <w:pPr>
        <w:pStyle w:val="BookText"/>
        <w:rPr/>
      </w:pPr>
      <w:bookmarkEnd w:id="271"/>
      <w:r>
        <w:rPr>
          <w:rFonts w:ascii="Amiri" w:hAnsi="Amiri" w:eastAsia="Amiri" w:cs="Amiri"/>
          <w:color w:val="111111"/>
          <w:sz w:val="28"/>
          <w:sz w:val="28"/>
          <w:szCs w:val="28"/>
          <w:rtl w:val="true"/>
          <w:lang w:bidi="ar-SA"/>
        </w:rPr>
        <w:t>كما يتفق بالحسن و الموثق بل بالضعيف على ما سبق تفصيله، لكن الاستعمال العرفي لأهل هذا الشأن لهذه اللفظة يدلّ على ما هو أخص من ذلك، و هو التعديل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يحتج بحديثه و نحوه لم يدلّ على التعديل لما ذكره، بخلاف إطلاق هذه اللفظة على نفس الراوي بدلالة العرف الخاص</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الشهادة بضرس قاطع كاف في إثبات المطلوب</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316695_2142443653"/>
      <w:bookmarkStart w:id="273" w:name="_Toc101"/>
      <w:bookmarkEnd w:id="272"/>
      <w:r>
        <w:rPr>
          <w:rtl w:val="true"/>
        </w:rPr>
        <w:t>و منها</w:t>
      </w:r>
      <w:r>
        <w:rPr>
          <w:rtl w:val="true"/>
        </w:rPr>
        <w:t xml:space="preserve">: </w:t>
      </w:r>
      <w:r>
        <w:rPr>
          <w:rtl w:val="true"/>
        </w:rPr>
        <w:t>قولهم</w:t>
      </w:r>
      <w:r>
        <w:rPr>
          <w:rtl w:val="true"/>
        </w:rPr>
        <w:t xml:space="preserve">: </w:t>
      </w:r>
      <w:r>
        <w:rPr>
          <w:rtl w:val="true"/>
        </w:rPr>
        <w:t xml:space="preserve">أجمعت العصابة على تصحيح ما يصح عنه </w:t>
      </w:r>
      <w:r>
        <w:rPr>
          <w:rtl w:val="true"/>
        </w:rPr>
        <w:t>:</w:t>
      </w:r>
      <w:bookmarkEnd w:id="273"/>
    </w:p>
    <w:p>
      <w:pPr>
        <w:pStyle w:val="Heading6"/>
        <w:numPr>
          <w:ilvl w:val="5"/>
          <w:numId w:val="1"/>
        </w:numPr>
        <w:rPr/>
      </w:pPr>
      <w:bookmarkStart w:id="274" w:name="__RefHeading___Toc316697_2142443653"/>
      <w:bookmarkStart w:id="275" w:name="_Toc102"/>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شبهة في وقوع هذا الإجماع في حق جمع، و أول من ادّعاه فيما نعلم الشيخ الثقة الجليل أبو عمرو الكشي</w:t>
      </w:r>
      <w:r>
        <w:rPr>
          <w:rStyle w:val="FootnoteAnchor"/>
          <w:rtl w:val="true"/>
        </w:rPr>
        <w:footnoteReference w:id="4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الحاشية من إضافات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الفائدة الثانية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 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و لا حاجة للحاشية بعد ما سيذكر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كلام الكشي فيما بعد،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عما كتبه،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رجاله</w:t>
      </w:r>
      <w:r>
        <w:rPr>
          <w:rStyle w:val="FootnoteAnchor"/>
          <w:rtl w:val="true"/>
        </w:rPr>
        <w:footnoteReference w:id="402"/>
      </w:r>
      <w:r>
        <w:rPr>
          <w:rFonts w:ascii="Amiri" w:hAnsi="Amiri" w:eastAsia="Amiri" w:cs="Amiri"/>
          <w:color w:val="111111"/>
          <w:sz w:val="28"/>
          <w:sz w:val="28"/>
          <w:szCs w:val="28"/>
          <w:rtl w:val="true"/>
          <w:lang w:bidi="ar-SA"/>
        </w:rPr>
        <w:t xml:space="preserve">، ثم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أنت خبير أن دعوى العمل و كونه معمولا به غير دعوى الإجماع، و غير تصحيح ما يصح عنهم، و كذا قول الشيخ في العدة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الطائفة ما يرويه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سوت الطائفة بين ما يرويه محمد بن أبي عمير و صفوان بن يحيى و أحمد بن أبي نصر و 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دعوى الإجماع أو التصحيح؟ فتدبر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الشهيد الثاني في الروضة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اجمعت على تصحيح ما يصح عن عبد اللّه بن بكير و أقرّوا له بالفقه و الثقة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صاحب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النوري ذكر أن الشيخ الطوسي ناظر إلى أصحاب الإجماع الذي ذكرهم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في المقام، كما أنه ليس في عبارة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لا أثر، سوى ما سنوافيك به و لقائل بالفرق بينهما، إذ اللفظة من محدثات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النجاشي</w:t>
      </w:r>
      <w:r>
        <w:rPr>
          <w:rStyle w:val="FootnoteAnchor"/>
          <w:rtl w:val="true"/>
        </w:rPr>
        <w:footnoteReference w:id="404"/>
      </w:r>
      <w:r>
        <w:rPr>
          <w:rFonts w:ascii="Amiri" w:hAnsi="Amiri" w:eastAsia="Amiri" w:cs="Amiri"/>
          <w:color w:val="111111"/>
          <w:sz w:val="28"/>
          <w:sz w:val="28"/>
          <w:szCs w:val="28"/>
          <w:rtl w:val="true"/>
          <w:lang w:bidi="ar-SA"/>
        </w:rPr>
        <w:t>، ثم من بعدهما من المتقدمين و المتأخرين كابن طاوس و العلامة</w:t>
      </w:r>
      <w:r>
        <w:rPr>
          <w:rStyle w:val="FootnoteAnchor"/>
          <w:rtl w:val="true"/>
        </w:rPr>
        <w:footnoteReference w:id="405"/>
      </w:r>
      <w:r>
        <w:rPr>
          <w:rFonts w:ascii="IRNazanin" w:hAnsi="IRNazanin" w:eastAsia="IRNazanin"/>
          <w:color w:val="111111"/>
          <w:sz w:val="28"/>
          <w:sz w:val="28"/>
          <w:szCs w:val="28"/>
          <w:rtl w:val="true"/>
          <w:lang w:bidi="fa-IR"/>
        </w:rPr>
        <w:t>و ابن داود</w:t>
      </w:r>
      <w:r>
        <w:rPr>
          <w:rStyle w:val="FootnoteAnchor"/>
          <w:rtl w:val="true"/>
        </w:rPr>
        <w:footnoteReference w:id="406"/>
      </w:r>
      <w:r>
        <w:rPr>
          <w:rFonts w:ascii="IRNazanin" w:hAnsi="IRNazanin" w:eastAsia="IRNazanin"/>
          <w:color w:val="111111"/>
          <w:sz w:val="28"/>
          <w:sz w:val="28"/>
          <w:szCs w:val="28"/>
          <w:rtl w:val="true"/>
          <w:lang w:bidi="fa-IR"/>
        </w:rPr>
        <w:t>و صاحب المعالم</w:t>
      </w:r>
      <w:r>
        <w:rPr>
          <w:rStyle w:val="FootnoteAnchor"/>
          <w:rtl w:val="true"/>
        </w:rPr>
        <w:footnoteReference w:id="407"/>
      </w:r>
      <w:r>
        <w:rPr>
          <w:rFonts w:ascii="Amiri" w:hAnsi="Amiri" w:eastAsia="Amiri" w:cs="Amiri"/>
          <w:color w:val="111111"/>
          <w:sz w:val="28"/>
          <w:sz w:val="28"/>
          <w:szCs w:val="28"/>
          <w:rtl w:val="true"/>
          <w:lang w:bidi="ar-SA"/>
        </w:rPr>
        <w:t>و الشهيدين</w:t>
      </w:r>
      <w:r>
        <w:rPr>
          <w:rStyle w:val="FootnoteAnchor"/>
          <w:rtl w:val="true"/>
        </w:rPr>
        <w:footnoteReference w:id="408"/>
      </w:r>
      <w:r>
        <w:rPr>
          <w:rFonts w:ascii="Amiri" w:hAnsi="Amiri" w:eastAsia="Amiri" w:cs="Amiri"/>
          <w:color w:val="111111"/>
          <w:sz w:val="28"/>
          <w:sz w:val="28"/>
          <w:szCs w:val="28"/>
          <w:rtl w:val="true"/>
          <w:lang w:bidi="ar-SA"/>
        </w:rPr>
        <w:t>و الشيخ سليمان</w:t>
      </w:r>
      <w:r>
        <w:rPr>
          <w:rStyle w:val="FootnoteAnchor"/>
          <w:rtl w:val="true"/>
        </w:rPr>
        <w:footnoteReference w:id="409"/>
      </w:r>
      <w:r>
        <w:rPr>
          <w:rFonts w:ascii="Amiri" w:hAnsi="Amiri" w:eastAsia="Amiri" w:cs="Amiri"/>
          <w:color w:val="111111"/>
          <w:sz w:val="28"/>
          <w:sz w:val="28"/>
          <w:szCs w:val="28"/>
          <w:rtl w:val="true"/>
          <w:lang w:bidi="ar-SA"/>
        </w:rPr>
        <w:t>و السيد الداماد</w:t>
      </w:r>
      <w:r>
        <w:rPr>
          <w:rStyle w:val="FootnoteAnchor"/>
          <w:rtl w:val="true"/>
        </w:rPr>
        <w:footnoteReference w:id="4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قد ناقش السيد الغريفي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خلص إلى النتيجة التي أراد مناقشة الشيخ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اتضح وهن القول بأن كلمات جميع الذين نقلوا الإجماع صريحة في المسلّمية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عين ما سنوافيك به 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مختاره فيما بعد، فلا يرد عليه بما أورده عليه، فلاحظ و تدبر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أنه لو صح وصف الإجماع المنقول بالتواتر، لصح أن يقال إن هذا الإجماع قد تواتر نقله</w:t>
      </w:r>
      <w:r>
        <w:rPr>
          <w:rStyle w:val="FootnoteAnchor"/>
          <w:rtl w:val="true"/>
        </w:rPr>
        <w:footnoteReference w:id="412"/>
      </w:r>
      <w:r>
        <w:rPr>
          <w:rFonts w:ascii="Amiri" w:hAnsi="Amiri" w:eastAsia="Amiri" w:cs="Amiri"/>
          <w:color w:val="111111"/>
          <w:sz w:val="28"/>
          <w:sz w:val="28"/>
          <w:szCs w:val="28"/>
          <w:rtl w:val="true"/>
          <w:lang w:bidi="ar-SA"/>
        </w:rPr>
        <w:t xml:space="preserve">، و صار أصل انعقاده في الجملة من ضروريات الفقهاء و المحدثين و أهل الدراية و الرجال، و المراد بهذا الإجماع ليس هو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مجرد اتفاق الكل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هذا و أن ديدن القدماء خاصة الفقهاء على استعمال لفظة الإجماع و إرادة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منه غالبا الشهرة، كما لا يخفى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المعنى المصطلح، و هو الاتفاق الكاشف عن رأي المعصوم، على أن يكون المجمع عليه هو القبول و العمل بروايات أولئك الذين قيل في حقهم ذلك، إذ إمام ذلك العصر عليه السّلام بمرأى من أولئك العاملين بأخبار هؤلاء و مسمع، مع عدم ظهور إنكار لهم و لا ردع، بل أقرهم</w:t>
      </w:r>
    </w:p>
    <w:p>
      <w:pPr>
        <w:pStyle w:val="BookText"/>
        <w:rPr/>
      </w:pPr>
      <w:r>
        <w:rPr>
          <w:rFonts w:ascii="Amiri" w:hAnsi="Amiri" w:eastAsia="Amiri" w:cs="Amiri"/>
          <w:color w:val="111111"/>
          <w:sz w:val="28"/>
          <w:sz w:val="28"/>
          <w:szCs w:val="28"/>
          <w:rtl w:val="true"/>
          <w:lang w:bidi="ar-SA"/>
        </w:rPr>
        <w:t>على ذلك، بل و أمر بالرجوع إليهم و الأخذ منهم</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أوهى الوجوه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إجماعا تعبديا و لا ربط له بالتوثيق أو الوثوق، و يظهر فيما يأتي من كلامه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سلمنا كون الإجماع تعبديا، إلا أن الذي بحث عن حجيته و استدلّ عليه هو الإجماع على فتوى في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موضوع أجنبي عن الحكم، إلا على بعض الوجوه الضعيفة في باب الإجماع المتفق على بطلانها عند متأخري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الإجماع لا يوجب هنا إلا الحدس المحض بوثاقة من روى عنه أصحاب الإجماع، و هو لا يجدي في ثبوت وثاقتهم، و التوثيق في كتب الرجال لا يقبل منه إلى الحسي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مثل هذا الإجماع أيضا أنه محتمل المدرك بل مقطوع المدرك، و هو على هذا ليس بحجة في الأحكام الشرعية فضلا عن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هناك إجماع على اقتران روايات أصحاب إجماعا بقرائن الصحة مترشح من الإجماع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الفراع عن عدم حجية مثل هذا الإجماع لو كان، و منافاته للوجوه الماضية، من أين لنا بتحصيل الوثوق به بتلك القرائن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قالوا في الأصول إن الإجماع المنقول بخبر الواحد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حجة الخبر الواحد لا تشمل الأخبار الحدسية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النقوض و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جمهرة من الرجاليين إلى القول بكثرة الأغلاط في رجال الكشي و التصحيف و السقط، كما صرح به النجاشي و غيره، و كما نصّ عليه الشيخ الجد في فوائده الرجالية، و صاحب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المسألة مبنائية، و لا حجية فيها على فقيه يرى بطلان تلك المباني، فلاحظ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يفيده الإجماع هو تصديق أولئك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هناك من طعون على بعض المجمع عليهم، كما طعن في يونس بن عبد الرحمن القميّون، و في الحسن بن محبوب آخرون، نعم لو حصل اتفاق موجب للعلم أو الاطمئنان كفى في المقام، و من أين لنا بمثل هذا، مع أنه لا طريق للكشف عن قول المعصوم عليه السّلام، ثم الاتفاق على أمر فرع عدم دليل عقلي أو شرعي من كتاب أو سنة أو حجة شرعية عليه، و هذا مختص بالأحكام الكلية التي لا يستفاد من شيء من ذلك، و لا مساغ للتمسك به في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في تهذيب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يفيد لو كان المراد من تصحيح ما يصح عن هؤلاء تصحيح رواياتهم، و أنهم رووها عن الثقات لا تصحيح أقوالهم من باب الأخذ بقول الفقيه، و هذا محل نظر، فإن قوله و انقادوا لهم بالفقه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 تصديقهم لما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لما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التصحيح بالحمل الشائع لا يدلّ على وثاقة من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ثمّة قرينة خارجية من استقرار طريقة المجمعين أو غير ذلك على التصحيح و الأخذ بما رواه الثقات صحت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5033_241602"/>
    </w:p>
    <w:p>
      <w:pPr>
        <w:pStyle w:val="BookText"/>
        <w:rPr/>
      </w:pPr>
      <w:bookmarkEnd w:id="276"/>
      <w:r>
        <w:rPr>
          <w:rFonts w:ascii="Amiri" w:hAnsi="Amiri" w:eastAsia="Amiri" w:cs="Amiri"/>
          <w:color w:val="111111"/>
          <w:sz w:val="28"/>
          <w:sz w:val="28"/>
          <w:szCs w:val="28"/>
          <w:rtl w:val="true"/>
          <w:lang w:bidi="ar-SA"/>
        </w:rPr>
        <w:t>و إذ قد عرفت ذلك فاعلم أن الكلام يقع هنا في مقامين</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316699_2142443653"/>
      <w:bookmarkStart w:id="278" w:name="_Toc103"/>
      <w:bookmarkEnd w:id="277"/>
      <w:r>
        <w:rPr>
          <w:rtl w:val="true"/>
        </w:rPr>
        <w:t>مقامان</w:t>
      </w:r>
      <w:bookmarkEnd w:id="278"/>
    </w:p>
    <w:p>
      <w:pPr>
        <w:pStyle w:val="Heading6"/>
        <w:numPr>
          <w:ilvl w:val="5"/>
          <w:numId w:val="1"/>
        </w:numPr>
        <w:rPr/>
      </w:pPr>
      <w:bookmarkStart w:id="279" w:name="__RefHeading___Toc316701_2142443653"/>
      <w:bookmarkStart w:id="280" w:name="_Toc104"/>
      <w:bookmarkEnd w:id="279"/>
      <w:r>
        <w:rPr>
          <w:rtl w:val="true"/>
        </w:rPr>
        <w:t>الاول</w:t>
      </w:r>
      <w:r>
        <w:rPr>
          <w:rtl w:val="true"/>
        </w:rPr>
        <w:t xml:space="preserve">: </w:t>
      </w:r>
      <w:r>
        <w:rPr>
          <w:rtl w:val="true"/>
        </w:rPr>
        <w:t>ما المراد من هذه العبارة؟</w:t>
      </w:r>
      <w:bookmarkEnd w:id="28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بهذه العبارة، فإن فيه احتمالات بكل منها قائل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بذلك تصحيح رواية من قيل في حقه ذلك بحيث لو صحت من أول السند إليه عدّت صحيحة، من غير اعتبار ملاحظة أحواله و أحوال من يروي عنه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 و لا فرق بين العلم بمن رووا عنه و معرفة حاله و عدمه، </w:t>
      </w:r>
    </w:p>
    <w:p>
      <w:pPr>
        <w:pStyle w:val="BookText"/>
        <w:rPr/>
      </w:pPr>
      <w:r>
        <w:rPr>
          <w:rFonts w:ascii="Amiri" w:hAnsi="Amiri" w:eastAsia="Amiri" w:cs="Amiri"/>
          <w:color w:val="111111"/>
          <w:sz w:val="28"/>
          <w:sz w:val="28"/>
          <w:szCs w:val="28"/>
          <w:rtl w:val="true"/>
          <w:lang w:bidi="ar-SA"/>
        </w:rPr>
        <w:t xml:space="preserve">فلا فرق حينئذ بين مسانيدهم و مراسيلهم و مرافيعهم، و هذا القول قد وصفه المحقق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فوائده الرجالية بالشهرة، و جعله هو ظاهر هذه العبارة</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قال المجلسي الأول في 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الظاهر من إجماع الأصحاب على تصحيح ما يصح عنه أنهم لم يكونوا ينظرون إلى ما بعده، فإنهم كانوا يعلمون أنه لا يروي إلا ما كان معلوم الصدور عن الأئمة عليهم السّلام، و من تتبع آثارهم يعلم أن مرادهم هذا، لا أنه لا يروي كاذبا على من يروي عنه، و يكون عبارة أخرى عن التوثيق، فإنه إذا كان كذلك، فأي اختصاص لهذا المعنى لهؤلاء الثمانية عشر، لكن المتأخرين ينظرون إلى حال من بعده، و نحن نسجنا على منوالهم و سمينا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بعده مجهولا أو ضعيفا، و الظاهر أنه لا يحتاج إلى النظر إلى من كان قبله، فإن الظاهر أن كتبه كانت من الأصول و كانت متواترة عنه، فلا يضر 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 في منتهى المقال أيضا هو الظاهر المنساق إلى الذهن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بعض أجلاء عصره أيضا وصفه بالشهرة، بل هو أيضا في آخر كلامه وصفه بالشهرة و المعروفية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نسب ذلك المحقق الداماد إلى الأصحاب</w:t>
      </w:r>
    </w:p>
    <w:p>
      <w:pPr>
        <w:pStyle w:val="BookText"/>
        <w:rPr/>
      </w:pPr>
      <w:r>
        <w:rPr>
          <w:rFonts w:ascii="Amiri" w:hAnsi="Amiri" w:eastAsia="Amiri" w:cs="Amiri"/>
          <w:color w:val="111111"/>
          <w:sz w:val="28"/>
          <w:sz w:val="28"/>
          <w:szCs w:val="28"/>
          <w:rtl w:val="true"/>
          <w:lang w:bidi="ar-SA"/>
        </w:rPr>
        <w:t xml:space="preserve">مؤذنا بدعوى الإجماع،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الرواشح السماوية</w:t>
      </w:r>
      <w:r>
        <w:rPr>
          <w:rStyle w:val="FootnoteAnchor"/>
          <w:rtl w:val="true"/>
        </w:rPr>
        <w:footnoteReference w:id="417"/>
      </w:r>
      <w:r>
        <w:rPr>
          <w:rFonts w:ascii="Amiri" w:hAnsi="Amiri" w:eastAsia="Amiri" w:cs="Amiri"/>
          <w:color w:val="111111"/>
          <w:sz w:val="28"/>
          <w:sz w:val="28"/>
          <w:szCs w:val="28"/>
          <w:rtl w:val="true"/>
          <w:lang w:bidi="ar-SA"/>
        </w:rPr>
        <w:t xml:space="preserve">، بعد عدّ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هؤلاء على اعتبار الأقوال المختلفة في تعيينهم أحد و عشرون أو اثنان و عشرون رجلا، و مراسيلهم و مرافيعهم و مقاطيعهم و مسانيدهم إلى من يسمون من غير المعروفين معدودة عند الأصحاب من الصحاح من غير اكتراث منهم، لعدم صدق حد الصحيح على ما قد علمته عليها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في معين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العلامة في المختلف، بل في الخلاصة و الشهيدين و الشيخ البهائي و الآخوند المجلسي و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كلامه 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عطفه مقاطيعهم على مراسيلهم و مرافيعهم محل نظر و تأمل، ضرورة خروج ذلك عن منصرف هذا الإجماع، فإن منصرفه ما إذا نسبت الرواية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وقفت على غيره و صارت مقطوعة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فهذا القول في تفسير هذا الإجماع هو الذي عزاه في أول الوافي إلى جماعة من المتأخرين</w:t>
      </w:r>
      <w:r>
        <w:rPr>
          <w:rStyle w:val="FootnoteAnchor"/>
          <w:rtl w:val="true"/>
        </w:rPr>
        <w:footnoteReference w:id="41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w:t>
      </w:r>
    </w:p>
    <w:p>
      <w:pPr>
        <w:pStyle w:val="BookText"/>
        <w:rPr/>
      </w:pPr>
      <w:r>
        <w:rPr>
          <w:rFonts w:ascii="Amiri" w:hAnsi="Amiri" w:eastAsia="Amiri" w:cs="Amiri"/>
          <w:color w:val="111111"/>
          <w:sz w:val="28"/>
          <w:sz w:val="28"/>
          <w:szCs w:val="28"/>
          <w:rtl w:val="true"/>
          <w:lang w:bidi="ar-SA"/>
        </w:rPr>
        <w:t xml:space="preserve">الكشي المتضمنة لنقل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فهم جماعة من المتأخرين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w:t>
      </w:r>
      <w:r>
        <w:rPr>
          <w:rStyle w:val="FootnoteAnchor"/>
          <w:rtl w:val="true"/>
        </w:rPr>
        <w:footnoteReference w:id="420"/>
      </w:r>
      <w:r>
        <w:rPr>
          <w:rFonts w:ascii="Amiri" w:hAnsi="Amiri" w:eastAsia="Amiri" w:cs="Amiri"/>
          <w:color w:val="111111"/>
          <w:sz w:val="28"/>
          <w:sz w:val="28"/>
          <w:szCs w:val="28"/>
          <w:rtl w:val="true"/>
          <w:lang w:bidi="ar-SA"/>
        </w:rPr>
        <w:t xml:space="preserve">على تصحيح ما يصح عن هؤلاء الحكم بصحة الحديث المنقول عنهم، و نسبته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صحته عنهم، من دون اعتبار العدالة في من يروون عنه حتى لو رووا عن معروف بالفسق أو بالوضع فضلا عما لو أرسلوا الحديث كان ما نقلوه صحيحا محكوما على نسبته إلى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عقبه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فمن الظاهر أن كلام الكشي لا ينظر إلى الحكم بصحة ما رواه أحد المذكورين عن المعصومين عليهم السّلام حتى إذا كانت الرواية مرسلة أو مروية عن ضعيف أو مجهول الحال، و إنما ينظر إلى بيان جلالة هؤلاء و إن الإجماع قد انعقد على وثاقتهم و فقههم و تصديقهم في ما يروونه، و معنى ذلك أنهم لا يتهمون بالكذب في أخبارهم و روايتهم، و أين هذا من دعوى الإجماع على الحكم بصحة جميع ما رووه عن المعصومين عليهم السّلام، و إن كانت الواسطة مجهولا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أدام اللّه أيامه، و هو مبنى خامس في المقام، و سيأتي ما فيه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في منتهى</w:t>
      </w:r>
    </w:p>
    <w:p>
      <w:pPr>
        <w:pStyle w:val="BookText"/>
        <w:rPr/>
      </w:pPr>
      <w:r>
        <w:rPr>
          <w:rFonts w:ascii="IRNazanin" w:hAnsi="IRNazanin" w:eastAsia="IRNazanin"/>
          <w:color w:val="111111"/>
          <w:sz w:val="28"/>
          <w:sz w:val="28"/>
          <w:szCs w:val="28"/>
          <w:rtl w:val="true"/>
          <w:lang w:bidi="fa-IR"/>
        </w:rPr>
        <w:t>المقال</w:t>
      </w:r>
      <w:r>
        <w:rPr>
          <w:rStyle w:val="FootnoteAnchor"/>
          <w:rtl w:val="true"/>
        </w:rPr>
        <w:footnoteReference w:id="422"/>
      </w:r>
      <w:r>
        <w:rPr>
          <w:rFonts w:ascii="Amiri" w:hAnsi="Amiri" w:eastAsia="Amiri" w:cs="Amiri"/>
          <w:color w:val="111111"/>
          <w:sz w:val="28"/>
          <w:sz w:val="28"/>
          <w:szCs w:val="28"/>
          <w:rtl w:val="true"/>
          <w:lang w:bidi="ar-SA"/>
        </w:rPr>
        <w:t>نحوه عن البهائي في مشرق الشمسين</w:t>
      </w:r>
      <w:r>
        <w:rPr>
          <w:rStyle w:val="FootnoteAnchor"/>
          <w:rtl w:val="true"/>
        </w:rPr>
        <w:footnoteReference w:id="423"/>
      </w:r>
      <w:r>
        <w:rPr>
          <w:rFonts w:ascii="Amiri" w:hAnsi="Amiri" w:eastAsia="Amiri" w:cs="Amiri"/>
          <w:color w:val="111111"/>
          <w:sz w:val="28"/>
          <w:sz w:val="28"/>
          <w:szCs w:val="28"/>
          <w:rtl w:val="true"/>
          <w:lang w:bidi="ar-SA"/>
        </w:rPr>
        <w:t>، و الشهيد الثاني</w:t>
      </w:r>
      <w:r>
        <w:rPr>
          <w:rStyle w:val="FootnoteAnchor"/>
          <w:rtl w:val="true"/>
        </w:rPr>
        <w:footnoteReference w:id="424"/>
      </w:r>
      <w:r>
        <w:rPr>
          <w:rFonts w:ascii="Amiri" w:hAnsi="Amiri" w:eastAsia="Amiri" w:cs="Amiri"/>
          <w:color w:val="111111"/>
          <w:sz w:val="28"/>
          <w:sz w:val="28"/>
          <w:szCs w:val="28"/>
          <w:rtl w:val="true"/>
          <w:lang w:bidi="ar-SA"/>
        </w:rPr>
        <w:t>، و الشيخ محمد أمين الكاظمي</w:t>
      </w:r>
      <w:r>
        <w:rPr>
          <w:rStyle w:val="FootnoteAnchor"/>
          <w:rtl w:val="true"/>
        </w:rPr>
        <w:footnoteReference w:id="425"/>
      </w:r>
      <w:r>
        <w:rPr>
          <w:rFonts w:ascii="Amiri" w:hAnsi="Amiri" w:eastAsia="Amiri" w:cs="Amiri"/>
          <w:color w:val="111111"/>
          <w:sz w:val="28"/>
          <w:sz w:val="28"/>
          <w:szCs w:val="28"/>
          <w:rtl w:val="true"/>
          <w:lang w:bidi="ar-SA"/>
        </w:rPr>
        <w:t>، و السيد محمد</w:t>
      </w:r>
      <w:r>
        <w:rPr>
          <w:rStyle w:val="FootnoteAnchor"/>
          <w:rtl w:val="true"/>
        </w:rPr>
        <w:footnoteReference w:id="426"/>
      </w:r>
      <w:r>
        <w:rPr>
          <w:rFonts w:ascii="Amiri" w:hAnsi="Amiri" w:eastAsia="Amiri" w:cs="Amiri"/>
          <w:color w:val="111111"/>
          <w:sz w:val="28"/>
          <w:sz w:val="28"/>
          <w:szCs w:val="28"/>
          <w:rtl w:val="true"/>
          <w:lang w:bidi="ar-SA"/>
        </w:rPr>
        <w:t>، و من عدا سيد الرياض من أساتيذه و مشايخه، و استظهره من الفوائد النجفية أيضا، و حكاه المجلسي عن جماعة من المحققين منهم والده المقدس التقي</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حكي عن العلامة في المختلف، و عن البهائي في غير مشرق الشمسين أن من الأمور الموجبة لعدّ الحديث من الصحيح عند فقهائنا وجوده في الأصل المعروف الانتساب إلى أحد الجماعة الذين أجمعوا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القول في هذا شيخنا العاملي في الفائدة السابعة من الجزء الثالث من وسائله و المجلد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نوقش في هذا التفسير بأن لازمه كون مراسيلهم بحكم المسانيد الصحاح، و نحن نرى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يقدح فيما صح عن هؤلاء بالإرسال الواقع بعدهم، و أيضا ابن أبي عمير من هؤلاء الجماعة، و المناقشة في قبول مراسيله 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أجاب عن ذلك في الفوائد</w:t>
      </w:r>
      <w:r>
        <w:rPr>
          <w:rStyle w:val="FootnoteAnchor"/>
          <w:rtl w:val="true"/>
        </w:rPr>
        <w:footnoteReference w:id="428"/>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القادح و المناقش ربما لم يثبت عندهما الإجماع، أو لم يثبت وجوب اتباعه لعدم كونه بالمعنى المعهود، بل كونه مجرد الاتفاق، أو لم يفهما على وفق المشهور، و لا يضرّ ذلك، أو لم يقنعا بمجرد ذلك، و الظاهر هو الأول بالنسبة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ذكره إياه في كتابه كما ذكره الكشي، و كذا</w:t>
      </w:r>
      <w:r>
        <w:rPr>
          <w:rStyle w:val="FootnoteAnchor"/>
          <w:rtl w:val="true"/>
        </w:rPr>
        <w:footnoteReference w:id="429"/>
      </w:r>
      <w:r>
        <w:rPr>
          <w:rFonts w:ascii="Amiri" w:hAnsi="Amiri" w:eastAsia="Amiri" w:cs="Amiri"/>
          <w:color w:val="111111"/>
          <w:sz w:val="28"/>
          <w:sz w:val="28"/>
          <w:szCs w:val="28"/>
          <w:rtl w:val="true"/>
          <w:lang w:bidi="ar-SA"/>
        </w:rPr>
        <w:t>بالنسبة إلى النجاشي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مناقشة بعض في مراسيل ابن أبي عمير لا تدفع الشهرة و المعروفية، فإن المعروف الاعتماد على مراسيله، بل في رجال النجاشي إن أصحابنا يسكنون إلى مراسيله</w:t>
      </w:r>
      <w:r>
        <w:rPr>
          <w:rStyle w:val="FootnoteAnchor"/>
          <w:rtl w:val="true"/>
        </w:rPr>
        <w:footnoteReference w:id="430"/>
      </w:r>
      <w:r>
        <w:rPr>
          <w:rFonts w:ascii="Amiri" w:hAnsi="Amiri" w:eastAsia="Amiri" w:cs="Amiri"/>
          <w:color w:val="111111"/>
          <w:sz w:val="28"/>
          <w:sz w:val="28"/>
          <w:szCs w:val="28"/>
          <w:rtl w:val="true"/>
          <w:lang w:bidi="ar-SA"/>
        </w:rPr>
        <w:t>، و في الذكرى إن الأصحاب أجمعوا على قبول مراسيله</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الشهادات في حق مراسيله</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و إن ادّعى عليه الشهرة، و ذهب إليه جهابذة القوم، بعيد عن مفهوم كلام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الأصل في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مع روايتهم كثيرا عن الضعفاء في عدّة موارد كما في تراجمهم، و ما ذكره الشيخ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الشيخ الوحيد، و سبقهما الشيخ البهائي لا يشفي الغليل خصوصا بعد عدم كون الإجماع تعبديا، بل ممنوعا لعدم شهرته عندهم و عند ذكرهم له سوى ما جاء في مراسيل ابن أبي عمير و لم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بحث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الأعلام كالمحقق الحلي و صاحب المدارك و غيرهما فضلا عن مراسيل غيره فتدبر، انظر بحث المرسل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أنكر صاحب الوافي في حاشية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ابن أبي عمير و من لفّ لفّه لا يرسلون إلا عن ثقة،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بذلك خروج عن الاصطلاح الذي قرّروه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مبنى و بناء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كون من قيل في حقه ذلك صحيح الحديث لا غير، بحيث إذا كان في سند فوثق من عداه ممن قبله و بعده، أو صحح السند بغير التوثيق بالنسبة إلى غيره، عدّ السند حينئذ صحيحا، و لا يتوقف من جهته، و أما من قبله و بعده فلا يحكم بصحة حديث أحد منهم لهذا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هذا الوجه في منتهى المقال عن أستاذه السيد صاحب الرياض و معاصر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القول الأول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سلوكه في كثير من مصنفاته كذلك، بالغ في الإنكار،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دعوى الإجماع على صدق الجماعة و صحة ما ترويه إذا لم يكن في السند من يتوقف فيه، فإذا قال أحد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يكون الإجماع منعقدا على صدق دعواه، و اذا كان فلان ضعيفا أو غير معروف لا يجديه ذلك نفعا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إلى ما ذهب إليه بعض أفاضل العصر</w:t>
      </w:r>
      <w:r>
        <w:rPr>
          <w:rStyle w:val="FootnoteAnchor"/>
          <w:rtl w:val="true"/>
        </w:rPr>
        <w:footnoteReference w:id="434"/>
      </w:r>
      <w:r>
        <w:rPr>
          <w:rFonts w:ascii="Amiri" w:hAnsi="Amiri" w:eastAsia="Amiri" w:cs="Amiri"/>
          <w:color w:val="111111"/>
          <w:sz w:val="28"/>
          <w:sz w:val="28"/>
          <w:szCs w:val="28"/>
          <w:rtl w:val="true"/>
          <w:lang w:bidi="ar-SA"/>
        </w:rPr>
        <w:t xml:space="preserve">، و ليس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p>
    <w:p>
      <w:pPr>
        <w:pStyle w:val="BookText"/>
        <w:rPr/>
      </w:pPr>
      <w:r>
        <w:rPr>
          <w:rFonts w:ascii="Amiri" w:hAnsi="Amiri" w:eastAsia="Amiri" w:cs="Amiri"/>
          <w:color w:val="111111"/>
          <w:sz w:val="28"/>
          <w:sz w:val="28"/>
          <w:szCs w:val="28"/>
          <w:rtl w:val="true"/>
          <w:lang w:bidi="ar-SA"/>
        </w:rPr>
        <w:t xml:space="preserve">فضلهما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و ساير أساتيذنا و مشايخنا على ما ذهب إليه الأستاذ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في الدارين مقامهم 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يعثر في الكتب الفقهية من أول كتاب الطهارة إلى آخر كتاب الديات على عمل فقيه 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ضعيف، محتجا بأن في سنده أحد الجماعة و هو إليه صحيح، و إذا وقفت على ما تلوناه عليك عرفت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حقيقته</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منتهى المقال</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الإجماع على عدالة أولئك المذكورين ممنوع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سرد ما جرح بعض من ادعى الإجماع عليهم و عدم تصريح عدالة بعضهم كيحيى بن القاسم الأسدي و أبان بن عثمان و غيرهما،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بتلك العبارة عين المصادرة، على أنه لو كان المراد بها ذلك لما كان في التعبير بها لتلك الجماعة دون غيرهما مما لا خلاف في عدالتهم و لا نزاع في ثقتهم، و قيل لهم ثقة مرتين فائدة و لا مزية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إن هذا التفسير خلاف ظاهر العبارة، و إن ظاهرها هو التفسير الأول، للفرق الواضح بين إجماعهم على صحته أو صحة حديثه، و بين إجماعهم على صحة ما يصح عنه، فإن ظاهر الثاني الأول، و ظاهر الأول الثاني، فإما أن ينكر الإجماع المزبور رأسا، أو يفسّر بالتفسير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إنكاره الوقوف على عملهم بخبر ضعيف، محتجا بأن في سنده أحد هؤلاء فمن الغرائب، فإن كلمات متأخري فقهائنا من الطهارة إلى الديات مشحونة بذلك، و كفاك منها بحث جماعة مختلف العلامة فيما تبين فسق الإمام</w:t>
      </w:r>
      <w:r>
        <w:rPr>
          <w:rStyle w:val="FootnoteAnchor"/>
          <w:rtl w:val="true"/>
        </w:rPr>
        <w:footnoteReference w:id="437"/>
      </w:r>
      <w:r>
        <w:rPr>
          <w:rFonts w:ascii="Amiri" w:hAnsi="Amiri" w:eastAsia="Amiri" w:cs="Amiri"/>
          <w:color w:val="111111"/>
          <w:sz w:val="28"/>
          <w:sz w:val="28"/>
          <w:szCs w:val="28"/>
          <w:rtl w:val="true"/>
          <w:lang w:bidi="ar-SA"/>
        </w:rPr>
        <w:t>، و بيع غاية المراد للشهيد</w:t>
      </w:r>
      <w:r>
        <w:rPr>
          <w:rStyle w:val="FootnoteAnchor"/>
          <w:rtl w:val="true"/>
        </w:rPr>
        <w:footnoteReference w:id="438"/>
      </w:r>
      <w:r>
        <w:rPr>
          <w:rFonts w:ascii="Amiri" w:hAnsi="Amiri" w:eastAsia="Amiri" w:cs="Amiri"/>
          <w:color w:val="111111"/>
          <w:sz w:val="28"/>
          <w:sz w:val="28"/>
          <w:szCs w:val="28"/>
          <w:rtl w:val="true"/>
          <w:lang w:bidi="ar-SA"/>
        </w:rPr>
        <w:t>، و بحث الارتداد من المسالك</w:t>
      </w:r>
      <w:r>
        <w:rPr>
          <w:rStyle w:val="FootnoteAnchor"/>
          <w:rtl w:val="true"/>
        </w:rPr>
        <w:footnoteReference w:id="4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غيرها</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قال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مناقشة الشيخ في مرسلات الجماعة، و الجماعة في مراسيل ابن أبي عمير، فمع أن ذلك كله مشترك الورود على الجميع لعله لعدم ثبوت الإجماع عندهم، أو عدم وقوفهم عليه أو عدم اعتنائهم به، أو بيان أن رواياتهم ليست كسائر الصحاح و غير ذلك، و بالجملة ما ذكر لا يدفع الشهرة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توثيق خصوص من قيل في حقه ذلك، حكى في الفصول</w:t>
      </w:r>
      <w:r>
        <w:rPr>
          <w:rStyle w:val="FootnoteAnchor"/>
          <w:rtl w:val="true"/>
        </w:rPr>
        <w:footnoteReference w:id="441"/>
      </w:r>
      <w:r>
        <w:rPr>
          <w:rFonts w:ascii="Amiri" w:hAnsi="Amiri" w:eastAsia="Amiri" w:cs="Amiri"/>
          <w:color w:val="111111"/>
          <w:sz w:val="28"/>
          <w:sz w:val="28"/>
          <w:szCs w:val="28"/>
          <w:rtl w:val="true"/>
          <w:lang w:bidi="ar-SA"/>
        </w:rPr>
        <w:t>إسناد هذا التفسير إلى الأكثر عن قائل لم يسمه، و اختاره الفاضل الاسترآبادي في لب اللباب مدعيا عليه الإجماع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أجمعت العصابة على تصحيح ما يصح عنه ظاهر في مدح الرواية، و لكنه يفيد وثاقة الراوي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 الموصوف بذلك الوصف ثقة معتمدا حتى يمكن أن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يصح عنه فهو صحيح، مع أن الإتيان بلفظ المضارع دون الماضي دليل على ما ذكر كما لا يخفى، مضافا إلى أنه أجمعت العصابة على أن </w:t>
      </w:r>
    </w:p>
    <w:p>
      <w:pPr>
        <w:pStyle w:val="BookText"/>
        <w:rPr/>
      </w:pPr>
      <w:r>
        <w:rPr>
          <w:rFonts w:ascii="Amiri" w:hAnsi="Amiri" w:eastAsia="Amiri" w:cs="Amiri"/>
          <w:color w:val="111111"/>
          <w:sz w:val="28"/>
          <w:sz w:val="28"/>
          <w:szCs w:val="28"/>
          <w:rtl w:val="true"/>
          <w:lang w:bidi="ar-SA"/>
        </w:rPr>
        <w:t xml:space="preserve">قولهم أجمعت العصابة يفيد الوثاقة بالنسبة إلى من ورد في حقه تلك اللفظة، و لا نزاع في ذلك و إنما النزاع في إفادته صحة الحديث مطلقا، فلا يلاحظ من كان بعد ذلك الشخص في الذكر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كان ضعيفا لم يكن قادحا في الصحة 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فإن دلالة الألفاظ بالوضع</w:t>
      </w:r>
      <w:r>
        <w:rPr>
          <w:rStyle w:val="FootnoteAnchor"/>
          <w:rtl w:val="true"/>
        </w:rPr>
        <w:footnoteReference w:id="442"/>
      </w:r>
      <w:r>
        <w:rPr>
          <w:rFonts w:ascii="Amiri" w:hAnsi="Amiri" w:eastAsia="Amiri" w:cs="Amiri"/>
          <w:color w:val="111111"/>
          <w:sz w:val="28"/>
          <w:sz w:val="28"/>
          <w:szCs w:val="28"/>
          <w:rtl w:val="true"/>
          <w:lang w:bidi="ar-SA"/>
        </w:rPr>
        <w:t>أو بالقرينة، و الوضع إما لغوي أو عرفي، عام أو خاص، و لم يثبت الوضع بأنواعه بالنسبة إلى إفادة تعديل من كان واقعا بعد ذلك الشخص و كذا القرينة، و إن كان الأول لعله الظاهر من العبارة كما قيل</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استدل بعضهم</w:t>
      </w:r>
      <w:r>
        <w:rPr>
          <w:rStyle w:val="FootnoteAnchor"/>
          <w:rtl w:val="true"/>
        </w:rPr>
        <w:footnoteReference w:id="444"/>
      </w:r>
      <w:r>
        <w:rPr>
          <w:rFonts w:ascii="Amiri" w:hAnsi="Amiri" w:eastAsia="Amiri" w:cs="Amiri"/>
          <w:color w:val="111111"/>
          <w:sz w:val="28"/>
          <w:sz w:val="28"/>
          <w:szCs w:val="28"/>
          <w:rtl w:val="true"/>
          <w:lang w:bidi="ar-SA"/>
        </w:rPr>
        <w:t xml:space="preserve">لدلالة العبارة على وثاقة المقولة فيه بأن من المستبعد جدا إجماعهم على تصحيح جميع ما يرويه من ليس بثقة، سيما بعد ملاحظة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اعتبار العدالة لقبول خبرهم، و ملاحظة اختلاف مشاربهم، بل رميهم كثيرا من الثقات بالضعف و فساد العقيدة، سيما القميين منهم، خصوصا بعد استثناء مثل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شيخه روايات جماعة عن أخرى، كرواية محمد بن عيسى من كتب يونس، و رواية محمد بن أحمد بن يحيى عن محمد بن يحيى المعاذي، أو عن أبي عبد اللّه </w:t>
      </w:r>
    </w:p>
    <w:p>
      <w:pPr>
        <w:pStyle w:val="BookText"/>
        <w:rPr/>
      </w:pPr>
      <w:r>
        <w:rPr>
          <w:rFonts w:ascii="Amiri" w:hAnsi="Amiri" w:eastAsia="Amiri" w:cs="Amiri"/>
          <w:color w:val="111111"/>
          <w:sz w:val="28"/>
          <w:sz w:val="28"/>
          <w:szCs w:val="28"/>
          <w:rtl w:val="true"/>
          <w:lang w:bidi="ar-SA"/>
        </w:rPr>
        <w:t>الرازي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فإجماعهم مع هذا المسلك على صحة جميع ما رواه شخص، بل جميع ما يرويه، كما هو مفاد هيئة المضارع يكشف عن كونه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نوقش في هذا التفسير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ثقة أمر مشترك، فلا وجه لاختصاص الإجماع بالمذكورين</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ذلك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بظاهره في غاية السخافة، إذ كون الرجل ثقة لا يستلزم وقوع الإجماع على وثاقته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ما أورده بعض المحققين</w:t>
      </w:r>
      <w:r>
        <w:rPr>
          <w:rStyle w:val="FootnoteAnchor"/>
          <w:rtl w:val="true"/>
        </w:rPr>
        <w:footnoteReference w:id="447"/>
      </w:r>
      <w:r>
        <w:rPr>
          <w:rFonts w:ascii="Amiri" w:hAnsi="Amiri" w:eastAsia="Amiri" w:cs="Amiri"/>
          <w:color w:val="111111"/>
          <w:sz w:val="28"/>
          <w:sz w:val="28"/>
          <w:szCs w:val="28"/>
          <w:rtl w:val="true"/>
          <w:lang w:bidi="ar-SA"/>
        </w:rPr>
        <w:t>من أنه ليس في التعبير بها لتلك الجماعة دون غيرهم ممن لا خلاف في عدالته فائدة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أردت عدم خلاف من المعدّلين المعروفين في </w:t>
      </w:r>
    </w:p>
    <w:p>
      <w:pPr>
        <w:pStyle w:val="BookText"/>
        <w:rPr/>
      </w:pPr>
      <w:r>
        <w:rPr>
          <w:rFonts w:ascii="IRNazanin" w:hAnsi="IRNazanin" w:eastAsia="IRNazanin"/>
          <w:color w:val="111111"/>
          <w:sz w:val="28"/>
          <w:sz w:val="28"/>
          <w:szCs w:val="28"/>
          <w:rtl w:val="true"/>
          <w:lang w:bidi="fa-IR"/>
        </w:rPr>
        <w:t>الرجال</w:t>
      </w:r>
      <w:r>
        <w:rPr>
          <w:rStyle w:val="FootnoteAnchor"/>
          <w:rtl w:val="true"/>
        </w:rPr>
        <w:footnoteReference w:id="448"/>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من وثقه جميعهم، و إن أردت عدم وجدان خلاف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ظهور الوفاق، مع أن سكوتهم ربما يكون فيه شيء،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خصوص هؤلاء</w:t>
      </w:r>
      <w:r>
        <w:rPr>
          <w:rStyle w:val="FootnoteAnchor"/>
          <w:rtl w:val="true"/>
        </w:rPr>
        <w:footnoteReference w:id="449"/>
      </w:r>
      <w:r>
        <w:rPr>
          <w:rFonts w:ascii="Amiri" w:hAnsi="Amiri" w:eastAsia="Amiri" w:cs="Amiri"/>
          <w:color w:val="111111"/>
          <w:sz w:val="28"/>
          <w:sz w:val="28"/>
          <w:szCs w:val="28"/>
          <w:rtl w:val="true"/>
          <w:lang w:bidi="ar-SA"/>
        </w:rPr>
        <w:t>غير إجماع العصابة، و خصوصا إن مدعي هذا الإجماع الكشي ناقلا عن مشايخه،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لعل عند هذا القائل يكون تصحيح الحديث أمرا زائدا على التوثيق،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اتفاق جميع العصابة فلم يوجد إلا في مثل سلمان ممن هو عدالته ضرورية لا تحتاج إلى الإظهار، و أما غيره</w:t>
      </w:r>
      <w:r>
        <w:rPr>
          <w:rStyle w:val="FootnoteAnchor"/>
          <w:rtl w:val="true"/>
        </w:rPr>
        <w:footnoteReference w:id="450"/>
      </w:r>
      <w:r>
        <w:rPr>
          <w:rFonts w:ascii="Amiri" w:hAnsi="Amiri" w:eastAsia="Amiri" w:cs="Amiri"/>
          <w:color w:val="111111"/>
          <w:sz w:val="28"/>
          <w:sz w:val="28"/>
          <w:szCs w:val="28"/>
          <w:rtl w:val="true"/>
          <w:lang w:bidi="ar-SA"/>
        </w:rPr>
        <w:t>فلا يكاد يوجد ثقة جليل سالما عن قدح، فضلا عن أن يتحقق اتفاقهم على سلامته منه، فضلا عن أن يثبت عندك، فتأمل</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الحاصل إن الاتفاق واقع على عدّ أخبار جملة من الرواة كثيرة في قسم الصحيح، لكن ليس الوفاق على تعديلهم بل للتوثيق على أن من عدّله واحد أو أكثر كان حديثه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 المستشكل أنه ليس ثمّة فائدة معلومة في حصر الإجماع بهؤلاء الجماعة دون غيرهم، مع أن هناك عدولا ثقات بلا خلاف لم يجمع عليهم،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السيد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مطابقة الواقع، فالإجماع على التصديق يقتضي الإجماع على اعتقاد مطابقة الواقع، و لعل الطائفة وقفوا على مطابقة كثير من أخبارهم أو أكثر فاستدلوا بما وجدوا على ما لم يجدوا، و الاتفاق على وثاقة الرجل و تقواه و صلاحه و ورعه لا يقتضي أكثر من ظن مطابقة خبره لاعتقاده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في الستة الأوائل على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 الإقرار لهم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الستة الاوائل قد علم لهم ذلك من جميع الطائفة اتفاقا محققا فلذلك نقلوه، و أما غيرهم فلم يعلم أكثر من اعتماد كثيرا، و ظهور الأكثر عليهم و سكوت الباقين بعدم الخلاف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فيها، خصوصا الوجهين الأخيرين من القول بالتفصيل، و الفصل بين الستة الأوائل و ما بعدهم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المحققين من منع الإجماع على الوثاقة، لأن بعض هؤلاء لم يدّع أحد توثيقه، بل قدح بعض في بعضهم، و بعض منهم و إن ادّعى توثيقه إلا أنه ورد منهم 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الاعتراض أيضا فيه تأمل، و سيظهر لك بعض من وجهه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ناقش به في الفوائد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تصحيح القدماء حديث شخص لا يستلزم توثيقه منهم، لما مرّت الإشارة إليه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توضيح ذلك ما في الفصول</w:t>
      </w:r>
      <w:r>
        <w:rPr>
          <w:rStyle w:val="FootnoteAnchor"/>
          <w:rtl w:val="true"/>
        </w:rPr>
        <w:footnoteReference w:id="454"/>
      </w:r>
      <w:r>
        <w:rPr>
          <w:rFonts w:ascii="Amiri" w:hAnsi="Amiri" w:eastAsia="Amiri" w:cs="Amiri"/>
          <w:color w:val="111111"/>
          <w:sz w:val="28"/>
          <w:sz w:val="28"/>
          <w:szCs w:val="28"/>
          <w:rtl w:val="true"/>
          <w:lang w:bidi="ar-SA"/>
        </w:rPr>
        <w:t>من أن اعتمادهم على رواية رجل في خصوص مقام لا يدلّ على توثيقه بشيء من الدلالات، أ لا ترى أن علي بن حمزة قد ذكر الشيخ في حقه أنه واقفي، و ذكر النجاشي أنه أحد عمد الواقفة، و 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كذاب متهم ملعون، 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أصل الوقف و أشد الناس عداوة للولي من بعد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في ذمّه روايات، و لم يحك عن أحد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أن له أصلا نقل عنه ابن أبي عمير 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النظائر مما يطلع عليه المتتبع الماهر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أصحابنا الإمامية كانوا يتبرءون من فرق المخالفين لهم لا سيما الواقفية، و كانوا يسمونهم الكلاب الممطورة، فكيف يعقل ركونهم</w:t>
      </w:r>
      <w:r>
        <w:rPr>
          <w:rStyle w:val="FootnoteAnchor"/>
          <w:rtl w:val="true"/>
        </w:rPr>
        <w:footnoteReference w:id="455"/>
      </w:r>
      <w:r>
        <w:rPr>
          <w:rFonts w:ascii="Amiri" w:hAnsi="Amiri" w:eastAsia="Amiri" w:cs="Amiri"/>
          <w:color w:val="111111"/>
          <w:sz w:val="28"/>
          <w:sz w:val="28"/>
          <w:szCs w:val="28"/>
          <w:rtl w:val="true"/>
          <w:lang w:bidi="ar-SA"/>
        </w:rPr>
        <w:t xml:space="preserve">إليهم و روايتهم عنهم؟ بل كل ما يوجد من رواياتهم عنهم فلا بد أن يكون في حال استقامتهم، فمما لا وجه له، إذ الذي يظهر أن أصحابنا كانوا يعتمدون على الأخبار المحفوفة بأمارة الوثوق و إن كان الراوي غير إمامي، و كفاك في ذاك روايتهم عن </w:t>
      </w:r>
    </w:p>
    <w:p>
      <w:pPr>
        <w:pStyle w:val="BookText"/>
        <w:rPr/>
      </w:pPr>
      <w:r>
        <w:rPr>
          <w:rFonts w:ascii="Amiri" w:hAnsi="Amiri" w:eastAsia="Amiri" w:cs="Amiri"/>
          <w:color w:val="111111"/>
          <w:sz w:val="28"/>
          <w:sz w:val="28"/>
          <w:szCs w:val="28"/>
          <w:rtl w:val="true"/>
          <w:lang w:bidi="ar-SA"/>
        </w:rPr>
        <w:t>النوفلي و السكوني مع أنهما عاميان، و لم يكن لهما حال استقامة</w:t>
      </w:r>
      <w:r>
        <w:rPr>
          <w:rStyle w:val="FootnoteAnchor"/>
          <w:rtl w:val="true"/>
        </w:rPr>
        <w:footnoteReference w:id="456"/>
      </w:r>
      <w:r>
        <w:rPr>
          <w:rFonts w:ascii="IRNazanin" w:hAnsi="IRNazanin" w:eastAsia="IRNazanin"/>
          <w:color w:val="111111"/>
          <w:sz w:val="28"/>
          <w:sz w:val="28"/>
          <w:szCs w:val="28"/>
          <w:rtl w:val="true"/>
          <w:lang w:bidi="fa-IR"/>
        </w:rPr>
        <w:t>، فتأمل</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لا يكون رجل ثقة و مع ذلك اتفق جميع العصابة على تصحيح جميع ما رواه سيما بعد ملاحظة دعوى الشيخ الاتفاق على اعتبار العدالة لقبول خبرهم، إلا أن يقال بمقالة السيد صدر الدين في حواشيه كما في ما حكاه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أحد فضلا عن الشيخ بخصوصه إجماعا على العدالة شرطا ينتفي الخبر بانتفائه، بل الشيخ بنفسه مصرح بإجماع الفرقة على العمل بأخبار ثقات ليس من الإمامية كالفطحية و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في الخبر على ظن الصدور من المعصوم عليه السّلام أو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يقع الإجمال على أخبار الرجل إذا قوبلت و علم من الخارج صدقها و مطابقتها للواقع، أو علم مطابقة الباقي، نعم لك أن تقول وقوع المطابقة و حصولها في أخبار شخص أعظم دليل على وجود الوثاقة بالمعنى الأعم، بل هو عينها، بل أعلى أفرادها، و بعد تحقيق كون الرجل إماميا المانع من كون شدّة تحرجه في الصدق بحسب ما يظهر لنا دليلا على العدالة، فإنّا إنما استدللنا عليها بالآثار، و هذا أعظم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توثيق من كان بعد من قيل في حقه ذلك، أسنده في الفوائد إلى توهم بعض</w:t>
      </w:r>
      <w:r>
        <w:rPr>
          <w:rStyle w:val="FootnoteAnchor"/>
          <w:rtl w:val="true"/>
        </w:rPr>
        <w:footnoteReference w:id="458"/>
      </w:r>
      <w:r>
        <w:rPr>
          <w:rFonts w:ascii="Amiri" w:hAnsi="Amiri" w:eastAsia="Amiri" w:cs="Amiri"/>
          <w:color w:val="111111"/>
          <w:sz w:val="28"/>
          <w:sz w:val="28"/>
          <w:szCs w:val="28"/>
          <w:rtl w:val="true"/>
          <w:lang w:bidi="ar-SA"/>
        </w:rPr>
        <w:t xml:space="preserve">، و لا ريب في أن مراد هذا القائل توثيق المقول في حقه أيضا، كما يشهد بذلك أن صاحب الفصول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Style w:val="FootnoteAnchor"/>
          <w:rtl w:val="true"/>
        </w:rPr>
        <w:footnoteReference w:id="459"/>
      </w:r>
      <w:r>
        <w:rPr>
          <w:rFonts w:ascii="Amiri" w:hAnsi="Amiri" w:eastAsia="Amiri" w:cs="Amiri"/>
          <w:color w:val="111111"/>
          <w:sz w:val="28"/>
          <w:sz w:val="28"/>
          <w:szCs w:val="28"/>
          <w:rtl w:val="true"/>
          <w:lang w:bidi="ar-SA"/>
        </w:rPr>
        <w:t>نقل القول السابق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بأنها تدلّ على وثاقة الرجال الذين بعده أيضا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على هذا التفسير ما نوقش به في سابقه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فيما مضى حجية الظن في الرجال لانسداد باب العلم في هذا الباب، و لا ريب في إيراث الإجماع المزبور الظن، كما لا ريب في حجية ما يظهر من اللفظ المزبور لكونه كغيره من الألفاظ التي هي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لكل ذي ذهن مستقيم هو التفسير الأول الذي فهمه المشهور، بل قيل</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في الظهور المزبور في نفسه قصور فهو بفهم المشهور مجبور، و إن لم نقل بجبر الشهرة لقصور الدلالة في الأخبار، لأن المدار هنا على مطلق الظن دون الأخبار، فإن المدار فيها على الاطمئنان</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فأكثر الوجوه لا تخلو من نظر، مع التسليم بلزوم اتباع مثل هذا الإجماع، و حجية مثل ذلك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التفسير الثاني، فقد عرفت سقوطه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التفسير الثالث، فقد سمعت ما فيه من المناقشات، مضافا إلى ما قيل عليه</w:t>
      </w:r>
      <w:r>
        <w:rPr>
          <w:rStyle w:val="FootnoteAnchor"/>
          <w:rtl w:val="true"/>
        </w:rPr>
        <w:footnoteReference w:id="463"/>
      </w:r>
      <w:r>
        <w:rPr>
          <w:rFonts w:ascii="Amiri" w:hAnsi="Amiri" w:eastAsia="Amiri" w:cs="Amiri"/>
          <w:color w:val="111111"/>
          <w:sz w:val="28"/>
          <w:sz w:val="28"/>
          <w:szCs w:val="28"/>
          <w:rtl w:val="true"/>
          <w:lang w:bidi="ar-SA"/>
        </w:rPr>
        <w:t>من أنه إن كان المراد به ما ينفي التفسير الأول فلا ريب في ضعفه، فإن الظهور بمرأى منّا و هو مع التفسير الأول كما أن مصير المشهور هو ذاك، بل لم نقف على مصرح بالثالث غير من مرّ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الكثرة و الإجماع اللذان ادعاهما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زيادة على التفسير الأول إثبات وثاقة الرجل المقول في حقه اللفظ المزبور نظرا إلى ما نقلناه عن البعض الاستدلال للتفسير الثالث به، ففيه أن ذلك على فرض تسليم إفادته بنفسه أو بانضمام اللفظ المزبور شرطا أو شطرا للظن المعتبر معارض بظهور عبارات المشهور، بل صراحتها في نفي ذلك، مع أن الظاهر خلافه، بل هو استدلال بالأعم، لإمكان أن يكون منشأ إجماعهم مع اختلاف مشاربهم هو وقوفهم على نهاية دقّة المقول فيه ذلك اللفظ في نقل الرواية بحيث لا يروي إلا ما علم أو ظن بصحته، مع معرفته بعيوب الرواية و الرواة، و هذا لا يستلزم وثاقته في نفسه، غاية الأمر كونه ثقة في نقل الحديث خاصة كما مرّ في اللفظ المزبور، إلا أن هناك استظهرنا وثاقته في نفسه من قرائن أخر، فلو وجد مثلها في المقام لم نكن نأبى عنه، و إلا فالمسلم وثاقته في الحديث لا وثاقته في نفسه حتى يحكم بكونه ثقة بالاصطلاح المتأخر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نستفد من نفس العبارة وثاقة هؤلاء في </w:t>
      </w:r>
    </w:p>
    <w:p>
      <w:pPr>
        <w:pStyle w:val="BookText"/>
        <w:rPr/>
      </w:pPr>
      <w:r>
        <w:rPr>
          <w:rFonts w:ascii="Amiri" w:hAnsi="Amiri" w:eastAsia="Amiri" w:cs="Amiri"/>
          <w:color w:val="111111"/>
          <w:sz w:val="28"/>
          <w:sz w:val="28"/>
          <w:szCs w:val="28"/>
          <w:rtl w:val="true"/>
          <w:lang w:bidi="ar-SA"/>
        </w:rPr>
        <w:t>أنفسهم، فلا اقلّ من استفادة ذلك بضميمة أنه يبعد كل البعد عدم وثاقة الراوي في نفسه بالمعنى الأخص، و مع ذلك اتفق جميع العصابة على تصحيح جميع ما رواه و على الاعتماد على أحاديثه و أخباره، مع ملاحظة أن كثيرا من الأعاظم الثقات من الرواة لم يتحقق منهم الاتفاق على تصحيح حديثه، و لا قيل في حقه هذا القول، و لا ادعيت هذه الدعوى له، فليس إلا لكون هؤلاء بمرتبة فوق العدالة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لكنا لما وجدنا منهم من هو فطحي كعبد اللّه بن بكير، بل و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بأن المراد بالوثاقة الموثقية و العدالة بالمعنى الأعم، دون الوثاقة،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التفسير الرابع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منشأه الأخذ بالتفسير الأول مع حمل لفظ التصحيح و الصحة في العبارة على الصحة بالاصطلاح المتأخر المتوقفة على عدالة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لا وجه لذلك، لأن لعبارة المزبورة أصلها من الكشي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من القدماء الذين لم يكن اصطلاحهم في لفظ الصحيح هو الاصطلاح المتأخر، بل الصحة في اصطلاحهم عبارة عن كون الرّواية معتبرة موثوقا بصدورها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لقرائن خارجيّة، فلازم حمل كلام كل ذي اصطلاح على مصطلحه هو كون مرادهم بالإجماع على صحة ما يصحّ عن هؤلاء الإجماع على كون ما يوثق برواية هؤلاء له موثوقا بصدوره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لقرائن خارجيّة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الإجماع المزبور الكشّي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القدماء </w:t>
      </w:r>
    </w:p>
    <w:p>
      <w:pPr>
        <w:pStyle w:val="BookText"/>
        <w:rPr/>
      </w:pPr>
      <w:r>
        <w:rPr>
          <w:rFonts w:ascii="Amiri" w:hAnsi="Amiri" w:eastAsia="Amiri" w:cs="Amiri"/>
          <w:color w:val="111111"/>
          <w:sz w:val="28"/>
          <w:sz w:val="28"/>
          <w:szCs w:val="28"/>
          <w:rtl w:val="true"/>
          <w:lang w:bidi="ar-SA"/>
        </w:rPr>
        <w:t>فكذا نقله المتأخّرون الذين اصطلاحهم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 و العدالة و الإماميّة</w:t>
      </w:r>
      <w:r>
        <w:rPr>
          <w:rStyle w:val="FootnoteAnchor"/>
          <w:rtl w:val="true"/>
        </w:rPr>
        <w:footnoteReference w:id="465"/>
      </w:r>
      <w:r>
        <w:rPr>
          <w:rFonts w:ascii="Amiri" w:hAnsi="Amiri" w:eastAsia="Amiri" w:cs="Amiri"/>
          <w:color w:val="111111"/>
          <w:sz w:val="28"/>
          <w:sz w:val="28"/>
          <w:szCs w:val="28"/>
          <w:rtl w:val="true"/>
          <w:lang w:bidi="ar-SA"/>
        </w:rPr>
        <w:t>، فكما نحمل ما في كلام القدماء على اصطلاحهم، يلزمك حمل ما في كلمات المتأخرين أيضا على مصطلحهم، فيثبت مطلوب أهل التّفسير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انعقاد الإجماع في الزّمان المتأخّر على خلاف ما انعقد في الزّمان السّابق غير ممكن على طريقتنا في الإجماع، كشف ذلك عن إرادة المتأخّرين بالصّحة في هذه العبارة الصحيح بالاصطلاح المتقدّم و هو المطلوب، فتأمّل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تلخّص من ذلك كلّه أنّ المعتمد في تفسير العبارة هو التّفسير الأول، و إن ما يصح عن هؤلاء مع ضعف أحد من بعدهم من رجال السّند لا ينبغي أن يسمّى صحيحا بالاصطلاح المتأخّر، بل ينبغي تسميته قويّا أو كالصحيح، و لعلّ هذا هو مراد المحقّق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رواية هؤلاء إذا صحّت إليهم لا تقصر عن أكثر الصّحاح</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لما صدر من الشيخ أبي عليّ‌</w:t>
      </w:r>
      <w:r>
        <w:rPr>
          <w:rStyle w:val="FootnoteAnchor"/>
          <w:rtl w:val="true"/>
        </w:rPr>
        <w:footnoteReference w:id="467"/>
      </w:r>
      <w:r>
        <w:rPr>
          <w:rFonts w:ascii="Amiri" w:hAnsi="Amiri" w:eastAsia="Amiri" w:cs="Amiri"/>
          <w:color w:val="111111"/>
          <w:sz w:val="28"/>
          <w:sz w:val="28"/>
          <w:szCs w:val="28"/>
          <w:rtl w:val="true"/>
          <w:lang w:bidi="ar-SA"/>
        </w:rPr>
        <w:t>في منتهى المقال من التأمّل في اعتبار الإجماع المزبور،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مثل هذا الصّحيح ليس في القوّة كسائر الصّحاح، بل و أضعف من كثير من الحسان لا لما فهّمه السّيد الاستاذ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في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شاركه، إذ لا يكاد يفهم ذلك من تلك العبارة أبدا، و لا يتبادر إلى الذّهن مطلقا، و من المعلوم أنّ صدق الرجل غير تصحيح ما يصحّ عنه، بل لوهن الإجماع المزبور إذ لم نقف على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وافق الكشي في ذلك من معاصريه و المتقدمين عليه و المتأخرين عنه إلى زمان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يوجد ذكر هذا الإجماع في كلام النجاشي فقط من المتقدمين، و ذلك بعنوان النقل عن الكشي، إلا أن غير واحد من علمائنا منهم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 الأمور الموجبة لعد الحديث من الصحيح عند قدمائنا وجوده في أصل معروف الانتساب إلى أحد الجماعة الذين أجمعوا على تصحيح ما يصح عنهم،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الإجماع لم يثبت وجوب اتباعه كالذي بالمعنى المصطلح لكونه مجرد وفاق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حكي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الإجماع، و قد نقله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تأخر عنه أيضا، و حكاه النجاشي بعنوان القبول دون مجرد النقل، بل كلمات الكل صريحة في المسلمية و القبول، و كفى بأحد هؤلاء ناقلا بعد إفادته الظن الكافي في الرجال، حتى لو اريد به الوفاق دون الإجماع المصطلح، مع أن ظاهرهم الإجماع المصطلح، و هو صريح الشيخ الحر في فوائد وسائل الشيعة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الكشي،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في حق هؤلاء و الذين قبلهم تدلّ على مضمون </w:t>
      </w:r>
      <w:bookmarkStart w:id="281" w:name="pg15033_241623"/>
    </w:p>
    <w:p>
      <w:pPr>
        <w:pStyle w:val="BookText"/>
        <w:rPr/>
      </w:pPr>
      <w:bookmarkEnd w:id="281"/>
      <w:r>
        <w:rPr>
          <w:rFonts w:ascii="Amiri" w:hAnsi="Amiri" w:eastAsia="Amiri" w:cs="Amiri"/>
          <w:color w:val="111111"/>
          <w:sz w:val="28"/>
          <w:sz w:val="28"/>
          <w:szCs w:val="28"/>
          <w:rtl w:val="true"/>
          <w:lang w:bidi="ar-SA"/>
        </w:rPr>
        <w:t>الإجماع المذكور</w:t>
      </w:r>
      <w:r>
        <w:rPr>
          <w:rStyle w:val="FootnoteAnchor"/>
          <w:rtl w:val="true"/>
        </w:rPr>
        <w:footnoteReference w:id="468"/>
      </w:r>
      <w:r>
        <w:rPr>
          <w:rFonts w:ascii="Amiri" w:hAnsi="Amiri" w:eastAsia="Amiri" w:cs="Amiri"/>
          <w:color w:val="111111"/>
          <w:sz w:val="28"/>
          <w:sz w:val="28"/>
          <w:szCs w:val="28"/>
          <w:rtl w:val="true"/>
          <w:lang w:bidi="ar-SA"/>
        </w:rPr>
        <w:t xml:space="preserve">، فعلم من هذه الأحاديث الشريفة دخول المعصوم بل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الإجماع الشريف المنقول بخبر هذا الثقة الجليل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قد ذكر نحو ذلك، بل ما هو أبلغ منه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العدة</w:t>
      </w:r>
      <w:r>
        <w:rPr>
          <w:rStyle w:val="FootnoteAnchor"/>
          <w:rtl w:val="true"/>
        </w:rPr>
        <w:footnoteReference w:id="469"/>
      </w:r>
      <w:r>
        <w:rPr>
          <w:rFonts w:ascii="Amiri" w:hAnsi="Amiri" w:eastAsia="Amiri" w:cs="Amiri"/>
          <w:color w:val="111111"/>
          <w:sz w:val="28"/>
          <w:sz w:val="28"/>
          <w:szCs w:val="28"/>
          <w:rtl w:val="true"/>
          <w:lang w:bidi="ar-SA"/>
        </w:rPr>
        <w:t>و جماعة من المتقدمين و المتأخرين، و ذكروا أنهم أجمعوا على العمل بمراسيل هؤلاء الأجلاء و أمثالهم كما أجمعوا على العمل بمسانيدهم</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ما في ذيله يقوي ما اخترناه من التفسير الأول، فلاحظ و تدبر جيدا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316703_2142443653"/>
      <w:bookmarkStart w:id="283" w:name="_Toc105"/>
      <w:bookmarkEnd w:id="282"/>
      <w:r>
        <w:rPr>
          <w:rtl w:val="true"/>
        </w:rPr>
        <w:t>المقام الثاني</w:t>
      </w:r>
      <w:r>
        <w:rPr>
          <w:rtl w:val="true"/>
        </w:rPr>
        <w:t xml:space="preserve">: </w:t>
      </w:r>
      <w:r>
        <w:rPr>
          <w:rtl w:val="true"/>
        </w:rPr>
        <w:t>في تعداد الجماعة و تعيين أسمائهم</w:t>
      </w:r>
      <w:r>
        <w:rPr>
          <w:rtl w:val="true"/>
        </w:rPr>
        <w:t>:</w:t>
      </w:r>
      <w:bookmarkEnd w:id="283"/>
    </w:p>
    <w:p>
      <w:pPr>
        <w:pStyle w:val="BookText"/>
        <w:rPr/>
      </w:pPr>
      <w:r>
        <w:rPr>
          <w:rFonts w:ascii="Amiri" w:hAnsi="Amiri" w:eastAsia="Amiri" w:cs="Amiri"/>
          <w:color w:val="111111"/>
          <w:sz w:val="28"/>
          <w:sz w:val="28"/>
          <w:szCs w:val="28"/>
          <w:rtl w:val="true"/>
          <w:lang w:bidi="ar-SA"/>
        </w:rPr>
        <w:t>و حيث إن أول من نقل الإجماع هو الكشي</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قد ذكر بما هو أبلغ منه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المتقدمين و المتأخرين، و دعوى الإجماع على العمل بمراسيل بعض الأجلاء فضلا عن مسانيدهم من الأصحاب كثيرة، و ربما يشارك الكشي النجاشي في نقل الإجماع المزبور، و كذا العلامة لا بطريق النقل عنه، كما أن للكشي عبارات غير دعوى الإجماع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أجمعت العصابة على تصديقه و الإقرار له بالفقه كما قاله في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لزمنا نقل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برمته،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تصديق هؤلاء الأولين من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معروف بن خربوذ، و بريد، و أبو بصير الأسدي، و الفضيل بن يسار، و محمد بن مسلم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أبي</w:t>
      </w:r>
      <w:r>
        <w:rPr>
          <w:rStyle w:val="FootnoteAnchor"/>
          <w:rtl w:val="true"/>
        </w:rPr>
        <w:footnoteReference w:id="473"/>
      </w:r>
      <w:r>
        <w:rPr>
          <w:rFonts w:ascii="Amiri" w:hAnsi="Amiri" w:eastAsia="Amiri" w:cs="Amiri"/>
          <w:color w:val="111111"/>
          <w:sz w:val="28"/>
          <w:sz w:val="28"/>
          <w:szCs w:val="28"/>
          <w:rtl w:val="true"/>
          <w:lang w:bidi="ar-SA"/>
        </w:rPr>
        <w:t>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Style w:val="FootnoteAnchor"/>
          <w:rtl w:val="true"/>
        </w:rPr>
        <w:footnoteReference w:id="474"/>
      </w:r>
      <w:r>
        <w:rPr>
          <w:rFonts w:ascii="Amiri" w:hAnsi="Amiri" w:eastAsia="Amiri" w:cs="Amiri"/>
          <w:color w:val="111111"/>
          <w:sz w:val="28"/>
          <w:sz w:val="28"/>
          <w:szCs w:val="28"/>
          <w:rtl w:val="true"/>
          <w:lang w:bidi="ar-SA"/>
        </w:rPr>
        <w:t>بصير المرادي و هو ليث البختري</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أحاديث كثيرة في مدحهم و جلالتهم و علو منزلتهم و الأمر بالرجوع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الفقهاء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 هؤلاء و تصديقهم لما يقولون و أقرّوا لهم بالفقه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دون أولئك الستة الذين عددناهم و سميناهم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اللّه بن مسكان، و عبد اللّه بن بكير، و حماد بن عيسى، و حماد بن عثمان، 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أفقه هؤلاء جميل بن دراج، و هم أحداث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الفقهاء من أصحاب أبي إبراهيم، و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على تصحيح ما يصح عن هؤلاء و تصديقهم و أقروا لهم بالفقه و العلم و هم ستة نفر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الستة نفر الذين ذكرناهم في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 صفوان بن يحيى بياع السابري، و محمد بن أبي عمير، و عبد اللّه بن المغيرة، و الحسن بن محبوب، و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الحسن بن محبوب الحسن بن علي بن فضال، و فضالة بن أيوب،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و أفقه هؤلاء يونس بن عبد الرحمن و صفوان بن يحيى</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ظهر أن أصحاب الإجماع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حكي الإجماع على تصديقهم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حكي الإجماع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الكشي في تصديق الستة الأوائل و توثيقهم دون غيرهم،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أحاديث في حق هؤلاء و الذين قبلهم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الستة الأولى الخلاف في </w:t>
      </w:r>
    </w:p>
    <w:p>
      <w:pPr>
        <w:pStyle w:val="BookText"/>
        <w:rPr/>
      </w:pPr>
      <w:r>
        <w:rPr>
          <w:rFonts w:ascii="Amiri" w:hAnsi="Amiri" w:eastAsia="Amiri" w:cs="Amiri"/>
          <w:color w:val="111111"/>
          <w:sz w:val="28"/>
          <w:sz w:val="28"/>
          <w:szCs w:val="28"/>
          <w:rtl w:val="true"/>
          <w:lang w:bidi="ar-SA"/>
        </w:rPr>
        <w:t>واحد و هو أبو بصير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الأسدي، و حكى عن بعضهم أنه ليث المرادي، و في الستة الأخيرة جعل مكان ابن محبوب الحسن بن علي بن فضال، و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محبوب و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نظم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الستة الأخيرة من عيّنه هو و في الستة الأولى من نقله عن بعض قولا، و جعل ذلك الأصح عنده</w:t>
      </w:r>
      <w:r>
        <w:rPr>
          <w:rStyle w:val="FootnoteAnchor"/>
          <w:rtl w:val="true"/>
        </w:rPr>
        <w:footnoteReference w:id="47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أجمع الكل على تصحيح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و هم أولو نجابة و رفعة أربعة و خمسة و ستة</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فالستة الاولى من الأمجاد أربعة منهم من الأوتاد</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479"/>
      </w:r>
      <w:r>
        <w:rPr>
          <w:rFonts w:ascii="Amiri" w:hAnsi="Amiri" w:eastAsia="Amiri" w:cs="Amiri"/>
          <w:color w:val="111111"/>
          <w:sz w:val="28"/>
          <w:sz w:val="28"/>
          <w:szCs w:val="28"/>
          <w:rtl w:val="true"/>
          <w:lang w:bidi="ar-SA"/>
        </w:rPr>
        <w:t>كذا يريد</w:t>
      </w:r>
      <w:r>
        <w:rPr>
          <w:rStyle w:val="FootnoteAnchor"/>
          <w:rtl w:val="true"/>
        </w:rPr>
        <w:footnoteReference w:id="480"/>
      </w:r>
      <w:r>
        <w:rPr>
          <w:rFonts w:ascii="IRNazanin" w:hAnsi="IRNazanin" w:eastAsia="IRNazanin"/>
          <w:color w:val="111111"/>
          <w:sz w:val="28"/>
          <w:sz w:val="28"/>
          <w:szCs w:val="28"/>
          <w:rtl w:val="true"/>
          <w:lang w:bidi="fa-IR"/>
        </w:rPr>
        <w:t>قد أتى ثم محمد</w:t>
      </w:r>
      <w:r>
        <w:rPr>
          <w:rStyle w:val="FootnoteAnchor"/>
          <w:rtl w:val="true"/>
        </w:rPr>
        <w:footnoteReference w:id="481"/>
      </w:r>
      <w:r>
        <w:rPr>
          <w:rFonts w:ascii="Amiri" w:hAnsi="Amiri" w:eastAsia="Amiri" w:cs="Amiri"/>
          <w:color w:val="111111"/>
          <w:sz w:val="28"/>
          <w:sz w:val="28"/>
          <w:szCs w:val="28"/>
          <w:rtl w:val="true"/>
          <w:lang w:bidi="ar-SA"/>
        </w:rPr>
        <w:t>و ليث</w:t>
      </w:r>
      <w:r>
        <w:rPr>
          <w:rStyle w:val="FootnoteAnchor"/>
          <w:rtl w:val="true"/>
        </w:rPr>
        <w:footnoteReference w:id="482"/>
      </w:r>
      <w:r>
        <w:rPr>
          <w:rFonts w:ascii="Amiri" w:hAnsi="Amiri" w:eastAsia="Amiri" w:cs="Amiri"/>
          <w:color w:val="111111"/>
          <w:sz w:val="28"/>
          <w:sz w:val="28"/>
          <w:szCs w:val="28"/>
          <w:rtl w:val="true"/>
          <w:lang w:bidi="ar-SA"/>
        </w:rPr>
        <w:t>يا فتى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فضيل</w:t>
      </w:r>
      <w:r>
        <w:rPr>
          <w:rStyle w:val="FootnoteAnchor"/>
          <w:rtl w:val="true"/>
        </w:rPr>
        <w:footnoteReference w:id="483"/>
      </w:r>
      <w:r>
        <w:rPr>
          <w:rFonts w:ascii="IRNazanin" w:hAnsi="IRNazanin" w:eastAsia="IRNazanin"/>
          <w:color w:val="111111"/>
          <w:sz w:val="28"/>
          <w:sz w:val="28"/>
          <w:szCs w:val="28"/>
          <w:rtl w:val="true"/>
          <w:lang w:bidi="fa-IR"/>
        </w:rPr>
        <w:t>بعده معروف</w:t>
      </w:r>
      <w:r>
        <w:rPr>
          <w:rStyle w:val="FootnoteAnchor"/>
          <w:rtl w:val="true"/>
        </w:rPr>
        <w:footnoteReference w:id="484"/>
      </w:r>
      <w:r>
        <w:rPr>
          <w:rFonts w:ascii="Amiri" w:hAnsi="Amiri" w:eastAsia="Amiri" w:cs="Amiri"/>
          <w:color w:val="111111"/>
          <w:sz w:val="28"/>
          <w:sz w:val="28"/>
          <w:szCs w:val="28"/>
          <w:rtl w:val="true"/>
          <w:lang w:bidi="ar-SA"/>
        </w:rPr>
        <w:t xml:space="preserve">و هو الذي ما بيننا معروف </w:t>
      </w:r>
    </w:p>
    <w:p>
      <w:pPr>
        <w:pStyle w:val="BookText"/>
        <w:rPr/>
      </w:pPr>
      <w:r>
        <w:rPr>
          <w:rFonts w:ascii="Amiri" w:hAnsi="Amiri" w:eastAsia="Amiri" w:cs="Amiri"/>
          <w:color w:val="111111"/>
          <w:sz w:val="28"/>
          <w:sz w:val="28"/>
          <w:szCs w:val="28"/>
          <w:rtl w:val="true"/>
          <w:lang w:bidi="ar-SA"/>
        </w:rPr>
        <w:t xml:space="preserve">و الستة الوسطى أولو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جميل</w:t>
      </w:r>
      <w:r>
        <w:rPr>
          <w:rStyle w:val="FootnoteAnchor"/>
          <w:rtl w:val="true"/>
        </w:rPr>
        <w:footnoteReference w:id="485"/>
      </w:r>
      <w:r>
        <w:rPr>
          <w:rFonts w:ascii="Amiri" w:hAnsi="Amiri" w:eastAsia="Amiri" w:cs="Amiri"/>
          <w:color w:val="111111"/>
          <w:sz w:val="28"/>
          <w:sz w:val="28"/>
          <w:szCs w:val="28"/>
          <w:rtl w:val="true"/>
          <w:lang w:bidi="ar-SA"/>
        </w:rPr>
        <w:t>الجميل مع أبان</w:t>
      </w:r>
      <w:r>
        <w:rPr>
          <w:rStyle w:val="FootnoteAnchor"/>
          <w:rtl w:val="true"/>
        </w:rPr>
        <w:footnoteReference w:id="486"/>
      </w:r>
      <w:r>
        <w:rPr>
          <w:rFonts w:ascii="IRNazanin" w:hAnsi="IRNazanin" w:eastAsia="IRNazanin"/>
          <w:color w:val="111111"/>
          <w:sz w:val="28"/>
          <w:sz w:val="28"/>
          <w:szCs w:val="28"/>
          <w:rtl w:val="true"/>
          <w:lang w:bidi="fa-IR"/>
        </w:rPr>
        <w:t>و العبدلان</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عبد اللّه بن بكير الأرجاني،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حمادان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الستة الأخرى هم صفوان</w:t>
      </w:r>
      <w:r>
        <w:rPr>
          <w:rStyle w:val="FootnoteAnchor"/>
          <w:rtl w:val="true"/>
        </w:rPr>
        <w:footnoteReference w:id="488"/>
      </w:r>
      <w:r>
        <w:rPr>
          <w:rFonts w:ascii="Amiri" w:hAnsi="Amiri" w:eastAsia="Amiri" w:cs="Amiri"/>
          <w:color w:val="111111"/>
          <w:sz w:val="28"/>
          <w:sz w:val="28"/>
          <w:szCs w:val="28"/>
          <w:rtl w:val="true"/>
          <w:lang w:bidi="ar-SA"/>
        </w:rPr>
        <w:t>و يونس</w:t>
      </w:r>
      <w:r>
        <w:rPr>
          <w:rStyle w:val="FootnoteAnchor"/>
          <w:rtl w:val="true"/>
        </w:rPr>
        <w:footnoteReference w:id="489"/>
      </w:r>
      <w:r>
        <w:rPr>
          <w:rFonts w:ascii="Amiri" w:hAnsi="Amiri" w:eastAsia="Amiri" w:cs="Amiri"/>
          <w:color w:val="111111"/>
          <w:sz w:val="28"/>
          <w:sz w:val="28"/>
          <w:szCs w:val="28"/>
          <w:rtl w:val="true"/>
          <w:lang w:bidi="ar-SA"/>
        </w:rPr>
        <w:t>عليهما الرضوان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ابن محبوب</w:t>
      </w:r>
      <w:r>
        <w:rPr>
          <w:rStyle w:val="FootnoteAnchor"/>
          <w:rtl w:val="true"/>
        </w:rPr>
        <w:footnoteReference w:id="490"/>
      </w:r>
      <w:r>
        <w:rPr>
          <w:rFonts w:ascii="Amiri" w:hAnsi="Amiri" w:eastAsia="Amiri" w:cs="Amiri"/>
          <w:color w:val="111111"/>
          <w:sz w:val="28"/>
          <w:sz w:val="28"/>
          <w:szCs w:val="28"/>
          <w:rtl w:val="true"/>
          <w:lang w:bidi="ar-SA"/>
        </w:rPr>
        <w:t>كذا محمد</w:t>
      </w:r>
      <w:r>
        <w:rPr>
          <w:rStyle w:val="FootnoteAnchor"/>
          <w:rtl w:val="true"/>
        </w:rPr>
        <w:footnoteReference w:id="491"/>
      </w:r>
      <w:r>
        <w:rPr>
          <w:rFonts w:ascii="Amiri" w:hAnsi="Amiri" w:eastAsia="Amiri" w:cs="Amiri"/>
          <w:color w:val="111111"/>
          <w:sz w:val="28"/>
          <w:sz w:val="28"/>
          <w:szCs w:val="28"/>
          <w:rtl w:val="true"/>
          <w:lang w:bidi="ar-SA"/>
        </w:rPr>
        <w:t>كذاك عبد اللّه</w:t>
      </w:r>
      <w:r>
        <w:rPr>
          <w:rStyle w:val="FootnoteAnchor"/>
          <w:rtl w:val="true"/>
        </w:rPr>
        <w:footnoteReference w:id="492"/>
      </w:r>
      <w:r>
        <w:rPr>
          <w:rFonts w:ascii="IRNazanin" w:hAnsi="IRNazanin" w:eastAsia="IRNazanin"/>
          <w:color w:val="111111"/>
          <w:sz w:val="28"/>
          <w:sz w:val="28"/>
          <w:szCs w:val="28"/>
          <w:rtl w:val="true"/>
          <w:lang w:bidi="fa-IR"/>
        </w:rPr>
        <w:t>ثم أحمد</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ما ذكرناه الأصح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قول من به خالفنا</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كذا في منظومته، و لكنه في فوائده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حكى دعوى الإجماع عن الكشي و اعتمد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حكم السيد بصحة أصل زيد النرسي لأن رواية ابن أبي عمير في رجاله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المجلد، بل حكم في ترجمة علي بن حديد الأزدي بالوثاقة لرواية ابن أبي عمير عنه، رجال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يرتبط ببحث المرسل الثقة، و الخلاف فيه طويل،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تعليقة الوحيد البهبهاني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الأصحّية في عد ابن محبوب في الستة الأخيرة ظاهر لموافقته لإجماع الكشي، و أما الأصحية في عدّ الليث بدل الأسدي فلم أفهم وجهها لمخالفته لعدّ الكشي الذي هو الأصل في هذا الإجماع</w:t>
      </w:r>
      <w:r>
        <w:rPr>
          <w:rStyle w:val="FootnoteAnchor"/>
          <w:rtl w:val="true"/>
        </w:rPr>
        <w:footnoteReference w:id="495"/>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عدا الكشي عدّ الستة الأولى ممن أجمعت العصابة على تصحيح ما يصح عنه، و عبارة الكشي المزبورة قاصرة عن إفادة ذلك، لأنه نقل الإجماع على </w:t>
      </w:r>
    </w:p>
    <w:p>
      <w:pPr>
        <w:pStyle w:val="BookText"/>
        <w:rPr/>
      </w:pPr>
      <w:r>
        <w:rPr>
          <w:rFonts w:ascii="Amiri" w:hAnsi="Amiri" w:eastAsia="Amiri" w:cs="Amiri"/>
          <w:color w:val="111111"/>
          <w:sz w:val="28"/>
          <w:sz w:val="28"/>
          <w:szCs w:val="28"/>
          <w:rtl w:val="true"/>
          <w:lang w:bidi="ar-SA"/>
        </w:rPr>
        <w:t>تصديقهم، و ظاهر التصديق غير تصحيح ما يصح عنهم، لكن دعوى غيره ممن نقل الإجماع سيما مثل العلامة الحلي</w:t>
      </w:r>
      <w:r>
        <w:rPr>
          <w:rStyle w:val="FootnoteAnchor"/>
          <w:rtl w:val="true"/>
        </w:rPr>
        <w:footnoteReference w:id="496"/>
      </w:r>
      <w:r>
        <w:rPr>
          <w:rFonts w:ascii="Amiri" w:hAnsi="Amiri" w:eastAsia="Amiri" w:cs="Amiri"/>
          <w:color w:val="111111"/>
          <w:sz w:val="28"/>
          <w:sz w:val="28"/>
          <w:szCs w:val="28"/>
          <w:rtl w:val="true"/>
          <w:lang w:bidi="ar-SA"/>
        </w:rPr>
        <w:t>و العلامة الطباطبائي</w:t>
      </w:r>
      <w:r>
        <w:rPr>
          <w:rStyle w:val="FootnoteAnchor"/>
          <w:rtl w:val="true"/>
        </w:rPr>
        <w:footnoteReference w:id="4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يكشف عن وجود قرينة على إرادة الكشي من تصديق هؤلاء تصحيح ما يصح عنهم، و لو أغمضنا عن ذلك ففي دعوى مثل العلامتين الاجماع كفاية في إفادة الظن الكافي في الرجال، فلا وجه لما حكي عن السيد الأجل السيد محسن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عدّته من التأمل في كون الستة الاولى ممن أجمعت العصابة على تصحيح ما يصح عنهم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حكي الإجماع على تصحيح ما يصح عن الأواسط و الأواخر غير واحد من المتأخرين كابن طاوس و العلامة و ابن داود، و حينئذ فما اشتهر بين جملة من أهل هذا الفن كالشيخ أبي علي في كتابه منتهى المقال، و صاحب المعالم في كتابه منتقى الجمان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من أن الطائفة أجمعت على تصحيح ما يصح عن ثمانية عشر، ستة من الأوائل و ستة من الأواسط و ستة من الأواخر مما لا وجه له و لا أصل، فان الستة الاوائل لم يدع في حقهم هذه الدعوى و لا قيل فيهم هذا القول، و إنما المدعى فيهم إنما هو إجماع العصابة على تصديقهم و الانقياد لهم بالفقه، و أين هذه الدعوى من تلك؟</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ما عرفت من كفاية نقل من ذكر في إفادة الظن الكافي في الرجال، و ما أبعد ما بينه و ما بين ما صدر من بعضهم من عدّهم </w:t>
      </w:r>
      <w:bookmarkStart w:id="284" w:name="pg15033_241630"/>
    </w:p>
    <w:p>
      <w:pPr>
        <w:pStyle w:val="BookText"/>
        <w:rPr/>
      </w:pPr>
      <w:bookmarkEnd w:id="284"/>
      <w:r>
        <w:rPr>
          <w:rFonts w:ascii="Amiri" w:hAnsi="Amiri" w:eastAsia="Amiri" w:cs="Amiri"/>
          <w:color w:val="111111"/>
          <w:sz w:val="28"/>
          <w:sz w:val="28"/>
          <w:szCs w:val="28"/>
          <w:rtl w:val="true"/>
          <w:lang w:bidi="ar-SA"/>
        </w:rPr>
        <w:t>اثنين و عشرين جمعا بين الأقوال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316705_2142443653"/>
      <w:bookmarkStart w:id="286" w:name="_Toc106"/>
      <w:bookmarkEnd w:id="285"/>
      <w:r>
        <w:rPr>
          <w:rtl w:val="true"/>
        </w:rPr>
        <w:t>تذنيب</w:t>
      </w:r>
      <w:r>
        <w:rPr>
          <w:rtl w:val="true"/>
        </w:rPr>
        <w:t>:</w:t>
      </w:r>
      <w:bookmarkEnd w:id="286"/>
    </w:p>
    <w:p>
      <w:pPr>
        <w:pStyle w:val="Heading6"/>
        <w:numPr>
          <w:ilvl w:val="5"/>
          <w:numId w:val="1"/>
        </w:numPr>
        <w:rPr/>
      </w:pPr>
      <w:bookmarkStart w:id="287" w:name="__RefHeading___Toc316707_2142443653"/>
      <w:bookmarkStart w:id="288" w:name="_Toc107"/>
      <w:bookmarkEnd w:id="287"/>
      <w:r>
        <w:rPr>
          <w:rtl w:val="true"/>
        </w:rPr>
        <w:t>قد شهد الثقاة بوثاقة جمع غير اصحاب الاجماع</w:t>
      </w:r>
      <w:bookmarkEnd w:id="288"/>
    </w:p>
    <w:p>
      <w:pPr>
        <w:pStyle w:val="BookText"/>
        <w:rPr/>
      </w:pPr>
      <w:r>
        <w:rPr>
          <w:rFonts w:ascii="Amiri" w:hAnsi="Amiri" w:eastAsia="Amiri" w:cs="Amiri"/>
          <w:color w:val="111111"/>
          <w:sz w:val="28"/>
          <w:sz w:val="28"/>
          <w:szCs w:val="28"/>
          <w:rtl w:val="true"/>
          <w:lang w:bidi="ar-SA"/>
        </w:rPr>
        <w:t>قد شهد الثقات بوثاقة جمع غير أصحاب الإجماع، و عملت الطائفة بأخبارهم لوثاقتهم</w:t>
      </w:r>
      <w:r>
        <w:rPr>
          <w:rStyle w:val="FootnoteAnchor"/>
          <w:rtl w:val="true"/>
        </w:rPr>
        <w:footnoteReference w:id="500"/>
      </w:r>
      <w:r>
        <w:rPr>
          <w:rFonts w:ascii="Amiri" w:hAnsi="Amiri" w:eastAsia="Amiri" w:cs="Amiri"/>
          <w:color w:val="111111"/>
          <w:sz w:val="28"/>
          <w:sz w:val="28"/>
          <w:szCs w:val="28"/>
          <w:rtl w:val="true"/>
          <w:lang w:bidi="ar-SA"/>
        </w:rPr>
        <w:t>، و هم أكثر من أن يحصوا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و ابن شهرآشوب</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لذا قال الشيخ في أول رجاله بأنه يذكر فيه جميع ما ذكره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غيرهم</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يؤيده قول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قدمت الكوفة و بها أربعة آلاف يطلبون الحديث،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رووا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كانوا أربعة آلاف رجل، و زاد الطبرسي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من جواباته في المسائل أربعمائة كتاب معروفة و تسمى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هذا و غيره عد من التوثيقات العامة كون الرجل من أصحاب الصادق عليه السّلام الذي ذكرهم الشيخ في رجاله، كما جاء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مال إلى هذا القول الشيخ الحر في أمل الآمل في ترجمة خليد بن أوفى أبي الربيع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بتوثيقه و توثيق جميع أصحاب الصادق عليه السّلام إلا من ثبت ضعفه،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دعوى باطلة، لأنه إما أن يراد منها أن أصحاب الصادق عليه السّلام كان عددهم أربعة آلاف و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جماعة ذوو آراء مختلفة و اعتقادات متباينة و مع ذلك يكونون جميعهم ثقات، إن ذلك مستحيل عادة، كذا قيل، و لم أفهم وجهه، و ما المنافاة بين اختلاف الرأي و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 تصريح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بتضعيف جماعة كثيرة منهم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إذ معنى التوثيق العام هو اعتباره عدم وجود الجارح، و لا ينافي كلام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تشبه دعوى أن كل من صحب النبي صلّى اللّه عليه و آله و سلّم فهو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بدليل، و هو أشبه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منها أن من أصحاب الصادق عليه السّلام أربعة آلاف ثقة و الباقي مهمل أو مجهول، فذاك محتمل إلا أنه لا مثبت له،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الأصل في عدّ الأربعة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 إليه توثيقهم، و إنما التوثيق أستفيد من عبارة الشيخ المفيد الآنفة، مع أن أحمد بن نوح زاد على ما جمعه ابن عقدة ممن روى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 الشيخ في ما ذكره في رجاله هذا العدد، مع أنه كان حريصا على عدّهم، و زاد عليهم الإمام موسى بن جعفر عليهما السّلام و منصور الدوانيقي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لهذه الدعوى، لأنها قضية مهملة، إذ لا طريق لنا إلى معرفة الثقات من الأصحاب، مع أن الشيخ لم يعدّ خصوص الثقات، و عليه فالدعوى باطلة من أساسها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سيد أساتذتنا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أغمضنا النظر عن ما ناقشناه به، و عدم فهمنا لبعض مصادراته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اهملنا عبارة الارشاد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يثبت دعوى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و أن العدد أكثر من ذلك بكثير ما جمعه السيد محمد علي الموحد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رجالات الإمام الصادق عليه السّلام فناهز عددهم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الكتاب في مكتبته العامرة بأصفهان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أحصهم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 المعتمدة و الكتب المعوّل عليها و ما حكموا بصحته فكثيرة جدا</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وثقهم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أمروا بالرجوع إليهم و العمل بأخبارهم، و جعلوا منهم الوكلاء و الامناء فكثيرون أيضا يعرفون بالتتبع في كتب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عرف بين الأصحاب بأنه لا يروي إلا عن ثقة، فقد اشتهر بذلك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و صفوان، و أحمد بن محمد بن أبي نصر البزنطي بل ادعى على ذلك الإجماع، و لذلك اشتهر بين الأصحاب قبول مراسيلهم كما في </w:t>
      </w:r>
    </w:p>
    <w:p>
      <w:pPr>
        <w:pStyle w:val="BookText"/>
        <w:rPr/>
      </w:pPr>
      <w:r>
        <w:rPr>
          <w:rFonts w:ascii="Amiri" w:hAnsi="Amiri" w:eastAsia="Amiri" w:cs="Amiri"/>
          <w:color w:val="111111"/>
          <w:sz w:val="28"/>
          <w:sz w:val="28"/>
          <w:szCs w:val="28"/>
          <w:rtl w:val="true"/>
          <w:lang w:bidi="ar-SA"/>
        </w:rPr>
        <w:t>الذكرى</w:t>
      </w:r>
      <w:r>
        <w:rPr>
          <w:rStyle w:val="FootnoteAnchor"/>
          <w:rtl w:val="true"/>
        </w:rPr>
        <w:footnoteReference w:id="5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بل عن ظاهر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ذلك</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تفيده مثل هذه التوثيقات ليس وثاقة من قيل في حقه بل قبول روايته من جهته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رواياتهم مطلقا و لا يلاحظ من بعدهم من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حكم ثاني الشهيدين بصحة حديث محمد بن إسماعيل النيسابوري لإطباق أصحابنا عدا ابن داود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وجدناهم كثيرا ما يروون عن الموثقين كأبان بن عثمان، و عثمان بن عيسى، و منه رواية ابن أبي عمير و البزنطي عن عبد الكريم بن عمرو الثقة الواقفي، فلعلهم أرادوا بالثقة في قولهم لا يروون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الأعم، فإنهم كثيرا ما يطلقونه على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وجدناهم يروون عن الضعفاء أيضا كعلي بن أبي حمزة البطائني الضعيف على المشهور</w:t>
      </w:r>
      <w:r>
        <w:rPr>
          <w:rFonts w:eastAsia="Amiri" w:cs="Amiri" w:ascii="Amiri" w:hAnsi="Amiri"/>
          <w:color w:val="111111"/>
          <w:sz w:val="28"/>
          <w:szCs w:val="28"/>
          <w:rtl w:val="true"/>
          <w:lang w:bidi="ar-SA"/>
        </w:rPr>
        <w:t xml:space="preserve">. </w:t>
      </w:r>
      <w:bookmarkStart w:id="289" w:name="pg15033_241634"/>
    </w:p>
    <w:p>
      <w:pPr>
        <w:pStyle w:val="BookText"/>
        <w:rPr/>
      </w:pPr>
      <w:bookmarkEnd w:id="289"/>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حمزة ممن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عملت بأخباره، و له حالة استقامة</w:t>
      </w:r>
      <w:r>
        <w:rPr>
          <w:rStyle w:val="FootnoteAnchor"/>
          <w:rtl w:val="true"/>
        </w:rPr>
        <w:footnoteReference w:id="507"/>
      </w:r>
      <w:r>
        <w:rPr>
          <w:rFonts w:ascii="Amiri" w:hAnsi="Amiri" w:eastAsia="Amiri" w:cs="Amiri"/>
          <w:color w:val="111111"/>
          <w:sz w:val="28"/>
          <w:sz w:val="28"/>
          <w:szCs w:val="28"/>
          <w:rtl w:val="true"/>
          <w:lang w:bidi="ar-SA"/>
        </w:rPr>
        <w:t xml:space="preserve">، فلعل رواية هؤلاء عنه كانت في حال استقامته، و إن الطائفة إنما عملت بأخبار زمان استقامته فتأمل جيدا، </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 عليك بمراجعة ما نقلناه في ذيل ترجمة عبد اللّه بن سنان عن السيد صدر الدين، فإنه من مكملات المقام</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مطابق للواقع، فالإجماع على التصديق يقتضي الإجماع على اعتقاد مطابقة الواقع، و لعل الطائفة وقفوا على مطابقة كثير من أخبارهم أو أكثر، فاستدلوا بما وجدوا على ما لم يجدوا، و الاتفاق على وثاقة الرجل و تقواه و صلاحه و ورعه لا يقتضي أكثر من ظن مطابقة خبره لاعتقاده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في الستة الأوائل على الأمرين من التصديق و الإقرار لهم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الستة الأوائل قد علم لهم ذلك من جميع الطائفة اتفاقا محققا فلذلك نقلوه، و أما غيرهم فلم يعلم أكثر من اعتماد كثير أو ظهور الأكثر عليهم، و سكوت الباقين بعدم الخلاف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316709_2142443653"/>
      <w:bookmarkStart w:id="291" w:name="_Toc108"/>
      <w:bookmarkEnd w:id="290"/>
      <w:r>
        <w:rPr>
          <w:rtl w:val="true"/>
        </w:rPr>
        <w:t>و منها</w:t>
      </w:r>
      <w:r>
        <w:rPr>
          <w:rtl w:val="true"/>
        </w:rPr>
        <w:t xml:space="preserve">: </w:t>
      </w:r>
      <w:r>
        <w:rPr>
          <w:rtl w:val="true"/>
        </w:rPr>
        <w:t>قولهم</w:t>
      </w:r>
      <w:r>
        <w:rPr>
          <w:rtl w:val="true"/>
        </w:rPr>
        <w:t xml:space="preserve">: </w:t>
      </w:r>
      <w:r>
        <w:rPr>
          <w:rtl w:val="true"/>
        </w:rPr>
        <w:t>من أصحابنا</w:t>
      </w:r>
      <w:r>
        <w:rPr>
          <w:rtl w:val="true"/>
        </w:rPr>
        <w:t>:</w:t>
      </w:r>
      <w:bookmarkEnd w:id="2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بعضهم جعل ذلك من ألفاظ المدح، و استفاد منه كون </w:t>
      </w:r>
      <w:bookmarkStart w:id="292" w:name="pg15033_241635"/>
    </w:p>
    <w:p>
      <w:pPr>
        <w:pStyle w:val="BookText"/>
        <w:rPr/>
      </w:pPr>
      <w:bookmarkEnd w:id="292"/>
      <w:r>
        <w:rPr>
          <w:rFonts w:ascii="Amiri" w:hAnsi="Amiri" w:eastAsia="Amiri" w:cs="Amiri"/>
          <w:color w:val="111111"/>
          <w:sz w:val="28"/>
          <w:sz w:val="28"/>
          <w:szCs w:val="28"/>
          <w:rtl w:val="true"/>
          <w:lang w:bidi="ar-SA"/>
        </w:rPr>
        <w:t>المقول فيه إماميا إذا كان القائل إماميا،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على العدم</w:t>
      </w:r>
      <w:r>
        <w:rPr>
          <w:rStyle w:val="FootnoteAnchor"/>
          <w:rtl w:val="true"/>
        </w:rPr>
        <w:footnoteReference w:id="510"/>
      </w:r>
      <w:r>
        <w:rPr>
          <w:rFonts w:ascii="Amiri" w:hAnsi="Amiri" w:eastAsia="Amiri" w:cs="Amiri"/>
          <w:color w:val="111111"/>
          <w:sz w:val="28"/>
          <w:sz w:val="28"/>
          <w:szCs w:val="28"/>
          <w:rtl w:val="true"/>
          <w:lang w:bidi="ar-SA"/>
        </w:rPr>
        <w:t>بظهور عباراتهم في عدم اختصاصه بالفرق الناجية كما في عبد اللّه بن جبلة، و معاوية بن حكيم، حيث عدّا من أصحابنا مع أن الأول واقفي، و الثاني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 الشيخ في أول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مصنفي أصحابنا و أصحاب الأصول ينتحلون المذاهب الفاسدة</w:t>
      </w:r>
      <w:r>
        <w:rPr>
          <w:rStyle w:val="FootnoteAnchor"/>
          <w:rtl w:val="true"/>
        </w:rPr>
        <w:footnoteReference w:id="511"/>
      </w:r>
      <w:r>
        <w:rPr>
          <w:rFonts w:ascii="Amiri" w:hAnsi="Amiri" w:eastAsia="Amiri" w:cs="Amiri"/>
          <w:color w:val="111111"/>
          <w:sz w:val="28"/>
          <w:sz w:val="28"/>
          <w:szCs w:val="28"/>
          <w:rtl w:val="true"/>
          <w:lang w:bidi="ar-SA"/>
        </w:rPr>
        <w:t>، مردود بأن استعمالهم العبارة في مورد أو موردين في خلاف ظاهرها للقرينة لا يسقط ظاهرها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مدعى المستدل، إذ لعل غرضه فساد عقيدتهم بعد التصنيف، فتدبر</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نعم ربما يقع نادرا خلاف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316711_2142443653"/>
      <w:bookmarkStart w:id="294" w:name="_Toc109"/>
      <w:bookmarkEnd w:id="293"/>
      <w:r>
        <w:rPr>
          <w:rtl w:val="true"/>
        </w:rPr>
        <w:t>و منها</w:t>
      </w:r>
      <w:r>
        <w:rPr>
          <w:rtl w:val="true"/>
        </w:rPr>
        <w:t xml:space="preserve">: </w:t>
      </w:r>
      <w:r>
        <w:rPr>
          <w:rtl w:val="true"/>
        </w:rPr>
        <w:t>قولهم</w:t>
      </w:r>
      <w:r>
        <w:rPr>
          <w:rtl w:val="true"/>
        </w:rPr>
        <w:t xml:space="preserve">: </w:t>
      </w:r>
      <w:r>
        <w:rPr>
          <w:rtl w:val="true"/>
        </w:rPr>
        <w:t>عين و وجه</w:t>
      </w:r>
      <w:r>
        <w:rPr>
          <w:rtl w:val="true"/>
        </w:rPr>
        <w:t>:</w:t>
      </w:r>
      <w:bookmarkEnd w:id="2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يضمّ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أصحابنا، و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أصحابنا، و قد يضاف الجمع إلى الطائفة</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المنضم أقوى من المفرد</w:t>
      </w:r>
      <w:r>
        <w:rPr>
          <w:rStyle w:val="FootnoteAnchor"/>
          <w:rtl w:val="true"/>
        </w:rPr>
        <w:footnoteReference w:id="514"/>
      </w:r>
      <w:r>
        <w:rPr>
          <w:rFonts w:ascii="Amiri" w:hAnsi="Amiri" w:eastAsia="Amiri" w:cs="Amiri"/>
          <w:color w:val="111111"/>
          <w:sz w:val="28"/>
          <w:sz w:val="28"/>
          <w:szCs w:val="28"/>
          <w:rtl w:val="true"/>
          <w:lang w:bidi="ar-SA"/>
        </w:rPr>
        <w:t xml:space="preserve">، و نقل في مفرد كل </w:t>
      </w:r>
    </w:p>
    <w:p>
      <w:pPr>
        <w:pStyle w:val="BookText"/>
        <w:rPr/>
      </w:pPr>
      <w:r>
        <w:rPr>
          <w:rFonts w:ascii="Amiri" w:hAnsi="Amiri" w:eastAsia="Amiri" w:cs="Amiri"/>
          <w:color w:val="111111"/>
          <w:sz w:val="28"/>
          <w:sz w:val="28"/>
          <w:szCs w:val="28"/>
          <w:rtl w:val="true"/>
          <w:lang w:bidi="ar-SA"/>
        </w:rPr>
        <w:t>منهما قولا لم يسمّ قائله بإفادته التعديل،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من المصنف</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علي بن زياد</w:t>
      </w:r>
      <w:r>
        <w:rPr>
          <w:rStyle w:val="FootnoteAnchor"/>
          <w:rtl w:val="true"/>
        </w:rPr>
        <w:footnoteReference w:id="516"/>
      </w:r>
      <w:r>
        <w:rPr>
          <w:rFonts w:ascii="Amiri" w:hAnsi="Amiri" w:eastAsia="Amiri" w:cs="Amiri"/>
          <w:color w:val="111111"/>
          <w:sz w:val="28"/>
          <w:sz w:val="28"/>
          <w:szCs w:val="28"/>
          <w:rtl w:val="true"/>
          <w:lang w:bidi="ar-SA"/>
        </w:rPr>
        <w:t>، و سنذكر عن جدي</w:t>
      </w:r>
      <w:r>
        <w:rPr>
          <w:rStyle w:val="FootnoteAnchor"/>
          <w:rtl w:val="true"/>
        </w:rPr>
        <w:footnoteReference w:id="517"/>
      </w:r>
      <w:r>
        <w:rPr>
          <w:rFonts w:ascii="Amiri" w:hAnsi="Amiri" w:eastAsia="Amiri" w:cs="Amiri"/>
          <w:color w:val="111111"/>
          <w:sz w:val="28"/>
          <w:sz w:val="28"/>
          <w:szCs w:val="28"/>
          <w:rtl w:val="true"/>
          <w:lang w:bidi="ar-SA"/>
        </w:rPr>
        <w:t>في تلك الترجمة معناهما، و استدلاله على كونهما توثيقا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ذلك من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الحسين بن أبي العلاء، و عندي أنهما يفيدان مدحا معتدا به</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حكاه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الوحيد البهبهاني تلميذه الوحيد السيّد المقدّس في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ليكون عينا للطائفة تنظر بها و إنسانها فإنه معنى العين عرفا و وجهها الّذي به تتوجّه و لا تقع الأنظار إلاّ عليه و لا تعرف إلاّ به، فإن ذلك هو معنى الوجه في العرف، ألا و هو بالمكانة العليا، و ليس الغرض من جهة الدّنيا قطعا، فيكون من 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وجه التأمّل في كلامه أعلى اللّه مقامهما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بما يظهر من المصنف إلى ما حكى عن مصنفه في تلك الترجمة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استفيد توثيقه من استجازة أحمد بن محمد بن عيسى، و لا ريب أن كونه عينا من عيون هذه الطائفة، و وجها من وجوهها أولى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التعليقة في الترجمة المزبورة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توثيق، لأن الظاهر استعارته</w:t>
      </w:r>
      <w:r>
        <w:rPr>
          <w:rStyle w:val="FootnoteAnchor"/>
          <w:rtl w:val="true"/>
        </w:rPr>
        <w:footnoteReference w:id="519"/>
      </w:r>
      <w:r>
        <w:rPr>
          <w:rFonts w:ascii="Amiri" w:hAnsi="Amiri" w:eastAsia="Amiri" w:cs="Amiri"/>
          <w:color w:val="111111"/>
          <w:sz w:val="28"/>
          <w:sz w:val="28"/>
          <w:szCs w:val="28"/>
          <w:rtl w:val="true"/>
          <w:lang w:bidi="ar-SA"/>
        </w:rPr>
        <w:t>بمعنى الميزان</w:t>
      </w:r>
      <w:r>
        <w:rPr>
          <w:rStyle w:val="FootnoteAnchor"/>
          <w:rtl w:val="true"/>
        </w:rPr>
        <w:footnoteReference w:id="520"/>
      </w:r>
      <w:r>
        <w:rPr>
          <w:rFonts w:ascii="Amiri" w:hAnsi="Amiri" w:eastAsia="Amiri" w:cs="Amiri"/>
          <w:color w:val="111111"/>
          <w:sz w:val="28"/>
          <w:sz w:val="28"/>
          <w:szCs w:val="28"/>
          <w:rtl w:val="true"/>
          <w:lang w:bidi="ar-SA"/>
        </w:rPr>
        <w:t xml:space="preserve">باعتبار صدقه كما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أبا الصباح بالميزان لصدقه، و يحتمل أن يكون بمعنى شمسها أو خياره، بل الظّاهر أن قولهم وجه توثيق، لأن دأب علمائنا السّابقين في نقل الأخبار كان عدم النّقل إلاّ</w:t>
      </w:r>
      <w:r>
        <w:rPr>
          <w:rStyle w:val="FootnoteAnchor"/>
          <w:rtl w:val="true"/>
        </w:rPr>
        <w:footnoteReference w:id="521"/>
      </w:r>
      <w:r>
        <w:rPr>
          <w:rFonts w:ascii="Amiri" w:hAnsi="Amiri" w:eastAsia="Amiri" w:cs="Amiri"/>
          <w:color w:val="111111"/>
          <w:sz w:val="28"/>
          <w:sz w:val="28"/>
          <w:szCs w:val="28"/>
          <w:rtl w:val="true"/>
          <w:lang w:bidi="ar-SA"/>
        </w:rPr>
        <w:t>عمّن كان في غاية الثقة، و لم يكن يومئذ مال و لا جاه، حتّى يتوجهوا إليهم بها بخلاف اليوم، و لذا يحكمون بصحة خبره</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عليه دأب علمائنا السّابقين رضوان اللّه عليهم أجمعين من عدم النّقل إلاّ عمّن كان في غاية الوثاقة و العدالة لزم أن يكون كل من يتوجّه إليه لأخذ الأخبار ثقة و أيّ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ما ذكره كان المقول فيه من الموثق، و إلا لكونه اجتهادا منه لم يعلم إصابته، و عدم كونه نقلا للاصطلاح فهو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منهما فاسم التفضيل منه أدلّ على ذلك، فقولهم فلان أوجه من فلان يفيد الوثاقة على اجتهاده إذا كان المفضل عليه وجها، و القوة على القول الآخر</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في حق رجل إنه وجه من وجوه أصحابنا فلا يبعد القول بإفادته التوثيق لما فيه من القوّة في الدلالة على المدح، كما أفاده غير واحد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من فلان مع</w:t>
      </w:r>
      <w:bookmarkStart w:id="295" w:name="pg15033_241638"/>
    </w:p>
    <w:p>
      <w:pPr>
        <w:pStyle w:val="BookText"/>
        <w:rPr/>
      </w:pPr>
      <w:bookmarkEnd w:id="295"/>
      <w:r>
        <w:rPr>
          <w:rFonts w:ascii="Amiri" w:hAnsi="Amiri" w:eastAsia="Amiri" w:cs="Amiri"/>
          <w:color w:val="111111"/>
          <w:sz w:val="28"/>
          <w:sz w:val="28"/>
          <w:szCs w:val="28"/>
          <w:rtl w:val="true"/>
          <w:lang w:bidi="ar-SA"/>
        </w:rPr>
        <w:t>وثاقة المفضل عليه فلا شبهة في دلالته على الوثاقة، كما أن قولهم أصدق من فلان أو أورع من فلان مع وثاقة فلان يكون توثيقا، قضاء لحق اسم التفضيل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316713_2142443653"/>
      <w:bookmarkStart w:id="297" w:name="_Toc110"/>
      <w:bookmarkEnd w:id="296"/>
      <w:r>
        <w:rPr>
          <w:rtl w:val="true"/>
        </w:rPr>
        <w:t>و منها</w:t>
      </w:r>
      <w:r>
        <w:rPr>
          <w:rtl w:val="true"/>
        </w:rPr>
        <w:t xml:space="preserve">: </w:t>
      </w:r>
      <w:r>
        <w:rPr>
          <w:rtl w:val="true"/>
        </w:rPr>
        <w:t>قولهم</w:t>
      </w:r>
      <w:r>
        <w:rPr>
          <w:rtl w:val="true"/>
        </w:rPr>
        <w:t xml:space="preserve">: </w:t>
      </w:r>
      <w:r>
        <w:rPr>
          <w:rtl w:val="true"/>
        </w:rPr>
        <w:t>ممدوح</w:t>
      </w:r>
      <w:r>
        <w:rPr>
          <w:rtl w:val="true"/>
        </w:rPr>
        <w:t>:</w:t>
      </w:r>
      <w:bookmarkEnd w:id="297"/>
    </w:p>
    <w:p>
      <w:pPr>
        <w:pStyle w:val="BookText"/>
        <w:rPr/>
      </w:pPr>
      <w:r>
        <w:rPr>
          <w:rFonts w:ascii="Amiri" w:hAnsi="Amiri" w:eastAsia="Amiri" w:cs="Amiri"/>
          <w:color w:val="111111"/>
          <w:sz w:val="28"/>
          <w:sz w:val="28"/>
          <w:szCs w:val="28"/>
          <w:rtl w:val="true"/>
          <w:lang w:bidi="ar-SA"/>
        </w:rPr>
        <w:t>و لا ريب في إفادته المدح في الجملة لا الوثاقة و لا الإمامية</w:t>
      </w:r>
      <w:r>
        <w:rPr>
          <w:rStyle w:val="FootnoteAnchor"/>
          <w:rtl w:val="true"/>
        </w:rPr>
        <w:footnoteReference w:id="525"/>
      </w:r>
      <w:r>
        <w:rPr>
          <w:rFonts w:ascii="Amiri" w:hAnsi="Amiri" w:eastAsia="Amiri" w:cs="Amiri"/>
          <w:color w:val="111111"/>
          <w:sz w:val="28"/>
          <w:sz w:val="28"/>
          <w:szCs w:val="28"/>
          <w:rtl w:val="true"/>
          <w:lang w:bidi="ar-SA"/>
        </w:rPr>
        <w:t>، بل و لا المدح المعتد به الموجب لصيرورة الحديث حسنا، ضرورة أن من المدح ما له دخل في قوة السند و صدق القول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مالا دخل له في السند بل في المتن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و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مالا دخل 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قارئ فحيث يطلق و لا توضع قرينة على إرادة الأول لم يدل على المدح المعتد به، لأن العام لا يدل على الخاص</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298" w:name="pg15033_241639"/>
    </w:p>
    <w:p>
      <w:pPr>
        <w:pStyle w:val="Heading5"/>
        <w:numPr>
          <w:ilvl w:val="4"/>
          <w:numId w:val="1"/>
        </w:numPr>
        <w:rPr/>
      </w:pPr>
      <w:bookmarkStart w:id="299" w:name="__RefHeading___Toc316715_2142443653"/>
      <w:bookmarkStart w:id="300" w:name="_Toc111"/>
      <w:bookmarkEnd w:id="298"/>
      <w:bookmarkEnd w:id="299"/>
      <w:r>
        <w:rPr>
          <w:rtl w:val="true"/>
        </w:rPr>
        <w:t>و منها قولهم</w:t>
      </w:r>
      <w:r>
        <w:rPr>
          <w:rtl w:val="true"/>
        </w:rPr>
        <w:t xml:space="preserve">: </w:t>
      </w:r>
      <w:r>
        <w:rPr>
          <w:rtl w:val="true"/>
        </w:rPr>
        <w:t xml:space="preserve">من أولياء أمير المؤمنين </w:t>
      </w:r>
      <w:r>
        <w:rPr>
          <w:rtl w:val="true"/>
        </w:rPr>
        <w:t>(</w:t>
      </w:r>
      <w:r>
        <w:rPr>
          <w:rtl w:val="true"/>
        </w:rPr>
        <w:t>عليه السّلام</w:t>
      </w:r>
      <w:r>
        <w:rPr>
          <w:rtl w:val="true"/>
        </w:rPr>
        <w:t>) :</w:t>
      </w:r>
      <w:bookmarkEnd w:id="300"/>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كذا من أولياء الصادق عليه السّلام، أو صاحب الرضا عليه السّلام، و أشباه ذلك مما يفيد مدحا بلا شبهة في الجملة، و لا يبعد كون الأخير أقوى لكونه لا يكون إلا إماميا اثنى عشريا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السيد المقدس في العدة عدّ كون الرجل من خواص الشيعة أو حواري الإمام و غير ذلك كله في التوثيق فضلا عن المدح، و ظاهره الاكتفاء بحسن الظاهر في التعديل،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الدربندي في رجاله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عليك أنه يمكن أن يقال إن ما ورد في جملة من الأخبار في شأن جمع من أصحاب أمير المؤمنين عليه السّلام أنهم من السابقين الراجعين إلى أمير المؤمنين عليه السّلام و هكذا، مثل أنهم كانوا من خواصه و بطانته و كذا ما يؤدي هذا المؤدى يفيد الدرجة العليا من المدح بحيث يمكن إلحاقه بالتوثيق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لفظ الأوتاد و الأبدال إن وقع في الأخبار،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دلالته على المدح المعتد به الموجب لصيرورة السند من القوي إن لم يثبت كونه إماميا، و من الحسن إن ثبت كونه إماميا، و ربما جعل ذلك دالا على العدالة، و يستشهد له بعدّ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من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القسم الأول من الخلاصة</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بعدم الشهادة إلا على أنه </w:t>
      </w:r>
    </w:p>
    <w:p>
      <w:pPr>
        <w:pStyle w:val="BookText"/>
        <w:rPr/>
      </w:pPr>
      <w:r>
        <w:rPr>
          <w:rFonts w:ascii="Amiri" w:hAnsi="Amiri" w:eastAsia="Amiri" w:cs="Amiri"/>
          <w:color w:val="111111"/>
          <w:sz w:val="28"/>
          <w:sz w:val="28"/>
          <w:szCs w:val="28"/>
          <w:rtl w:val="true"/>
          <w:lang w:bidi="ar-SA"/>
        </w:rPr>
        <w:t>معتمد، لأن القسم الأول وضعه فيمن يعتمد هو عليه أعمّ من العدالة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أعمية العبارة من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أولياء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من الأولياء من دون إضافة ظاهر في العدالة</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جاءت هذه اللفظة في رجال البرقي،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إفادة هذه اللفظة التوثيق عند استعمالها عرفا، بل لو قيل إن المطلقة ملحوظة فيها إضافته للباري عز اسمه لكان وجها،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أفهم الوجه في ذلك، و لعله لذا أمر بالتأمل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Fonts w:ascii="Amiri" w:hAnsi="Amiri" w:eastAsia="Amiri" w:cs="Amiri"/>
          <w:color w:val="111111"/>
          <w:sz w:val="28"/>
          <w:sz w:val="28"/>
          <w:szCs w:val="28"/>
          <w:rtl w:val="true"/>
          <w:lang w:bidi="ar-SA"/>
        </w:rPr>
        <w:t>نعم يمكن الاستئناس لذلك بما رواه في البحار</w:t>
      </w:r>
      <w:r>
        <w:rPr>
          <w:rStyle w:val="FootnoteAnchor"/>
          <w:rtl w:val="true"/>
        </w:rPr>
        <w:footnoteReference w:id="530"/>
      </w:r>
      <w:r>
        <w:rPr>
          <w:rFonts w:ascii="Amiri" w:hAnsi="Amiri" w:eastAsia="Amiri" w:cs="Amiri"/>
          <w:color w:val="111111"/>
          <w:sz w:val="28"/>
          <w:sz w:val="28"/>
          <w:szCs w:val="28"/>
          <w:rtl w:val="true"/>
          <w:lang w:bidi="ar-SA"/>
        </w:rPr>
        <w:t>عن محمد بن الحسين، عن محمد بن جعفر، عن أحمد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الأزدي، و سويد بن غفلة الجعفي، و الحرث</w:t>
      </w:r>
      <w:r>
        <w:rPr>
          <w:rStyle w:val="FootnoteAnchor"/>
          <w:rtl w:val="true"/>
        </w:rPr>
        <w:footnoteReference w:id="531"/>
      </w:r>
      <w:r>
        <w:rPr>
          <w:rFonts w:ascii="Amiri" w:hAnsi="Amiri" w:eastAsia="Amiri" w:cs="Amiri"/>
          <w:color w:val="111111"/>
          <w:sz w:val="28"/>
          <w:sz w:val="28"/>
          <w:szCs w:val="28"/>
          <w:rtl w:val="true"/>
          <w:lang w:bidi="ar-SA"/>
        </w:rPr>
        <w:t>بن عبد اللّه الأعور الهمداني، و أبو عبد اللّه الجدلي، و أبو يحيى حكم</w:t>
      </w:r>
      <w:r>
        <w:rPr>
          <w:rStyle w:val="FootnoteAnchor"/>
          <w:rtl w:val="true"/>
        </w:rPr>
        <w:footnoteReference w:id="532"/>
      </w:r>
      <w:r>
        <w:rPr>
          <w:rFonts w:ascii="IRNazanin" w:hAnsi="IRNazanin" w:eastAsia="IRNazanin"/>
          <w:color w:val="111111"/>
          <w:sz w:val="28"/>
          <w:sz w:val="28"/>
          <w:szCs w:val="28"/>
          <w:rtl w:val="true"/>
          <w:lang w:bidi="fa-IR"/>
        </w:rPr>
        <w:t xml:space="preserve">بن سعد </w:t>
      </w:r>
    </w:p>
    <w:p>
      <w:pPr>
        <w:pStyle w:val="BookText"/>
        <w:rPr/>
      </w:pPr>
      <w:r>
        <w:rPr>
          <w:rFonts w:ascii="Amiri" w:hAnsi="Amiri" w:eastAsia="Amiri" w:cs="Amiri"/>
          <w:color w:val="111111"/>
          <w:sz w:val="28"/>
          <w:sz w:val="28"/>
          <w:szCs w:val="28"/>
          <w:rtl w:val="true"/>
          <w:lang w:bidi="ar-SA"/>
        </w:rPr>
        <w:t>الحنفي</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الأولياء يظهر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محمد بن الحسن الشحاذ، عن سعد، عن محمد بن أحمد، عن محمد بن إسماعيل، عن جعفر بن محمد بن الهيثم، عن علي بن الحسين الفزاري، عن آدم التمار الحضرمي، عن ابن ظريف</w:t>
      </w:r>
      <w:r>
        <w:rPr>
          <w:rStyle w:val="FootnoteAnchor"/>
          <w:rtl w:val="true"/>
        </w:rPr>
        <w:footnoteReference w:id="534"/>
      </w:r>
      <w:r>
        <w:rPr>
          <w:rFonts w:ascii="Amiri" w:hAnsi="Amiri" w:eastAsia="Amiri" w:cs="Amiri"/>
          <w:color w:val="111111"/>
          <w:sz w:val="28"/>
          <w:sz w:val="28"/>
          <w:szCs w:val="28"/>
          <w:rtl w:val="true"/>
          <w:lang w:bidi="ar-SA"/>
        </w:rPr>
        <w:t>، عن ابن نباتة قال</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و 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كتفي ثم شبك أصابعه في أصابعي،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أمير المؤمنين</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ولينا ولي اللّه، فإذا مات ولي اللّه كان من اللّه بالرفيق الأعلى، و سقاه من نهر أبرد من الثلج، و أحلى من الشهد، و ألين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إن كان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القرآن فَأُوْلئِكَ يُبَدِّلُ اَللّهُ سَيِّئاتِهِمْ حَسَناتٍ وَ كانَ اَللّهُ غَفُوراً رَحِيماً </w:t>
      </w:r>
      <w:r>
        <w:rPr>
          <w:rStyle w:val="FootnoteAnchor"/>
          <w:rtl w:val="true"/>
        </w:rPr>
        <w:footnoteReference w:id="537"/>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ولينا لو لقى اللّه و عليه من الذنوب مثل زبد البحر، و مثل عدد الرمل لغفرها اللّه إن شاء اللّه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عن أصبغ بن نباتة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فأتاه ابن الكواء فسأله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 النار، فمن 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الحاكم ابن الحداد الحسكاني و غيره و رواه بطرقه العلامة الأميني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المضمون روى في تفسير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 حكاه في البحار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إلى أمير المؤمنين علي عليه السّلام لأسلم عليه فلم ألبث أن خرج، فقمت قائما على رجلي فاستقبلته، فضرب بكفه إلى كفي فشبك أصابعه في أصابعي،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ولينا ولي اللّه، فإذا مات كان في الرفيق الأعلى و سقاه اللّه من نهر أبرد من الثلج و أحلى من 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و إن كان مذنبا؟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 لم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يُبَدِّلُ اَللّهُ سَيِّئاتِهِمْ حَسَناتٍ وَ كانَ اَللّهُ غَفُوراً رَحِيماً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bookmarkStart w:id="301" w:name="pg15033_241642"/>
    </w:p>
    <w:p>
      <w:pPr>
        <w:pStyle w:val="Heading5"/>
        <w:numPr>
          <w:ilvl w:val="4"/>
          <w:numId w:val="1"/>
        </w:numPr>
        <w:rPr/>
      </w:pPr>
      <w:bookmarkStart w:id="302" w:name="__RefHeading___Toc316717_2142443653"/>
      <w:bookmarkStart w:id="303" w:name="_Toc112"/>
      <w:bookmarkEnd w:id="301"/>
      <w:bookmarkEnd w:id="302"/>
      <w:r>
        <w:rPr>
          <w:rtl w:val="true"/>
        </w:rPr>
        <w:t>قولهم</w:t>
      </w:r>
      <w:r>
        <w:rPr>
          <w:rtl w:val="true"/>
        </w:rPr>
        <w:t xml:space="preserve">: </w:t>
      </w:r>
      <w:r>
        <w:rPr>
          <w:rtl w:val="true"/>
        </w:rPr>
        <w:t>خاصي</w:t>
      </w:r>
      <w:bookmarkEnd w:id="303"/>
    </w:p>
    <w:p>
      <w:pPr>
        <w:pStyle w:val="Heading6"/>
        <w:numPr>
          <w:ilvl w:val="5"/>
          <w:numId w:val="1"/>
        </w:numPr>
        <w:rPr/>
      </w:pPr>
      <w:bookmarkStart w:id="304" w:name="__RefHeading___Toc316719_2142443653"/>
      <w:bookmarkStart w:id="305" w:name="_Toc113"/>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w:t>
      </w:r>
      <w:r>
        <w:rPr>
          <w:rStyle w:val="FootnoteAnchor"/>
          <w:rtl w:val="true"/>
        </w:rPr>
        <w:footnoteReference w:id="53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به ما يراد من قولهم من خاصة الإمام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المدح المعتد به و أفاد الحسن، و إن أريد ما قابل قولهم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إلا كونه إماميا، و عند الإطلاق يكون الأمر فيه مشتبها و تعيّن الأخذ منه بالقدر المتيقن و هذا بخلاف قولهم</w:t>
      </w:r>
      <w:r>
        <w:rPr>
          <w:rFonts w:eastAsia="Amiri" w:cs="Amiri" w:ascii="Amiri" w:hAnsi="Amiri"/>
          <w:color w:val="111111"/>
          <w:sz w:val="28"/>
          <w:szCs w:val="28"/>
          <w:rtl w:val="true"/>
          <w:lang w:bidi="ar-SA"/>
        </w:rPr>
        <w:t xml:space="preserve">: </w:t>
      </w:r>
      <w:bookmarkStart w:id="306" w:name="pg15033_241643"/>
    </w:p>
    <w:p>
      <w:pPr>
        <w:pStyle w:val="Heading6"/>
        <w:numPr>
          <w:ilvl w:val="5"/>
          <w:numId w:val="1"/>
        </w:numPr>
        <w:rPr/>
      </w:pPr>
      <w:bookmarkStart w:id="307" w:name="__RefHeading___Toc316721_2142443653"/>
      <w:bookmarkStart w:id="308" w:name="_Toc114"/>
      <w:bookmarkEnd w:id="306"/>
      <w:bookmarkEnd w:id="307"/>
      <w:r>
        <w:rPr>
          <w:rtl w:val="true"/>
        </w:rPr>
        <w:t xml:space="preserve">صاحب سر أمير المؤمنين </w:t>
      </w:r>
      <w:r>
        <w:rPr>
          <w:rtl w:val="true"/>
        </w:rPr>
        <w:t>(</w:t>
      </w:r>
      <w:r>
        <w:rPr>
          <w:rtl w:val="true"/>
        </w:rPr>
        <w:t>عليه السّلام</w:t>
      </w:r>
      <w:r>
        <w:rPr>
          <w:rtl w:val="true"/>
        </w:rPr>
        <w:t>):</w:t>
      </w:r>
      <w:bookmarkEnd w:id="308"/>
    </w:p>
    <w:p>
      <w:pPr>
        <w:pStyle w:val="BookText"/>
        <w:rPr/>
      </w:pPr>
      <w:r>
        <w:rPr>
          <w:rFonts w:ascii="Amiri" w:hAnsi="Amiri" w:eastAsia="Amiri" w:cs="Amiri"/>
          <w:color w:val="111111"/>
          <w:sz w:val="28"/>
          <w:sz w:val="28"/>
          <w:szCs w:val="28"/>
          <w:rtl w:val="true"/>
          <w:lang w:bidi="ar-SA"/>
        </w:rPr>
        <w:t>كما في قول كميل</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قيل في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صاحب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أنه يفيد ما فوق الوثاقة، فإن تحميل السّر إنما يكون لمن هو فوق العدالة ممن له نفس قدسية مطمئنة منقادة مطيعة لحبس ما تحملت، أمينة على ما اطلعت،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في قلب سلمان لقتله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يوما عند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أبو ذر ما في قلب سلمان لقتله، و لقد آخى رسول اللّه صلّى اللّه عليه و آله و سلّم بينهما، فما ظنكم بسائر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القول في شرح الحديث السيد عبد اللّه شبر في مصابيح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 ذكر فيه وجوها سبعة جديرة بالملاحظة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أكثر أصحابه ثقات عدولا، و لم يكن صاحب سره إلا معدودا، و لذا كان كاتما للأسرار لا يبيّن منها إلا نادرا لنادر، و كذلك كان أصحاب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الرجل صاحب السر مرتبة فوق مرتبة العدالة</w:t>
      </w:r>
      <w:bookmarkStart w:id="309" w:name="pg15033_241644"/>
    </w:p>
    <w:p>
      <w:pPr>
        <w:pStyle w:val="BookText"/>
        <w:rPr/>
      </w:pPr>
      <w:bookmarkEnd w:id="309"/>
      <w:r>
        <w:rPr>
          <w:rFonts w:ascii="Amiri" w:hAnsi="Amiri" w:eastAsia="Amiri" w:cs="Amiri"/>
          <w:color w:val="111111"/>
          <w:sz w:val="28"/>
          <w:sz w:val="28"/>
          <w:szCs w:val="28"/>
          <w:rtl w:val="true"/>
          <w:lang w:bidi="ar-SA"/>
        </w:rPr>
        <w:t>بمراتب شتى كما لا يخفى</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316723_2142443653"/>
      <w:bookmarkStart w:id="311" w:name="_Toc115"/>
      <w:bookmarkEnd w:id="310"/>
      <w:r>
        <w:rPr>
          <w:rtl w:val="true"/>
        </w:rPr>
        <w:t>و منها</w:t>
      </w:r>
      <w:r>
        <w:rPr>
          <w:rtl w:val="true"/>
        </w:rPr>
        <w:t xml:space="preserve">: </w:t>
      </w:r>
      <w:r>
        <w:rPr>
          <w:rtl w:val="true"/>
        </w:rPr>
        <w:t>قولهم</w:t>
      </w:r>
      <w:r>
        <w:rPr>
          <w:rtl w:val="true"/>
        </w:rPr>
        <w:t xml:space="preserve">: </w:t>
      </w:r>
      <w:r>
        <w:rPr>
          <w:rtl w:val="true"/>
        </w:rPr>
        <w:t>هو من مشايخ الإجازة، أو هو شيخ الإجازة</w:t>
      </w:r>
      <w:r>
        <w:rPr>
          <w:rtl w:val="true"/>
        </w:rPr>
        <w:t>:</w:t>
      </w:r>
      <w:bookmarkEnd w:id="311"/>
    </w:p>
    <w:p>
      <w:pPr>
        <w:pStyle w:val="Heading6"/>
        <w:numPr>
          <w:ilvl w:val="5"/>
          <w:numId w:val="1"/>
        </w:numPr>
        <w:rPr/>
      </w:pPr>
      <w:bookmarkStart w:id="312" w:name="__RefHeading___Toc316725_2142443653"/>
      <w:bookmarkStart w:id="313" w:name="_Toc116"/>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و لا ريب في إفادته المدح المعتد به، و في الفوائد</w:t>
      </w:r>
      <w:r>
        <w:rPr>
          <w:rStyle w:val="FootnoteAnchor"/>
          <w:rtl w:val="true"/>
        </w:rPr>
        <w:footnoteReference w:id="542"/>
      </w:r>
      <w:r>
        <w:rPr>
          <w:rFonts w:ascii="IRNazanin" w:hAnsi="IRNazanin" w:eastAsia="IRNazanin"/>
          <w:color w:val="111111"/>
          <w:sz w:val="28"/>
          <w:sz w:val="28"/>
          <w:szCs w:val="28"/>
          <w:rtl w:val="true"/>
          <w:lang w:bidi="fa-IR"/>
        </w:rPr>
        <w:t>أن المتعارف عدّه من أسباب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 على الوثاقة وجهان؛ و قد حكى دلالته في التعليقة عن المجلسي الأول، و مصنّفه الميرزا محمد الأسترآبادي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زياد، و نادرة الزمان الشيخ سليمان البحراني، بل حكى عن الأخير أنه في أعلى درجات الوثاقة و الجلالة، ثم نفى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عن قرب، إلا أنه تأمل في كونه في أعلى درجاتها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قال السيد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يجب أن يعلم و لا يجوز أن يسهل عنه أن مشيخة المشايخ الذين هم كالأساطين و الأركان أمرهم أجلّ من الاحتياج إلى تزكية مزك و توثيق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إلى هذا السيد في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العلماء و جملة الأخيار ليطلبوا الإجازة من رواياتها إلا من شيخ الطائفة و فقيهها و محدثها و ثقتها و من يسكنون إليه و 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فشيخ الإجازة مقام ليس للراوين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إلى مصنفه لم يقع في محله، لأن الموجود فيه في ترجمة الحسن بن علي بن زياد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استفيد توثيقه من استجازة أحمد بن محمد بن عيسى، و لا ريب أن كونه عينا من عيون الطائفة و وجها من وجوهها أولى بذلك</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نقل الاستفادة عن مجهول دون أن يكون هو المستفيد،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حكي عن المعراج</w:t>
      </w:r>
      <w:r>
        <w:rPr>
          <w:rStyle w:val="FootnoteAnchor"/>
          <w:rtl w:val="true"/>
        </w:rPr>
        <w:footnoteReference w:id="545"/>
      </w:r>
      <w:r>
        <w:rPr>
          <w:rFonts w:ascii="Amiri" w:hAnsi="Amiri" w:eastAsia="Amiri" w:cs="Amiri"/>
          <w:color w:val="111111"/>
          <w:sz w:val="28"/>
          <w:sz w:val="28"/>
          <w:szCs w:val="28"/>
          <w:rtl w:val="true"/>
          <w:lang w:bidi="ar-SA"/>
        </w:rPr>
        <w:t>أن التعديل بهذه الجهة طريقة كثير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 الإجازة لا يحتاجون إلى التنصيص على تزكيتهم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مشايخنا من عهد الكليني إلى زماننا لا يحتاجون إلى التنصيص، لما اشتهر في كل عصر من ثقتهم و ورعهم</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نظيره ما ذكره ولده في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المتقدمون من علمائنا رضي اللّه عنهم عن جماعة من مشايخهم الذين يظهر من حالهم الاعتناء بشأنهم و ليس لهم ذكر في كتب الرجال، و البناء على الظاهر يقتضي إدخالهم في قسم المجهولين، و يشكّل بأن قرائن الأحوال شاهدة ببعد اتخاذ أولئك الأجلاء الرجل الضعيف و المجهول شيخا يكثرون الرواية عنه و يظهرون الاعتناء به، و رأيت 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شأن بعض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في ترك التعرض لذكرهم في كتب الرجال إشعارا بعدم الاعتماد عليهم، و ليس بشيء، فإن الأسباب في مثله كثيرة، و أظهرها أنه لا تصنيف لهم، و أكثر الكتب المصنفة في الرجال لمتقدمي أصحابنا اقتصروا فيها على ذكر المصنفين و بيان الطرق إلى روايات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منه شهادة باستقرار الاصطلاح حتى يكون حجة، بل تمسكا بالاستقراء أو بالغلبة و لا بأس بذلك إن تمّ لإفادته الظن الذي ثبتت حجيته في الرجال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المولى الوحيد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المستجيز ممن يطعن على الرجال في روايتهم عن المجاهيل و الضعفاء و غير الموثقين فدلالة استجازته على الوثاقة ففي غاية الظهور، سيما إذا كان المجيز من المشاهير، و ربما يفرق بينهم و بين غير المشاهير بكون الأول من الثقاة</w:t>
      </w:r>
      <w:r>
        <w:rPr>
          <w:rStyle w:val="FootnoteAnchor"/>
          <w:rtl w:val="true"/>
        </w:rPr>
        <w:footnoteReference w:id="547"/>
      </w:r>
      <w:r>
        <w:rPr>
          <w:rFonts w:ascii="Amiri" w:hAnsi="Amiri" w:eastAsia="Amiri" w:cs="Amiri"/>
          <w:color w:val="111111"/>
          <w:sz w:val="28"/>
          <w:sz w:val="28"/>
          <w:szCs w:val="28"/>
          <w:rtl w:val="true"/>
          <w:lang w:bidi="ar-SA"/>
        </w:rPr>
        <w:t>و لعله ليس بشيء</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فيما ذكره ظاهر، لأن كون المستجيز و المجيز على الحالة التي ذكرها يقوي الظن بوثاقة المجيز، و لعل مراد المحقق الشيخ محمد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المصنفين عدم توثيق الشيوخ</w:t>
      </w:r>
      <w:r>
        <w:rPr>
          <w:rStyle w:val="FootnoteAnchor"/>
          <w:rtl w:val="true"/>
        </w:rPr>
        <w:footnoteReference w:id="549"/>
      </w:r>
      <w:r>
        <w:rPr>
          <w:rFonts w:ascii="Amiri" w:hAnsi="Amiri" w:eastAsia="Amiri" w:cs="Amiri"/>
          <w:color w:val="111111"/>
          <w:sz w:val="28"/>
          <w:sz w:val="28"/>
          <w:szCs w:val="28"/>
          <w:rtl w:val="true"/>
          <w:lang w:bidi="ar-SA"/>
        </w:rPr>
        <w:t>بيان أن جريان عادتهم على ذلك يكشف عن كون وثاقته مسلما بينهم، فتأمل</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تأمل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أو أن مشايخ الإجازة على تقدير تسليم وثاقتهم لا يزيدون في الجلالة و العظمة في الرتبة على أصحاب الإجماع و أمثالهم ممن عرفوا بصدق الحديث و الوثاقة، فكيف يتعرض في كتب الرجال و الفقه لوثاقتهم و لا يتعرض لوثاقة مشايخ الإجازة لوضوحها و عدم الحاجة إلى التعرض لها، كما أفاده سيد أساتذتنا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إن صرف الشيخوخة لا تكشف عن حسن صاحبها فضلا عن وثاقته، و إن عدّها المشهور من التوثيقات العامة، فتأمل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5033_241648"/>
    </w:p>
    <w:p>
      <w:pPr>
        <w:pStyle w:val="Heading6"/>
        <w:numPr>
          <w:ilvl w:val="5"/>
          <w:numId w:val="1"/>
        </w:numPr>
        <w:rPr/>
      </w:pPr>
      <w:bookmarkStart w:id="315" w:name="__RefHeading___Toc316727_2142443653"/>
      <w:bookmarkStart w:id="316" w:name="_Toc117"/>
      <w:bookmarkEnd w:id="314"/>
      <w:bookmarkEnd w:id="315"/>
      <w:r>
        <w:rPr>
          <w:rtl w:val="true"/>
        </w:rPr>
        <w:t xml:space="preserve">تذييل </w:t>
      </w:r>
      <w:r>
        <w:rPr>
          <w:rtl w:val="true"/>
        </w:rPr>
        <w:t>:</w:t>
      </w:r>
      <w:bookmarkEnd w:id="316"/>
    </w:p>
    <w:p>
      <w:pPr>
        <w:pStyle w:val="Heading6"/>
        <w:numPr>
          <w:ilvl w:val="5"/>
          <w:numId w:val="1"/>
        </w:numPr>
        <w:rPr/>
      </w:pPr>
      <w:bookmarkStart w:id="317" w:name="__RefHeading___Toc316729_2142443653"/>
      <w:bookmarkStart w:id="318" w:name="_Toc118"/>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تذييل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316731_2142443653"/>
      <w:bookmarkStart w:id="320" w:name="_Toc119"/>
      <w:bookmarkEnd w:id="319"/>
      <w:r>
        <w:rPr>
          <w:rtl w:val="true"/>
        </w:rPr>
        <w:t>ليست شيخوخة الرواية كشيخوخة الإجازة في إفادة الحسن أو الوثاقة</w:t>
      </w:r>
      <w:bookmarkEnd w:id="32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نصّ عليه بعض أساطين الفن</w:t>
      </w:r>
      <w:r>
        <w:rPr>
          <w:rStyle w:val="FootnoteAnchor"/>
          <w:rtl w:val="true"/>
        </w:rPr>
        <w:footnoteReference w:id="552"/>
      </w:r>
      <w:r>
        <w:rPr>
          <w:rFonts w:ascii="Amiri" w:hAnsi="Amiri" w:eastAsia="Amiri" w:cs="Amiri"/>
          <w:color w:val="111111"/>
          <w:sz w:val="28"/>
          <w:sz w:val="28"/>
          <w:szCs w:val="28"/>
          <w:rtl w:val="true"/>
          <w:lang w:bidi="ar-SA"/>
        </w:rPr>
        <w:t>، و الفرق بينهما على ما أفاده صاحب التكملة في ترجمة أحمد بن محمد بن الحسن بن الوليد أن الأول من ليس له كتاب يروى و لا رواية تنقل، بل يخبر كتب غيره و يذكر في السند لمحض اتصال السند، فلو كان ضعيفا لم يضرّ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هو من تؤخذ الرواية منه و يكون في الأغلب صاحب كتاب بحيث يكون هو أحد من تستند إليه الرواية، و هذا تضرّ جهالته في الرواية، و يشترط في قبولها عدالته، و طريق العلم بأحد الأمرين هو أنه إن ذكر له كتاب كان من مشايخ الرواية، و إلا كان من مشايخ </w:t>
      </w:r>
      <w:bookmarkStart w:id="321" w:name="pg15033_241649"/>
    </w:p>
    <w:p>
      <w:pPr>
        <w:pStyle w:val="BookText"/>
        <w:rPr/>
      </w:pPr>
      <w:bookmarkEnd w:id="321"/>
      <w:r>
        <w:rPr>
          <w:rFonts w:ascii="Amiri" w:hAnsi="Amiri" w:eastAsia="Amiri" w:cs="Amiri"/>
          <w:color w:val="111111"/>
          <w:sz w:val="28"/>
          <w:sz w:val="28"/>
          <w:szCs w:val="28"/>
          <w:rtl w:val="true"/>
          <w:lang w:bidi="ar-SA"/>
        </w:rPr>
        <w:t>الإجازة على إشكال في الثاني</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قد يروي رواية عن أحد بسماعه منه أو بقراءتها عليه، و قد تروى لوجودها في كتاب قد أجازه شيخه أن يروي ذلك الكتاب أو ناوله إياه من دون سماع و لا قراءة، و الإجازة إنما تفيد صحة الحكاية عن الشيخ و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الثقة عن شخص كاشفة عن حسنه أو وثاقته فيها، و إلا فلا تثبت وثاقة الشيخ المجيز و لا المستجيز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ضعّف النجاشي بعض مشايخ الإجازة كما في الحسن بن 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الحسن بن محمد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الحسين بن أحمد المنقري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 و جوابهما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316733_2142443653"/>
      <w:bookmarkStart w:id="323" w:name="_Toc120"/>
      <w:bookmarkEnd w:id="322"/>
      <w:r>
        <w:rPr>
          <w:rtl w:val="true"/>
        </w:rPr>
        <w:t>و منها</w:t>
      </w:r>
      <w:r>
        <w:rPr>
          <w:rtl w:val="true"/>
        </w:rPr>
        <w:t xml:space="preserve">: </w:t>
      </w:r>
      <w:r>
        <w:rPr>
          <w:rtl w:val="true"/>
        </w:rPr>
        <w:t>قولهم</w:t>
      </w:r>
      <w:r>
        <w:rPr>
          <w:rtl w:val="true"/>
        </w:rPr>
        <w:t xml:space="preserve">: </w:t>
      </w:r>
      <w:r>
        <w:rPr>
          <w:rtl w:val="true"/>
        </w:rPr>
        <w:t xml:space="preserve">شيخ الطائفة أو من أجلائها أو معتمدها </w:t>
      </w:r>
      <w:r>
        <w:rPr>
          <w:rtl w:val="true"/>
        </w:rPr>
        <w:t>:</w:t>
      </w:r>
      <w:bookmarkEnd w:id="32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أو من أجلائها أو معتمدها</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ما كانت الطائفة لترجع إلا لمن تثق بدينه و أمانته، و كون هذه الألفاظ مفيدة للمدح بل أعلى مراتبه مما لا شبهة فيه و لا شك يعتريه، أما دلالتها على العدالة فإنما تتم فيما لو كانت العدالة حسن الظاهر و ما شاكل ذلك لا مطلقا،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كيف يرضى منصف أن يكون شيخ الطائفة في مثل هذه الموارد فاسقا على حد تعبير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صرف ممدوح، بل هو عبارة عن درجة فوق الوثاقة و أنه يوثّق و لا يوثّق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دلالة كل منها على المدح المعتدّ به ظاهرة لا يرتاب فيها، </w:t>
      </w:r>
      <w:bookmarkStart w:id="324" w:name="pg15033_241650"/>
    </w:p>
    <w:p>
      <w:pPr>
        <w:pStyle w:val="BookText"/>
        <w:rPr/>
      </w:pPr>
      <w:bookmarkEnd w:id="324"/>
      <w:r>
        <w:rPr>
          <w:rFonts w:ascii="Amiri" w:hAnsi="Amiri" w:eastAsia="Amiri" w:cs="Amiri"/>
          <w:color w:val="111111"/>
          <w:sz w:val="28"/>
          <w:sz w:val="28"/>
          <w:szCs w:val="28"/>
          <w:rtl w:val="true"/>
          <w:lang w:bidi="ar-SA"/>
        </w:rPr>
        <w:t>بل في التعليقة،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إشارتها إلى الوثاقة ظاهرة مضافا إلى الجلالة، بل أولى من الوكالة و شيخية الاجازة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مما حكموا بشهادته على الوثاقة، سيما بعد ملاحظة أن كثيرا من الطائفة ثقات فقهاء فحول أجلّة، و بالجملة، كيف يرضى منصف بأن يكون شيخ الطائفة في أمثال المقامات فاسقا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شيخ الطائفة كان التعرض لإماميته و وثاقته مستنكرا حشوا، لكون مفاد العبارة عرفا أعظم من الوثاقة، أ لا ترى أنك لو سألت أحدا عن عدالة شيخ من شيوخ الطائفة استنكر أهل العرف ذلك؟</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316735_2142443653"/>
      <w:bookmarkStart w:id="326" w:name="_Toc121"/>
      <w:bookmarkEnd w:id="325"/>
      <w:r>
        <w:rPr>
          <w:rtl w:val="true"/>
        </w:rPr>
        <w:t>و منها</w:t>
      </w:r>
      <w:r>
        <w:rPr>
          <w:rtl w:val="true"/>
        </w:rPr>
        <w:t xml:space="preserve">: </w:t>
      </w:r>
      <w:r>
        <w:rPr>
          <w:rtl w:val="true"/>
        </w:rPr>
        <w:t>قولهم</w:t>
      </w:r>
      <w:r>
        <w:rPr>
          <w:rtl w:val="true"/>
        </w:rPr>
        <w:t xml:space="preserve">: </w:t>
      </w:r>
      <w:r>
        <w:rPr>
          <w:rtl w:val="true"/>
        </w:rPr>
        <w:t>لا بأس به</w:t>
      </w:r>
      <w:r>
        <w:rPr>
          <w:rtl w:val="true"/>
        </w:rPr>
        <w:t>.</w:t>
      </w:r>
      <w:bookmarkEnd w:id="326"/>
    </w:p>
    <w:p>
      <w:pPr>
        <w:pStyle w:val="BookText"/>
        <w:rPr/>
      </w:pPr>
      <w:r>
        <w:rPr>
          <w:rFonts w:ascii="Amiri" w:hAnsi="Amiri" w:eastAsia="Amiri" w:cs="Amiri"/>
          <w:color w:val="111111"/>
          <w:sz w:val="28"/>
          <w:sz w:val="28"/>
          <w:szCs w:val="28"/>
          <w:rtl w:val="true"/>
          <w:lang w:bidi="ar-SA"/>
        </w:rPr>
        <w:t>و قد اختلف في ذلك</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ثم هل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بمذهبه أو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أظهر إن ذكر مطلقا كما قاله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يفيد شيئا حتى المدح، أرسله في الفصول</w:t>
      </w:r>
      <w:r>
        <w:rPr>
          <w:rStyle w:val="FootnoteAnchor"/>
          <w:rtl w:val="true"/>
        </w:rPr>
        <w:footnoteReference w:id="5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559"/>
      </w:r>
      <w:r>
        <w:rPr>
          <w:rFonts w:ascii="Amiri" w:hAnsi="Amiri" w:eastAsia="Amiri" w:cs="Amiri"/>
          <w:color w:val="111111"/>
          <w:sz w:val="28"/>
          <w:sz w:val="28"/>
          <w:szCs w:val="28"/>
          <w:rtl w:val="true"/>
          <w:lang w:bidi="ar-SA"/>
        </w:rPr>
        <w:t>قولا، و لم يعلم قائله و لا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البداية</w:t>
      </w:r>
      <w:r>
        <w:rPr>
          <w:rStyle w:val="FootnoteAnchor"/>
          <w:rtl w:val="true"/>
        </w:rPr>
        <w:footnoteReference w:id="560"/>
      </w:r>
      <w:r>
        <w:rPr>
          <w:rFonts w:ascii="Amiri" w:hAnsi="Amiri" w:eastAsia="Amiri" w:cs="Amiri"/>
          <w:color w:val="111111"/>
          <w:sz w:val="28"/>
          <w:sz w:val="28"/>
          <w:szCs w:val="28"/>
          <w:rtl w:val="true"/>
          <w:lang w:bidi="ar-SA"/>
        </w:rPr>
        <w:t>عن المشهور أن نفي البأس يوهم البأس، و لعله أراد المشهور بين العوام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مطلق المدح أعمّ من المعتد به و غيره، عزاه في الفصول</w:t>
      </w:r>
      <w:r>
        <w:rPr>
          <w:rStyle w:val="FootnoteAnchor"/>
          <w:rtl w:val="true"/>
        </w:rPr>
        <w:footnoteReference w:id="562"/>
      </w:r>
      <w:r>
        <w:rPr>
          <w:rFonts w:ascii="Amiri" w:hAnsi="Amiri" w:eastAsia="Amiri" w:cs="Amiri"/>
          <w:color w:val="111111"/>
          <w:sz w:val="28"/>
          <w:sz w:val="28"/>
          <w:szCs w:val="28"/>
          <w:rtl w:val="true"/>
          <w:lang w:bidi="ar-SA"/>
        </w:rPr>
        <w:t>إلى الأكثر، و هو اشتباه، و إنما الأكثر على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إفادته المدح المعتد به الموجب لحسن من كان صحيح العقيدة، و هذا هو المستظهر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Style w:val="FootnoteAnchor"/>
          <w:rtl w:val="true"/>
        </w:rPr>
        <w:footnoteReference w:id="563"/>
      </w:r>
      <w:r>
        <w:rPr>
          <w:rFonts w:ascii="Amiri" w:hAnsi="Amiri" w:eastAsia="Amiri" w:cs="Amiri"/>
          <w:color w:val="111111"/>
          <w:sz w:val="28"/>
          <w:sz w:val="28"/>
          <w:szCs w:val="28"/>
          <w:rtl w:val="true"/>
          <w:lang w:bidi="ar-SA"/>
        </w:rPr>
        <w:t>، بل في التعليقة أنه المشهور</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بعضهم فعدّه في التوثيق، لتضمنه نفي البأس على العموم بزعمه و مرجعه إلى مقام الوصف، و يختلف ذلك بحسب المقامات، فإن كان من التجار مثلا نزّل على حسن المعاملة، و كان نفي البأس و القصور عنها، و إن كان من العلماء ففي العلم، و إن كان من الرواة ففي الرواة، فأين العموم؟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يفيد الوثاقة المصطلحة الموجبة لإطلاق اسم الصحيح عليه، حكاه في البداية عن بعض المحدثين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اصطلاح مخصوص به لا يتعداه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يحيى بن معمر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ليس به بأس و فلان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خاص به يعرف منه، و لا شاهد عليه في الاصطلاح، و لا مثبت له من 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عبارة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اصطلاحا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قد اختار هذا القول بعض من عاصرناه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مال إليه المولى الوحيد حاكيا له عن وسيط الميرزا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الأوفق بالعبارة</w:t>
      </w:r>
    </w:p>
    <w:p>
      <w:pPr>
        <w:pStyle w:val="BookText"/>
        <w:rPr/>
      </w:pPr>
      <w:r>
        <w:rPr>
          <w:rFonts w:ascii="IRNazanin" w:hAnsi="IRNazanin" w:eastAsia="IRNazanin"/>
          <w:color w:val="111111"/>
          <w:sz w:val="28"/>
          <w:sz w:val="28"/>
          <w:szCs w:val="28"/>
          <w:rtl w:val="true"/>
          <w:lang w:bidi="fa-IR"/>
        </w:rPr>
        <w:t>و الأظهر أنه لا بأس به بوجه من الوجوه، و لعله لذا</w:t>
      </w:r>
      <w:r>
        <w:rPr>
          <w:rStyle w:val="FootnoteAnchor"/>
          <w:rtl w:val="true"/>
        </w:rPr>
        <w:footnoteReference w:id="567"/>
      </w:r>
      <w:r>
        <w:rPr>
          <w:rFonts w:ascii="Amiri" w:hAnsi="Amiri" w:eastAsia="Amiri" w:cs="Amiri"/>
          <w:color w:val="111111"/>
          <w:sz w:val="28"/>
          <w:sz w:val="28"/>
          <w:szCs w:val="28"/>
          <w:rtl w:val="true"/>
          <w:lang w:bidi="ar-SA"/>
        </w:rPr>
        <w:t>قيل بإفادته التوثيق و استقربها</w:t>
      </w:r>
      <w:r>
        <w:rPr>
          <w:rStyle w:val="FootnoteAnchor"/>
          <w:rtl w:val="true"/>
        </w:rPr>
        <w:footnoteReference w:id="568"/>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متوسطه، و يومي إليه ما 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ترجمة إبراهيم بن محمد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بشار بن يسار، و يؤيده قولهم ثقة لا بأس به، و منه ما سيجيء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سالم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جعله الأظهر نفي البأس من جميع الجهات فلظهور النكرة المنفية في العموم، و أشار بما في ترجمة إبراهيم إلى ما قيل في حقه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 نفسه، و لكن ببعض من يروي هو عنه</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في ترجمة بشار إلى 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أبان، و ليس به بأس</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في ترجمة حفص إلى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لا بأس به</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حصل هذا الوصف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عوف البخاري و ابنه محمد و قد ذكرهما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من يعتمد على روايته من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 قد نسب إلى المشهور كون نفي البأس يوهم البأس، و هو كذلك إن لم يثبت اصطلاح خاص في المقام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 جعل</w:t>
      </w:r>
      <w:bookmarkStart w:id="327" w:name="pg15033_241654"/>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بدلا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فإن من مجموع ذلك يحصل الظن بإفادته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الأجلة ممن عاصرناه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من جهة المعنى العرفي مع ملاحظة القرائن، و إلا فظاهر معناه اللغوي التوثيق، فإن من لا عذاب له أي لا استحقاق له لا يكون في الغالب إلا عدلا،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النظر إلى العرف فالذي يظهر لنا منه أنه لا يقدح في السند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يلازم كونه ممدوحا مدحا معتدا به، بل ثقة في الرواية، بل مطلقا و إن لم يكن كسائر الثقات انتهى المهم من كلامه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 له الظن مما ذكر بإفادته الوثاقة</w:t>
      </w:r>
      <w:r>
        <w:rPr>
          <w:rStyle w:val="FootnoteAnchor"/>
          <w:rtl w:val="true"/>
        </w:rPr>
        <w:footnoteReference w:id="574"/>
      </w:r>
      <w:r>
        <w:rPr>
          <w:rFonts w:ascii="Amiri" w:hAnsi="Amiri" w:eastAsia="Amiri" w:cs="Amiri"/>
          <w:color w:val="111111"/>
          <w:sz w:val="28"/>
          <w:sz w:val="28"/>
          <w:szCs w:val="28"/>
          <w:rtl w:val="true"/>
          <w:lang w:bidi="ar-SA"/>
        </w:rPr>
        <w:t>، و إلا فإفادته غاية المدح مما لا ينبغي التأمل فيه</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16737_2142443653"/>
      <w:bookmarkStart w:id="329" w:name="_Toc122"/>
      <w:bookmarkEnd w:id="328"/>
      <w:r>
        <w:rPr>
          <w:rtl w:val="true"/>
        </w:rPr>
        <w:t>و منها</w:t>
      </w:r>
      <w:r>
        <w:rPr>
          <w:rtl w:val="true"/>
        </w:rPr>
        <w:t xml:space="preserve">: </w:t>
      </w:r>
      <w:r>
        <w:rPr>
          <w:rtl w:val="true"/>
        </w:rPr>
        <w:t>قولهم</w:t>
      </w:r>
      <w:r>
        <w:rPr>
          <w:rtl w:val="true"/>
        </w:rPr>
        <w:t xml:space="preserve">: </w:t>
      </w:r>
      <w:r>
        <w:rPr>
          <w:rtl w:val="true"/>
        </w:rPr>
        <w:t>أسند عنه</w:t>
      </w:r>
      <w:r>
        <w:rPr>
          <w:rtl w:val="true"/>
        </w:rPr>
        <w:t>:</w:t>
      </w:r>
      <w:bookmarkEnd w:id="32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يعد من ألفاظ المدح</w:t>
      </w:r>
      <w:r>
        <w:rPr>
          <w:rStyle w:val="FootnoteAnchor"/>
          <w:rtl w:val="true"/>
        </w:rPr>
        <w:footnoteReference w:id="575"/>
      </w:r>
      <w:r>
        <w:rPr>
          <w:rFonts w:ascii="Amiri" w:hAnsi="Amiri" w:eastAsia="Amiri" w:cs="Amiri"/>
          <w:color w:val="111111"/>
          <w:sz w:val="28"/>
          <w:sz w:val="28"/>
          <w:szCs w:val="28"/>
          <w:rtl w:val="true"/>
          <w:lang w:bidi="ar-SA"/>
        </w:rPr>
        <w:t xml:space="preserve">، و قد نفى في منتهى المقال العثور </w:t>
      </w:r>
    </w:p>
    <w:p>
      <w:pPr>
        <w:pStyle w:val="BookText"/>
        <w:rPr/>
      </w:pPr>
      <w:r>
        <w:rPr>
          <w:rFonts w:ascii="Amiri" w:hAnsi="Amiri" w:eastAsia="Amiri" w:cs="Amiri"/>
          <w:color w:val="111111"/>
          <w:sz w:val="28"/>
          <w:sz w:val="28"/>
          <w:szCs w:val="28"/>
          <w:rtl w:val="true"/>
          <w:lang w:bidi="ar-SA"/>
        </w:rPr>
        <w:t xml:space="preserve">على هذه الكلمة إلا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ربّما يوجد في الخلاصة فإنما أخذه من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ذكرها في رجاله دون فهرسته، 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Style w:val="FootnoteAnchor"/>
          <w:rtl w:val="true"/>
        </w:rPr>
        <w:footnoteReference w:id="577"/>
      </w:r>
      <w:r>
        <w:rPr>
          <w:rFonts w:ascii="Amiri" w:hAnsi="Amiri" w:eastAsia="Amiri" w:cs="Amiri"/>
          <w:color w:val="111111"/>
          <w:sz w:val="28"/>
          <w:sz w:val="28"/>
          <w:szCs w:val="28"/>
          <w:rtl w:val="true"/>
          <w:lang w:bidi="ar-SA"/>
        </w:rPr>
        <w:t xml:space="preserve">، إلا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غاية الندرة</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أقوالا في كيفية قراءته و مرجع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بالمجهول، و إرجاع الضمير إلى صاحب الترجمة</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التبادر و الظاهر من العبارة في نفسها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من وصفهم الشيخ بهذه الصفة مجاهيل أو مهملون، بل ليس لبعضهم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مختص بجمع من أصحاب الصادق عليه السّلام، و بعدد قليل من أصحاب الباقر و الكاظم عليهما السّلام، بل هو جار في أصحاب جميع المعصومين سلام اللّه عليهم أجمعين من عرف بالصدق و الصلاح، مثل أصحاب الإجماع و من يقاربهم في العظمة و الجلالة، على حد تعبير سيدنا في 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المرحوم الدربندي في 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لم نفرق بين أصحاب الأصول و الكتب الذين ليسوا من الثقات و لا من الموثقين و لا من المصرحين بضعفهم و بين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أدرجنا الكل في حزب الممدوحين، و إن كان جمع كثير من أصحاب الأصول و الكتب من الذين لم يذكر علماء الرجال في شأنهم مدحا و لا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يحكم به التتبع التام و الاستقراء الكامل في كتب الرجال أن الذين أسند عنهم ليس فيهم من صرح بمدح له أو قدح له أو قدح فيه، بل كلهم ذكر فيها على نمط الإهمال إلا من شذّ و ندر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عليه الأكثر، و قالوا بدلالتها على المدح لأنه</w:t>
      </w:r>
    </w:p>
    <w:p>
      <w:pPr>
        <w:pStyle w:val="BookText"/>
        <w:rPr/>
      </w:pPr>
      <w:r>
        <w:rPr>
          <w:rFonts w:ascii="Amiri" w:hAnsi="Amiri" w:eastAsia="Amiri" w:cs="Amiri"/>
          <w:color w:val="111111"/>
          <w:sz w:val="28"/>
          <w:sz w:val="28"/>
          <w:szCs w:val="28"/>
          <w:rtl w:val="true"/>
          <w:lang w:bidi="ar-SA"/>
        </w:rPr>
        <w:t>لا يسند إلا عمن يسند إليه و يعتمد عليه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تعقيب أسند عنه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الأنصاري بأنه ضعيف</w:t>
      </w:r>
      <w:r>
        <w:rPr>
          <w:rStyle w:val="FootnoteAnchor"/>
          <w:rtl w:val="true"/>
        </w:rPr>
        <w:footnoteReference w:id="581"/>
      </w:r>
      <w:r>
        <w:rPr>
          <w:rFonts w:ascii="Amiri" w:hAnsi="Amiri" w:eastAsia="Amiri" w:cs="Amiri"/>
          <w:color w:val="111111"/>
          <w:sz w:val="28"/>
          <w:sz w:val="28"/>
          <w:szCs w:val="28"/>
          <w:rtl w:val="true"/>
          <w:lang w:bidi="ar-SA"/>
        </w:rPr>
        <w:t>، يكشف عن عدم دلالة أسند عنه على المدح، ثم أمر بالتأمل، و لعله للإشارة إلى إمكان منع المنافاة بأن الإسناد و الاعتماد عليه من المحدثين لا ينافي اطلاع القائل على ما يوجب ضعفه،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عليه و لكنه عندي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نقل في وجه اختصاص هذه العبارة ببعض دون بعض أنها لا تقال إلا في حق من لم يكن معروفا بالتناول منه و الأخذ عنه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بالمعلوم، و إرجاع الضمير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صاحب الترجمة من أصحابه، نقل ذلك عن المحقق الشيخ محمد، و الفاضل الشيخ عبد النبي في الحاوي، و استشهد لذلك بقول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أسند عنه</w:t>
      </w:r>
      <w:r>
        <w:rPr>
          <w:rStyle w:val="FootnoteAnchor"/>
          <w:rtl w:val="true"/>
        </w:rPr>
        <w:footnoteReference w:id="582"/>
      </w:r>
      <w:r>
        <w:rPr>
          <w:rFonts w:ascii="Amiri" w:hAnsi="Amiri" w:eastAsia="Amiri" w:cs="Amiri"/>
          <w:color w:val="111111"/>
          <w:sz w:val="28"/>
          <w:sz w:val="28"/>
          <w:szCs w:val="28"/>
          <w:rtl w:val="true"/>
          <w:lang w:bidi="ar-SA"/>
        </w:rPr>
        <w:t>فإنه 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w:t>
      </w:r>
    </w:p>
    <w:p>
      <w:pPr>
        <w:pStyle w:val="BookText"/>
        <w:rPr/>
      </w:pPr>
      <w:r>
        <w:rPr>
          <w:rFonts w:ascii="Amiri" w:hAnsi="Amiri" w:eastAsia="Amiri" w:cs="Amiri"/>
          <w:color w:val="111111"/>
          <w:sz w:val="28"/>
          <w:sz w:val="28"/>
          <w:szCs w:val="28"/>
          <w:rtl w:val="true"/>
          <w:lang w:bidi="ar-SA"/>
        </w:rPr>
        <w:t>بأنه ينافيه الجمع بين أسند عنه و بين روى عن الإمام الفلاني من الشيخ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أسند عنه، روى عنهما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كذا ما ورد في ترجمة محمد بن مسلم حيث، صرح الشيخ نفسه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غير الصادق عليه السّلام أيضا و غيرهما، هذا إلى ما في هذا الوجه من كونه مخالفا لظاهر اللفظ، و لا دلالة فيه على الحصر بحال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محمد بن إسحاق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صاحب المغازي من سبي عين التمر، و هو أول سبي دخل المدينة،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روى عنهما</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تقرأ بالبناء للفاعل، فيعود الضمير المستتر إلى الرجل، و المجرور إلى المعصوم عليه السّلام، و معناها على هذا أنه روى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بعضهم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سمع عنه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كالثاني، لكن تفسيره بعدم السماع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روايته عن أصحابه الموثقين، و هو الذي حكى عن المحقق الداماد في الرواشح</w:t>
      </w:r>
      <w:r>
        <w:rPr>
          <w:rStyle w:val="FootnoteAnchor"/>
          <w:rtl w:val="true"/>
        </w:rPr>
        <w:footnoteReference w:id="585"/>
      </w:r>
      <w:r>
        <w:rPr>
          <w:rFonts w:ascii="Amiri" w:hAnsi="Amiri" w:eastAsia="Amiri" w:cs="Amiri"/>
          <w:color w:val="111111"/>
          <w:sz w:val="28"/>
          <w:sz w:val="28"/>
          <w:szCs w:val="28"/>
          <w:rtl w:val="true"/>
          <w:lang w:bidi="ar-SA"/>
        </w:rPr>
        <w:t xml:space="preserve">جعله اصطلاحا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الصحابي على </w:t>
      </w:r>
    </w:p>
    <w:p>
      <w:pPr>
        <w:pStyle w:val="BookText"/>
        <w:rPr/>
      </w:pPr>
      <w:r>
        <w:rPr>
          <w:rFonts w:ascii="Amiri" w:hAnsi="Amiri" w:eastAsia="Amiri" w:cs="Amiri"/>
          <w:color w:val="111111"/>
          <w:sz w:val="28"/>
          <w:sz w:val="28"/>
          <w:szCs w:val="28"/>
          <w:rtl w:val="true"/>
          <w:lang w:bidi="ar-SA"/>
        </w:rPr>
        <w:t xml:space="preserve">مصطلح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على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الرواية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بالسماع منه،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عنه، بمعنى أنه روى الخبر عن أصحابه الموثوق بهم و أخذ عن أصولهم المعتمد عليها، فمعنى أسند عنه أنه لم يسمع منه بل سمع من أصحابه الموثقين و أخذ منهم</w:t>
      </w:r>
      <w:r>
        <w:rPr>
          <w:rStyle w:val="FootnoteAnchor"/>
          <w:rtl w:val="true"/>
        </w:rPr>
        <w:footnoteReference w:id="586"/>
      </w:r>
      <w:r>
        <w:rPr>
          <w:rFonts w:ascii="Amiri" w:hAnsi="Amiri" w:eastAsia="Amiri" w:cs="Amiri"/>
          <w:color w:val="111111"/>
          <w:sz w:val="28"/>
          <w:sz w:val="28"/>
          <w:szCs w:val="28"/>
          <w:rtl w:val="true"/>
          <w:lang w:bidi="ar-SA"/>
        </w:rPr>
        <w:t>عن أصولهم المعتمد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قد أورد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جمّة إنما روايتهم عنه بالسماع من أصحابه الموثوق بهم، و الأخذ من أصولهم المعتمد عليها</w:t>
      </w:r>
      <w:r>
        <w:rPr>
          <w:rStyle w:val="FootnoteAnchor"/>
          <w:rtl w:val="true"/>
        </w:rPr>
        <w:footnoteReference w:id="587"/>
      </w:r>
      <w:r>
        <w:rPr>
          <w:rFonts w:ascii="Amiri" w:hAnsi="Amiri" w:eastAsia="Amiri" w:cs="Amiri"/>
          <w:color w:val="111111"/>
          <w:sz w:val="28"/>
          <w:sz w:val="28"/>
          <w:szCs w:val="28"/>
          <w:rtl w:val="true"/>
          <w:lang w:bidi="ar-SA"/>
        </w:rPr>
        <w:t>، ذكر كلا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المراد أنه روى عن الصادق عليه السّلام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هو الظاهر في نفسه، و هو الذي تعارف استعماله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بإسناده عن حريز مثلا و يراد به أنه روى عنه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 ذلك بقول الشيخ في غياث بن إبراهيم أسند عنه، و روى عن أبي الحسن عليه السّلام، فإن ظاهر هذا الكلام أنه لم يرو عن أبي عبد اللّه عليه السّلام و إنما أسند عنه أي روى عنه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في هذا الوجه أمور جاءت في المصدر السابق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 ذلك لم يكن وجه حينئذ لذكر الرجل في أصحاب الصادق عليه السّلام، فإن المفروض أنه لم يرو عنه إلا مع الواسطة، بل لا بد من ذكره فيمن لم يرو عنهم عليهم السّلام، أو في أصحاب من روى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أولا، و خالف السيد الداماد فيه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ممن ذكره الشيخ في أصحاب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قد ذكرهم الشيخ نفسه في فهرسته و النجاشي في رجاله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ينافي ما ذكره الشيخ في ترجمة 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إسحاق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مسلم بن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 و الثلاثة في أصحاب الصادق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و روى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الإسناد عنه إذا كان معناه أن روايته عن الصادق عليه السّلام مع واسطة فكيف يجتمع هذا مع روايته عنه عليه السّلام بلا واسطة؟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بأن جماعة ممن قيلت فيه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و ما أبعد ما بين هذا التفسير و بين ما حكاه عن بعض السادة الأزكياء من جعل الأشبه كون المراد أنه أسند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يسند عن غيره من الرواة، نظرا إلى أنه تتبع فلم يجد رواية أحد ممن قيل في حقه ذلك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أحمد بن عائذ، فإنه صحب أبا خديجة و أخذ عنه كما نص عليه النجاشي، و الأمر فيه سهل فكأنه مستثنى لظهوره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واحد ممن قيل في حقه أسند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أحمد 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و الحارث بن المغيرة، و بسام بن عبد اللّه الصيرفي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بالمعلوم، و إرجاع الضمير إلى الراوي، إلا أن </w:t>
      </w:r>
    </w:p>
    <w:p>
      <w:pPr>
        <w:pStyle w:val="BookText"/>
        <w:rPr/>
      </w:pPr>
      <w:r>
        <w:rPr>
          <w:rFonts w:ascii="Amiri" w:hAnsi="Amiri" w:eastAsia="Amiri" w:cs="Amiri"/>
          <w:color w:val="111111"/>
          <w:sz w:val="28"/>
          <w:sz w:val="28"/>
          <w:szCs w:val="28"/>
          <w:rtl w:val="true"/>
          <w:lang w:bidi="ar-SA"/>
        </w:rPr>
        <w:t>فاعل أسند ابن عقدة</w:t>
      </w:r>
      <w:r>
        <w:rPr>
          <w:rStyle w:val="FootnoteAnchor"/>
          <w:rtl w:val="true"/>
        </w:rPr>
        <w:footnoteReference w:id="590"/>
      </w:r>
      <w:r>
        <w:rPr>
          <w:rFonts w:ascii="Amiri" w:hAnsi="Amiri" w:eastAsia="Amiri" w:cs="Amiri"/>
          <w:color w:val="111111"/>
          <w:sz w:val="28"/>
          <w:sz w:val="28"/>
          <w:szCs w:val="28"/>
          <w:rtl w:val="true"/>
          <w:lang w:bidi="ar-SA"/>
        </w:rPr>
        <w:t>، حكي ذلك عن بعضهم</w:t>
      </w:r>
      <w:r>
        <w:rPr>
          <w:rStyle w:val="FootnoteAnchor"/>
          <w:rtl w:val="true"/>
        </w:rPr>
        <w:footnoteReference w:id="591"/>
      </w:r>
      <w:r>
        <w:rPr>
          <w:rFonts w:ascii="Amiri" w:hAnsi="Amiri" w:eastAsia="Amiri" w:cs="Amiri"/>
          <w:color w:val="111111"/>
          <w:sz w:val="28"/>
          <w:sz w:val="28"/>
          <w:szCs w:val="28"/>
          <w:rtl w:val="true"/>
          <w:lang w:bidi="ar-SA"/>
        </w:rPr>
        <w:t xml:space="preserve">،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أول رجاله أن ابن عقدة ذكر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في ذلك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ذاكر ما ذكره و أورد بعد</w:t>
      </w:r>
      <w:r>
        <w:rPr>
          <w:rStyle w:val="FootnoteAnchor"/>
          <w:rtl w:val="true"/>
        </w:rPr>
        <w:footnoteReference w:id="592"/>
      </w:r>
      <w:r>
        <w:rPr>
          <w:rFonts w:ascii="Amiri" w:hAnsi="Amiri" w:eastAsia="Amiri" w:cs="Amiri"/>
          <w:color w:val="111111"/>
          <w:sz w:val="28"/>
          <w:sz w:val="28"/>
          <w:szCs w:val="28"/>
          <w:rtl w:val="true"/>
          <w:lang w:bidi="ar-SA"/>
        </w:rPr>
        <w:t>ذلك ما لم يذكره</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أخبر عنه ابن عقدة و 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منه وجه عدم وجوده إلا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رجاله دون فهرسته، 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بل و ثمرة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ذاكر ما ذكره ابن عقدة، ثم أورد ما لم يذكره فتأمل جدا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بتنافر أسند عنه مع أخبر عنه، بل القريب إليه أسند به</w:t>
      </w:r>
      <w:r>
        <w:rPr>
          <w:rStyle w:val="FootnoteAnchor"/>
          <w:rtl w:val="true"/>
        </w:rPr>
        <w:footnoteReference w:id="595"/>
      </w:r>
      <w:r>
        <w:rPr>
          <w:rFonts w:ascii="Amiri" w:hAnsi="Amiri" w:eastAsia="Amiri" w:cs="Amiri"/>
          <w:color w:val="111111"/>
          <w:sz w:val="28"/>
          <w:sz w:val="28"/>
          <w:szCs w:val="28"/>
          <w:rtl w:val="true"/>
          <w:lang w:bidi="ar-SA"/>
        </w:rPr>
        <w:t>، إذ مفاد أخبر عنه أنه نقل عنه أمرا آخر و هو غير مقصود في توجيهه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أنه يذكر ما ذكره مع اعترافه بأنه بلغ في ذلك الغاية أن يكون أكثر رجال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أسند عنه، و الواقع خلافه</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عقدة و إن عقد كتابه لأصحاب الصادق عليه السّلام إلا أنه من المستبعد أن يخلو عن ذكر غيرهم استطرادا، و لعل هذا من ذلك، و هو واضح البطلان، و نصّ على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قد عرفت ذلك كله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الريب في إفادة هذه اللفظة المدح المعتد به، حيث حكى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بها أنه روى عنه الشيوخ و اعتمدوا عليه و هو كالتوثيق، و لا شك أن هذا المدح أحسن من لا بأس به</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قال في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البناء للمفعول، و معناه كما نقله أستاذ المتأخرين عن جده أنه روى عنه الشيوخ و اعتمدوا عليه، و هذا يقتضي التوثيق كما نص عليه أستاذ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فيه بأنه غير دالّ على خصوص من اعتمد و أسند إليه و لا على عمومه، بل على مجرد وقوع الإسناد، و هذا القدر واقع في حق غير من قيلت فيه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الذي يدلّ على التوثيق هو العمل بها و القبول لها، و هذه العبارة لا تستلزم ذلك، فإن الإسناد واقع على الضعفاء، اللهم إلا أن ينضم إلى ذلك قرائن، و يعلم من حال الشيخ أن مراده الإسناد عنه على جهة القبول، و أنى لنا بإثبات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بمجموعة من الشواهد و القرائن على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كالتوثيق</w:t>
      </w:r>
    </w:p>
    <w:p>
      <w:pPr>
        <w:pStyle w:val="BookText"/>
        <w:rPr/>
      </w:pPr>
      <w:r>
        <w:rPr>
          <w:rFonts w:ascii="Amiri" w:hAnsi="Amiri" w:eastAsia="Amiri" w:cs="Amiri"/>
          <w:color w:val="111111"/>
          <w:sz w:val="28"/>
          <w:sz w:val="28"/>
          <w:szCs w:val="28"/>
          <w:rtl w:val="true"/>
          <w:lang w:bidi="ar-SA"/>
        </w:rPr>
        <w:t>لا يخلو من تأمل، نعم إن أراد منه التوثيق بما هو أعمّ من العدل الإمامي فلعله لا بأس به، فتأمل، لكن لعله توثيق من غير معلوم الوثاقة، أما أنه روى عنه الشيوخ كذلك حتى يظهر وثاقته لبعد اتفاقهم على الاعتماد على من ليس بثقة أو بعد اتفاقهم</w:t>
      </w:r>
      <w:r>
        <w:rPr>
          <w:rStyle w:val="FootnoteAnchor"/>
          <w:rtl w:val="true"/>
        </w:rPr>
        <w:footnoteReference w:id="598"/>
      </w:r>
      <w:r>
        <w:rPr>
          <w:rFonts w:ascii="Amiri" w:hAnsi="Amiri" w:eastAsia="Amiri" w:cs="Amiri"/>
          <w:color w:val="111111"/>
          <w:sz w:val="28"/>
          <w:sz w:val="28"/>
          <w:szCs w:val="28"/>
          <w:rtl w:val="true"/>
          <w:lang w:bidi="ar-SA"/>
        </w:rPr>
        <w:t>كونهم بأجمعهم غير ثقات، فليس 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ربما يستفاد منه مدح و قوة، لكن ليس بمثابة قولهم لا بأس به، بل أضعف منه لو لم نقل بإفادته التوثيق، و ربما قيل بإيمائه إلى عدم الوثوق، و لعله ليس كذلك، فتأمل</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المدح إنما هو على القراءة الأولى</w:t>
      </w:r>
      <w:r>
        <w:rPr>
          <w:rStyle w:val="FootnoteAnchor"/>
          <w:rtl w:val="true"/>
        </w:rPr>
        <w:footnoteReference w:id="600"/>
      </w:r>
      <w:r>
        <w:rPr>
          <w:rFonts w:ascii="Amiri" w:hAnsi="Amiri" w:eastAsia="Amiri" w:cs="Amiri"/>
          <w:color w:val="111111"/>
          <w:sz w:val="28"/>
          <w:sz w:val="28"/>
          <w:szCs w:val="28"/>
          <w:rtl w:val="true"/>
          <w:lang w:bidi="ar-SA"/>
        </w:rPr>
        <w:t xml:space="preserve">، و قد عرفت عدم تعينها، فلا اعتماد على هذه اللفظة في المدح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ضرورة أن الذي يدلّ على التوثيق هو العمل بالرواية و القبول لها، و هذه العبارة أعمّ من ذلك، لوقوع الإسناد عن الضعفاء أيضا، اللهم إلا أن ينضم إلى ذلك قرائن تدلّ على إرادته الإسناد عنه على جهة القبول، </w:t>
      </w:r>
    </w:p>
    <w:p>
      <w:pPr>
        <w:pStyle w:val="BookText"/>
        <w:rPr/>
      </w:pPr>
      <w:r>
        <w:rPr>
          <w:rFonts w:ascii="Amiri" w:hAnsi="Amiri" w:eastAsia="Amiri" w:cs="Amiri"/>
          <w:color w:val="111111"/>
          <w:sz w:val="28"/>
          <w:sz w:val="28"/>
          <w:szCs w:val="28"/>
          <w:rtl w:val="true"/>
          <w:lang w:bidi="ar-SA"/>
        </w:rPr>
        <w:t>و أنى لنا بإثبات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بالعدم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العلامة في الحسن بن محمد بن القطان</w:t>
      </w:r>
      <w:r>
        <w:rPr>
          <w:rStyle w:val="FootnoteAnchor"/>
          <w:rtl w:val="true"/>
        </w:rPr>
        <w:footnoteReference w:id="602"/>
      </w:r>
      <w:r>
        <w:rPr>
          <w:rFonts w:ascii="Amiri" w:hAnsi="Amiri" w:eastAsia="Amiri" w:cs="Amiri"/>
          <w:color w:val="111111"/>
          <w:sz w:val="28"/>
          <w:sz w:val="28"/>
          <w:szCs w:val="28"/>
          <w:rtl w:val="true"/>
          <w:lang w:bidi="ar-SA"/>
        </w:rPr>
        <w:t xml:space="preserve">، مع أنه ممن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أسند عنه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حفص بن غياث القاضي ذلك مع رميه له بأنه عامي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فيها دلالة على الوثوق لشاع بين أهل الرجال و الحديث التمسك به للوثاقة، مع أن كلّهم أو جلّهم يضعفون الحديث بجهالة من قيل في حقه ذلك، و لم يعتبروا تلك العبارة في الوثاقة و لا الحسن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جعله دالا على الذم فلعله بالنظر الى قراءته مجهولا مع دعوى إشعاره بعدم الاعتناء و عدم الاعتداد به، و أنه ليس ممن يعتنى برواياته، بل هو مهجور متروك ساقط من الأعين، و لكن قد تتفق الرواية عنه، فتأمل</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راجع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أخر في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5033_241664"/>
    </w:p>
    <w:p>
      <w:pPr>
        <w:pStyle w:val="Heading5"/>
        <w:numPr>
          <w:ilvl w:val="4"/>
          <w:numId w:val="1"/>
        </w:numPr>
        <w:rPr/>
      </w:pPr>
      <w:bookmarkStart w:id="331" w:name="__RefHeading___Toc316739_2142443653"/>
      <w:bookmarkStart w:id="332" w:name="_Toc123"/>
      <w:bookmarkEnd w:id="330"/>
      <w:bookmarkEnd w:id="331"/>
      <w:r>
        <w:rPr>
          <w:rtl w:val="true"/>
        </w:rPr>
        <w:t>و منها</w:t>
      </w:r>
      <w:r>
        <w:rPr>
          <w:rtl w:val="true"/>
        </w:rPr>
        <w:t xml:space="preserve">: </w:t>
      </w:r>
      <w:r>
        <w:rPr>
          <w:rtl w:val="true"/>
        </w:rPr>
        <w:t>قولهم</w:t>
      </w:r>
      <w:r>
        <w:rPr>
          <w:rtl w:val="true"/>
        </w:rPr>
        <w:t xml:space="preserve">: </w:t>
      </w:r>
      <w:r>
        <w:rPr>
          <w:rtl w:val="true"/>
        </w:rPr>
        <w:t>مضطلع بالرّواية</w:t>
      </w:r>
      <w:r>
        <w:rPr>
          <w:rtl w:val="true"/>
        </w:rPr>
        <w:t>:</w:t>
      </w:r>
      <w:bookmarkEnd w:id="332"/>
    </w:p>
    <w:p>
      <w:pPr>
        <w:pStyle w:val="BookText"/>
        <w:rPr/>
      </w:pPr>
      <w:r>
        <w:rPr>
          <w:rFonts w:ascii="Amiri" w:hAnsi="Amiri" w:eastAsia="Amiri" w:cs="Amiri"/>
          <w:color w:val="111111"/>
          <w:sz w:val="28"/>
          <w:sz w:val="28"/>
          <w:szCs w:val="28"/>
          <w:rtl w:val="true"/>
          <w:lang w:bidi="ar-SA"/>
        </w:rPr>
        <w:t>أي قوي و عال لها</w:t>
      </w:r>
      <w:r>
        <w:rPr>
          <w:rStyle w:val="FootnoteAnchor"/>
          <w:rtl w:val="true"/>
        </w:rPr>
        <w:footnoteReference w:id="606"/>
      </w:r>
      <w:r>
        <w:rPr>
          <w:rFonts w:ascii="Amiri" w:hAnsi="Amiri" w:eastAsia="Amiri" w:cs="Amiri"/>
          <w:color w:val="111111"/>
          <w:sz w:val="28"/>
          <w:sz w:val="28"/>
          <w:szCs w:val="28"/>
          <w:rtl w:val="true"/>
          <w:lang w:bidi="ar-SA"/>
        </w:rPr>
        <w:t>، و لا ريب في إفادته المدح لكونه كناية عن قوته و قدرته عليها، فإن اضطلاع الأمر القدرة عليه، كأنّه قوّيت ضلوعه بحمله، و لكن في إفادته المدح المعتدّ به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التّوثيق فلا ريب في عدم دلالته عليه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316741_2142443653"/>
      <w:bookmarkStart w:id="334" w:name="_Toc124"/>
      <w:bookmarkEnd w:id="333"/>
      <w:r>
        <w:rPr>
          <w:rtl w:val="true"/>
        </w:rPr>
        <w:t>و منها</w:t>
      </w:r>
      <w:r>
        <w:rPr>
          <w:rtl w:val="true"/>
        </w:rPr>
        <w:t xml:space="preserve">: </w:t>
      </w:r>
      <w:r>
        <w:rPr>
          <w:rtl w:val="true"/>
        </w:rPr>
        <w:t>قولهم</w:t>
      </w:r>
      <w:r>
        <w:rPr>
          <w:rtl w:val="true"/>
        </w:rPr>
        <w:t xml:space="preserve">: </w:t>
      </w:r>
      <w:r>
        <w:rPr>
          <w:rtl w:val="true"/>
        </w:rPr>
        <w:t>سليم الجنبة</w:t>
      </w:r>
      <w:r>
        <w:rPr>
          <w:rtl w:val="true"/>
        </w:rPr>
        <w:t>:</w:t>
      </w:r>
      <w:bookmarkEnd w:id="33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بسليم الأحاديث و سليم الطّريقة</w:t>
      </w:r>
      <w:r>
        <w:rPr>
          <w:rStyle w:val="FootnoteAnchor"/>
          <w:rtl w:val="true"/>
        </w:rPr>
        <w:footnoteReference w:id="608"/>
      </w:r>
      <w:r>
        <w:rPr>
          <w:rFonts w:ascii="Amiri" w:hAnsi="Amiri" w:eastAsia="Amiri" w:cs="Amiri"/>
          <w:color w:val="111111"/>
          <w:sz w:val="28"/>
          <w:sz w:val="28"/>
          <w:szCs w:val="28"/>
          <w:rtl w:val="true"/>
          <w:lang w:bidi="ar-SA"/>
        </w:rPr>
        <w:t>، و عليه فلا شبهة في دلالته على المدح المعتدّ به</w:t>
      </w:r>
      <w:r>
        <w:rPr>
          <w:rStyle w:val="FootnoteAnchor"/>
          <w:rtl w:val="true"/>
        </w:rPr>
        <w:footnoteReference w:id="609"/>
      </w:r>
      <w:r>
        <w:rPr>
          <w:rFonts w:ascii="Amiri" w:hAnsi="Amiri" w:eastAsia="Amiri" w:cs="Amiri"/>
          <w:color w:val="111111"/>
          <w:sz w:val="28"/>
          <w:sz w:val="28"/>
          <w:szCs w:val="28"/>
          <w:rtl w:val="true"/>
          <w:lang w:bidi="ar-SA"/>
        </w:rPr>
        <w:t>، لكنّه أعمّ من التّوثيق المصطلح</w:t>
      </w:r>
      <w:r>
        <w:rPr>
          <w:rFonts w:eastAsia="Amiri" w:cs="Amiri" w:ascii="Amiri" w:hAnsi="Amiri"/>
          <w:color w:val="111111"/>
          <w:sz w:val="28"/>
          <w:szCs w:val="28"/>
          <w:rtl w:val="true"/>
          <w:lang w:bidi="ar-SA"/>
        </w:rPr>
        <w:t xml:space="preserve">. </w:t>
      </w:r>
      <w:bookmarkStart w:id="335" w:name="pg15033_241665"/>
    </w:p>
    <w:p>
      <w:pPr>
        <w:pStyle w:val="Heading5"/>
        <w:numPr>
          <w:ilvl w:val="4"/>
          <w:numId w:val="1"/>
        </w:numPr>
        <w:rPr/>
      </w:pPr>
      <w:bookmarkStart w:id="336" w:name="__RefHeading___Toc316743_2142443653"/>
      <w:bookmarkStart w:id="337" w:name="_Toc125"/>
      <w:bookmarkEnd w:id="335"/>
      <w:bookmarkEnd w:id="336"/>
      <w:r>
        <w:rPr>
          <w:rtl w:val="true"/>
        </w:rPr>
        <w:t>و منها</w:t>
      </w:r>
      <w:r>
        <w:rPr>
          <w:rtl w:val="true"/>
        </w:rPr>
        <w:t xml:space="preserve">: </w:t>
      </w:r>
      <w:r>
        <w:rPr>
          <w:rtl w:val="true"/>
        </w:rPr>
        <w:t>قولهم</w:t>
      </w:r>
      <w:r>
        <w:rPr>
          <w:rtl w:val="true"/>
        </w:rPr>
        <w:t xml:space="preserve">: </w:t>
      </w:r>
      <w:r>
        <w:rPr>
          <w:rtl w:val="true"/>
        </w:rPr>
        <w:t xml:space="preserve">خاصيّ </w:t>
      </w:r>
      <w:r>
        <w:rPr>
          <w:rtl w:val="true"/>
        </w:rPr>
        <w:t>:</w:t>
      </w:r>
      <w:bookmarkEnd w:id="33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 الشّيعي مقابل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به أنّه من خواصّ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دالّ على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دالّ على المدح المعتد به، بل يمكن استفادة التوثيق</w:t>
      </w:r>
      <w:r>
        <w:rPr>
          <w:rStyle w:val="FootnoteAnchor"/>
          <w:rtl w:val="true"/>
        </w:rPr>
        <w:footnoteReference w:id="611"/>
      </w:r>
      <w:r>
        <w:rPr>
          <w:rFonts w:ascii="Amiri" w:hAnsi="Amiri" w:eastAsia="Amiri" w:cs="Amiri"/>
          <w:color w:val="111111"/>
          <w:sz w:val="28"/>
          <w:sz w:val="28"/>
          <w:szCs w:val="28"/>
          <w:rtl w:val="true"/>
          <w:lang w:bidi="ar-SA"/>
        </w:rPr>
        <w:t xml:space="preserve">منه لبعد تمكينهم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صيرورة غير الثقة من خواصهم، لكن استعمال اللفظة في الأول في هذه الأزمنة أشيع، و إن كان في الأزمنة السابقة بالمساواة إن لم يكن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البداية</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إطلاق الخاص أو الخاصي يكون الأمر فيه مشتبها ليحمل على القدر المتيقن كما لا يخفى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قولهم خاص مدح معتد به إلا أنه</w:t>
      </w:r>
      <w:bookmarkStart w:id="338" w:name="pg15033_241666"/>
    </w:p>
    <w:p>
      <w:pPr>
        <w:pStyle w:val="BookText"/>
        <w:rPr/>
      </w:pPr>
      <w:bookmarkEnd w:id="338"/>
      <w:r>
        <w:rPr>
          <w:rFonts w:ascii="Amiri" w:hAnsi="Amiri" w:eastAsia="Amiri" w:cs="Amiri"/>
          <w:color w:val="111111"/>
          <w:sz w:val="28"/>
          <w:sz w:val="28"/>
          <w:szCs w:val="28"/>
          <w:rtl w:val="true"/>
          <w:lang w:bidi="ar-SA"/>
        </w:rPr>
        <w:t>لا يدل على التوثيق، لأن مرجع وصفه إلى الدخول مع إمام معين أو في مذهب معين و شدة التزامه به أعم من كونه ثقة في نفسه، كما يدلّ عليه العرف</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316745_2142443653"/>
      <w:bookmarkStart w:id="340" w:name="_Toc126"/>
      <w:bookmarkEnd w:id="339"/>
      <w:r>
        <w:rPr>
          <w:rtl w:val="true"/>
        </w:rPr>
        <w:t>و منها</w:t>
      </w:r>
      <w:r>
        <w:rPr>
          <w:rtl w:val="true"/>
        </w:rPr>
        <w:t xml:space="preserve">: </w:t>
      </w:r>
      <w:r>
        <w:rPr>
          <w:rtl w:val="true"/>
        </w:rPr>
        <w:t>قولهم</w:t>
      </w:r>
      <w:r>
        <w:rPr>
          <w:rtl w:val="true"/>
        </w:rPr>
        <w:t xml:space="preserve">: </w:t>
      </w:r>
      <w:r>
        <w:rPr>
          <w:rtl w:val="true"/>
        </w:rPr>
        <w:t>متقن</w:t>
      </w:r>
      <w:r>
        <w:rPr>
          <w:rtl w:val="true"/>
        </w:rPr>
        <w:t>.</w:t>
      </w:r>
      <w:bookmarkEnd w:id="340"/>
    </w:p>
    <w:p>
      <w:pPr>
        <w:pStyle w:val="Heading5"/>
        <w:numPr>
          <w:ilvl w:val="4"/>
          <w:numId w:val="1"/>
        </w:numPr>
        <w:rPr/>
      </w:pPr>
      <w:bookmarkStart w:id="341" w:name="__RefHeading___Toc316747_2142443653"/>
      <w:bookmarkStart w:id="342" w:name="_Toc127"/>
      <w:bookmarkEnd w:id="341"/>
      <w:r>
        <w:rPr>
          <w:rtl w:val="true"/>
        </w:rPr>
        <w:t>و منها</w:t>
      </w:r>
      <w:r>
        <w:rPr>
          <w:rtl w:val="true"/>
        </w:rPr>
        <w:t xml:space="preserve">: </w:t>
      </w:r>
      <w:r>
        <w:rPr>
          <w:rtl w:val="true"/>
        </w:rPr>
        <w:t>حافظ و ثبت و ضابط</w:t>
      </w:r>
      <w:bookmarkEnd w:id="342"/>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ثبت و ضابط</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في البداية بإفادة كل منها المدح الملحق لحديث المقول فيه بالحسن إن أحرز كونه إماميا، و بالقوي إن لم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بعدم إفادتها التوثيق</w:t>
      </w:r>
      <w:r>
        <w:rPr>
          <w:rStyle w:val="FootnoteAnchor"/>
          <w:rtl w:val="true"/>
        </w:rPr>
        <w:footnoteReference w:id="614"/>
      </w:r>
      <w:r>
        <w:rPr>
          <w:rFonts w:ascii="Amiri" w:hAnsi="Amiri" w:eastAsia="Amiri" w:cs="Amiri"/>
          <w:color w:val="111111"/>
          <w:sz w:val="28"/>
          <w:sz w:val="28"/>
          <w:szCs w:val="28"/>
          <w:rtl w:val="true"/>
          <w:lang w:bidi="ar-SA"/>
        </w:rPr>
        <w:t>، لأن كلا منها يجامع الضعيف و إن كان من صفات الكمال</w:t>
      </w:r>
      <w:r>
        <w:rPr>
          <w:rFonts w:eastAsia="Amiri" w:cs="Amiri" w:ascii="Amiri" w:hAnsi="Amiri"/>
          <w:color w:val="111111"/>
          <w:sz w:val="28"/>
          <w:szCs w:val="28"/>
          <w:rtl w:val="true"/>
          <w:lang w:bidi="ar-SA"/>
        </w:rPr>
        <w:t>. [</w:t>
      </w:r>
      <w:r>
        <w:rPr>
          <w:rStyle w:val="FootnoteAnchor"/>
          <w:rtl w:val="true"/>
        </w:rPr>
        <w:footnoteReference w:id="615"/>
      </w:r>
      <w:r>
        <w:rPr>
          <w:rFonts w:ascii="Amiri" w:hAnsi="Amiri" w:eastAsia="Amiri" w:cs="Amiri"/>
          <w:color w:val="111111"/>
          <w:sz w:val="28"/>
          <w:sz w:val="28"/>
          <w:szCs w:val="28"/>
          <w:rtl w:val="true"/>
          <w:lang w:bidi="ar-SA"/>
        </w:rPr>
        <w:t>و قال بعض الأجلة</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ثبت صفة مشبهة دالّة على ثبوت التثبت في الحديث و دوامه، أو في جميع أموره، فلا </w:t>
      </w:r>
    </w:p>
    <w:p>
      <w:pPr>
        <w:pStyle w:val="BookText"/>
        <w:rPr/>
      </w:pPr>
      <w:r>
        <w:rPr>
          <w:rFonts w:ascii="Amiri" w:hAnsi="Amiri" w:eastAsia="Amiri" w:cs="Amiri"/>
          <w:color w:val="111111"/>
          <w:sz w:val="28"/>
          <w:sz w:val="28"/>
          <w:szCs w:val="28"/>
          <w:rtl w:val="true"/>
          <w:lang w:bidi="ar-SA"/>
        </w:rPr>
        <w:t>يجزيه</w:t>
      </w:r>
      <w:r>
        <w:rPr>
          <w:rStyle w:val="FootnoteAnchor"/>
          <w:rtl w:val="true"/>
        </w:rPr>
        <w:footnoteReference w:id="617"/>
      </w:r>
      <w:r>
        <w:rPr>
          <w:rFonts w:ascii="Amiri" w:hAnsi="Amiri" w:eastAsia="Amiri" w:cs="Amiri"/>
          <w:color w:val="111111"/>
          <w:sz w:val="28"/>
          <w:sz w:val="28"/>
          <w:szCs w:val="28"/>
          <w:rtl w:val="true"/>
          <w:lang w:bidi="ar-SA"/>
        </w:rPr>
        <w:t>إلا عن ثبوت المخبر به عنده و تيقنه لديه، و لا يحكم إلا عن اطمينان و اعتقاد، و هكذا في جميع أموره، قال في المصباح المنير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ثبت الأمر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متثبت في أموره، و على هذا فيستفاد من هذه الكلمة الحسن قطعا كما نص عليه بعض أهل الفن، و هو الظاهر من الشهيد الثاني في الدراية و شرحها</w:t>
      </w:r>
      <w:r>
        <w:rPr>
          <w:rStyle w:val="FootnoteAnchor"/>
          <w:rtl w:val="true"/>
        </w:rPr>
        <w:footnoteReference w:id="618"/>
      </w:r>
      <w:r>
        <w:rPr>
          <w:rFonts w:ascii="Amiri" w:hAnsi="Amiri" w:eastAsia="Amiri" w:cs="Amiri"/>
          <w:color w:val="111111"/>
          <w:sz w:val="28"/>
          <w:sz w:val="28"/>
          <w:szCs w:val="28"/>
          <w:rtl w:val="true"/>
          <w:lang w:bidi="ar-SA"/>
        </w:rPr>
        <w:t>، و كان هذا في مقابلة من قيل في حقه يروي عن الضعفاء و يعتمد المراسيل و لا يبالي عمن أخذ، و مرادفه في المصداق قولهم متقن و ضابط، هذا إذا قيل في حق إمامي، و أما إذا قيل</w:t>
      </w:r>
      <w:r>
        <w:rPr>
          <w:rStyle w:val="FootnoteAnchor"/>
          <w:rtl w:val="true"/>
        </w:rPr>
        <w:footnoteReference w:id="619"/>
      </w:r>
      <w:r>
        <w:rPr>
          <w:rFonts w:ascii="Amiri" w:hAnsi="Amiri" w:eastAsia="Amiri" w:cs="Amiri"/>
          <w:color w:val="111111"/>
          <w:sz w:val="28"/>
          <w:sz w:val="28"/>
          <w:szCs w:val="28"/>
          <w:rtl w:val="true"/>
          <w:lang w:bidi="ar-SA"/>
        </w:rPr>
        <w:t>في حق غيره من الزيدية أو الواقفية أو الفطحية فهي مرادفة لثقة، إذ ليس لكلمة ثقة بالنسبة إلى غير الإمامي أكثر من التثبت و التحرز عن الكذب، فبينهما تلازم في الخارج، و لا فرق بين أن يطلق أنه ثبت</w:t>
      </w:r>
      <w:r>
        <w:rPr>
          <w:rStyle w:val="FootnoteAnchor"/>
          <w:rtl w:val="true"/>
        </w:rPr>
        <w:footnoteReference w:id="620"/>
      </w:r>
      <w:r>
        <w:rPr>
          <w:rFonts w:ascii="Amiri" w:hAnsi="Amiri" w:eastAsia="Amiri" w:cs="Amiri"/>
          <w:color w:val="111111"/>
          <w:sz w:val="28"/>
          <w:sz w:val="28"/>
          <w:szCs w:val="28"/>
          <w:rtl w:val="true"/>
          <w:lang w:bidi="ar-SA"/>
        </w:rPr>
        <w:t xml:space="preserve">بالنسبة إلينا هو الحديث، فكلما كان بالنسبة إلى غيره فلا يضرنا و لا </w:t>
      </w:r>
      <w:bookmarkStart w:id="343" w:name="pg15033_241668"/>
    </w:p>
    <w:p>
      <w:pPr>
        <w:pStyle w:val="BookText"/>
        <w:rPr/>
      </w:pPr>
      <w:bookmarkEnd w:id="343"/>
      <w:r>
        <w:rPr>
          <w:rFonts w:ascii="Amiri" w:hAnsi="Amiri" w:eastAsia="Amiri" w:cs="Amiri"/>
          <w:color w:val="111111"/>
          <w:sz w:val="28"/>
          <w:sz w:val="28"/>
          <w:szCs w:val="28"/>
          <w:rtl w:val="true"/>
          <w:lang w:bidi="ar-SA"/>
        </w:rPr>
        <w:t>ينفعنا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ثم إن 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المتثبت في أموره كما مرّ عن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و ثبت الجنان أي ثابت القلب، و رجل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ضابط، و جمعه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القلب و اللسان، و الكتاب الحجة، و أما بالفتح فيما يثبت فيه المحدث مسموعه مع أسماء المشاركين له فيه، لأنه كالحجة عند الشخص لسماعه و سماع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316749_2142443653"/>
      <w:bookmarkStart w:id="345" w:name="_Toc128"/>
      <w:bookmarkEnd w:id="344"/>
      <w:r>
        <w:rPr>
          <w:rtl w:val="true"/>
        </w:rPr>
        <w:t>و منها</w:t>
      </w:r>
      <w:r>
        <w:rPr>
          <w:rtl w:val="true"/>
        </w:rPr>
        <w:t xml:space="preserve">: </w:t>
      </w:r>
      <w:r>
        <w:rPr>
          <w:rtl w:val="true"/>
        </w:rPr>
        <w:t>قولهم</w:t>
      </w:r>
      <w:r>
        <w:rPr>
          <w:rtl w:val="true"/>
        </w:rPr>
        <w:t xml:space="preserve">: </w:t>
      </w:r>
      <w:r>
        <w:rPr>
          <w:rtl w:val="true"/>
        </w:rPr>
        <w:t>يحتج بحديثه</w:t>
      </w:r>
      <w:r>
        <w:rPr>
          <w:rtl w:val="true"/>
        </w:rPr>
        <w:t>:</w:t>
      </w:r>
      <w:bookmarkEnd w:id="345"/>
    </w:p>
    <w:p>
      <w:pPr>
        <w:pStyle w:val="BookText"/>
        <w:rPr/>
      </w:pPr>
      <w:r>
        <w:rPr>
          <w:rFonts w:ascii="Amiri" w:hAnsi="Amiri" w:eastAsia="Amiri" w:cs="Amiri"/>
          <w:color w:val="111111"/>
          <w:sz w:val="28"/>
          <w:sz w:val="28"/>
          <w:szCs w:val="28"/>
          <w:rtl w:val="true"/>
          <w:lang w:bidi="ar-SA"/>
        </w:rPr>
        <w:t>و قد صرح في البداية بمثل ما في سابقه</w:t>
      </w:r>
      <w:r>
        <w:rPr>
          <w:rStyle w:val="FootnoteAnchor"/>
          <w:rtl w:val="true"/>
        </w:rPr>
        <w:footnoteReference w:id="622"/>
      </w:r>
      <w:r>
        <w:rPr>
          <w:rFonts w:ascii="Amiri" w:hAnsi="Amiri" w:eastAsia="Amiri" w:cs="Amiri"/>
          <w:color w:val="111111"/>
          <w:sz w:val="28"/>
          <w:sz w:val="28"/>
          <w:szCs w:val="28"/>
          <w:rtl w:val="true"/>
          <w:lang w:bidi="ar-SA"/>
        </w:rPr>
        <w:t>من إفادته المدح دون التوثيق، لأنه قد يحتج بالضعيف إذا انجبر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316751_2142443653"/>
      <w:bookmarkStart w:id="347" w:name="_Toc129"/>
      <w:bookmarkEnd w:id="346"/>
      <w:r>
        <w:rPr>
          <w:rtl w:val="true"/>
        </w:rPr>
        <w:t>و منها</w:t>
      </w:r>
      <w:r>
        <w:rPr>
          <w:rtl w:val="true"/>
        </w:rPr>
        <w:t xml:space="preserve">: </w:t>
      </w:r>
      <w:r>
        <w:rPr>
          <w:rtl w:val="true"/>
        </w:rPr>
        <w:t>قولهم</w:t>
      </w:r>
      <w:r>
        <w:rPr>
          <w:rtl w:val="true"/>
        </w:rPr>
        <w:t xml:space="preserve">: </w:t>
      </w:r>
      <w:r>
        <w:rPr>
          <w:rtl w:val="true"/>
        </w:rPr>
        <w:t>صدوق، و مثله</w:t>
      </w:r>
      <w:r>
        <w:rPr>
          <w:rtl w:val="true"/>
        </w:rPr>
        <w:t xml:space="preserve">: </w:t>
      </w:r>
      <w:r>
        <w:rPr>
          <w:rtl w:val="true"/>
        </w:rPr>
        <w:t>محل الصدق</w:t>
      </w:r>
      <w:r>
        <w:rPr>
          <w:rtl w:val="true"/>
        </w:rPr>
        <w:t>:</w:t>
      </w:r>
      <w:bookmarkEnd w:id="34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بإفادة المدح المعتد به دون التوثيق</w:t>
      </w:r>
      <w:r>
        <w:rPr>
          <w:rStyle w:val="FootnoteAnchor"/>
          <w:rtl w:val="true"/>
        </w:rPr>
        <w:footnoteReference w:id="624"/>
      </w:r>
      <w:r>
        <w:rPr>
          <w:rFonts w:ascii="Amiri" w:hAnsi="Amiri" w:eastAsia="Amiri" w:cs="Amiri"/>
          <w:color w:val="111111"/>
          <w:sz w:val="28"/>
          <w:sz w:val="28"/>
          <w:szCs w:val="28"/>
          <w:rtl w:val="true"/>
          <w:lang w:bidi="ar-SA"/>
        </w:rPr>
        <w:t xml:space="preserve">لأن الوثاقة الصدق و زيادة، و الذي أظن أن قولهم محله الصدق أقوى في الدلالة على المدح من قولهم صدوق، بل يمكن استشعار التوثيق </w:t>
      </w:r>
      <w:bookmarkStart w:id="348" w:name="pg15033_241669"/>
    </w:p>
    <w:p>
      <w:pPr>
        <w:pStyle w:val="BookText"/>
        <w:rPr/>
      </w:pPr>
      <w:bookmarkEnd w:id="348"/>
      <w:r>
        <w:rPr>
          <w:rFonts w:ascii="Amiri" w:hAnsi="Amiri" w:eastAsia="Amiri" w:cs="Amiri"/>
          <w:color w:val="111111"/>
          <w:sz w:val="28"/>
          <w:sz w:val="28"/>
          <w:szCs w:val="28"/>
          <w:rtl w:val="true"/>
          <w:lang w:bidi="ar-SA"/>
        </w:rPr>
        <w:t>من قولهم محله الصدق، لأن غير الثقة ليس محله الصدق، فتأمل</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316753_2142443653"/>
      <w:bookmarkStart w:id="350" w:name="_Toc130"/>
      <w:bookmarkEnd w:id="349"/>
      <w:r>
        <w:rPr>
          <w:rtl w:val="true"/>
        </w:rPr>
        <w:t>و منها</w:t>
      </w:r>
      <w:r>
        <w:rPr>
          <w:rtl w:val="true"/>
        </w:rPr>
        <w:t xml:space="preserve">: </w:t>
      </w:r>
      <w:r>
        <w:rPr>
          <w:rtl w:val="true"/>
        </w:rPr>
        <w:t>قولهم</w:t>
      </w:r>
      <w:r>
        <w:rPr>
          <w:rtl w:val="true"/>
        </w:rPr>
        <w:t xml:space="preserve">: </w:t>
      </w:r>
      <w:r>
        <w:rPr>
          <w:rtl w:val="true"/>
        </w:rPr>
        <w:t>يكتب حديثه</w:t>
      </w:r>
      <w:r>
        <w:rPr>
          <w:rtl w:val="true"/>
        </w:rPr>
        <w:t xml:space="preserve">: </w:t>
      </w:r>
      <w:r>
        <w:rPr>
          <w:rtl w:val="true"/>
        </w:rPr>
        <w:t>و مثله</w:t>
      </w:r>
      <w:r>
        <w:rPr>
          <w:rtl w:val="true"/>
        </w:rPr>
        <w:t xml:space="preserve">: </w:t>
      </w:r>
      <w:r>
        <w:rPr>
          <w:rtl w:val="true"/>
        </w:rPr>
        <w:t>ينظر في حديثه</w:t>
      </w:r>
      <w:r>
        <w:rPr>
          <w:rtl w:val="true"/>
        </w:rPr>
        <w:t>:</w:t>
      </w:r>
      <w:bookmarkEnd w:id="350"/>
    </w:p>
    <w:p>
      <w:pPr>
        <w:pStyle w:val="BookText"/>
        <w:rPr/>
      </w:pPr>
      <w:r>
        <w:rPr>
          <w:rFonts w:ascii="Amiri" w:hAnsi="Amiri" w:eastAsia="Amiri" w:cs="Amiri"/>
          <w:color w:val="111111"/>
          <w:sz w:val="28"/>
          <w:sz w:val="28"/>
          <w:szCs w:val="28"/>
          <w:rtl w:val="true"/>
          <w:lang w:bidi="ar-SA"/>
        </w:rPr>
        <w:t>و لا ريب في إفادة كل منهما المدح المعتد به، لدلالته على كونه محل اعتناء و اعتماد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أعم من التوثيق، و ربما فسّرهما في البداية بأنه لا يطرح حديثه، بل ينظر فيه و يختبر حتى يعرف حاله فلعله يقبل، ثم استظهر دلالتهما على عدم التوثيق</w:t>
      </w:r>
      <w:r>
        <w:rPr>
          <w:rStyle w:val="FootnoteAnchor"/>
          <w:rtl w:val="true"/>
        </w:rPr>
        <w:footnoteReference w:id="625"/>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أذعن بإفادته المدح الملحق حديث المتصف به بالحسن</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16755_2142443653"/>
      <w:bookmarkStart w:id="352" w:name="_Toc131"/>
      <w:bookmarkEnd w:id="351"/>
      <w:r>
        <w:rPr>
          <w:rtl w:val="true"/>
        </w:rPr>
        <w:t>و منها</w:t>
      </w:r>
      <w:r>
        <w:rPr>
          <w:rtl w:val="true"/>
        </w:rPr>
        <w:t xml:space="preserve">: </w:t>
      </w:r>
      <w:r>
        <w:rPr>
          <w:rtl w:val="true"/>
        </w:rPr>
        <w:t>قولهم</w:t>
      </w:r>
      <w:r>
        <w:rPr>
          <w:rtl w:val="true"/>
        </w:rPr>
        <w:t xml:space="preserve">: </w:t>
      </w:r>
      <w:r>
        <w:rPr>
          <w:rtl w:val="true"/>
        </w:rPr>
        <w:t>شيخ</w:t>
      </w:r>
      <w:r>
        <w:rPr>
          <w:rtl w:val="true"/>
        </w:rPr>
        <w:t>:</w:t>
      </w:r>
      <w:bookmarkEnd w:id="352"/>
    </w:p>
    <w:p>
      <w:pPr>
        <w:pStyle w:val="BookText"/>
        <w:rPr/>
      </w:pPr>
      <w:r>
        <w:rPr>
          <w:rFonts w:ascii="Amiri" w:hAnsi="Amiri" w:eastAsia="Amiri" w:cs="Amiri"/>
          <w:color w:val="111111"/>
          <w:sz w:val="28"/>
          <w:sz w:val="28"/>
          <w:szCs w:val="28"/>
          <w:rtl w:val="true"/>
          <w:lang w:bidi="ar-SA"/>
        </w:rPr>
        <w:t>صرح في البداية بإفادته المدح المعتد به دون التوثيق، لأنه و إن أريد به المقدم في العلم و رئاسة الحديث، لكن لا يدلّ على التوثيق فقد يقدم من ليس بثقة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علله بعدم معلومية متعلق الشيخوخة و التقدم، و إلا فالتقدم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الأزمنة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يدلّ على الوثاقة، </w:t>
      </w:r>
      <w:bookmarkStart w:id="353" w:name="pg15033_241670"/>
    </w:p>
    <w:p>
      <w:pPr>
        <w:pStyle w:val="BookText"/>
        <w:rPr/>
      </w:pPr>
      <w:bookmarkEnd w:id="353"/>
      <w:r>
        <w:rPr>
          <w:rFonts w:ascii="Amiri" w:hAnsi="Amiri" w:eastAsia="Amiri" w:cs="Amiri"/>
          <w:color w:val="111111"/>
          <w:sz w:val="28"/>
          <w:sz w:val="28"/>
          <w:szCs w:val="28"/>
          <w:rtl w:val="true"/>
          <w:lang w:bidi="ar-SA"/>
        </w:rPr>
        <w:t>كما مرّ وجهه عند الكلام في شيخ الإجازة و شيخ الطائفة</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 سيأتي للبحث تتمة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ألقاب أصحاب الحديث،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316757_2142443653"/>
      <w:bookmarkStart w:id="355" w:name="_Toc132"/>
      <w:bookmarkEnd w:id="354"/>
      <w:r>
        <w:rPr>
          <w:rtl w:val="true"/>
        </w:rPr>
        <w:t>و منها</w:t>
      </w:r>
      <w:r>
        <w:rPr>
          <w:rtl w:val="true"/>
        </w:rPr>
        <w:t xml:space="preserve">: </w:t>
      </w:r>
      <w:r>
        <w:rPr>
          <w:rtl w:val="true"/>
        </w:rPr>
        <w:t>قولهم</w:t>
      </w:r>
      <w:r>
        <w:rPr>
          <w:rtl w:val="true"/>
        </w:rPr>
        <w:t xml:space="preserve">: </w:t>
      </w:r>
      <w:r>
        <w:rPr>
          <w:rtl w:val="true"/>
        </w:rPr>
        <w:t>جليل</w:t>
      </w:r>
      <w:r>
        <w:rPr>
          <w:rtl w:val="true"/>
        </w:rPr>
        <w:t>:</w:t>
      </w:r>
      <w:bookmarkEnd w:id="355"/>
    </w:p>
    <w:p>
      <w:pPr>
        <w:pStyle w:val="BookText"/>
        <w:rPr/>
      </w:pPr>
      <w:r>
        <w:rPr>
          <w:rFonts w:ascii="Amiri" w:hAnsi="Amiri" w:eastAsia="Amiri" w:cs="Amiri"/>
          <w:color w:val="111111"/>
          <w:sz w:val="28"/>
          <w:sz w:val="28"/>
          <w:szCs w:val="28"/>
          <w:rtl w:val="true"/>
          <w:lang w:bidi="ar-SA"/>
        </w:rPr>
        <w:t>و قد صرح في البداية</w:t>
      </w:r>
      <w:r>
        <w:rPr>
          <w:rStyle w:val="FootnoteAnchor"/>
          <w:rtl w:val="true"/>
        </w:rPr>
        <w:footnoteReference w:id="628"/>
      </w:r>
      <w:r>
        <w:rPr>
          <w:rFonts w:ascii="Amiri" w:hAnsi="Amiri" w:eastAsia="Amiri" w:cs="Amiri"/>
          <w:color w:val="111111"/>
          <w:sz w:val="28"/>
          <w:sz w:val="28"/>
          <w:szCs w:val="28"/>
          <w:rtl w:val="true"/>
          <w:lang w:bidi="ar-SA"/>
        </w:rPr>
        <w:t>بإفادته المدح المعتد به دون التوثيق، لأنه قد يكون غير الثقة 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316759_2142443653"/>
      <w:bookmarkStart w:id="357" w:name="_Toc133"/>
      <w:bookmarkEnd w:id="356"/>
      <w:r>
        <w:rPr>
          <w:rtl w:val="true"/>
        </w:rPr>
        <w:t>و منها</w:t>
      </w:r>
      <w:r>
        <w:rPr>
          <w:rtl w:val="true"/>
        </w:rPr>
        <w:t xml:space="preserve">: </w:t>
      </w:r>
      <w:r>
        <w:rPr>
          <w:rtl w:val="true"/>
        </w:rPr>
        <w:t>قولهم</w:t>
      </w:r>
      <w:r>
        <w:rPr>
          <w:rtl w:val="true"/>
        </w:rPr>
        <w:t xml:space="preserve">: </w:t>
      </w:r>
      <w:r>
        <w:rPr>
          <w:rtl w:val="true"/>
        </w:rPr>
        <w:t>صالح الحديث</w:t>
      </w:r>
      <w:r>
        <w:rPr>
          <w:rtl w:val="true"/>
        </w:rPr>
        <w:t>:</w:t>
      </w:r>
      <w:bookmarkEnd w:id="357"/>
    </w:p>
    <w:p>
      <w:pPr>
        <w:pStyle w:val="BookText"/>
        <w:rPr/>
      </w:pPr>
      <w:r>
        <w:rPr>
          <w:rFonts w:ascii="Amiri" w:hAnsi="Amiri" w:eastAsia="Amiri" w:cs="Amiri"/>
          <w:color w:val="111111"/>
          <w:sz w:val="28"/>
          <w:sz w:val="28"/>
          <w:szCs w:val="28"/>
          <w:rtl w:val="true"/>
          <w:lang w:bidi="ar-SA"/>
        </w:rPr>
        <w:t>و لا شبهة في إفادته المدح المعتد به، و في إفادته التوثيق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غير الثقة لا يكون صالح الحديث على الإطلاق، و مما في البداية من أن الصلاح أمر إضافي، فالموثق بالنسبة إلى الضعيف صالح و إن لم يكن صالحا بالنسبة إلى الحسن و الصحيح، و كذا الحسن بالإضافة إلى ما فوقه و ما دونه</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 الحديث ثم يضاف إليه مشكور أو خيّر أو فاضل و ما شاكلها من الصفات، كما اتفق هذا الوصف 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الكرام، و الياس الصيرمي، و بنان الجزي، و علي بن قتيبة القتبي، و عبد الرحمن بن عبد ربه، و عنبسة العابد، و القاسم بن هاشم، و قيس بن عمار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الرجل فيه ضعف و هو رجل صدوق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لذا جزم في البداية</w:t>
      </w:r>
      <w:bookmarkStart w:id="358" w:name="pg15033_241671"/>
    </w:p>
    <w:p>
      <w:pPr>
        <w:pStyle w:val="BookText"/>
        <w:rPr/>
      </w:pPr>
      <w:bookmarkEnd w:id="358"/>
      <w:r>
        <w:rPr>
          <w:rFonts w:ascii="Amiri" w:hAnsi="Amiri" w:eastAsia="Amiri" w:cs="Amiri"/>
          <w:color w:val="111111"/>
          <w:sz w:val="28"/>
          <w:sz w:val="28"/>
          <w:szCs w:val="28"/>
          <w:rtl w:val="true"/>
          <w:lang w:bidi="ar-SA"/>
        </w:rPr>
        <w:t>بالثاني، و مما ذكرنا ظهر الحال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 الحديث</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16761_2142443653"/>
      <w:bookmarkStart w:id="360" w:name="_Toc134"/>
      <w:bookmarkEnd w:id="359"/>
      <w:r>
        <w:rPr>
          <w:rtl w:val="true"/>
        </w:rPr>
        <w:t>و منها</w:t>
      </w:r>
      <w:r>
        <w:rPr>
          <w:rtl w:val="true"/>
        </w:rPr>
        <w:t xml:space="preserve">: </w:t>
      </w:r>
      <w:r>
        <w:rPr>
          <w:rtl w:val="true"/>
        </w:rPr>
        <w:t>قولهم</w:t>
      </w:r>
      <w:r>
        <w:rPr>
          <w:rtl w:val="true"/>
        </w:rPr>
        <w:t xml:space="preserve">: </w:t>
      </w:r>
      <w:r>
        <w:rPr>
          <w:rtl w:val="true"/>
        </w:rPr>
        <w:t xml:space="preserve">مسكون إلى روايته </w:t>
      </w:r>
      <w:r>
        <w:rPr>
          <w:rtl w:val="true"/>
        </w:rPr>
        <w:t>:</w:t>
      </w:r>
      <w:bookmarkEnd w:id="36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مسكون إلى روايته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دلالته على المدح المعتد به، بل نهاية قوة روايته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جعله في البداية نظير قولهم صالح الحديث</w:t>
      </w:r>
      <w:r>
        <w:rPr>
          <w:rStyle w:val="FootnoteAnchor"/>
          <w:rtl w:val="true"/>
        </w:rPr>
        <w:footnoteReference w:id="631"/>
      </w:r>
      <w:r>
        <w:rPr>
          <w:rFonts w:ascii="Amiri" w:hAnsi="Amiri" w:eastAsia="Amiri" w:cs="Amiri"/>
          <w:color w:val="111111"/>
          <w:sz w:val="28"/>
          <w:sz w:val="28"/>
          <w:szCs w:val="28"/>
          <w:rtl w:val="true"/>
          <w:lang w:bidi="ar-SA"/>
        </w:rPr>
        <w:t>، و هو يوافق ما قلناه</w:t>
      </w:r>
      <w:r>
        <w:rPr>
          <w:rFonts w:eastAsia="Amiri" w:cs="Amiri" w:ascii="Amiri" w:hAnsi="Amiri"/>
          <w:color w:val="111111"/>
          <w:sz w:val="28"/>
          <w:szCs w:val="28"/>
          <w:rtl w:val="true"/>
          <w:lang w:bidi="ar-SA"/>
        </w:rPr>
        <w:t xml:space="preserve">. </w:t>
      </w:r>
      <w:bookmarkStart w:id="361" w:name="pg15033_241672"/>
    </w:p>
    <w:p>
      <w:pPr>
        <w:pStyle w:val="Heading5"/>
        <w:numPr>
          <w:ilvl w:val="4"/>
          <w:numId w:val="1"/>
        </w:numPr>
        <w:rPr/>
      </w:pPr>
      <w:bookmarkStart w:id="362" w:name="__RefHeading___Toc316763_2142443653"/>
      <w:bookmarkStart w:id="363" w:name="_Toc135"/>
      <w:bookmarkEnd w:id="361"/>
      <w:bookmarkEnd w:id="362"/>
      <w:r>
        <w:rPr>
          <w:rtl w:val="true"/>
        </w:rPr>
        <w:t>و منها</w:t>
      </w:r>
      <w:r>
        <w:rPr>
          <w:rtl w:val="true"/>
        </w:rPr>
        <w:t xml:space="preserve">: </w:t>
      </w:r>
      <w:r>
        <w:rPr>
          <w:rtl w:val="true"/>
        </w:rPr>
        <w:t>قولهم</w:t>
      </w:r>
      <w:r>
        <w:rPr>
          <w:rtl w:val="true"/>
        </w:rPr>
        <w:t xml:space="preserve">: </w:t>
      </w:r>
      <w:r>
        <w:rPr>
          <w:rtl w:val="true"/>
        </w:rPr>
        <w:t>بصير بالحديث و الرواية</w:t>
      </w:r>
      <w:r>
        <w:rPr>
          <w:rtl w:val="true"/>
        </w:rPr>
        <w:t>:</w:t>
      </w:r>
      <w:bookmarkEnd w:id="363"/>
    </w:p>
    <w:p>
      <w:pPr>
        <w:pStyle w:val="BookText"/>
        <w:rPr/>
      </w:pPr>
      <w:r>
        <w:rPr>
          <w:rFonts w:ascii="Amiri" w:hAnsi="Amiri" w:eastAsia="Amiri" w:cs="Amiri"/>
          <w:color w:val="111111"/>
          <w:sz w:val="28"/>
          <w:sz w:val="28"/>
          <w:szCs w:val="28"/>
          <w:rtl w:val="true"/>
          <w:lang w:bidi="ar-SA"/>
        </w:rPr>
        <w:t>و هو من ألفاظ المدح المعتد به، كما صرح به المولى الوحيد</w:t>
      </w:r>
      <w:r>
        <w:rPr>
          <w:rStyle w:val="FootnoteAnchor"/>
          <w:rtl w:val="true"/>
        </w:rPr>
        <w:footnoteReference w:id="6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ترجمة أحمد بن علي بن العباس، و أحمد بن محمد بن الربيع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يراد بالأول النجاشي صاحب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16765_2142443653"/>
      <w:bookmarkStart w:id="365" w:name="_Toc136"/>
      <w:bookmarkEnd w:id="364"/>
      <w:r>
        <w:rPr>
          <w:rtl w:val="true"/>
        </w:rPr>
        <w:t>و منها</w:t>
      </w:r>
      <w:r>
        <w:rPr>
          <w:rtl w:val="true"/>
        </w:rPr>
        <w:t xml:space="preserve">: </w:t>
      </w:r>
      <w:r>
        <w:rPr>
          <w:rtl w:val="true"/>
        </w:rPr>
        <w:t>قولهم</w:t>
      </w:r>
      <w:r>
        <w:rPr>
          <w:rtl w:val="true"/>
        </w:rPr>
        <w:t xml:space="preserve">: </w:t>
      </w:r>
      <w:r>
        <w:rPr>
          <w:rtl w:val="true"/>
        </w:rPr>
        <w:t>مشكور</w:t>
      </w:r>
      <w:r>
        <w:rPr>
          <w:rtl w:val="true"/>
        </w:rPr>
        <w:t xml:space="preserve">. </w:t>
      </w:r>
      <w:r>
        <w:rPr>
          <w:rtl w:val="true"/>
        </w:rPr>
        <w:t>و مثله</w:t>
      </w:r>
      <w:r>
        <w:rPr>
          <w:rtl w:val="true"/>
        </w:rPr>
        <w:t xml:space="preserve">: </w:t>
      </w:r>
      <w:r>
        <w:rPr>
          <w:rtl w:val="true"/>
        </w:rPr>
        <w:t xml:space="preserve">خيّر و مرضي </w:t>
      </w:r>
      <w:r>
        <w:rPr>
          <w:rtl w:val="true"/>
        </w:rPr>
        <w:t>:</w:t>
      </w:r>
      <w:bookmarkEnd w:id="36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مرضي</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دلالة كل منها على المدح المعتد به، و في إفادتها التوثيق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شيوع استعمالها عرفا سيما الثاني في الثقة، و من أنه قد يكون الشكران على صفات لا تبلغ حد العدالة و لا يدخل فيها، و كذا الخيرورة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تبلغ العدالة، و كذا كونه مرضيا، و قد احتمل في البداية دلالة الأولين على التوثيق مائلا إلى ذلك</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366" w:name="pg15033_241673"/>
    </w:p>
    <w:p>
      <w:pPr>
        <w:pStyle w:val="Heading5"/>
        <w:numPr>
          <w:ilvl w:val="4"/>
          <w:numId w:val="1"/>
        </w:numPr>
        <w:rPr/>
      </w:pPr>
      <w:bookmarkStart w:id="367" w:name="__RefHeading___Toc316767_2142443653"/>
      <w:bookmarkStart w:id="368" w:name="_Toc137"/>
      <w:bookmarkEnd w:id="366"/>
      <w:bookmarkEnd w:id="367"/>
      <w:r>
        <w:rPr>
          <w:rtl w:val="true"/>
        </w:rPr>
        <w:t>و منها</w:t>
      </w:r>
      <w:r>
        <w:rPr>
          <w:rtl w:val="true"/>
        </w:rPr>
        <w:t xml:space="preserve">: </w:t>
      </w:r>
      <w:r>
        <w:rPr>
          <w:rtl w:val="true"/>
        </w:rPr>
        <w:t>قولهم</w:t>
      </w:r>
      <w:r>
        <w:rPr>
          <w:rtl w:val="true"/>
        </w:rPr>
        <w:t xml:space="preserve">: </w:t>
      </w:r>
      <w:r>
        <w:rPr>
          <w:rtl w:val="true"/>
        </w:rPr>
        <w:t>ديّن</w:t>
      </w:r>
      <w:r>
        <w:rPr>
          <w:rtl w:val="true"/>
        </w:rPr>
        <w:t>:</w:t>
      </w:r>
      <w:bookmarkEnd w:id="368"/>
    </w:p>
    <w:p>
      <w:pPr>
        <w:pStyle w:val="BookText"/>
        <w:rPr/>
      </w:pPr>
      <w:r>
        <w:rPr>
          <w:rFonts w:ascii="Amiri" w:hAnsi="Amiri" w:eastAsia="Amiri" w:cs="Amiri"/>
          <w:color w:val="111111"/>
          <w:sz w:val="28"/>
          <w:sz w:val="28"/>
          <w:szCs w:val="28"/>
          <w:rtl w:val="true"/>
          <w:lang w:bidi="ar-SA"/>
        </w:rPr>
        <w:t>و لا شبهة في دلالته على المدح المعتد به المقارب للتوثيق، بل يحتمل دلالته على ذلك، لأن الدّين لا يطلق إلا على من كان ملتزما بجميع أحكام الدين، و من كان كذلك فهو عدل</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316769_2142443653"/>
      <w:bookmarkStart w:id="370" w:name="_Toc138"/>
      <w:bookmarkEnd w:id="369"/>
      <w:r>
        <w:rPr>
          <w:rtl w:val="true"/>
        </w:rPr>
        <w:t>و منها</w:t>
      </w:r>
      <w:r>
        <w:rPr>
          <w:rtl w:val="true"/>
        </w:rPr>
        <w:t xml:space="preserve">: </w:t>
      </w:r>
      <w:r>
        <w:rPr>
          <w:rtl w:val="true"/>
        </w:rPr>
        <w:t>فاضل</w:t>
      </w:r>
      <w:r>
        <w:rPr>
          <w:rtl w:val="true"/>
        </w:rPr>
        <w:t>:</w:t>
      </w:r>
      <w:bookmarkEnd w:id="370"/>
    </w:p>
    <w:p>
      <w:pPr>
        <w:pStyle w:val="BookText"/>
        <w:rPr/>
      </w:pPr>
      <w:r>
        <w:rPr>
          <w:rFonts w:ascii="Amiri" w:hAnsi="Amiri" w:eastAsia="Amiri" w:cs="Amiri"/>
          <w:color w:val="111111"/>
          <w:sz w:val="28"/>
          <w:sz w:val="28"/>
          <w:szCs w:val="28"/>
          <w:rtl w:val="true"/>
          <w:lang w:bidi="ar-SA"/>
        </w:rPr>
        <w:t>و قد صرح في البداية</w:t>
      </w:r>
      <w:r>
        <w:rPr>
          <w:rStyle w:val="FootnoteAnchor"/>
          <w:rtl w:val="true"/>
        </w:rPr>
        <w:footnoteReference w:id="637"/>
      </w:r>
      <w:r>
        <w:rPr>
          <w:rFonts w:ascii="Amiri" w:hAnsi="Amiri" w:eastAsia="Amiri" w:cs="Amiri"/>
          <w:color w:val="111111"/>
          <w:sz w:val="28"/>
          <w:sz w:val="28"/>
          <w:szCs w:val="28"/>
          <w:rtl w:val="true"/>
          <w:lang w:bidi="ar-SA"/>
        </w:rPr>
        <w:t>بإفادته المدح الملحق لحديث المقول فيه بالحسن و عدم افادته التوثيق لظهور أعميته من الوثاقة، لأن مرجع الفضل إلى العلم و هو يجامع الضعيف بكثرة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في اللغة الزيادة</w:t>
      </w:r>
      <w:r>
        <w:rPr>
          <w:rStyle w:val="FootnoteAnchor"/>
          <w:rtl w:val="true"/>
        </w:rPr>
        <w:footnoteReference w:id="638"/>
      </w:r>
      <w:r>
        <w:rPr>
          <w:rFonts w:ascii="Amiri" w:hAnsi="Amiri" w:eastAsia="Amiri" w:cs="Amiri"/>
          <w:color w:val="111111"/>
          <w:sz w:val="28"/>
          <w:sz w:val="28"/>
          <w:szCs w:val="28"/>
          <w:rtl w:val="true"/>
          <w:lang w:bidi="ar-SA"/>
        </w:rPr>
        <w:t>، فيحتمل أن يكون المراد بالفاضل من كان عالما بما يزيد على علم الدين من العلوم، و أظن أن منشأ انتزاع كلمة الفاضل؛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الأبدان و علم الأديان و ما عدى ذلك فضل</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 فيكون الفاضل من </w:t>
      </w:r>
      <w:bookmarkStart w:id="371" w:name="pg15033_241674"/>
    </w:p>
    <w:p>
      <w:pPr>
        <w:pStyle w:val="BookText"/>
        <w:rPr/>
      </w:pPr>
      <w:bookmarkEnd w:id="371"/>
      <w:r>
        <w:rPr>
          <w:rFonts w:ascii="Amiri" w:hAnsi="Amiri" w:eastAsia="Amiri" w:cs="Amiri"/>
          <w:color w:val="111111"/>
          <w:sz w:val="28"/>
          <w:sz w:val="28"/>
          <w:szCs w:val="28"/>
          <w:rtl w:val="true"/>
          <w:lang w:bidi="ar-SA"/>
        </w:rPr>
        <w:t xml:space="preserve">علم بغير علمي الطب و الفقه و متعلقاته من العلوم، و لا يضرّ في ذلك إنكار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عدّه له من الأحاديث المجعولة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316771_2142443653"/>
      <w:bookmarkStart w:id="373" w:name="_Toc139"/>
      <w:bookmarkEnd w:id="372"/>
      <w:r>
        <w:rPr>
          <w:rtl w:val="true"/>
        </w:rPr>
        <w:t>و منها</w:t>
      </w:r>
      <w:r>
        <w:rPr>
          <w:rtl w:val="true"/>
        </w:rPr>
        <w:t xml:space="preserve">: </w:t>
      </w:r>
      <w:r>
        <w:rPr>
          <w:rtl w:val="true"/>
        </w:rPr>
        <w:t>قولهم</w:t>
      </w:r>
      <w:r>
        <w:rPr>
          <w:rtl w:val="true"/>
        </w:rPr>
        <w:t xml:space="preserve">: </w:t>
      </w:r>
      <w:r>
        <w:rPr>
          <w:rtl w:val="true"/>
        </w:rPr>
        <w:t xml:space="preserve">فقيه </w:t>
      </w:r>
      <w:r>
        <w:rPr>
          <w:rtl w:val="true"/>
        </w:rPr>
        <w:t xml:space="preserve">. </w:t>
      </w:r>
      <w:r>
        <w:rPr>
          <w:rtl w:val="true"/>
        </w:rPr>
        <w:t>و مثله</w:t>
      </w:r>
      <w:r>
        <w:rPr>
          <w:rtl w:val="true"/>
        </w:rPr>
        <w:t xml:space="preserve">: </w:t>
      </w:r>
      <w:r>
        <w:rPr>
          <w:rtl w:val="true"/>
        </w:rPr>
        <w:t>عالم، و محدّث، و قارئ</w:t>
      </w:r>
      <w:r>
        <w:rPr>
          <w:rtl w:val="true"/>
        </w:rPr>
        <w:t>:</w:t>
      </w:r>
      <w:bookmarkEnd w:id="37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محدّث، و قارئ</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شبهة في إفادة كل منها المدح المعتد به، و عدم إفادة الوثاقة للأعمية منها كما هو ظاهر، و يتأكد إفادة المدح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من فقهائنا</w:t>
      </w:r>
      <w:r>
        <w:rPr>
          <w:rStyle w:val="FootnoteAnchor"/>
          <w:rtl w:val="true"/>
        </w:rPr>
        <w:footnoteReference w:id="642"/>
      </w:r>
      <w:r>
        <w:rPr>
          <w:rFonts w:ascii="Amiri" w:hAnsi="Amiri" w:eastAsia="Amiri" w:cs="Amiri"/>
          <w:color w:val="111111"/>
          <w:sz w:val="28"/>
          <w:sz w:val="28"/>
          <w:szCs w:val="28"/>
          <w:rtl w:val="true"/>
          <w:lang w:bidi="ar-SA"/>
        </w:rPr>
        <w:t>، أو من محدثينا، أو من علمائنا، أو قرائنا</w:t>
      </w:r>
      <w:r>
        <w:rPr>
          <w:rFonts w:eastAsia="Amiri" w:cs="Amiri" w:ascii="Amiri" w:hAnsi="Amiri"/>
          <w:color w:val="111111"/>
          <w:sz w:val="28"/>
          <w:szCs w:val="28"/>
          <w:rtl w:val="true"/>
          <w:lang w:bidi="ar-SA"/>
        </w:rPr>
        <w:t xml:space="preserve">. </w:t>
      </w:r>
      <w:bookmarkStart w:id="374" w:name="pg15033_241675"/>
    </w:p>
    <w:p>
      <w:pPr>
        <w:pStyle w:val="Heading5"/>
        <w:numPr>
          <w:ilvl w:val="4"/>
          <w:numId w:val="1"/>
        </w:numPr>
        <w:rPr/>
      </w:pPr>
      <w:bookmarkStart w:id="375" w:name="__RefHeading___Toc316773_2142443653"/>
      <w:bookmarkStart w:id="376" w:name="_Toc140"/>
      <w:bookmarkEnd w:id="374"/>
      <w:bookmarkEnd w:id="375"/>
      <w:r>
        <w:rPr>
          <w:rtl w:val="true"/>
        </w:rPr>
        <w:t>و منها</w:t>
      </w:r>
      <w:r>
        <w:rPr>
          <w:rtl w:val="true"/>
        </w:rPr>
        <w:t xml:space="preserve">: </w:t>
      </w:r>
      <w:r>
        <w:rPr>
          <w:rtl w:val="true"/>
        </w:rPr>
        <w:t>قولهم</w:t>
      </w:r>
      <w:r>
        <w:rPr>
          <w:rtl w:val="true"/>
        </w:rPr>
        <w:t xml:space="preserve">: </w:t>
      </w:r>
      <w:r>
        <w:rPr>
          <w:rtl w:val="true"/>
        </w:rPr>
        <w:t>ورع</w:t>
      </w:r>
      <w:r>
        <w:rPr>
          <w:rtl w:val="true"/>
        </w:rPr>
        <w:t>:</w:t>
      </w:r>
      <w:bookmarkEnd w:id="376"/>
    </w:p>
    <w:p>
      <w:pPr>
        <w:pStyle w:val="BookText"/>
        <w:rPr/>
      </w:pPr>
      <w:r>
        <w:rPr>
          <w:rFonts w:ascii="Amiri" w:hAnsi="Amiri" w:eastAsia="Amiri" w:cs="Amiri"/>
          <w:color w:val="111111"/>
          <w:sz w:val="28"/>
          <w:sz w:val="28"/>
          <w:szCs w:val="28"/>
          <w:rtl w:val="true"/>
          <w:lang w:bidi="ar-SA"/>
        </w:rPr>
        <w:t xml:space="preserve">و هو دالّ على المدح التام القريب من الوثاقة، بل لعله دالّ عليها، لأن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يتصف بالورع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صفة لازمة له، و الورع لغة هو الكفّ عن محارم اللّه تعالى و التحرج منها</w:t>
      </w:r>
      <w:r>
        <w:rPr>
          <w:rStyle w:val="FootnoteAnchor"/>
          <w:rtl w:val="true"/>
        </w:rPr>
        <w:footnoteReference w:id="643"/>
      </w:r>
      <w:r>
        <w:rPr>
          <w:rFonts w:ascii="Amiri" w:hAnsi="Amiri" w:eastAsia="Amiri" w:cs="Amiri"/>
          <w:color w:val="111111"/>
          <w:sz w:val="28"/>
          <w:sz w:val="28"/>
          <w:szCs w:val="28"/>
          <w:rtl w:val="true"/>
          <w:lang w:bidi="ar-SA"/>
        </w:rPr>
        <w:t>و لا يكون كذلك إلا من له ملكة العدالة، و يؤيده أنه عرفا لا يطلق إلا على من كان في أعلى درجات الثقة و العدالة</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316775_2142443653"/>
      <w:bookmarkStart w:id="378" w:name="_Toc141"/>
      <w:bookmarkEnd w:id="377"/>
      <w:r>
        <w:rPr>
          <w:rtl w:val="true"/>
        </w:rPr>
        <w:t>و منها</w:t>
      </w:r>
      <w:r>
        <w:rPr>
          <w:rtl w:val="true"/>
        </w:rPr>
        <w:t xml:space="preserve">: </w:t>
      </w:r>
      <w:r>
        <w:rPr>
          <w:rtl w:val="true"/>
        </w:rPr>
        <w:t>قولهم</w:t>
      </w:r>
      <w:r>
        <w:rPr>
          <w:rtl w:val="true"/>
        </w:rPr>
        <w:t xml:space="preserve">: </w:t>
      </w:r>
      <w:r>
        <w:rPr>
          <w:rtl w:val="true"/>
        </w:rPr>
        <w:t>صالح</w:t>
      </w:r>
      <w:bookmarkEnd w:id="37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من دون اضافة الى الحديث</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16777_2142443653"/>
      <w:bookmarkStart w:id="380" w:name="_Toc142"/>
      <w:bookmarkEnd w:id="379"/>
      <w:r>
        <w:rPr>
          <w:rtl w:val="true"/>
        </w:rPr>
        <w:t>و مثله</w:t>
      </w:r>
      <w:r>
        <w:rPr>
          <w:rtl w:val="true"/>
        </w:rPr>
        <w:t xml:space="preserve">: </w:t>
      </w:r>
      <w:r>
        <w:rPr>
          <w:rtl w:val="true"/>
        </w:rPr>
        <w:t xml:space="preserve">زاهد </w:t>
      </w:r>
      <w:r>
        <w:rPr>
          <w:rtl w:val="true"/>
        </w:rPr>
        <w:t>:</w:t>
      </w:r>
      <w:bookmarkEnd w:id="380"/>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الحال فيهما هي الحال في سابقهما لغة و عرفا، فإن العرف لا </w:t>
      </w:r>
      <w:bookmarkStart w:id="381" w:name="pg15033_241676"/>
    </w:p>
    <w:p>
      <w:pPr>
        <w:pStyle w:val="BookText"/>
        <w:rPr/>
      </w:pPr>
      <w:bookmarkEnd w:id="381"/>
      <w:r>
        <w:rPr>
          <w:rFonts w:ascii="Amiri" w:hAnsi="Amiri" w:eastAsia="Amiri" w:cs="Amiri"/>
          <w:color w:val="111111"/>
          <w:sz w:val="28"/>
          <w:sz w:val="28"/>
          <w:szCs w:val="28"/>
          <w:rtl w:val="true"/>
          <w:lang w:bidi="ar-SA"/>
        </w:rPr>
        <w:t>يطلقهما إلاّ على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من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646"/>
      </w:r>
      <w:r>
        <w:rPr>
          <w:rFonts w:ascii="Amiri" w:hAnsi="Amiri" w:eastAsia="Amiri" w:cs="Amiri"/>
          <w:color w:val="111111"/>
          <w:sz w:val="28"/>
          <w:sz w:val="28"/>
          <w:szCs w:val="28"/>
          <w:rtl w:val="true"/>
          <w:lang w:bidi="ar-SA"/>
        </w:rPr>
        <w:t>أن صالحا أظهر في العدالة من الزاهد حيث جعل كلا من زاهد و عالم و صالح دالاّ على المدح الملحق للمتصف به بالحسن،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دلالة الصلاح على العدالة و زيادة،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إن الشرط مع التعديل الضبط الذي من جملته عدم غلبة النسيان و الصلاح يجامعه أكثريا</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تخصيصه الصلاح من بين أخويه في احتمال الدلالة على العدالة إيذانا بما قلناه، لكن الأقرب خلاف ذلك، فإن الزهد عرفا يتضمن الصلاح و زيادة، فهو في الدلالة على العدالة أظهر، فتدبر جيدا</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316779_2142443653"/>
      <w:bookmarkStart w:id="383" w:name="_Toc143"/>
      <w:bookmarkEnd w:id="382"/>
      <w:r>
        <w:rPr>
          <w:rtl w:val="true"/>
        </w:rPr>
        <w:t>و منها</w:t>
      </w:r>
      <w:r>
        <w:rPr>
          <w:rtl w:val="true"/>
        </w:rPr>
        <w:t xml:space="preserve">: </w:t>
      </w:r>
      <w:r>
        <w:rPr>
          <w:rtl w:val="true"/>
        </w:rPr>
        <w:t>قولهم</w:t>
      </w:r>
      <w:r>
        <w:rPr>
          <w:rtl w:val="true"/>
        </w:rPr>
        <w:t xml:space="preserve">: </w:t>
      </w:r>
      <w:r>
        <w:rPr>
          <w:rtl w:val="true"/>
        </w:rPr>
        <w:t>قريب الأمر</w:t>
      </w:r>
      <w:r>
        <w:rPr>
          <w:rtl w:val="true"/>
        </w:rPr>
        <w:t>:</w:t>
      </w:r>
      <w:bookmarkEnd w:id="38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هذا الوصف للربيع بن سليمان، و مصبح بن هلقام، و هيثم بن أبي مسروق النهدي</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في البداية بإفادته المدح الملحق لحديث المتصف به بالحسن إن أحرز كونه إماميا، </w:t>
      </w:r>
    </w:p>
    <w:p>
      <w:pPr>
        <w:pStyle w:val="BookText"/>
        <w:rPr/>
      </w:pPr>
      <w:r>
        <w:rPr>
          <w:rFonts w:ascii="Amiri" w:hAnsi="Amiri" w:eastAsia="Amiri" w:cs="Amiri"/>
          <w:color w:val="111111"/>
          <w:sz w:val="28"/>
          <w:sz w:val="28"/>
          <w:szCs w:val="28"/>
          <w:rtl w:val="true"/>
          <w:lang w:bidi="ar-SA"/>
        </w:rPr>
        <w:t>و بالقوي إن لم يحرز، و بعدم إفادته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وجه عدم دلالته على الوثاقة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قريب الأمر فليس بواصل إلى حد المطلوب، و إلا لما كان قريبا منه، بل ربما كان قريبا إلى المذهب من غير دخول فيه رأسا</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ما ذكره يناسب قول قريب من الأمر، و قريب إلى الأمر، دون قريب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بالإضافة كما هو المبحوث عنه فهو إن لم يدلّ على الذم فلا دلالة فيه على المدح بوجه، لأن المراد به قريب الأمر بالحديث، كما يشهد بذلك أنهم أطلقوا قريب الأمر في مصبح بن هلقام إلا أنهم قيدوه بقولهم بالحديث في الربيع، و قرب الأمر بالحديث لا يخلو من ذم، لأن من كان قريب عهد به لا يكون ماهرا فيه، فيكثر اشتباهه كما لا يخفى على المتدبر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أدرجنا هذه العبارة في عبائر المدح تبعا للبداية</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الاكتفاء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خاصي قريب الأمر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التعديل، لأنها أعم من المطلوب، نعم يفيد المدح فيدخل الحديث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بعضها في نحو شيخ و جليل و خاص و عالم و لا بأس به و قريب الأمر و مسكون إلى روايته و ينظر في حديثه لا يفيد تعديلا و لا مدحا، فكما لا يدخل الحديث المتصف راويه بها في الصحيح لا يدخل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 الحديث من القرب ضد البعد، و هو 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حديثه مقارب لحديث غيره من الثقات، فيكون من ألفاظ المدح إن أحرز إرادتهم لذلك، و لا أقلّ لا يدلّ على القدح، و عليه فالحديث لا ينتهي إلى درجة السقوط و لا الجلالة فيكون نوع مدح، فليس حديثه شاذا و لا منكرا،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مقارب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جامع الترمذي باب فضائل الجهاد عند ذكره لإسماعيل بن رافع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فتأمل كي يظهر لك استعمالهم قريب الأمر بالإضافة في المعنى الذي</w:t>
      </w:r>
      <w:bookmarkStart w:id="384" w:name="pg15033_241678"/>
    </w:p>
    <w:p>
      <w:pPr>
        <w:pStyle w:val="BookText"/>
        <w:rPr/>
      </w:pPr>
      <w:bookmarkEnd w:id="384"/>
      <w:r>
        <w:rPr>
          <w:rFonts w:ascii="Amiri" w:hAnsi="Amiri" w:eastAsia="Amiri" w:cs="Amiri"/>
          <w:color w:val="111111"/>
          <w:sz w:val="28"/>
          <w:sz w:val="28"/>
          <w:szCs w:val="28"/>
          <w:rtl w:val="true"/>
          <w:lang w:bidi="ar-SA"/>
        </w:rPr>
        <w:t xml:space="preserve">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الحسن بن فضال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ففي ترجمته من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معاند قريب الأمر إلى أصحابنا الإمامية القائلين بالاثنى عشر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316781_2142443653"/>
      <w:bookmarkStart w:id="386" w:name="_Toc144"/>
      <w:bookmarkEnd w:id="385"/>
      <w:r>
        <w:rPr>
          <w:rtl w:val="true"/>
        </w:rPr>
        <w:t>و منها</w:t>
      </w:r>
      <w:r>
        <w:rPr>
          <w:rtl w:val="true"/>
        </w:rPr>
        <w:t xml:space="preserve">: </w:t>
      </w:r>
      <w:r>
        <w:rPr>
          <w:rtl w:val="true"/>
        </w:rPr>
        <w:t>قولهم</w:t>
      </w:r>
      <w:r>
        <w:rPr>
          <w:rtl w:val="true"/>
        </w:rPr>
        <w:t xml:space="preserve">: </w:t>
      </w:r>
      <w:r>
        <w:rPr>
          <w:rtl w:val="true"/>
        </w:rPr>
        <w:t>معتمد الكتاب</w:t>
      </w:r>
      <w:r>
        <w:rPr>
          <w:rtl w:val="true"/>
        </w:rPr>
        <w:t>:</w:t>
      </w:r>
      <w:bookmarkEnd w:id="386"/>
    </w:p>
    <w:p>
      <w:pPr>
        <w:pStyle w:val="BookText"/>
        <w:rPr/>
      </w:pPr>
      <w:r>
        <w:rPr>
          <w:rFonts w:ascii="Amiri" w:hAnsi="Amiri" w:eastAsia="Amiri" w:cs="Amiri"/>
          <w:color w:val="111111"/>
          <w:sz w:val="28"/>
          <w:sz w:val="28"/>
          <w:szCs w:val="28"/>
          <w:rtl w:val="true"/>
          <w:lang w:bidi="ar-SA"/>
        </w:rPr>
        <w:t>فإنه على المدح المعتد به، بل ربّما جعل في مقام التوثيق، و هو كما ترى، فإن الاعتماد على كتابه أعمّ من عدالته في نفسه</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كذا لاحظ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وثقه بواسطة الاعتماد على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387" w:name="pg15033_241679"/>
    </w:p>
    <w:p>
      <w:pPr>
        <w:pStyle w:val="Heading5"/>
        <w:numPr>
          <w:ilvl w:val="4"/>
          <w:numId w:val="1"/>
        </w:numPr>
        <w:rPr/>
      </w:pPr>
      <w:bookmarkStart w:id="388" w:name="__RefHeading___Toc316783_2142443653"/>
      <w:bookmarkStart w:id="389" w:name="_Toc145"/>
      <w:bookmarkEnd w:id="387"/>
      <w:bookmarkEnd w:id="388"/>
      <w:r>
        <w:rPr>
          <w:rtl w:val="true"/>
        </w:rPr>
        <w:t>و منها قولهم</w:t>
      </w:r>
      <w:r>
        <w:rPr>
          <w:rtl w:val="true"/>
        </w:rPr>
        <w:t xml:space="preserve">: </w:t>
      </w:r>
      <w:r>
        <w:rPr>
          <w:rtl w:val="true"/>
        </w:rPr>
        <w:t>كثير المنزلة</w:t>
      </w:r>
      <w:r>
        <w:rPr>
          <w:rtl w:val="true"/>
        </w:rPr>
        <w:t>:</w:t>
      </w:r>
      <w:bookmarkEnd w:id="389"/>
    </w:p>
    <w:p>
      <w:pPr>
        <w:pStyle w:val="BookText"/>
        <w:rPr/>
      </w:pPr>
      <w:r>
        <w:rPr>
          <w:rFonts w:ascii="Amiri" w:hAnsi="Amiri" w:eastAsia="Amiri" w:cs="Amiri"/>
          <w:color w:val="111111"/>
          <w:sz w:val="28"/>
          <w:sz w:val="28"/>
          <w:szCs w:val="28"/>
          <w:rtl w:val="true"/>
          <w:lang w:bidi="ar-SA"/>
        </w:rPr>
        <w:t>أي عالي الرتبة، و هو من ألفاظ المدح الأعم من العدالة،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على قدر روايتهم عنّا</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أي منازلهم و مراتبهم في الفضيلة و التفضيل</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316785_2142443653"/>
      <w:bookmarkStart w:id="391" w:name="_Toc146"/>
      <w:bookmarkEnd w:id="390"/>
      <w:r>
        <w:rPr>
          <w:rtl w:val="true"/>
        </w:rPr>
        <w:t>و منها</w:t>
      </w:r>
      <w:r>
        <w:rPr>
          <w:rtl w:val="true"/>
        </w:rPr>
        <w:t xml:space="preserve">: </w:t>
      </w:r>
      <w:r>
        <w:rPr>
          <w:rtl w:val="true"/>
        </w:rPr>
        <w:t>قولهم</w:t>
      </w:r>
      <w:r>
        <w:rPr>
          <w:rtl w:val="true"/>
        </w:rPr>
        <w:t xml:space="preserve">: </w:t>
      </w:r>
      <w:r>
        <w:rPr>
          <w:rtl w:val="true"/>
        </w:rPr>
        <w:t xml:space="preserve">صاحب الإمام الفلاني </w:t>
      </w:r>
      <w:r>
        <w:rPr>
          <w:rtl w:val="true"/>
        </w:rPr>
        <w:t>(</w:t>
      </w:r>
      <w:r>
        <w:rPr>
          <w:rtl w:val="true"/>
        </w:rPr>
        <w:t>عليه السّلام</w:t>
      </w:r>
      <w:r>
        <w:rPr>
          <w:rtl w:val="true"/>
        </w:rPr>
        <w:t>):</w:t>
      </w:r>
      <w:bookmarkEnd w:id="391"/>
    </w:p>
    <w:p>
      <w:pPr>
        <w:pStyle w:val="Heading6"/>
        <w:numPr>
          <w:ilvl w:val="5"/>
          <w:numId w:val="1"/>
        </w:numPr>
        <w:rPr/>
      </w:pPr>
      <w:bookmarkStart w:id="392" w:name="__RefHeading___Toc316787_2142443653"/>
      <w:bookmarkStart w:id="393" w:name="_Toc147"/>
      <w:bookmarkEnd w:id="392"/>
      <w:r>
        <w:rPr>
          <w:rtl w:val="true"/>
        </w:rPr>
        <w:t>اشارة</w:t>
      </w:r>
      <w:bookmarkEnd w:id="39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 دلالة على المدح، بل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زعم بعضهم أنه يزيد على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ظاهر</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النظر أنّا نرى بالوجدان في</w:t>
      </w:r>
      <w:r>
        <w:rPr>
          <w:rStyle w:val="FootnoteAnchor"/>
          <w:rtl w:val="true"/>
        </w:rPr>
        <w:footnoteReference w:id="655"/>
      </w:r>
      <w:r>
        <w:rPr>
          <w:rFonts w:ascii="Amiri" w:hAnsi="Amiri" w:eastAsia="Amiri" w:cs="Amiri"/>
          <w:color w:val="111111"/>
          <w:sz w:val="28"/>
          <w:sz w:val="28"/>
          <w:szCs w:val="28"/>
          <w:rtl w:val="true"/>
          <w:lang w:bidi="ar-SA"/>
        </w:rPr>
        <w:t xml:space="preserve">صاحب جمع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يوثق به، غايته أنّا نستفيد المدح من ظهور كون إظهارهم لذلك في ترجمة راو لإظهار كونه ممن يعتنى به و يعتد بشأنه</w:t>
      </w:r>
      <w:r>
        <w:rPr>
          <w:rStyle w:val="FootnoteAnchor"/>
          <w:rtl w:val="true"/>
        </w:rPr>
        <w:footnoteReference w:id="656"/>
      </w:r>
      <w:r>
        <w:rPr>
          <w:rFonts w:ascii="Amiri" w:hAnsi="Amiri" w:eastAsia="Amiri" w:cs="Amiri"/>
          <w:color w:val="111111"/>
          <w:sz w:val="28"/>
          <w:sz w:val="28"/>
          <w:szCs w:val="28"/>
          <w:rtl w:val="true"/>
          <w:lang w:bidi="ar-SA"/>
        </w:rPr>
        <w:t xml:space="preserve">، و من هنا يظهر </w:t>
      </w:r>
      <w:bookmarkStart w:id="394" w:name="pg15033_241680"/>
    </w:p>
    <w:p>
      <w:pPr>
        <w:pStyle w:val="BookText"/>
        <w:rPr/>
      </w:pPr>
      <w:bookmarkEnd w:id="394"/>
      <w:r>
        <w:rPr>
          <w:rFonts w:ascii="Amiri" w:hAnsi="Amiri" w:eastAsia="Amiri" w:cs="Amiri"/>
          <w:color w:val="111111"/>
          <w:sz w:val="28"/>
          <w:sz w:val="28"/>
          <w:szCs w:val="28"/>
          <w:rtl w:val="true"/>
          <w:lang w:bidi="ar-SA"/>
        </w:rPr>
        <w:t>الحال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الإمام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في ترجمة معتب 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فخيرهم و أفضلهم معتب و فيهم خائن فاحذروه</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ذم بعض مواليه</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التعديل عند الدربندي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5" w:name="__RefHeading___Toc316789_2142443653"/>
      <w:bookmarkStart w:id="396" w:name="_Toc148"/>
      <w:bookmarkEnd w:id="395"/>
      <w:r>
        <w:rPr>
          <w:rtl w:val="true"/>
        </w:rPr>
        <w:t>تذنيب</w:t>
      </w:r>
      <w:r>
        <w:rPr>
          <w:rtl w:val="true"/>
        </w:rPr>
        <w:t xml:space="preserve">: </w:t>
      </w:r>
      <w:r>
        <w:rPr>
          <w:rtl w:val="true"/>
        </w:rPr>
        <w:t>قد جعل محدثو العامة للتعديل مراتب ،</w:t>
      </w:r>
      <w:bookmarkEnd w:id="396"/>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محدثو العامة للتعديل مراتب</w:t>
      </w:r>
      <w:r>
        <w:rPr>
          <w:rStyle w:val="FootnoteAnchor"/>
          <w:rtl w:val="true"/>
        </w:rPr>
        <w:footnoteReference w:id="660"/>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المرتبة الأولى التي هي أعلى المراتب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الناس، أو اتقن الناس، </w:t>
      </w:r>
    </w:p>
    <w:p>
      <w:pPr>
        <w:pStyle w:val="BookText"/>
        <w:rPr/>
      </w:pPr>
      <w:r>
        <w:rPr>
          <w:rFonts w:ascii="IRNazanin" w:hAnsi="IRNazanin" w:eastAsia="IRNazanin"/>
          <w:color w:val="111111"/>
          <w:sz w:val="28"/>
          <w:sz w:val="28"/>
          <w:szCs w:val="28"/>
          <w:rtl w:val="true"/>
          <w:lang w:bidi="fa-IR"/>
        </w:rPr>
        <w:t>أو أثبت الناس، أو أعدل الناس، أو أحفظ الناس، أو أضبط الناس</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أو متقن، أو ثبت، أو حجة، أو عدل، أو حافظ، أو ضابط، مع التكرار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الألفاظ المذكورة من غير تكرار</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صدوق، أو محله الصدق</w:t>
      </w:r>
      <w:r>
        <w:rPr>
          <w:rStyle w:val="FootnoteAnchor"/>
          <w:rtl w:val="true"/>
        </w:rPr>
        <w:footnoteReference w:id="664"/>
      </w:r>
      <w:r>
        <w:rPr>
          <w:rFonts w:ascii="IRNazanin" w:hAnsi="IRNazanin" w:eastAsia="IRNazanin"/>
          <w:color w:val="111111"/>
          <w:sz w:val="28"/>
          <w:sz w:val="28"/>
          <w:szCs w:val="28"/>
          <w:rtl w:val="true"/>
          <w:lang w:bidi="fa-IR"/>
        </w:rPr>
        <w:t xml:space="preserve">، أو لا بأس </w:t>
      </w:r>
    </w:p>
    <w:p>
      <w:pPr>
        <w:pStyle w:val="BookText"/>
        <w:rPr/>
      </w:pPr>
      <w:r>
        <w:rPr>
          <w:rFonts w:ascii="Amiri" w:hAnsi="Amiri" w:eastAsia="Amiri" w:cs="Amiri"/>
          <w:color w:val="111111"/>
          <w:sz w:val="28"/>
          <w:sz w:val="28"/>
          <w:szCs w:val="28"/>
          <w:rtl w:val="true"/>
          <w:lang w:bidi="ar-SA"/>
        </w:rPr>
        <w:t>به، أو مأمون، أو خيار، أو ليس به بأس</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ينظر فيه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الملاحظ أنه يتوخى في المرتبتين الأخيرتين الشواهد و قرائن أخرى، و إلا ففي حد ذاتها لا يحتج بها إلا في الآداب و السنن على قاعدتهم المشهورة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الذي نقلناه لبّ مقالهم، و إلا فلهم في ذلك خلاف و أقوال طوينا شرحها لعدم الفائدة فيها و ابتنائها على الخرافات</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 سنوافيك بمراتب الجرح عندهم حيث لم يتعرض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محلها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ألفاظ المدح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أخر تفيد المدح أو التعديل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5033_241683"/>
    </w:p>
    <w:p>
      <w:pPr>
        <w:pStyle w:val="Heading4"/>
        <w:numPr>
          <w:ilvl w:val="3"/>
          <w:numId w:val="1"/>
        </w:numPr>
        <w:rPr/>
      </w:pPr>
      <w:bookmarkStart w:id="398" w:name="__RefHeading___Toc316791_2142443653"/>
      <w:bookmarkStart w:id="399" w:name="_Toc149"/>
      <w:bookmarkEnd w:id="397"/>
      <w:bookmarkEnd w:id="398"/>
      <w:r>
        <w:rPr>
          <w:rtl w:val="true"/>
        </w:rPr>
        <w:t>المقام الثاني في سائر أسباب المدح و أماراته غير ما ذكر</w:t>
      </w:r>
      <w:r>
        <w:rPr>
          <w:rtl w:val="true"/>
        </w:rPr>
        <w:t>.</w:t>
      </w:r>
      <w:bookmarkEnd w:id="399"/>
    </w:p>
    <w:p>
      <w:pPr>
        <w:pStyle w:val="Heading5"/>
        <w:numPr>
          <w:ilvl w:val="4"/>
          <w:numId w:val="1"/>
        </w:numPr>
        <w:rPr/>
      </w:pPr>
      <w:bookmarkStart w:id="400" w:name="__RefHeading___Toc316793_2142443653"/>
      <w:bookmarkStart w:id="401" w:name="_Toc150"/>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المقام الثاني في سائر أسباب المدح و أماراته</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ثمّة إشكال مهم في المقام ذكره غير واحد، و فصله في تهذيب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راجع مقدمة معجم رجال الحديث المجلد الأول لسيدنا الخوئي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هذه الأسباب قد ذكرها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p>
    <w:p>
      <w:pPr>
        <w:pStyle w:val="BookText"/>
        <w:rPr/>
      </w:pPr>
      <w:r>
        <w:rPr>
          <w:rFonts w:ascii="Amiri" w:hAnsi="Amiri" w:eastAsia="Amiri" w:cs="Amiri"/>
          <w:color w:val="111111"/>
          <w:sz w:val="28"/>
          <w:sz w:val="28"/>
          <w:szCs w:val="28"/>
          <w:rtl w:val="true"/>
          <w:lang w:bidi="ar-SA"/>
        </w:rPr>
        <w:t>و قد ذكر في خاتمة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الثامنة جملة وافية من القرائن المعتبرة التي تقترن بالخبر فتثبته، أو على صحة مضمونه و ان احتمل وضعه، أو على ترجيحه على معارضه، و عدّ منها واحدة و عشرين قرينة، و أشار الى بعضها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تصدّى لبيانها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الفوائد للوحيد البهبهاني المطبوع في ذيل 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w:t>
      </w:r>
      <w:bookmarkStart w:id="402" w:name="pg15033_241684"/>
    </w:p>
    <w:p>
      <w:pPr>
        <w:pStyle w:val="Heading5"/>
        <w:numPr>
          <w:ilvl w:val="4"/>
          <w:numId w:val="1"/>
        </w:numPr>
        <w:rPr/>
      </w:pPr>
      <w:bookmarkStart w:id="403" w:name="__RefHeading___Toc316795_2142443653"/>
      <w:bookmarkStart w:id="404" w:name="_Toc151"/>
      <w:bookmarkEnd w:id="402"/>
      <w:bookmarkEnd w:id="403"/>
      <w:r>
        <w:rPr>
          <w:rtl w:val="true"/>
        </w:rPr>
        <w:t>فمنها</w:t>
      </w:r>
      <w:r>
        <w:rPr>
          <w:rtl w:val="true"/>
        </w:rPr>
        <w:t xml:space="preserve">: </w:t>
      </w:r>
      <w:r>
        <w:rPr>
          <w:rtl w:val="true"/>
        </w:rPr>
        <w:t xml:space="preserve">كونه وكيلا لأحد الأئمة </w:t>
      </w:r>
      <w:r>
        <w:rPr>
          <w:rtl w:val="true"/>
        </w:rPr>
        <w:t>(</w:t>
      </w:r>
      <w:r>
        <w:rPr>
          <w:rtl w:val="true"/>
        </w:rPr>
        <w:t>عليهم السّلام</w:t>
      </w:r>
      <w:r>
        <w:rPr>
          <w:rtl w:val="true"/>
        </w:rPr>
        <w:t>)</w:t>
      </w:r>
      <w:bookmarkEnd w:id="404"/>
    </w:p>
    <w:p>
      <w:pPr>
        <w:pStyle w:val="BookText"/>
        <w:rPr/>
      </w:pPr>
      <w:r>
        <w:rPr>
          <w:rFonts w:ascii="Amiri" w:hAnsi="Amiri" w:eastAsia="Amiri" w:cs="Amiri"/>
          <w:color w:val="111111"/>
          <w:sz w:val="28"/>
          <w:sz w:val="28"/>
          <w:szCs w:val="28"/>
          <w:rtl w:val="true"/>
          <w:lang w:bidi="ar-SA"/>
        </w:rPr>
        <w:t>فإنه من أقوى أمارات المدح بل الوثاقة و العدالة</w:t>
      </w:r>
      <w:r>
        <w:rPr>
          <w:rStyle w:val="FootnoteAnchor"/>
          <w:rtl w:val="true"/>
        </w:rPr>
        <w:footnoteReference w:id="671"/>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السيد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كانوا ليعتمدوا إلا على ثقة سالم العقيدة، و أنى يعتمدون على الفاسد و يميلون إليه و هم مما ينهون عنه و ينأون، و من ثمة إذا ظهر الفساد من أحدهم عزلوه، و قد عدّل بهذه الطريقة غير واحد من الأصحاب كالعلامة و صاحب المنهج و الشيخ البهائي و غيرهم، و من هنا تعرف مقام المفضل بن عمر و محمد بن سنان و أضرابهم من الوكلاء، و إن غمز عليهم بارتفاع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يراد من الوكيل النيابة عن الإمام عليه السّلام في جميع حقوق اللّه من الأموال على الناس كالزكاة و الأخماس و غيرها كما صرح في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لأن من الممتنع عادة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العدل وكيلا، سيما إذا كان وكيلا على الزكوات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من حقوق اللّه تعالى، و قد صرح المولى الوحيد في ترجمة إبراهيم بن سلام نقلا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من دون إضافته إلى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يفيد ذلك، لأن من الاصطلاح المقرّر بين علماء الرجال من أصحابنا أنهم إذا قالوا فلان وكيل يريدون أنه وكيل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يحتمل كونه وكيل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يرتاب فيه من مارس كلامهم و عرف لسانهم، نعم من غيروه عن الوكالة و هم معروفون لا يعتمد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r>
        <w:rPr>
          <w:rFonts w:ascii="Amiri" w:hAnsi="Amiri" w:eastAsia="Amiri" w:cs="Amiri"/>
          <w:color w:val="111111"/>
          <w:sz w:val="28"/>
          <w:sz w:val="28"/>
          <w:szCs w:val="28"/>
          <w:rtl w:val="true"/>
          <w:lang w:bidi="ar-SA"/>
        </w:rPr>
        <w:t xml:space="preserve">ثم ان شيخنا البهائي ذكر أن اصطلاح علماء الرجال من أصحابنا جرى على أنهم اذا قالوا فلان وكيل و أطلقوا أرادوا به أنه وكيل لأحدهم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يرتاب فيه من مارس كلامهم، و عرف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أفاد أن الوكالة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أسباب الوثوق، لأنهم لا يجعلون الفاسق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قرّره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ثم اعترض على نفسه بأن في الوكلاء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مذمومين، فكيف تجعل الوكالة أمارة الوثاقة، ثم أجاب بأن ظاهر توكيلهم لهم هو حسن حال الوكلاء و الاعتماد عليهم و جلالتهم، بل وثاقتهم، إلا أن يثبت خلافه و تغيير و تبديل و خيانة، و المغيّرون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فالأصل في الوكالة عنهم الثقة، بل ما فوقها، فيحتج بها عليها الى أن يثبت الخلاف</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 و يستفاد ما ذكره من كلمات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صدر من الشيخ عبد النبي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دلالة اللفظة على العدالة</w:t>
      </w:r>
      <w:r>
        <w:rPr>
          <w:rStyle w:val="FootnoteAnchor"/>
          <w:rtl w:val="true"/>
        </w:rPr>
        <w:footnoteReference w:id="674"/>
      </w:r>
      <w:r>
        <w:rPr>
          <w:rFonts w:ascii="Amiri" w:hAnsi="Amiri" w:eastAsia="Amiri" w:cs="Amiri"/>
          <w:color w:val="111111"/>
          <w:sz w:val="28"/>
          <w:sz w:val="28"/>
          <w:szCs w:val="28"/>
          <w:rtl w:val="true"/>
          <w:lang w:bidi="ar-SA"/>
        </w:rPr>
        <w:t xml:space="preserve">، ضرورة عدم </w:t>
      </w:r>
      <w:bookmarkStart w:id="405" w:name="pg15033_241686"/>
    </w:p>
    <w:p>
      <w:pPr>
        <w:pStyle w:val="BookText"/>
        <w:rPr/>
      </w:pPr>
      <w:bookmarkEnd w:id="405"/>
      <w:r>
        <w:rPr>
          <w:rFonts w:ascii="Amiri" w:hAnsi="Amiri" w:eastAsia="Amiri" w:cs="Amiri"/>
          <w:color w:val="111111"/>
          <w:sz w:val="28"/>
          <w:sz w:val="28"/>
          <w:szCs w:val="28"/>
          <w:rtl w:val="true"/>
          <w:lang w:bidi="ar-SA"/>
        </w:rPr>
        <w:t xml:space="preserve">تعقل تسليط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العادل على حقوق اللّه، و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بين عباد اللّه في امورهم الشرعية و بين نفسه، و لو تنزلنا عن ذلك فلا أقل من إفادته المدح المعتد به الملحق للسند بالحسن، كما هو ظاهر</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الوكالة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316797_2142443653"/>
      <w:bookmarkStart w:id="407" w:name="_Toc152"/>
      <w:bookmarkEnd w:id="406"/>
      <w:r>
        <w:rPr>
          <w:rtl w:val="true"/>
        </w:rPr>
        <w:t>و منها</w:t>
      </w:r>
      <w:r>
        <w:rPr>
          <w:rtl w:val="true"/>
        </w:rPr>
        <w:t xml:space="preserve">: </w:t>
      </w:r>
      <w:r>
        <w:rPr>
          <w:rtl w:val="true"/>
        </w:rPr>
        <w:t>أن يكون ممن يترك رواية الثقة أو الجليل أو يتناول محتجا بروايته و مرجحا لها عليها،</w:t>
      </w:r>
      <w:bookmarkEnd w:id="407"/>
    </w:p>
    <w:p>
      <w:pPr>
        <w:pStyle w:val="BookText"/>
        <w:rPr/>
      </w:pPr>
      <w:r>
        <w:rPr>
          <w:rFonts w:ascii="Amiri" w:hAnsi="Amiri" w:eastAsia="Amiri" w:cs="Amiri"/>
          <w:color w:val="111111"/>
          <w:sz w:val="28"/>
          <w:sz w:val="28"/>
          <w:szCs w:val="28"/>
          <w:rtl w:val="true"/>
          <w:lang w:bidi="ar-SA"/>
        </w:rPr>
        <w:t>فإنه يكشف عن جلالته، و كذا لو خصص الكتاب أو المجمع عليه بها كما اتفق كثيرا، و كذا الحال فيما ماثل التخصيص</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دون ذلك أن يؤتى بروايته بإزاء روايتهما أو غيرها من الأدلة فتوجه و تجمع بينهما أو تطرح من غير جهة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316799_2142443653"/>
      <w:bookmarkStart w:id="409" w:name="_Toc153"/>
      <w:bookmarkEnd w:id="408"/>
      <w:r>
        <w:rPr>
          <w:rtl w:val="true"/>
        </w:rPr>
        <w:t>و منها</w:t>
      </w:r>
      <w:r>
        <w:rPr>
          <w:rtl w:val="true"/>
        </w:rPr>
        <w:t xml:space="preserve">: </w:t>
      </w:r>
      <w:r>
        <w:rPr>
          <w:rtl w:val="true"/>
        </w:rPr>
        <w:t xml:space="preserve">كونه كثير الرواية عن الأئمة </w:t>
      </w:r>
      <w:r>
        <w:rPr>
          <w:rtl w:val="true"/>
        </w:rPr>
        <w:t>(</w:t>
      </w:r>
      <w:r>
        <w:rPr>
          <w:rtl w:val="true"/>
        </w:rPr>
        <w:t>عليهم السّلام</w:t>
      </w:r>
      <w:r>
        <w:rPr>
          <w:rtl w:val="true"/>
        </w:rPr>
        <w:t xml:space="preserve">) </w:t>
      </w:r>
      <w:r>
        <w:rPr>
          <w:rtl w:val="true"/>
        </w:rPr>
        <w:t>في الامور</w:t>
      </w:r>
      <w:bookmarkEnd w:id="40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الدينية الاصولية و الفروعية، فإنه يدلّ على اهتمامه في امور الدين، و يكشف عن فضيلته، و يورث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جماعة منهم الشهيد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 ذلك العمل بروايته ان لم يرد فيه طعن</w:t>
      </w:r>
      <w:r>
        <w:rPr>
          <w:rStyle w:val="FootnoteAnchor"/>
          <w:rtl w:val="true"/>
        </w:rPr>
        <w:footnoteReference w:id="678"/>
      </w:r>
      <w:r>
        <w:rPr>
          <w:rFonts w:ascii="Amiri" w:hAnsi="Amiri" w:eastAsia="Amiri" w:cs="Amiri"/>
          <w:color w:val="111111"/>
          <w:sz w:val="28"/>
          <w:sz w:val="28"/>
          <w:szCs w:val="28"/>
          <w:rtl w:val="true"/>
          <w:lang w:bidi="ar-SA"/>
        </w:rPr>
        <w:t>، و عن المجلسي الأول في ترجمة علي بن الحسين السعدابادي أن الظاهر أنه لكثرة الرواية عدّ جماعة حديثه من الحسان</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قال في 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الترجمة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بعض الأصحاب حديثه حسنا و لا بأس به، لأنه من مشايخ الإجازة البحت، بل لا يستبعد جعله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نص ما ذكره المصنف طاب ثراه هنا، و لعله في محل آخر، أو كتاب للمجلسي الأول غير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فيظهر من كثير من التراجم أن كثرة الرواية من أسباب المدح و القوة و القبول</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بالاكتفاء في العدالة بحسن الظاهر فلا يبعد دلالة مثل هذه الألفاظ على التوثيق، و بذا يمكن تعديل أمثال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هذا كونه كثير السماع، كما صرح غير واحد، و لا يخفى ما فيه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5033_241688"/>
    </w:p>
    <w:p>
      <w:pPr>
        <w:pStyle w:val="Heading5"/>
        <w:numPr>
          <w:ilvl w:val="4"/>
          <w:numId w:val="1"/>
        </w:numPr>
        <w:rPr/>
      </w:pPr>
      <w:bookmarkStart w:id="411" w:name="__RefHeading___Toc316801_2142443653"/>
      <w:bookmarkStart w:id="412" w:name="_Toc154"/>
      <w:bookmarkEnd w:id="410"/>
      <w:bookmarkEnd w:id="411"/>
      <w:r>
        <w:rPr>
          <w:rtl w:val="true"/>
        </w:rPr>
        <w:t>و منها</w:t>
      </w:r>
      <w:r>
        <w:rPr>
          <w:rtl w:val="true"/>
        </w:rPr>
        <w:t xml:space="preserve">: </w:t>
      </w:r>
      <w:r>
        <w:rPr>
          <w:rtl w:val="true"/>
        </w:rPr>
        <w:t>كونه ممن يروى عنه أو كتابه جماعة من الأصحاب ،</w:t>
      </w:r>
      <w:bookmarkEnd w:id="41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ممن يروى عنه أو كتابه جماعة من الأصحاب</w:t>
      </w:r>
      <w:r>
        <w:rPr>
          <w:rStyle w:val="FootnoteAnchor"/>
          <w:rtl w:val="true"/>
        </w:rPr>
        <w:footnoteReference w:id="681"/>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أمارات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بملاحظة اشتراطهم العدالة في الراوي يقوى كونه من أمارات العدالة،</w:t>
      </w:r>
      <w:r>
        <w:rPr>
          <w:rStyle w:val="FootnoteAnchor"/>
          <w:rtl w:val="true"/>
        </w:rPr>
        <w:footnoteReference w:id="682"/>
      </w:r>
      <w:r>
        <w:rPr>
          <w:rFonts w:ascii="Amiri" w:hAnsi="Amiri" w:eastAsia="Amiri" w:cs="Amiri"/>
          <w:color w:val="111111"/>
          <w:sz w:val="28"/>
          <w:sz w:val="28"/>
          <w:szCs w:val="28"/>
          <w:rtl w:val="true"/>
          <w:lang w:bidi="ar-SA"/>
        </w:rPr>
        <w:t>سيما و أن يكون الراوي عنه كلا أو بعضا ممن يطعن على الرجال بروايتهم</w:t>
      </w:r>
      <w:r>
        <w:rPr>
          <w:rStyle w:val="FootnoteAnchor"/>
          <w:rtl w:val="true"/>
        </w:rPr>
        <w:footnoteReference w:id="683"/>
      </w:r>
      <w:r>
        <w:rPr>
          <w:rFonts w:ascii="Amiri" w:hAnsi="Amiri" w:eastAsia="Amiri" w:cs="Amiri"/>
          <w:color w:val="111111"/>
          <w:sz w:val="28"/>
          <w:sz w:val="28"/>
          <w:szCs w:val="28"/>
          <w:rtl w:val="true"/>
          <w:lang w:bidi="ar-SA"/>
        </w:rPr>
        <w:t>عن المجاهيل و الضعفاء</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التراجم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w:t>
      </w:r>
      <w:r>
        <w:rPr>
          <w:rStyle w:val="FootnoteAnchor"/>
          <w:rtl w:val="true"/>
        </w:rPr>
        <w:footnoteReference w:id="685"/>
      </w:r>
      <w:r>
        <w:rPr>
          <w:rFonts w:ascii="Amiri" w:hAnsi="Amiri" w:eastAsia="Amiri" w:cs="Amiri"/>
          <w:color w:val="111111"/>
          <w:sz w:val="28"/>
          <w:sz w:val="28"/>
          <w:szCs w:val="28"/>
          <w:rtl w:val="true"/>
          <w:lang w:bidi="ar-SA"/>
        </w:rPr>
        <w:t>من تضعيفه مع ذكره ذلك لا يضرّ، إذ لعله ظهر ضعفه من الخارج</w:t>
      </w:r>
      <w:r>
        <w:rPr>
          <w:rStyle w:val="FootnoteAnchor"/>
          <w:rtl w:val="true"/>
        </w:rPr>
        <w:footnoteReference w:id="686"/>
      </w:r>
      <w:r>
        <w:rPr>
          <w:rFonts w:ascii="Amiri" w:hAnsi="Amiri" w:eastAsia="Amiri" w:cs="Amiri"/>
          <w:color w:val="111111"/>
          <w:sz w:val="28"/>
          <w:sz w:val="28"/>
          <w:szCs w:val="28"/>
          <w:rtl w:val="true"/>
          <w:lang w:bidi="ar-SA"/>
        </w:rPr>
        <w:t>، و إن كان الجماعة معتمدين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التخلف في الأمارات الظنية غير عزيز</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413" w:name="pg15033_241689"/>
    </w:p>
    <w:p>
      <w:pPr>
        <w:pStyle w:val="BookText"/>
        <w:rPr/>
      </w:pPr>
      <w:bookmarkEnd w:id="41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ذلك أمارة على العدالة محل تأمل، إلا أنه أمارة قوته و كونه معتمدا</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16803_2142443653"/>
      <w:bookmarkStart w:id="415" w:name="_Toc155"/>
      <w:bookmarkEnd w:id="414"/>
      <w:r>
        <w:rPr>
          <w:rtl w:val="true"/>
        </w:rPr>
        <w:t>و منها</w:t>
      </w:r>
      <w:r>
        <w:rPr>
          <w:rtl w:val="true"/>
        </w:rPr>
        <w:t xml:space="preserve">: </w:t>
      </w:r>
      <w:r>
        <w:rPr>
          <w:rtl w:val="true"/>
        </w:rPr>
        <w:t>روايته عن جماعة من الأصحاب،</w:t>
      </w:r>
      <w:bookmarkEnd w:id="415"/>
    </w:p>
    <w:p>
      <w:pPr>
        <w:pStyle w:val="BookText"/>
        <w:rPr/>
      </w:pPr>
      <w:r>
        <w:rPr>
          <w:rFonts w:ascii="Amiri" w:hAnsi="Amiri" w:eastAsia="Amiri" w:cs="Amiri"/>
          <w:color w:val="111111"/>
          <w:sz w:val="28"/>
          <w:sz w:val="28"/>
          <w:szCs w:val="28"/>
          <w:rtl w:val="true"/>
          <w:lang w:bidi="ar-SA"/>
        </w:rPr>
        <w:t>عدّه</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كما في التعليقة 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ظاهر</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16805_2142443653"/>
      <w:bookmarkStart w:id="417" w:name="_Toc156"/>
      <w:bookmarkEnd w:id="416"/>
      <w:r>
        <w:rPr>
          <w:rtl w:val="true"/>
        </w:rPr>
        <w:t>و منها</w:t>
      </w:r>
      <w:r>
        <w:rPr>
          <w:rtl w:val="true"/>
        </w:rPr>
        <w:t xml:space="preserve">: </w:t>
      </w:r>
      <w:r>
        <w:rPr>
          <w:rtl w:val="true"/>
        </w:rPr>
        <w:t>رواية الجليل أو الأجلاء عنه،</w:t>
      </w:r>
      <w:bookmarkEnd w:id="417"/>
    </w:p>
    <w:p>
      <w:pPr>
        <w:pStyle w:val="BookText"/>
        <w:rPr/>
      </w:pPr>
      <w:r>
        <w:rPr>
          <w:rFonts w:ascii="Amiri" w:hAnsi="Amiri" w:eastAsia="Amiri" w:cs="Amiri"/>
          <w:color w:val="111111"/>
          <w:sz w:val="28"/>
          <w:sz w:val="28"/>
          <w:szCs w:val="28"/>
          <w:rtl w:val="true"/>
          <w:lang w:bidi="ar-SA"/>
        </w:rPr>
        <w:t>عدّه</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رواية جماعة من الأصحاب تشير الى الوثاقة، فرواية أجلائهم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الإطلاق من أمارات الجلالة و القوة، و فيما إذا كان الجليل ممن يطعن على الرجال في الرواية عن المجاهيل و نظائرها من أمارات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جعل ذلك من أمارات القوة دون الوثاقة، و دون مطلق رواية الجليل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316807_2142443653"/>
      <w:bookmarkStart w:id="419" w:name="_Toc157"/>
      <w:bookmarkEnd w:id="418"/>
      <w:r>
        <w:rPr>
          <w:rtl w:val="true"/>
        </w:rPr>
        <w:t>و منها</w:t>
      </w:r>
      <w:r>
        <w:rPr>
          <w:rtl w:val="true"/>
        </w:rPr>
        <w:t xml:space="preserve">: </w:t>
      </w:r>
      <w:r>
        <w:rPr>
          <w:rtl w:val="true"/>
        </w:rPr>
        <w:t>رواية صفوان بن يحيى و ابن أبي عمير عنه،</w:t>
      </w:r>
      <w:bookmarkEnd w:id="419"/>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أمارة الوثاقة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أنهما لا يرويان إلا عن ثقة</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عليه يؤخذ بمراسيلهم و مسانيدهم حتى لو كانت الواسطة مجهولة أو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منّا مناقشة العبارة في بحث المرسل من أقسام الضعيف، فراجع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هؤلاء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دعوى الشيخ أنهم لا يروون إلا عن ثقة، فإن الظاهر أن الشيخ يريد بذلك أنهم لا يروون إلا عن ثقة عندهم، فرواية أحدهم عن شخص شهادة منه على وثاقته، و هذه الشهادة يؤخذ بها ما لم يثبت خلافها، و قد ثبت خلافها كالموارد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بل الشيخ أراد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يروون و لا يرسلون إلا عن ثقة في الواقع و نفس الأمر، لا من يكون ثقة باعتقادهم، إذ لو أراد ذلك لم يمكن الحكم بالتسوية بين مراسيلهم و مسانيد غيرهم، فإنه إذا ثبت في موارد روايتهم من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ثقات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الحكم بصحة مراسيله، إذ من المحتمل إن الواسطة هو من ثبت ضعفه عنه، فكيف يمكن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الفاضل الخراساني جرى في ذخيرته على</w:t>
      </w:r>
      <w:bookmarkStart w:id="420" w:name="pg15033_241690"/>
    </w:p>
    <w:p>
      <w:pPr>
        <w:pStyle w:val="BookText"/>
        <w:rPr/>
      </w:pPr>
      <w:bookmarkEnd w:id="420"/>
      <w:r>
        <w:rPr>
          <w:rFonts w:ascii="Amiri" w:hAnsi="Amiri" w:eastAsia="Amiri" w:cs="Amiri"/>
          <w:color w:val="111111"/>
          <w:sz w:val="28"/>
          <w:sz w:val="28"/>
          <w:szCs w:val="28"/>
          <w:rtl w:val="true"/>
          <w:lang w:bidi="ar-SA"/>
        </w:rPr>
        <w:t>القبول من هذه العلة و نظيرهما البزنطي</w:t>
      </w:r>
      <w:r>
        <w:rPr>
          <w:rStyle w:val="FootnoteAnchor"/>
          <w:rtl w:val="true"/>
        </w:rPr>
        <w:footnoteReference w:id="692"/>
      </w:r>
      <w:r>
        <w:rPr>
          <w:rFonts w:ascii="Amiri" w:hAnsi="Amiri" w:eastAsia="Amiri" w:cs="Amiri"/>
          <w:color w:val="111111"/>
          <w:sz w:val="28"/>
          <w:sz w:val="28"/>
          <w:szCs w:val="28"/>
          <w:rtl w:val="true"/>
          <w:lang w:bidi="ar-SA"/>
        </w:rPr>
        <w:t>، و قريب منهم علي بن الحسن الطاطري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1" w:name="__RefHeading___Toc316809_2142443653"/>
      <w:bookmarkStart w:id="422" w:name="_Toc158"/>
      <w:bookmarkEnd w:id="421"/>
      <w:r>
        <w:rPr>
          <w:rtl w:val="true"/>
        </w:rPr>
        <w:t>و منها</w:t>
      </w:r>
      <w:r>
        <w:rPr>
          <w:rtl w:val="true"/>
        </w:rPr>
        <w:t xml:space="preserve">: </w:t>
      </w:r>
      <w:r>
        <w:rPr>
          <w:rtl w:val="true"/>
        </w:rPr>
        <w:t>رواية محمد بن إسماعيل بن ميمون، أو جعفر بن بشير</w:t>
      </w:r>
      <w:bookmarkStart w:id="423" w:name="pg15033_241691"/>
      <w:bookmarkEnd w:id="422"/>
    </w:p>
    <w:p>
      <w:pPr>
        <w:pStyle w:val="BookText"/>
        <w:rPr/>
      </w:pPr>
      <w:bookmarkEnd w:id="423"/>
      <w:r>
        <w:rPr>
          <w:rFonts w:ascii="Amiri" w:hAnsi="Amiri" w:eastAsia="Amiri" w:cs="Amiri"/>
          <w:color w:val="111111"/>
          <w:sz w:val="28"/>
          <w:sz w:val="28"/>
          <w:szCs w:val="28"/>
          <w:rtl w:val="true"/>
          <w:lang w:bidi="ar-SA"/>
        </w:rPr>
        <w:t>عنه، أو روايته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منهما أمارة التوثيق لما ذكر في ترجمتهما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ترجمة كل منهما أنه روى عن الثقات و رووا عنه</w:t>
      </w:r>
      <w:r>
        <w:rPr>
          <w:rStyle w:val="FootnoteAnchor"/>
          <w:rtl w:val="true"/>
        </w:rPr>
        <w:footnoteReference w:id="694"/>
      </w:r>
      <w:r>
        <w:rPr>
          <w:rFonts w:ascii="Amiri" w:hAnsi="Amiri" w:eastAsia="Amiri" w:cs="Amiri"/>
          <w:color w:val="111111"/>
          <w:sz w:val="28"/>
          <w:sz w:val="28"/>
          <w:szCs w:val="28"/>
          <w:rtl w:val="true"/>
          <w:lang w:bidi="ar-SA"/>
        </w:rPr>
        <w:t xml:space="preserve">، و أنت خبير بعدم دلالة ذلك على ما 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روايته عن الثقات و رواية الثقات عنه لا ينافي روايته عن الضعفاء و رواية الضعفاء عنه، و إنما كان يدلّ على التوثيق لو كانت العبارة أنه لم يرو إلا عن الثقات، و لم يرو عنه إلا الثقات، و ليس كذلك، فلا تذهل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316811_2142443653"/>
      <w:bookmarkStart w:id="425" w:name="_Toc159"/>
      <w:bookmarkEnd w:id="424"/>
      <w:r>
        <w:rPr>
          <w:rtl w:val="true"/>
        </w:rPr>
        <w:t>و منها</w:t>
      </w:r>
      <w:r>
        <w:rPr>
          <w:rtl w:val="true"/>
        </w:rPr>
        <w:t xml:space="preserve">: </w:t>
      </w:r>
      <w:r>
        <w:rPr>
          <w:rtl w:val="true"/>
        </w:rPr>
        <w:t>كونه ممن يروي عن الثقات،</w:t>
      </w:r>
      <w:bookmarkEnd w:id="42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مدح و أمارة للاعتماد</w:t>
      </w:r>
      <w:r>
        <w:rPr>
          <w:rStyle w:val="FootnoteAnchor"/>
          <w:rtl w:val="true"/>
        </w:rPr>
        <w:footnoteReference w:id="696"/>
      </w:r>
      <w:r>
        <w:rPr>
          <w:rFonts w:ascii="Amiri" w:hAnsi="Amiri" w:eastAsia="Amiri" w:cs="Amiri"/>
          <w:color w:val="111111"/>
          <w:sz w:val="28"/>
          <w:sz w:val="28"/>
          <w:szCs w:val="28"/>
          <w:rtl w:val="true"/>
          <w:lang w:bidi="ar-SA"/>
        </w:rPr>
        <w:t>و أنت خبير بأن الرواية عن الثقات لا دلالة فيها على ما 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إلا عن الثقات دلّ على المدح</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16813_2142443653"/>
      <w:bookmarkStart w:id="427" w:name="_Toc160"/>
      <w:bookmarkEnd w:id="426"/>
      <w:r>
        <w:rPr>
          <w:rtl w:val="true"/>
        </w:rPr>
        <w:t>و منها</w:t>
      </w:r>
      <w:r>
        <w:rPr>
          <w:rtl w:val="true"/>
        </w:rPr>
        <w:t xml:space="preserve">: </w:t>
      </w:r>
      <w:r>
        <w:rPr>
          <w:rtl w:val="true"/>
        </w:rPr>
        <w:t>رواية علي بن الحسن بن فضال و من ماثله</w:t>
      </w:r>
      <w:bookmarkEnd w:id="42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المرجحات، لما ذكر في ترجمتهم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 ما روى عن ضعيف و كان فطحيا، و لم يرو عن أبيه شيئا</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ما رام إثباته كما ترى، لأن قلّة روايته عن الضعيف تجتمع مع كون من نريد استعلام حاله ضعيفا، لأنهم لم يشهدوا بعدم روايته عن ضعيف، بل بقلّة روايته عن ضعيف، فلا تذهل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r>
        <w:rPr>
          <w:rFonts w:ascii="Amiri" w:hAnsi="Amiri" w:eastAsia="Amiri" w:cs="Amiri"/>
          <w:color w:val="111111"/>
          <w:sz w:val="28"/>
          <w:sz w:val="28"/>
          <w:szCs w:val="28"/>
          <w:rtl w:val="true"/>
          <w:lang w:bidi="ar-SA"/>
        </w:rPr>
        <w:t>و توهم إمكان الاستدلال للمطلوب بما ورد من الأمر بالأخذ بما رووا بنو فضال و ترك ما رأوا</w:t>
      </w:r>
      <w:r>
        <w:rPr>
          <w:rStyle w:val="FootnoteAnchor"/>
          <w:rtl w:val="true"/>
        </w:rPr>
        <w:footnoteReference w:id="700"/>
      </w:r>
      <w:r>
        <w:rPr>
          <w:rFonts w:ascii="Amiri" w:hAnsi="Amiri" w:eastAsia="Amiri" w:cs="Amiri"/>
          <w:color w:val="111111"/>
          <w:sz w:val="28"/>
          <w:sz w:val="28"/>
          <w:szCs w:val="28"/>
          <w:rtl w:val="true"/>
          <w:lang w:bidi="ar-SA"/>
        </w:rPr>
        <w:t xml:space="preserve">، مدفوع، بأن الأخذ بما يرويه عبارة عن تصديقه في روايته، و أين ذلك و كيف هو من الدلالة على عدالة من رووا عنه شيئا أو صدقه؟ فهم مصدّقون في الأخبار بأن فلانا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ذلك لا يستلزم بوجهه صدق فلان أيضا، هذا مضافا الى أنه ان تمّ لاقتضى كون رواية كل من بني فضال كذلك لا خصوص عليّ، و لم يلتزم بذلك أحد</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ناقش سيد أساتذتنا في أكثر من مكان من تقريراته و كتبه بأنه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الروايات الآمرة بالأخذ عن بني فضال، فالرواية السالفة رواها الشيخ عن أبي الحسين بن تمام عن عبد اللّه الكوفي، و كلاهما لم يوثقا عند الرجاليين،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أجنبية عن المقام، لأنها في صدد بيان أن فساد العقيدة بعد الاستقامة لا يضر بحجية الروايات المتقدمة على الفساد، لا أنه أخذ بكل رواياتهم و لو رووا عن ضعيف أو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كسائر الثقات من الإمامية، و انحرافهم رأيا لا يضر في قبول رواياتهم، لا قبول جميع ما رووه مرسلا كان أو مسندا، و إلا لزم ترجيحهم على أمثال زرارة و محمد بن مسلم و نظائرهم من فقهاء رواتنا و أعاظم الإمامية رضوان اللّه تعالى عليهم أجمعين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bookmarkStart w:id="428" w:name="pg15033_241693"/>
    </w:p>
    <w:p>
      <w:pPr>
        <w:pStyle w:val="Heading5"/>
        <w:numPr>
          <w:ilvl w:val="4"/>
          <w:numId w:val="1"/>
        </w:numPr>
        <w:rPr/>
      </w:pPr>
      <w:bookmarkStart w:id="429" w:name="__RefHeading___Toc316815_2142443653"/>
      <w:bookmarkStart w:id="430" w:name="_Toc161"/>
      <w:bookmarkEnd w:id="428"/>
      <w:bookmarkEnd w:id="429"/>
      <w:r>
        <w:rPr>
          <w:rtl w:val="true"/>
        </w:rPr>
        <w:t>و منها</w:t>
      </w:r>
      <w:r>
        <w:rPr>
          <w:rtl w:val="true"/>
        </w:rPr>
        <w:t xml:space="preserve">: </w:t>
      </w:r>
      <w:r>
        <w:rPr>
          <w:rtl w:val="true"/>
        </w:rPr>
        <w:t>كونه ممن تكثر الرواية عنه و يفتى بها،</w:t>
      </w:r>
      <w:bookmarkEnd w:id="430"/>
    </w:p>
    <w:p>
      <w:pPr>
        <w:pStyle w:val="BookText"/>
        <w:rPr/>
      </w:pPr>
      <w:r>
        <w:rPr>
          <w:rFonts w:ascii="Amiri" w:hAnsi="Amiri" w:eastAsia="Amiri" w:cs="Amiri"/>
          <w:color w:val="111111"/>
          <w:sz w:val="28"/>
          <w:sz w:val="28"/>
          <w:szCs w:val="28"/>
          <w:rtl w:val="true"/>
          <w:lang w:bidi="ar-SA"/>
        </w:rPr>
        <w:t>فإنه أمارة الاعتماد عليه كما هو ظاهر</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بذلك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السكوني</w:t>
      </w:r>
      <w:r>
        <w:rPr>
          <w:rStyle w:val="FootnoteAnchor"/>
          <w:rtl w:val="true"/>
        </w:rPr>
        <w:footnoteReference w:id="703"/>
      </w:r>
      <w:r>
        <w:rPr>
          <w:rFonts w:ascii="Amiri" w:hAnsi="Amiri" w:eastAsia="Amiri" w:cs="Amiri"/>
          <w:color w:val="111111"/>
          <w:sz w:val="28"/>
          <w:sz w:val="28"/>
          <w:szCs w:val="28"/>
          <w:rtl w:val="true"/>
          <w:lang w:bidi="ar-SA"/>
        </w:rPr>
        <w:t>، و إذا كان مجرد كثرة الرواية عنه يوجب العمل بروايته بل و من شواهد الوثاقة، فما نحن فيه بطريق أولى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رواية جماعة من الأصحاب عنه تكون من أماراتها على ما </w:t>
      </w:r>
    </w:p>
    <w:p>
      <w:pPr>
        <w:pStyle w:val="BookText"/>
        <w:rPr/>
      </w:pPr>
      <w:r>
        <w:rPr>
          <w:rFonts w:ascii="Amiri" w:hAnsi="Amiri" w:eastAsia="Amiri" w:cs="Amiri"/>
          <w:color w:val="111111"/>
          <w:sz w:val="28"/>
          <w:sz w:val="28"/>
          <w:szCs w:val="28"/>
          <w:rtl w:val="true"/>
          <w:lang w:bidi="ar-SA"/>
        </w:rPr>
        <w:t xml:space="preserve">ذكر، فهنا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Style w:val="FootnoteAnchor"/>
          <w:rtl w:val="true"/>
        </w:rPr>
        <w:footnoteReference w:id="704"/>
      </w:r>
      <w:r>
        <w:rPr>
          <w:rFonts w:ascii="Amiri" w:hAnsi="Amiri" w:eastAsia="Amiri" w:cs="Amiri"/>
          <w:color w:val="111111"/>
          <w:sz w:val="28"/>
          <w:sz w:val="28"/>
          <w:szCs w:val="28"/>
          <w:rtl w:val="true"/>
          <w:lang w:bidi="ar-SA"/>
        </w:rPr>
        <w:t xml:space="preserve">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على كشف كثرة الرواية عن علو قدر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أول رجال الكشي عن حمدويه بن نصير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عن إبراهيم بن محمد بن العباس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القمي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بن عمران</w:t>
      </w:r>
      <w:r>
        <w:rPr>
          <w:rStyle w:val="FootnoteAnchor"/>
          <w:rtl w:val="true"/>
        </w:rPr>
        <w:footnoteReference w:id="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محمد، عن بعض رجاله، عن محمد بن حمران العجلي، عن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منّا على قدر رواياتهم عنّا</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الخبران على كشف كثرة رواية الرجل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قربه منهم معنى و تقرّبه عندهم، و كونه باحثا عن أحكام دينه الكاشف عن قوة ديانته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ظاهر الخبرين الكم، و هناك خبر ثالث رواه أيضا الكشي يدلّ على الكيف، و هو ما رواه عن محمد بن سعيد الكشي بن يزيد</w:t>
      </w:r>
      <w:r>
        <w:rPr>
          <w:rStyle w:val="FootnoteAnchor"/>
          <w:rtl w:val="true"/>
        </w:rPr>
        <w:footnoteReference w:id="708"/>
      </w:r>
      <w:r>
        <w:rPr>
          <w:rFonts w:ascii="Amiri" w:hAnsi="Amiri" w:eastAsia="Amiri" w:cs="Amiri"/>
          <w:color w:val="111111"/>
          <w:sz w:val="28"/>
          <w:sz w:val="28"/>
          <w:szCs w:val="28"/>
          <w:rtl w:val="true"/>
          <w:lang w:bidi="ar-SA"/>
        </w:rPr>
        <w:t>، و أبي جعفر محمد بن أبي عوف النجاري</w:t>
      </w:r>
      <w:r>
        <w:rPr>
          <w:rStyle w:val="FootnoteAnchor"/>
          <w:rtl w:val="true"/>
        </w:rPr>
        <w:footnoteReference w:id="70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w:t>
      </w:r>
      <w:r>
        <w:rPr>
          <w:rStyle w:val="FootnoteAnchor"/>
          <w:rtl w:val="true"/>
        </w:rPr>
        <w:footnoteReference w:id="710"/>
      </w:r>
      <w:r>
        <w:rPr>
          <w:rFonts w:ascii="Amiri" w:hAnsi="Amiri" w:eastAsia="Amiri" w:cs="Amiri"/>
          <w:color w:val="111111"/>
          <w:sz w:val="28"/>
          <w:sz w:val="28"/>
          <w:szCs w:val="28"/>
          <w:rtl w:val="true"/>
          <w:lang w:bidi="ar-SA"/>
        </w:rPr>
        <w:t>حماد المروزي المحمودي،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 يحسنون من رواياتهم عنا، فانا لا نعد الفقيه منهم فقيها حتى يكون محدثا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مفهما، و المفهم محدث</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الثلاث ضعيفة السند إما بالإرسال أو بمحمد بن سنان الذي ضعّفه المشهور، و مع الإغماض من السند فالمراد من الروايات هو قدر ما تحمّله الشخص من رواياتهم عليهم السّلام، و هذا لا يمكن إحرازه إلا بعد ثبوت حجية قول الراوي، و إن ما يرويه قد صدر عنهم عليهم السّلام، لا إن المراد قدر ما يخبر الراوي عنهم عليهم السّلام و إن كان لا يعرف صدقه و كذبه، فإن ذلك لا يكون مدحا في الراوي، إذ لعل روايات الكاذب أكثر من روايات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مشايخنا عن سيد أساتذتنا دام ظله و حفظهم اللّه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5033_241696"/>
    </w:p>
    <w:p>
      <w:pPr>
        <w:pStyle w:val="Heading5"/>
        <w:numPr>
          <w:ilvl w:val="4"/>
          <w:numId w:val="1"/>
        </w:numPr>
        <w:rPr/>
      </w:pPr>
      <w:bookmarkStart w:id="432" w:name="__RefHeading___Toc316817_2142443653"/>
      <w:bookmarkStart w:id="433" w:name="_Toc162"/>
      <w:bookmarkEnd w:id="431"/>
      <w:bookmarkEnd w:id="432"/>
      <w:r>
        <w:rPr>
          <w:rtl w:val="true"/>
        </w:rPr>
        <w:t>بيان</w:t>
      </w:r>
      <w:r>
        <w:rPr>
          <w:rtl w:val="true"/>
        </w:rPr>
        <w:t xml:space="preserve">: </w:t>
      </w:r>
      <w:r>
        <w:rPr>
          <w:rtl w:val="true"/>
        </w:rPr>
        <w:t>معنى كونهم عليهم السّلام محدثون</w:t>
      </w:r>
      <w:bookmarkEnd w:id="433"/>
    </w:p>
    <w:p>
      <w:pPr>
        <w:pStyle w:val="Heading6"/>
        <w:numPr>
          <w:ilvl w:val="5"/>
          <w:numId w:val="1"/>
        </w:numPr>
        <w:rPr/>
      </w:pPr>
      <w:bookmarkStart w:id="434" w:name="__RefHeading___Toc316819_2142443653"/>
      <w:bookmarkStart w:id="435" w:name="_Toc163"/>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حق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محدثون</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يتحدثون مع الملك، أو يحدثهم اللّه سبحانه بصوت يخلقه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الراوي كون المراد بالمحدث في الشيعة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فاستغرب ذلك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المؤمن يكون مفهّما أي ملهما من جانب اللّه تعالى،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أن الملهم منهم بمنزلة المحدث منه تعالى، و لذا أطلق عليه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أن المحدث من له ملكة فهم الأحاديث لا مجرد رواية الحديث كما ارتكز في أذهان 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فرواية الكيف لا تعارض روايتي الكم المزبورتين، إذ لا مانع من الأخذ بظاهر كل منهما، و جعل كثرة هذه الرواية مدحا للكشف عن اهتمامه في أحكام دينه، و حسن فهم الرواية مدحا آخر لكشفه عن عناية ربانية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هل يختص كون كثرة الرواية مدحا بما إذا روى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واسطة، أو يشمل ما إذا روى بالواسطة؟ وجهان، أظهرهما الثاني، فإن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ظاهرا في كلمات علماء الرجال في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واسطة، و لذا يصرحون في حق من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أنه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ذلك في العرف العام الوارد عليه الأخبار يعمّ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36" w:name="pg15033_241697"/>
    </w:p>
    <w:p>
      <w:pPr>
        <w:pStyle w:val="BookText"/>
        <w:rPr/>
      </w:pPr>
      <w:bookmarkEnd w:id="436"/>
      <w:r>
        <w:rPr>
          <w:rFonts w:ascii="Amiri" w:hAnsi="Amiri" w:eastAsia="Amiri" w:cs="Amiri"/>
          <w:color w:val="111111"/>
          <w:sz w:val="28"/>
          <w:sz w:val="28"/>
          <w:szCs w:val="28"/>
          <w:rtl w:val="true"/>
          <w:lang w:bidi="ar-SA"/>
        </w:rPr>
        <w:t>بغير واسطة أو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للحاضرين، و هو قرينة على أن المراد الراوي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ممنوع، لأن الرواة الموجودين في 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يروون بغير واسطة فكذا كانوا يروون بواسطة، كما لا يخفى</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316821_2142443653"/>
      <w:bookmarkStart w:id="438" w:name="_Toc164"/>
      <w:bookmarkEnd w:id="437"/>
      <w:r>
        <w:rPr>
          <w:rtl w:val="true"/>
        </w:rPr>
        <w:t>و منها</w:t>
      </w:r>
      <w:r>
        <w:rPr>
          <w:rtl w:val="true"/>
        </w:rPr>
        <w:t xml:space="preserve">: </w:t>
      </w:r>
      <w:r>
        <w:rPr>
          <w:rtl w:val="true"/>
        </w:rPr>
        <w:t>رواية الثقة عن شخص مشترك الاسم و إكثاره منها مع عدم إتيانه بما يميزه عن الثقة،</w:t>
      </w:r>
      <w:bookmarkEnd w:id="438"/>
    </w:p>
    <w:p>
      <w:pPr>
        <w:pStyle w:val="BookText"/>
        <w:rPr/>
      </w:pPr>
      <w:r>
        <w:rPr>
          <w:rFonts w:ascii="Amiri" w:hAnsi="Amiri" w:eastAsia="Amiri" w:cs="Amiri"/>
          <w:color w:val="111111"/>
          <w:sz w:val="28"/>
          <w:sz w:val="28"/>
          <w:szCs w:val="28"/>
          <w:rtl w:val="true"/>
          <w:lang w:bidi="ar-SA"/>
        </w:rPr>
        <w:t>فإنه امارة الاعتماد عليه</w:t>
      </w:r>
      <w:r>
        <w:rPr>
          <w:rStyle w:val="FootnoteAnchor"/>
          <w:rtl w:val="true"/>
        </w:rPr>
        <w:footnoteReference w:id="715"/>
      </w:r>
      <w:r>
        <w:rPr>
          <w:rFonts w:ascii="Amiri" w:hAnsi="Amiri" w:eastAsia="Amiri" w:cs="Amiri"/>
          <w:color w:val="111111"/>
          <w:sz w:val="28"/>
          <w:sz w:val="28"/>
          <w:szCs w:val="28"/>
          <w:rtl w:val="true"/>
          <w:lang w:bidi="ar-SA"/>
        </w:rPr>
        <w:t>، سيما إذا كان الراوي ممن يطعن على الرجال بروايتهم عن المجاهيل، و كون الرواية عنه كذلك من غير واحد من المشايخ</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316823_2142443653"/>
      <w:bookmarkStart w:id="440" w:name="_Toc165"/>
      <w:bookmarkEnd w:id="439"/>
      <w:r>
        <w:rPr>
          <w:rtl w:val="true"/>
        </w:rPr>
        <w:t>و منها</w:t>
      </w:r>
      <w:r>
        <w:rPr>
          <w:rtl w:val="true"/>
        </w:rPr>
        <w:t xml:space="preserve">: </w:t>
      </w:r>
      <w:r>
        <w:rPr>
          <w:rtl w:val="true"/>
        </w:rPr>
        <w:t>اعتماد شيخ على شخص و هو أمارة كونه معتمدا عليه،</w:t>
      </w:r>
      <w:bookmarkEnd w:id="44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و يظهر من النجاشي</w:t>
      </w:r>
      <w:r>
        <w:rPr>
          <w:rStyle w:val="FootnoteAnchor"/>
          <w:rtl w:val="true"/>
        </w:rPr>
        <w:footnoteReference w:id="717"/>
      </w:r>
      <w:r>
        <w:rPr>
          <w:rFonts w:ascii="Amiri" w:hAnsi="Amiri" w:eastAsia="Amiri" w:cs="Amiri"/>
          <w:color w:val="111111"/>
          <w:sz w:val="28"/>
          <w:sz w:val="28"/>
          <w:szCs w:val="28"/>
          <w:rtl w:val="true"/>
          <w:lang w:bidi="ar-SA"/>
        </w:rPr>
        <w:t>و العلامة في الخلاصة في علي بن محمد بن قتيبة</w:t>
      </w:r>
      <w:r>
        <w:rPr>
          <w:rStyle w:val="FootnoteAnchor"/>
          <w:rtl w:val="true"/>
        </w:rPr>
        <w:footnoteReference w:id="718"/>
      </w:r>
      <w:r>
        <w:rPr>
          <w:rFonts w:ascii="Amiri" w:hAnsi="Amiri" w:eastAsia="Amiri" w:cs="Amiri"/>
          <w:color w:val="111111"/>
          <w:sz w:val="28"/>
          <w:sz w:val="28"/>
          <w:szCs w:val="28"/>
          <w:rtl w:val="true"/>
          <w:lang w:bidi="ar-SA"/>
        </w:rPr>
        <w:t>، فإذا كان جمع منهم اعتمدوا عليه فهو في مرتبة معتد بها من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يشير الى الوثاقة سيما إذا كثر منهم، </w:t>
      </w:r>
      <w:bookmarkStart w:id="441" w:name="pg15033_241698"/>
    </w:p>
    <w:p>
      <w:pPr>
        <w:pStyle w:val="BookText"/>
        <w:rPr/>
      </w:pPr>
      <w:bookmarkEnd w:id="441"/>
      <w:r>
        <w:rPr>
          <w:rFonts w:ascii="Amiri" w:hAnsi="Amiri" w:eastAsia="Amiri" w:cs="Amiri"/>
          <w:color w:val="111111"/>
          <w:sz w:val="28"/>
          <w:sz w:val="28"/>
          <w:szCs w:val="28"/>
          <w:rtl w:val="true"/>
          <w:lang w:bidi="ar-SA"/>
        </w:rPr>
        <w:t>و خصوصا بملاحظة اشتراطهم العدالة، و خصوصا اذا كانوا ممن يطعن في الرواية عن المجاهيل و نظائرها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316825_2142443653"/>
      <w:bookmarkStart w:id="443" w:name="_Toc166"/>
      <w:bookmarkEnd w:id="442"/>
      <w:r>
        <w:rPr>
          <w:rtl w:val="true"/>
        </w:rPr>
        <w:t>و منها</w:t>
      </w:r>
      <w:r>
        <w:rPr>
          <w:rtl w:val="true"/>
        </w:rPr>
        <w:t xml:space="preserve">: </w:t>
      </w:r>
      <w:r>
        <w:rPr>
          <w:rtl w:val="true"/>
        </w:rPr>
        <w:t>اعتماد القميّين عليه أو روايتهم عنه ،</w:t>
      </w:r>
      <w:bookmarkEnd w:id="44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القميّين عليه أو روايتهم عنه</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إذ الرواية عن الضعفاء كثيرا كان يعدّ قدحا في الراوي، مما يثبت عدم تثبته في الرواية بروايته عن الضعفاء و اعتماده المراسيل، و هذا غير الرواية عن ضعيف أو ضعيفين أو أكثر في موارد خاصة، إذ لا يعدّ هذا قدحا عرفا، بل لا نجد من الرواة من لم يرو عن ضعيف أو مهمل أو مجهول إلا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أمارة الاعتماد، بل الوثاقة في الرّواية، لأنهم كانوا يخدشون في الرّواة بأدنى شيء، فاعتمادهم عليه يكشف عن عدم الخدشة فيه، و يقرب من ذلك اعتماد ابن الغضائري عليه و روايته عنه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316827_2142443653"/>
      <w:bookmarkStart w:id="445" w:name="_Toc167"/>
      <w:bookmarkEnd w:id="444"/>
      <w:r>
        <w:rPr>
          <w:rtl w:val="true"/>
        </w:rPr>
        <w:t>و منها</w:t>
      </w:r>
      <w:r>
        <w:rPr>
          <w:rtl w:val="true"/>
        </w:rPr>
        <w:t xml:space="preserve">: </w:t>
      </w:r>
      <w:r>
        <w:rPr>
          <w:rtl w:val="true"/>
        </w:rPr>
        <w:t>أن يكون رواياته كلّها أو جلّها مقبولة أو سديدة ،</w:t>
      </w:r>
      <w:bookmarkEnd w:id="44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رواياته كلّها أو جلّها مقبولة أو سديدة</w:t>
      </w:r>
      <w:r>
        <w:rPr>
          <w:rStyle w:val="FootnoteAnchor"/>
          <w:rtl w:val="true"/>
        </w:rPr>
        <w:footnoteReference w:id="722"/>
      </w:r>
      <w:r>
        <w:rPr>
          <w:rFonts w:ascii="IRNazanin" w:hAnsi="IRNazanin" w:eastAsia="IRNazanin"/>
          <w:color w:val="111111"/>
          <w:sz w:val="28"/>
          <w:sz w:val="28"/>
          <w:szCs w:val="28"/>
          <w:rtl w:val="true"/>
          <w:lang w:bidi="fa-IR"/>
        </w:rPr>
        <w:t xml:space="preserve">، </w:t>
      </w:r>
      <w:bookmarkStart w:id="446" w:name="pg15033_241699"/>
    </w:p>
    <w:p>
      <w:pPr>
        <w:pStyle w:val="BookText"/>
        <w:rPr/>
      </w:pPr>
      <w:bookmarkEnd w:id="446"/>
      <w:r>
        <w:rPr>
          <w:rFonts w:ascii="Amiri" w:hAnsi="Amiri" w:eastAsia="Amiri" w:cs="Amiri"/>
          <w:color w:val="111111"/>
          <w:sz w:val="28"/>
          <w:sz w:val="28"/>
          <w:szCs w:val="28"/>
          <w:rtl w:val="true"/>
          <w:lang w:bidi="ar-SA"/>
        </w:rPr>
        <w:t>فإن ذلك أمارة كونه ممدوحا، بل معتمدا و موثّقا في الرّواية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316829_2142443653"/>
      <w:bookmarkStart w:id="448" w:name="_Toc168"/>
      <w:bookmarkEnd w:id="447"/>
      <w:r>
        <w:rPr>
          <w:rtl w:val="true"/>
        </w:rPr>
        <w:t>و منها</w:t>
      </w:r>
      <w:r>
        <w:rPr>
          <w:rtl w:val="true"/>
        </w:rPr>
        <w:t xml:space="preserve">: </w:t>
      </w:r>
      <w:r>
        <w:rPr>
          <w:rtl w:val="true"/>
        </w:rPr>
        <w:t>وقوعه في سند حديث وقع اتفاق الكل أو الجلّ على صحّته،</w:t>
      </w:r>
      <w:bookmarkEnd w:id="448"/>
    </w:p>
    <w:p>
      <w:pPr>
        <w:pStyle w:val="BookText"/>
        <w:rPr/>
      </w:pPr>
      <w:r>
        <w:rPr>
          <w:rFonts w:ascii="Amiri" w:hAnsi="Amiri" w:eastAsia="Amiri" w:cs="Amiri"/>
          <w:color w:val="111111"/>
          <w:sz w:val="28"/>
          <w:sz w:val="28"/>
          <w:szCs w:val="28"/>
          <w:rtl w:val="true"/>
          <w:lang w:bidi="ar-SA"/>
        </w:rPr>
        <w:t>فإنّه أخذ دليلا على الوثاقة</w:t>
      </w:r>
      <w:r>
        <w:rPr>
          <w:rStyle w:val="FootnoteAnchor"/>
          <w:rtl w:val="true"/>
        </w:rPr>
        <w:footnoteReference w:id="724"/>
      </w:r>
      <w:r>
        <w:rPr>
          <w:rFonts w:ascii="Amiri" w:hAnsi="Amiri" w:eastAsia="Amiri" w:cs="Amiri"/>
          <w:color w:val="111111"/>
          <w:sz w:val="28"/>
          <w:sz w:val="28"/>
          <w:szCs w:val="28"/>
          <w:rtl w:val="true"/>
          <w:lang w:bidi="ar-SA"/>
        </w:rPr>
        <w:t>، كما لا يخفى على من راجع التّعليقة في ترجمة محمد بن إسماعيل البندقي، و أحمد بن عبد الواحد</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قال في ترجمة أحمد بن عبد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المؤيّدات أيضا استناد النجاشي الى قوله و اعتماده عليه، منه ما سيجيء في داود بن كثير الرّقي و يستند إليه الشّيخ أيضا و يذكره مترحما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من الكلامين إطباق الكل أو الجلّ،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316831_2142443653"/>
      <w:bookmarkStart w:id="450" w:name="_Toc169"/>
      <w:bookmarkEnd w:id="449"/>
      <w:r>
        <w:rPr>
          <w:rtl w:val="true"/>
        </w:rPr>
        <w:t>و منها</w:t>
      </w:r>
      <w:r>
        <w:rPr>
          <w:rtl w:val="true"/>
        </w:rPr>
        <w:t xml:space="preserve">: </w:t>
      </w:r>
      <w:r>
        <w:rPr>
          <w:rtl w:val="true"/>
        </w:rPr>
        <w:t>وقوعه في سند حديث صدر الطّعن فيه</w:t>
      </w:r>
      <w:bookmarkEnd w:id="45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w:t>
      </w:r>
      <w:bookmarkStart w:id="451" w:name="pg15033_241700"/>
    </w:p>
    <w:p>
      <w:pPr>
        <w:pStyle w:val="BookText"/>
        <w:rPr/>
      </w:pPr>
      <w:bookmarkEnd w:id="451"/>
      <w:r>
        <w:rPr>
          <w:rFonts w:ascii="IRNazanin" w:hAnsi="IRNazanin" w:eastAsia="IRNazanin"/>
          <w:color w:val="111111"/>
          <w:sz w:val="28"/>
          <w:sz w:val="28"/>
          <w:szCs w:val="28"/>
          <w:rtl w:val="true"/>
          <w:lang w:bidi="fa-IR"/>
        </w:rPr>
        <w:t>جهته</w:t>
      </w:r>
      <w:r>
        <w:rPr>
          <w:rStyle w:val="FootnoteAnchor"/>
          <w:rtl w:val="true"/>
        </w:rPr>
        <w:footnoteReference w:id="726"/>
      </w:r>
      <w:r>
        <w:rPr>
          <w:rFonts w:ascii="Amiri" w:hAnsi="Amiri" w:eastAsia="Amiri" w:cs="Amiri"/>
          <w:color w:val="111111"/>
          <w:sz w:val="28"/>
          <w:sz w:val="28"/>
          <w:szCs w:val="28"/>
          <w:rtl w:val="true"/>
          <w:lang w:bidi="ar-SA"/>
        </w:rPr>
        <w:t>، فإن السّكوت عنه و التعرّض لغيره ربما يكشف عن عدم مقدوحيّته، بل ربّما يكشف عن مدحه و قوّته، بل وثاقته</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316833_2142443653"/>
      <w:bookmarkStart w:id="453" w:name="_Toc170"/>
      <w:bookmarkEnd w:id="452"/>
      <w:r>
        <w:rPr>
          <w:rtl w:val="true"/>
        </w:rPr>
        <w:t>و منها</w:t>
      </w:r>
      <w:r>
        <w:rPr>
          <w:rtl w:val="true"/>
        </w:rPr>
        <w:t xml:space="preserve">: </w:t>
      </w:r>
      <w:r>
        <w:rPr>
          <w:rtl w:val="true"/>
        </w:rPr>
        <w:t xml:space="preserve">إكثار الكافي و الفقيه من الرّواية عنه ، فإنه </w:t>
      </w:r>
      <w:r>
        <w:rPr>
          <w:rtl w:val="true"/>
        </w:rPr>
        <w:t xml:space="preserve">- </w:t>
      </w:r>
      <w:r>
        <w:rPr>
          <w:rtl w:val="true"/>
        </w:rPr>
        <w:t xml:space="preserve">أيضا </w:t>
      </w:r>
      <w:r>
        <w:rPr>
          <w:rtl w:val="true"/>
        </w:rPr>
        <w:t>-</w:t>
      </w:r>
      <w:bookmarkEnd w:id="45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الكافي و الفقيه من الرّواية عنه</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أي كثرة تناول الأجلاء منه و روايتهم عنه، بل إكثار الجليل المتحرج في روايته في الرّواية عنه كالكليني عن محمد بن إسماعيل النّيسابوري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دليلا على قوّته، بل وثاقته كما لا يخفى على من راجع التّعليقة في محمد بن إسماعيل البندقي</w:t>
      </w:r>
      <w:r>
        <w:rPr>
          <w:rStyle w:val="FootnoteAnchor"/>
          <w:rtl w:val="true"/>
        </w:rPr>
        <w:footnoteReference w:id="728"/>
      </w:r>
      <w:r>
        <w:rPr>
          <w:rFonts w:ascii="IRNazanin" w:hAnsi="IRNazanin" w:eastAsia="IRNazanin"/>
          <w:color w:val="111111"/>
          <w:sz w:val="28"/>
          <w:sz w:val="28"/>
          <w:szCs w:val="28"/>
          <w:rtl w:val="true"/>
          <w:lang w:bidi="fa-IR"/>
        </w:rPr>
        <w:t>، فلاحظ و تأمّل</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316835_2142443653"/>
      <w:bookmarkStart w:id="455" w:name="_Toc171"/>
      <w:bookmarkEnd w:id="454"/>
      <w:r>
        <w:rPr>
          <w:rtl w:val="true"/>
        </w:rPr>
        <w:t>و منها</w:t>
      </w:r>
      <w:r>
        <w:rPr>
          <w:rtl w:val="true"/>
        </w:rPr>
        <w:t xml:space="preserve">: </w:t>
      </w:r>
      <w:r>
        <w:rPr>
          <w:rtl w:val="true"/>
        </w:rPr>
        <w:t>رواية الثقة الجليل عن غير واحد و عن رهط مطلقا أو مقيدا بقولهم</w:t>
      </w:r>
      <w:r>
        <w:rPr>
          <w:rtl w:val="true"/>
        </w:rPr>
        <w:t xml:space="preserve">: </w:t>
      </w:r>
      <w:r>
        <w:rPr>
          <w:rtl w:val="true"/>
        </w:rPr>
        <w:t>من أصحابنا،</w:t>
      </w:r>
      <w:bookmarkEnd w:id="4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هذه الرواية قوية غاية القوة، بل و أقوى من كثير من الصحاح، و ربّما يعدّ من الصحاح بناء على أنه يبعد أن لا يكون فيهم ثقة، و فيه تأمل</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ظاهر، ضرورة كون المدار على الظن، و هو لا يحصل من مجرد الاستبعاد</w:t>
      </w:r>
      <w:r>
        <w:rPr>
          <w:rFonts w:eastAsia="Amiri" w:cs="Amiri" w:ascii="Amiri" w:hAnsi="Amiri"/>
          <w:color w:val="111111"/>
          <w:sz w:val="28"/>
          <w:szCs w:val="28"/>
          <w:rtl w:val="true"/>
          <w:lang w:bidi="ar-SA"/>
        </w:rPr>
        <w:t xml:space="preserve">. </w:t>
      </w:r>
      <w:bookmarkStart w:id="456" w:name="pg15033_241701"/>
    </w:p>
    <w:p>
      <w:pPr>
        <w:pStyle w:val="BookText"/>
        <w:rPr/>
      </w:pPr>
      <w:bookmarkEnd w:id="456"/>
      <w:r>
        <w:rPr>
          <w:rFonts w:ascii="Amiri" w:hAnsi="Amiri" w:eastAsia="Amiri" w:cs="Amiri"/>
          <w:color w:val="111111"/>
          <w:sz w:val="28"/>
          <w:sz w:val="28"/>
          <w:szCs w:val="28"/>
          <w:rtl w:val="true"/>
          <w:lang w:bidi="ar-SA"/>
        </w:rPr>
        <w:t xml:space="preserve">ثم أنه نقل عن المحقق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ابن أبي عمير عن غير واحد عد روايته من الصحيح حتى عند من لم يعمل بمراسيله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إرسالها، لأن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بثبوت مدلولها عنده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 في تعليله تأمل فتأمل</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316837_2142443653"/>
      <w:bookmarkStart w:id="458" w:name="_Toc172"/>
      <w:bookmarkEnd w:id="457"/>
      <w:r>
        <w:rPr>
          <w:rtl w:val="true"/>
        </w:rPr>
        <w:t>و منها</w:t>
      </w:r>
      <w:r>
        <w:rPr>
          <w:rtl w:val="true"/>
        </w:rPr>
        <w:t xml:space="preserve">: </w:t>
      </w:r>
      <w:r>
        <w:rPr>
          <w:rtl w:val="true"/>
        </w:rPr>
        <w:t xml:space="preserve">رواية الثقة الجليل عن أشياخه قال </w:t>
      </w:r>
      <w:r>
        <w:rPr>
          <w:rtl w:val="true"/>
        </w:rPr>
        <w:t>(</w:t>
      </w:r>
      <w:r>
        <w:rPr>
          <w:rtl w:val="true"/>
        </w:rPr>
        <w:t>رحمه اللّه</w:t>
      </w:r>
      <w:r>
        <w:rPr>
          <w:rtl w:val="true"/>
        </w:rPr>
        <w:t>):</w:t>
      </w:r>
      <w:bookmarkEnd w:id="458"/>
    </w:p>
    <w:p>
      <w:pPr>
        <w:pStyle w:val="BookText"/>
        <w:rPr/>
      </w:pPr>
      <w:r>
        <w:rPr>
          <w:rFonts w:ascii="Amiri" w:hAnsi="Amiri" w:eastAsia="Amiri" w:cs="Amiri"/>
          <w:color w:val="111111"/>
          <w:sz w:val="28"/>
          <w:sz w:val="28"/>
          <w:szCs w:val="28"/>
          <w:rtl w:val="true"/>
          <w:lang w:bidi="ar-SA"/>
        </w:rPr>
        <w:t xml:space="preserve">فإن علم أن فيهم ثقة فالظاهر صحة الرواية، لأن هذه الإضافة تفيد العموم، و إلا فإن علم أنه من مشايخ الإجازة، أو فيهم من جملتهم،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الوجه، و كذا الحال فيما إذا كانوا أو كان فيهم من هو مثل شيخ الإجازة، و إلا فهي قوية غاية القوة مع احتمال الصحة لبعد الخلو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حمدويه عن أشياخه من قبيل الأول، لأن من جملتهم العبيدي و هو ثقة</w:t>
      </w:r>
      <w:r>
        <w:rPr>
          <w:rStyle w:val="FootnoteAnchor"/>
          <w:rtl w:val="true"/>
        </w:rPr>
        <w:footnoteReference w:id="733"/>
      </w:r>
      <w:r>
        <w:rPr>
          <w:rFonts w:ascii="Amiri" w:hAnsi="Amiri" w:eastAsia="Amiri" w:cs="Amiri"/>
          <w:color w:val="111111"/>
          <w:sz w:val="28"/>
          <w:sz w:val="28"/>
          <w:szCs w:val="28"/>
          <w:rtl w:val="true"/>
          <w:lang w:bidi="ar-SA"/>
        </w:rPr>
        <w:t>، و أيضا يروي عن الثقة و هو من جملة الشيوخ، فتدبر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316839_2142443653"/>
      <w:bookmarkStart w:id="460" w:name="_Toc173"/>
      <w:bookmarkEnd w:id="459"/>
      <w:r>
        <w:rPr>
          <w:rtl w:val="true"/>
        </w:rPr>
        <w:t>و منها</w:t>
      </w:r>
      <w:r>
        <w:rPr>
          <w:rtl w:val="true"/>
        </w:rPr>
        <w:t xml:space="preserve">: </w:t>
      </w:r>
      <w:r>
        <w:rPr>
          <w:rtl w:val="true"/>
        </w:rPr>
        <w:t>ذكر الجليل شخصا مترضيا أو مترحما،</w:t>
      </w:r>
      <w:bookmarkEnd w:id="46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يكشف عن </w:t>
      </w:r>
      <w:bookmarkStart w:id="461" w:name="pg15033_241702"/>
    </w:p>
    <w:p>
      <w:pPr>
        <w:pStyle w:val="BookText"/>
        <w:rPr/>
      </w:pPr>
      <w:bookmarkEnd w:id="461"/>
      <w:r>
        <w:rPr>
          <w:rFonts w:ascii="Amiri" w:hAnsi="Amiri" w:eastAsia="Amiri" w:cs="Amiri"/>
          <w:color w:val="111111"/>
          <w:sz w:val="28"/>
          <w:sz w:val="28"/>
          <w:szCs w:val="28"/>
          <w:rtl w:val="true"/>
          <w:lang w:bidi="ar-SA"/>
        </w:rPr>
        <w:t>حسن ذلك الشخص بل جلالته</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غيره لا يفيد الوثاقة و لا العدالة، بل و لا الحسن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نوع تقوية و مدح و حسن، بل يمكن التشكيك في هذا أيضا، لأن الترحم دعاء مطلوب مستحب في حق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الصادق عليه السّلام ترحم لكل من زار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سيدنا الخوئي دام ظله و عزّه و شوكته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ترحم لأشخاص خاصة معروفين بالفسق لما فيه ما يقتضي ذلك كالسيد إسماعيل الحميري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ترحّم الشيخ الصدوق أو محمد بن يعقوب و أمثالهما كاشفا عن حسن المترحم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النجاشي قد ترحّم على محمد بن عبد اللّه بن محمد بن عبيد اللّه بن البهلول بعد ما ذكر أنه رأى شيوخنا يضعفونه، و إنه لأجل ذلك لم يرو عنه شيئا و تجنبه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طلب الرحمة تشمل الفاسق و المؤمن، و لعله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موتاكم بالخير، و الترضي عن الشخص أعمّ من الحسن، و إن أمكن أن يقال أنه يعطي نوع قوة للراوي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إلا في مقام الترجيح،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ذلك في خامس تنبيهات المسألة الخامسة</w:t>
      </w:r>
      <w:r>
        <w:rPr>
          <w:rStyle w:val="FootnoteAnchor"/>
          <w:rtl w:val="true"/>
        </w:rPr>
        <w:footnoteReference w:id="73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462" w:name="__RefHeading___Toc316841_2142443653"/>
      <w:bookmarkStart w:id="463" w:name="_Toc174"/>
      <w:bookmarkEnd w:id="462"/>
      <w:r>
        <w:rPr>
          <w:rtl w:val="true"/>
        </w:rPr>
        <w:t>و منها</w:t>
      </w:r>
      <w:r>
        <w:rPr>
          <w:rtl w:val="true"/>
        </w:rPr>
        <w:t xml:space="preserve">: </w:t>
      </w:r>
      <w:r>
        <w:rPr>
          <w:rtl w:val="true"/>
        </w:rPr>
        <w:t>أن يقول الثقة</w:t>
      </w:r>
      <w:r>
        <w:rPr>
          <w:rtl w:val="true"/>
        </w:rPr>
        <w:t xml:space="preserve">: </w:t>
      </w:r>
      <w:r>
        <w:rPr>
          <w:rtl w:val="true"/>
        </w:rPr>
        <w:t>لا أحسبه إلا فلانا</w:t>
      </w:r>
      <w:bookmarkEnd w:id="46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يسمى ثقة أو </w:t>
      </w:r>
      <w:bookmarkStart w:id="464" w:name="pg15033_241703"/>
    </w:p>
    <w:p>
      <w:pPr>
        <w:pStyle w:val="BookText"/>
        <w:rPr/>
      </w:pPr>
      <w:bookmarkEnd w:id="464"/>
      <w:r>
        <w:rPr>
          <w:rFonts w:ascii="Amiri" w:hAnsi="Amiri" w:eastAsia="Amiri" w:cs="Amiri"/>
          <w:color w:val="111111"/>
          <w:sz w:val="28"/>
          <w:sz w:val="28"/>
          <w:szCs w:val="28"/>
          <w:rtl w:val="true"/>
          <w:lang w:bidi="ar-SA"/>
        </w:rPr>
        <w:t>ممدوحا، فإن ظاهرهم العمل به و البناء عليه</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يتأمل فيه بأنه لا دليل على حجية ظنّه بكون الواسطة هو من سماه، و ثبوت حجية الظن في الرجال لا يستلزم حجية الظن بالرجل أيضا، فتأمل</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316843_2142443653"/>
      <w:bookmarkStart w:id="466" w:name="_Toc175"/>
      <w:bookmarkEnd w:id="465"/>
      <w:r>
        <w:rPr>
          <w:rtl w:val="true"/>
        </w:rPr>
        <w:t>و منها</w:t>
      </w:r>
      <w:r>
        <w:rPr>
          <w:rtl w:val="true"/>
        </w:rPr>
        <w:t xml:space="preserve">: </w:t>
      </w:r>
      <w:r>
        <w:rPr>
          <w:rtl w:val="true"/>
        </w:rPr>
        <w:t>أن يقول الثقة</w:t>
      </w:r>
      <w:r>
        <w:rPr>
          <w:rtl w:val="true"/>
        </w:rPr>
        <w:t xml:space="preserve">: </w:t>
      </w:r>
      <w:r>
        <w:rPr>
          <w:rtl w:val="true"/>
        </w:rPr>
        <w:t>حدثني الثقة،</w:t>
      </w:r>
      <w:bookmarkEnd w:id="46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إفادته التوثيق المعتبر خلاف معروف، و حصول الظن منه ظاهر، و احتمال كونه في الواقع مقدوحا لا يمنع الظن فضلا عن احتمال كونه ممن ورد فيه قدح كما هو الحال في سائر التوثيقات</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قال في وصول الأخبار للشيخ حسين بن عبد الصمد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الراوي الثقة حدثني الثقة أو العدل و نحوهما لم يكف عند بعضهم، و الأصح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 الثقة حدثني الثقة، و أما لو قال حدثني غير واحد من أصحابنا أو جماعة من أصحابنا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الإشارة الى الخلاف في إفادته التوثيق في أول تنبيهات المسألة الخامسة،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تحصيل العلم و لما تعذّر اكتفى بالظن الأقرب، و هو الحاصل بعد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مع تعذّر البحث يكتفى بالظن كما هو الحال في التوثيقات و سائر الأدلة و الأمارات الاجتهادية، و ما دلّ على ذلك دلّ على هذا، و مراتب الظن متفاوتة جدا، و كون المعتبر هو أقوى مراتبه لم يقلّ به أحد، مع أنه على هذا لا يكاد يوجد حديث صحيح، </w:t>
      </w:r>
      <w:bookmarkStart w:id="467" w:name="pg15033_241704"/>
    </w:p>
    <w:p>
      <w:pPr>
        <w:pStyle w:val="BookText"/>
        <w:rPr/>
      </w:pPr>
      <w:bookmarkEnd w:id="467"/>
      <w:r>
        <w:rPr>
          <w:rFonts w:ascii="Amiri" w:hAnsi="Amiri" w:eastAsia="Amiri" w:cs="Amiri"/>
          <w:color w:val="111111"/>
          <w:sz w:val="28"/>
          <w:sz w:val="28"/>
          <w:szCs w:val="28"/>
          <w:rtl w:val="true"/>
          <w:lang w:bidi="ar-SA"/>
        </w:rPr>
        <w:t>بل و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خصوص ما اعتبر من الحد بأن هذا الحد معتبر دون ما هو أدون؛ انى لك بإثباته؟ بل ربما يكون الظن الحاصل في بعض التوثيقات بهذا الحد، بل و أدون، فتأمل</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أنه لو فرض تعيين حد له يكون الحاصل في بعض التوثيقات الذي هو أدون من الحد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 التحديد غير ثابت، و مقتضى دليل الانسداد المتقدم تقريره في كفاية توثيق الواحد هو حجية كل ظن في الرجال، فراجع و تدبر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316845_2142443653"/>
      <w:bookmarkStart w:id="469" w:name="_Toc176"/>
      <w:bookmarkEnd w:id="468"/>
      <w:r>
        <w:rPr>
          <w:rtl w:val="true"/>
        </w:rPr>
        <w:t>و منها</w:t>
      </w:r>
      <w:r>
        <w:rPr>
          <w:rtl w:val="true"/>
        </w:rPr>
        <w:t xml:space="preserve">: </w:t>
      </w:r>
      <w:r>
        <w:rPr>
          <w:rtl w:val="true"/>
        </w:rPr>
        <w:t>أن يكون الراوي ممن ادعي اتفاق الشيعة على العمل بروايته مثل</w:t>
      </w:r>
      <w:r>
        <w:rPr>
          <w:rtl w:val="true"/>
        </w:rPr>
        <w:t xml:space="preserve">: </w:t>
      </w:r>
      <w:r>
        <w:rPr>
          <w:rtl w:val="true"/>
        </w:rPr>
        <w:t>السكوني،</w:t>
      </w:r>
      <w:bookmarkEnd w:id="469"/>
    </w:p>
    <w:p>
      <w:pPr>
        <w:pStyle w:val="BookText"/>
        <w:rPr/>
      </w:pPr>
      <w:r>
        <w:rPr>
          <w:rFonts w:ascii="Amiri" w:hAnsi="Amiri" w:eastAsia="Amiri" w:cs="Amiri"/>
          <w:color w:val="111111"/>
          <w:sz w:val="28"/>
          <w:sz w:val="28"/>
          <w:szCs w:val="28"/>
          <w:rtl w:val="true"/>
          <w:lang w:bidi="ar-SA"/>
        </w:rPr>
        <w:t>و حفص بن غياث، و غياث بن كلوب، و نوح بن دراج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ماثلهم من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كذا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 سماعة بن مهران، و بني فضال</w:t>
      </w:r>
      <w:r>
        <w:rPr>
          <w:rStyle w:val="FootnoteAnchor"/>
          <w:rtl w:val="true"/>
        </w:rPr>
        <w:footnoteReference w:id="741"/>
      </w:r>
      <w:r>
        <w:rPr>
          <w:rFonts w:ascii="Amiri" w:hAnsi="Amiri" w:eastAsia="Amiri" w:cs="Amiri"/>
          <w:color w:val="111111"/>
          <w:sz w:val="28"/>
          <w:sz w:val="28"/>
          <w:szCs w:val="28"/>
          <w:rtl w:val="true"/>
          <w:lang w:bidi="ar-SA"/>
        </w:rPr>
        <w:t>، و الطاطريين</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قال الحموي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أين هي؟</w:t>
      </w:r>
    </w:p>
    <w:p>
      <w:pPr>
        <w:pStyle w:val="BookText"/>
        <w:rPr/>
      </w:pPr>
      <w:r>
        <w:rPr>
          <w:rFonts w:ascii="Amiri" w:hAnsi="Amiri" w:eastAsia="Amiri" w:cs="Amiri"/>
          <w:color w:val="111111"/>
          <w:sz w:val="28"/>
          <w:sz w:val="28"/>
          <w:szCs w:val="28"/>
          <w:rtl w:val="true"/>
          <w:lang w:bidi="ar-SA"/>
        </w:rPr>
        <w:t>و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جماعة منهم علي بن الحسن و محمد بن خلف و يوسف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أيضا على سعد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قيد بالجرمي تعيّن علي بن الحسن الطاطري خاصة لما قاله الشيخ في الفهرست في 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في الفقه رواها عن الرجال الموثوق بهم و برواياتهم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ترجمته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أخص من المدعى لأنه خصوص مروياته في الفقه إذا لم تعارض، إلا أنه يستشم منه قوة فيه و في رواياته في الجملة، أما ما رواه في أثناء السند فلا يحكم بوثاقته، لعدم إحراز روايته عنه في كتابه، فتدبر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عمار الساباطي، و علي بن أبي</w:t>
      </w:r>
    </w:p>
    <w:p>
      <w:pPr>
        <w:pStyle w:val="BookText"/>
        <w:rPr/>
      </w:pPr>
      <w:r>
        <w:rPr>
          <w:rFonts w:ascii="Amiri" w:hAnsi="Amiri" w:eastAsia="Amiri" w:cs="Amiri"/>
          <w:color w:val="111111"/>
          <w:sz w:val="28"/>
          <w:sz w:val="28"/>
          <w:szCs w:val="28"/>
          <w:rtl w:val="true"/>
          <w:lang w:bidi="ar-SA"/>
        </w:rPr>
        <w:t>حمزة، و عثمان بن عيسى من غير العامة</w:t>
      </w:r>
      <w:r>
        <w:rPr>
          <w:rStyle w:val="FootnoteAnchor"/>
          <w:rtl w:val="true"/>
        </w:rPr>
        <w:footnoteReference w:id="743"/>
      </w:r>
      <w:r>
        <w:rPr>
          <w:rFonts w:ascii="Amiri" w:hAnsi="Amiri" w:eastAsia="Amiri" w:cs="Amiri"/>
          <w:color w:val="111111"/>
          <w:sz w:val="28"/>
          <w:sz w:val="28"/>
          <w:szCs w:val="28"/>
          <w:rtl w:val="true"/>
          <w:lang w:bidi="ar-SA"/>
        </w:rPr>
        <w:t>، فإن جميع هؤلاء نقل الشيخ عمل الطائفة بما رووه</w:t>
      </w:r>
      <w:r>
        <w:rPr>
          <w:rStyle w:val="FootnoteAnchor"/>
          <w:rtl w:val="true"/>
        </w:rPr>
        <w:footnoteReference w:id="744"/>
      </w:r>
      <w:r>
        <w:rPr>
          <w:rFonts w:ascii="Amiri" w:hAnsi="Amiri" w:eastAsia="Amiri" w:cs="Amiri"/>
          <w:color w:val="111111"/>
          <w:sz w:val="28"/>
          <w:sz w:val="28"/>
          <w:szCs w:val="28"/>
          <w:rtl w:val="true"/>
          <w:lang w:bidi="ar-SA"/>
        </w:rPr>
        <w:t xml:space="preserve">، و ربما ادعى بعضهم ثبوت الموثقية من نقل الشيخ هذا، و هو في محله، بل ربما جعل ذلك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بالموثقية، و هو غير بعيد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المولى الوحيد</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الشيخ محمد إنكار كون الإجماع على العمل بروايته توثيقا، ثم نفى البعد عن كونه توثيقا على قياس ما ذكر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ذلك توثيقا لهم في أنفسهم باعتبار عدم إمكان إجماعهم على العمل برواية غير الثقة، سيما مع اختلاف مشاربهم، و اعتبار جمع منهم العدالة، فلا أقل من كون ذلك توثيقا لهم في خصوص الرواية، و ذلك كاف على الأظهر</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بإطلاق كلام النجاشي في جعفر بن بشير و محمد بن إسماعيل بن ميمون الزعفراني و كلام الشيخ في علي بن الحسن الطاطري و أشباههم، لا يفيد الحصر في عدم روايتهم عن غير الثقة، غاية الأمر كون روايتهم عن الثقات و رواية الثقات عنهم كثيرة، و قد أفرط شيخنا النوري رضوان اللّه عليه في مستدركه فجعل رواية مطلق الثقة عن أحد كاشفا عن وثاقته و اعتباره، و قد مر كلامه في المستدرك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مناقشتنا اياه، فلاحظ، و غاية ما يفيده الاعتماد و هو بعيد عن الشهادة بالوثاقة أو الحسن، بل الرواية عن أحد لا تدل على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حكى المولى عن المحقق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من كتبه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الإمامية مجمعة على العمل برواية السكوني، و عمار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ماثلهما من الثقات، و أظن أن توثيق السكوني أخذ من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ماثلهما من الثقات، و احتمال أن يريد من ماثلهما من مخالفي</w:t>
      </w:r>
      <w:r>
        <w:rPr>
          <w:rStyle w:val="FootnoteAnchor"/>
          <w:rtl w:val="true"/>
        </w:rPr>
        <w:footnoteReference w:id="747"/>
      </w:r>
      <w:r>
        <w:rPr>
          <w:rFonts w:ascii="Amiri" w:hAnsi="Amiri" w:eastAsia="Amiri" w:cs="Amiri"/>
          <w:color w:val="111111"/>
          <w:sz w:val="28"/>
          <w:sz w:val="28"/>
          <w:szCs w:val="28"/>
          <w:rtl w:val="true"/>
          <w:lang w:bidi="ar-SA"/>
        </w:rPr>
        <w:t xml:space="preserve">الثقات، لأن كون السكوني ثقة ممكن و ان بعد، إلا أن عدم توثيقه في الرجال يؤيده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على أنه قال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برواية الواقفية و الفطحية </w:t>
      </w:r>
      <w:bookmarkStart w:id="470" w:name="pg15033_241707"/>
    </w:p>
    <w:p>
      <w:pPr>
        <w:pStyle w:val="BookText"/>
        <w:rPr/>
      </w:pPr>
      <w:bookmarkEnd w:id="470"/>
      <w:r>
        <w:rPr>
          <w:rFonts w:ascii="Amiri" w:hAnsi="Amiri" w:eastAsia="Amiri" w:cs="Amiri"/>
          <w:color w:val="111111"/>
          <w:sz w:val="28"/>
          <w:sz w:val="28"/>
          <w:szCs w:val="28"/>
          <w:rtl w:val="true"/>
          <w:lang w:bidi="ar-SA"/>
        </w:rPr>
        <w:t xml:space="preserve">إذا كانوا ثقات في النقل و ان كانوا مخطئين في الاعتقاد، و إذا علم من اعتقادهم تمسكهم بالدين و تحرزهم عن الكذب و وضع الأحاديث، و هذه كانت طريقة جماعة عاصروا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عبد اللّه بن بكير، و سماعة بن مهران، و نحو بني فضال من المتأخرين، و بني سماعة و من 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إنا نقول الظن الحاصل من عمل الطائفة أقوى من الموثقية بمراتب شتى، و لا أقل من التساوي، و كون العمل برواية الموثق من جهة عدالته محل تأمل</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316847_2142443653"/>
      <w:bookmarkStart w:id="472" w:name="_Toc177"/>
      <w:bookmarkEnd w:id="471"/>
      <w:r>
        <w:rPr>
          <w:rtl w:val="true"/>
        </w:rPr>
        <w:t>و منها</w:t>
      </w:r>
      <w:r>
        <w:rPr>
          <w:rtl w:val="true"/>
        </w:rPr>
        <w:t xml:space="preserve">: </w:t>
      </w:r>
      <w:r>
        <w:rPr>
          <w:rtl w:val="true"/>
        </w:rPr>
        <w:t xml:space="preserve">وقوع الرجل في السند الذي حكم العلامة </w:t>
      </w:r>
      <w:r>
        <w:rPr>
          <w:rtl w:val="true"/>
        </w:rPr>
        <w:t>(</w:t>
      </w:r>
      <w:r>
        <w:rPr>
          <w:rtl w:val="true"/>
        </w:rPr>
        <w:t>رحمه اللّه</w:t>
      </w:r>
      <w:r>
        <w:rPr>
          <w:rtl w:val="true"/>
        </w:rPr>
        <w:t xml:space="preserve">) </w:t>
      </w:r>
      <w:r>
        <w:rPr>
          <w:rtl w:val="true"/>
        </w:rPr>
        <w:t>بصحة حديثه،</w:t>
      </w:r>
      <w:bookmarkEnd w:id="4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حكم بعض بتوثيقه من هذه الجهة، و 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متيل، و إبراهيم بن مهزيار، و أحمد بن عبد الواحد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 إطلاق الصحة في الثقات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إياها على غيرها نادر، و هو لا يضر، لعدم منع ذلك ظهوره فيما ذكرنا، سيما بعد ملاحظة طريقته، و جعل الصحة اصطلاحا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يخفى أن حكمه بصحة حديثه دفعة أو دفعتين مثلا غير ظاهر في توثيقه، بل ظاهر في خلافه، بملاحظة عدم توثيقه و عدم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ممن أكثر تصحيح حديثه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و أحمد بن عبد الواحد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نظائرهما فلا يبعد ظهوره في التوثيق</w:t>
      </w:r>
      <w:r>
        <w:rPr>
          <w:rStyle w:val="FootnoteAnchor"/>
          <w:rtl w:val="true"/>
        </w:rPr>
        <w:footnoteReference w:id="750"/>
      </w:r>
      <w:r>
        <w:rPr>
          <w:rFonts w:ascii="Amiri" w:hAnsi="Amiri" w:eastAsia="Amiri" w:cs="Amiri"/>
          <w:color w:val="111111"/>
          <w:sz w:val="28"/>
          <w:sz w:val="28"/>
          <w:szCs w:val="28"/>
          <w:rtl w:val="true"/>
          <w:lang w:bidi="ar-SA"/>
        </w:rPr>
        <w:t>، و احتمال كون تصحيحه كذلك من أنهم من مشايخ الإجازة فلا يضر مجهوليتهم، أو لظنه بوثاقتهم فليس من باب الشهادة،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بناءه التصحيح على كونهم من مشايخ الإجازة لا وجه له، ضرورة أن مشايخ الإجازة كثيرون، فلا وجه لقصر التصحيح على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الاعتراض بأن كثيرا من مشايخ الاجازة كانوا فاسدي العقيدة، مندفع بأن ذلك ينافي العدالة بالمعنى الأخص لا بالمعنى الأعم، و خصوصية الاخص تثبت بانضمام ظهور كونه اماميا من الخارج،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ربما يكون ظاهر شيخوخة الاجازة حسن العقيدة الا أن يظهر الخلاف،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 أن مشايخ الإجازة لا يضر مجهوليتهم، لأن حديثهم مأخوذ عن الأصول المعلومة، و ذكرهم لمجرد الاتصال أو للتبرك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ظاهر، مضافا الى عدم انحصار ما ذكر في خصوص تلك الجماعة، فكم معروف منهم بالجلالة و الحسن لم </w:t>
      </w:r>
    </w:p>
    <w:p>
      <w:pPr>
        <w:pStyle w:val="BookText"/>
        <w:rPr/>
      </w:pPr>
      <w:r>
        <w:rPr>
          <w:rFonts w:ascii="Amiri" w:hAnsi="Amiri" w:eastAsia="Amiri" w:cs="Amiri"/>
          <w:color w:val="111111"/>
          <w:sz w:val="28"/>
          <w:sz w:val="28"/>
          <w:szCs w:val="28"/>
          <w:rtl w:val="true"/>
          <w:lang w:bidi="ar-SA"/>
        </w:rPr>
        <w:t>يصححوا حديثه فضلا عن المجهول؟ على أنه لا وجه حينئذ لتضعيف أحاديث سهل بن زياد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من الضعفاء ممن حاله في الوساطة للكتب حال تلك الجماعة، مشايخ الإجازة كانوا أم لا، فلا وجه للتخصيص بمشايخ الإجازة، و لا من بينهم بتلك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غيرهم ربما يروي من غير تلك الأصول و الجماعة لا يروون عنه أصلا و كان ذلك ظاهرا على العلامة، بل و من تأخر عنه أيضا الى حد لم يتحقق خلاف و لا تأمل منهم، و إن كان في أمثال زماننا خفيا لعله جزاف، بل خروج عن الانصاف، على أن النقل عنها غير معلوم اغناؤه عن التعديل لعدم معلومية كل واحد من أحاديثنا بالخصوص، و كذا بالكيفية المودعة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القدماء كانوا لا يروونها إلا بالإجازة أو القراءة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أمثالهما، و يلاحظون الواسطة غالبا، حتى في كتب الحسين بن سعيد الذي رواية تلك الجماعة جلّها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في وجه الحكم بالصحة إن الاتفاق على الحكم بها دليل على الوثاقة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إن منشأ الاتفاق أحد الأمور المذكورة</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سلسلة إسناد الاعلام المتأخرين إنما تنتهي طرقهم الى الأصول العامة و الكتب و المعاصرين للمعصومين عليهم السّلام الى الشيخ، و يحيلون ما بعد ذلك الى طرقه، و الشيخ هو حلقة الاتصال بين المتأخرين و أرباب الأصول، و لا طريق للمتأخرين الى توثيقات رواتها و تضعيفهم غالبا إلا الاستنباط و إعمال الرأي و النظر الذي ليس بحجة على مجتهد آخر و لا هو شهادة حسية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أحمد العقيقي ردا على أبي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العلامة يعتمد على كل امامي لم يرد فيه قدح، فلا أثر لاعتماده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دام ظله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العلامة يعتمد على كل إمامي لم يرد فيه قدح، يظهر ذلك مما ذكره في ترجمة أحمد ابن إسماعيل بن سمكة و غيره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5033_241710"/>
    </w:p>
    <w:p>
      <w:pPr>
        <w:pStyle w:val="Heading6"/>
        <w:numPr>
          <w:ilvl w:val="5"/>
          <w:numId w:val="1"/>
        </w:numPr>
        <w:rPr/>
      </w:pPr>
      <w:bookmarkStart w:id="474" w:name="__RefHeading___Toc316849_2142443653"/>
      <w:bookmarkStart w:id="475" w:name="_Toc178"/>
      <w:bookmarkEnd w:id="473"/>
      <w:bookmarkEnd w:id="474"/>
      <w:r>
        <w:rPr>
          <w:rtl w:val="true"/>
        </w:rPr>
        <w:t>و منها</w:t>
      </w:r>
      <w:r>
        <w:rPr>
          <w:rtl w:val="true"/>
        </w:rPr>
        <w:t xml:space="preserve">: </w:t>
      </w:r>
      <w:r>
        <w:rPr>
          <w:rtl w:val="true"/>
        </w:rPr>
        <w:t>أن ينقل حديث غير صحيح متضمن لوثاقة الرجل أو جلالته أو مدحه،</w:t>
      </w:r>
      <w:bookmarkEnd w:id="475"/>
    </w:p>
    <w:p>
      <w:pPr>
        <w:pStyle w:val="BookText"/>
        <w:rPr/>
      </w:pPr>
      <w:r>
        <w:rPr>
          <w:rFonts w:ascii="Amiri" w:hAnsi="Amiri" w:eastAsia="Amiri" w:cs="Amiri"/>
          <w:color w:val="111111"/>
          <w:sz w:val="28"/>
          <w:sz w:val="28"/>
          <w:szCs w:val="28"/>
          <w:rtl w:val="true"/>
          <w:lang w:bidi="ar-SA"/>
        </w:rPr>
        <w:t>فإن المظنون تحققها فيه و إن لم يصل الحديث الى حد الصحة حتى يكون حجة في نفسه عند المتأخرين، و الظن نافع في مقام الاعتداد و الاكتفاء به، و إذا تأيد مثل هذا الحديث باعتداد المشايخ و نقلهم إياه في مقام بيان حال الرجل و عدم إظهار تأمل فيه الظاهر في اعتمادهم عليه قوي الظن، و ربما يحكمون بثبوتها بمثله</w:t>
      </w:r>
      <w:r>
        <w:rPr>
          <w:rStyle w:val="FootnoteAnchor"/>
          <w:rtl w:val="true"/>
        </w:rPr>
        <w:footnoteReference w:id="753"/>
      </w:r>
      <w:r>
        <w:rPr>
          <w:rFonts w:ascii="Amiri" w:hAnsi="Amiri" w:eastAsia="Amiri" w:cs="Amiri"/>
          <w:color w:val="111111"/>
          <w:sz w:val="28"/>
          <w:sz w:val="28"/>
          <w:szCs w:val="28"/>
          <w:rtl w:val="true"/>
          <w:lang w:bidi="ar-SA"/>
        </w:rPr>
        <w:t>كما في تراجم كثيرة، و إذا تأيد بمؤيد معتد به يحكمون بها البتة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6" w:name="__RefHeading___Toc316851_2142443653"/>
      <w:bookmarkStart w:id="477" w:name="_Toc179"/>
      <w:bookmarkEnd w:id="476"/>
      <w:r>
        <w:rPr>
          <w:rtl w:val="true"/>
        </w:rPr>
        <w:t>و منها</w:t>
      </w:r>
      <w:r>
        <w:rPr>
          <w:rtl w:val="true"/>
        </w:rPr>
        <w:t xml:space="preserve">: </w:t>
      </w:r>
      <w:r>
        <w:rPr>
          <w:rtl w:val="true"/>
        </w:rPr>
        <w:t>أن يروي الراوي لنفسه ما يدلّ على أحد الأمور</w:t>
      </w:r>
      <w:bookmarkStart w:id="478" w:name="pg15033_241711"/>
      <w:bookmarkEnd w:id="477"/>
    </w:p>
    <w:p>
      <w:pPr>
        <w:pStyle w:val="BookText"/>
        <w:rPr/>
      </w:pPr>
      <w:bookmarkEnd w:id="478"/>
      <w:r>
        <w:rPr>
          <w:rFonts w:ascii="Amiri" w:hAnsi="Amiri" w:eastAsia="Amiri" w:cs="Amiri"/>
          <w:color w:val="111111"/>
          <w:sz w:val="28"/>
          <w:sz w:val="28"/>
          <w:szCs w:val="28"/>
          <w:rtl w:val="true"/>
          <w:lang w:bidi="ar-SA"/>
        </w:rPr>
        <w:t>المذكورة، و هذا أضعف من السابق، و قد يحصل الظن به بسبب اعتداد المشايخ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قد اعتبروا مثل هذا في كثير من التراجم</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316853_2142443653"/>
      <w:bookmarkStart w:id="480" w:name="_Toc180"/>
      <w:bookmarkEnd w:id="479"/>
      <w:r>
        <w:rPr>
          <w:rtl w:val="true"/>
        </w:rPr>
        <w:t>و منها</w:t>
      </w:r>
      <w:r>
        <w:rPr>
          <w:rtl w:val="true"/>
        </w:rPr>
        <w:t xml:space="preserve">: </w:t>
      </w:r>
      <w:r>
        <w:rPr>
          <w:rtl w:val="true"/>
        </w:rPr>
        <w:t>أن يكون الراوي من آل أبي جهم ،</w:t>
      </w:r>
      <w:bookmarkEnd w:id="48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من آل أبي جهم</w:t>
      </w:r>
      <w:r>
        <w:rPr>
          <w:rStyle w:val="FootnoteAnchor"/>
          <w:rtl w:val="true"/>
        </w:rPr>
        <w:footnoteReference w:id="7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ذكره النجاشي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بن محمد بن المنذر بن سعيد بن أبي الجهم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أصحابنا من بيت جليل</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الجهم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الجهم بيت كبير بالكوفة</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مدح البيت مدح لرجاله لا محالة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1" w:name="__RefHeading___Toc316855_2142443653"/>
      <w:bookmarkStart w:id="482" w:name="_Toc181"/>
      <w:bookmarkEnd w:id="481"/>
      <w:r>
        <w:rPr>
          <w:rtl w:val="true"/>
        </w:rPr>
        <w:t>و منها</w:t>
      </w:r>
      <w:r>
        <w:rPr>
          <w:rtl w:val="true"/>
        </w:rPr>
        <w:t xml:space="preserve">: </w:t>
      </w:r>
      <w:r>
        <w:rPr>
          <w:rtl w:val="true"/>
        </w:rPr>
        <w:t>أن يكون الراوي من آل أبي شعبة ،</w:t>
      </w:r>
      <w:bookmarkEnd w:id="48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من آل أبي شعبة</w:t>
      </w:r>
      <w:r>
        <w:rPr>
          <w:rStyle w:val="FootnoteAnchor"/>
          <w:rtl w:val="true"/>
        </w:rPr>
        <w:footnoteReference w:id="759"/>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ذكره النجاشي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عليّ بن أبي </w:t>
      </w:r>
      <w:bookmarkStart w:id="483" w:name="pg15033_241712"/>
    </w:p>
    <w:p>
      <w:pPr>
        <w:pStyle w:val="BookText"/>
        <w:rPr/>
      </w:pPr>
      <w:bookmarkEnd w:id="483"/>
      <w:r>
        <w:rPr>
          <w:rFonts w:ascii="Amiri" w:hAnsi="Amiri" w:eastAsia="Amiri" w:cs="Amiri"/>
          <w:color w:val="111111"/>
          <w:sz w:val="28"/>
          <w:sz w:val="28"/>
          <w:szCs w:val="28"/>
          <w:rtl w:val="true"/>
          <w:lang w:bidi="ar-SA"/>
        </w:rPr>
        <w:t>شعبة الحلبي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شعبة</w:t>
      </w:r>
      <w:r>
        <w:rPr>
          <w:rStyle w:val="FootnoteAnchor"/>
          <w:rtl w:val="true"/>
        </w:rPr>
        <w:footnoteReference w:id="760"/>
      </w:r>
      <w:r>
        <w:rPr>
          <w:rFonts w:ascii="Amiri" w:hAnsi="Amiri" w:eastAsia="Amiri" w:cs="Amiri"/>
          <w:color w:val="111111"/>
          <w:sz w:val="28"/>
          <w:sz w:val="28"/>
          <w:szCs w:val="28"/>
          <w:rtl w:val="true"/>
          <w:lang w:bidi="ar-SA"/>
        </w:rPr>
        <w:t>بيت مذكور من أصحابنا</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جدهم أبو شعبة عن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جميعهم ثقات مرجوعا الى ما يقولون</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316857_2142443653"/>
      <w:bookmarkStart w:id="485" w:name="_Toc182"/>
      <w:bookmarkEnd w:id="484"/>
      <w:r>
        <w:rPr>
          <w:rtl w:val="true"/>
        </w:rPr>
        <w:t>و منها</w:t>
      </w:r>
      <w:r>
        <w:rPr>
          <w:rtl w:val="true"/>
        </w:rPr>
        <w:t xml:space="preserve">: </w:t>
      </w:r>
      <w:r>
        <w:rPr>
          <w:rtl w:val="true"/>
        </w:rPr>
        <w:t>كون الرّاوي من بيت آل نعيم الأزدي ،</w:t>
      </w:r>
      <w:bookmarkEnd w:id="48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من بيت آل نعيم الأزدي</w:t>
      </w:r>
      <w:r>
        <w:rPr>
          <w:rStyle w:val="FootnoteAnchor"/>
          <w:rtl w:val="true"/>
        </w:rPr>
        <w:footnoteReference w:id="7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ذكره النجاشي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الأزدي</w:t>
      </w:r>
      <w:r>
        <w:rPr>
          <w:rStyle w:val="FootnoteAnchor"/>
          <w:rtl w:val="true"/>
        </w:rPr>
        <w:footnoteReference w:id="76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في هذه الطّائفة، من بيت جليل بالكوفة من آل نعيم</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كذا في ترجمة جعفر بن المثنّى من قوله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وجوه أصحابنا الكوفيّين، و من بيت آل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قد بسط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كتابه في الرجال الكلام في جملة من أهل البيوت تحت عنوان الآل و بني، و بالنظر الى فوائده نأمر بطبعه عينا بعد هذه الرسالة 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6" w:name="__RefHeading___Toc316859_2142443653"/>
      <w:bookmarkStart w:id="487" w:name="_Toc183"/>
      <w:bookmarkEnd w:id="486"/>
      <w:r>
        <w:rPr>
          <w:rtl w:val="true"/>
        </w:rPr>
        <w:t>و منها</w:t>
      </w:r>
      <w:r>
        <w:rPr>
          <w:rtl w:val="true"/>
        </w:rPr>
        <w:t xml:space="preserve">: </w:t>
      </w:r>
      <w:r>
        <w:rPr>
          <w:rtl w:val="true"/>
        </w:rPr>
        <w:t>أن يذكره الكشّي و لا يطعن عليه ،</w:t>
      </w:r>
      <w:bookmarkEnd w:id="48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 الكشّي و لا يطعن عليه</w:t>
      </w:r>
      <w:r>
        <w:rPr>
          <w:rStyle w:val="FootnoteAnchor"/>
          <w:rtl w:val="true"/>
        </w:rPr>
        <w:footnoteReference w:id="765"/>
      </w:r>
      <w:r>
        <w:rPr>
          <w:rFonts w:ascii="IRNazanin" w:hAnsi="IRNazanin" w:eastAsia="IRNazanin"/>
          <w:color w:val="111111"/>
          <w:sz w:val="28"/>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ربّما جعله </w:t>
      </w:r>
      <w:bookmarkStart w:id="488" w:name="pg15033_241713"/>
    </w:p>
    <w:p>
      <w:pPr>
        <w:pStyle w:val="BookText"/>
        <w:rPr/>
      </w:pPr>
      <w:bookmarkEnd w:id="488"/>
      <w:r>
        <w:rPr>
          <w:rFonts w:ascii="Amiri" w:hAnsi="Amiri" w:eastAsia="Amiri" w:cs="Amiri"/>
          <w:color w:val="111111"/>
          <w:sz w:val="28"/>
          <w:sz w:val="28"/>
          <w:szCs w:val="28"/>
          <w:rtl w:val="true"/>
          <w:lang w:bidi="ar-SA"/>
        </w:rPr>
        <w:t xml:space="preserve">بعضهم سبب قبول روايته، أ لا ترى الى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الجمعة من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الحكم بن مسكين في السّند غير قادح و لا موجب للضّعف، لأنّ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لم يطعن عليه</w:t>
      </w:r>
      <w:r>
        <w:rPr>
          <w:rStyle w:val="FootnoteAnchor"/>
          <w:rtl w:val="true"/>
        </w:rPr>
        <w:footnoteReference w:id="76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16861_2142443653"/>
      <w:bookmarkStart w:id="490" w:name="_Toc184"/>
      <w:bookmarkEnd w:id="489"/>
      <w:r>
        <w:rPr>
          <w:rtl w:val="true"/>
        </w:rPr>
        <w:t>و منها</w:t>
      </w:r>
      <w:r>
        <w:rPr>
          <w:rtl w:val="true"/>
        </w:rPr>
        <w:t xml:space="preserve">: </w:t>
      </w:r>
      <w:r>
        <w:rPr>
          <w:rtl w:val="true"/>
        </w:rPr>
        <w:t>أن يقول العدل</w:t>
      </w:r>
      <w:r>
        <w:rPr>
          <w:rtl w:val="true"/>
        </w:rPr>
        <w:t xml:space="preserve">: </w:t>
      </w:r>
      <w:r>
        <w:rPr>
          <w:rtl w:val="true"/>
        </w:rPr>
        <w:t>حدثني بعض أصحابنا</w:t>
      </w:r>
      <w:r>
        <w:rPr>
          <w:rtl w:val="true"/>
        </w:rPr>
        <w:t>.</w:t>
      </w:r>
      <w:bookmarkEnd w:id="490"/>
    </w:p>
    <w:p>
      <w:pPr>
        <w:pStyle w:val="Heading6"/>
        <w:numPr>
          <w:ilvl w:val="5"/>
          <w:numId w:val="1"/>
        </w:numPr>
        <w:rPr/>
      </w:pPr>
      <w:bookmarkStart w:id="491" w:name="__RefHeading___Toc316863_2142443653"/>
      <w:bookmarkStart w:id="492" w:name="_Toc185"/>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 xml:space="preserve">فقد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يقبل و ان لم يصفه بالعدالة إذا لم يصفه بالفسوق، لأنّ اخباره بمذهبه شهادة بأنّه من أهل الأمانة، و لم يعلم منه الفسق المانع من القبول،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لم يقبل، لإمكان أن يعني نسبته الى الرّواة و أهل العلم، فيكون البحث فيه كالمجهول</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و إن لم يصفه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يصفه بالفسوق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أخباره بمذهبه شهادة بأنّه من أهل الأمانة، و لم يعلم منه الفسوق المانع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يقبل، لإمكان أن يعني نسبته الى الرّواة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 فيكون البحث فيه كالمجهول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ما ذكره غير</w:t>
      </w:r>
      <w:bookmarkStart w:id="493" w:name="pg15033_241714"/>
    </w:p>
    <w:p>
      <w:pPr>
        <w:pStyle w:val="BookText"/>
        <w:rPr/>
      </w:pPr>
      <w:bookmarkEnd w:id="493"/>
      <w:r>
        <w:rPr>
          <w:rFonts w:ascii="Amiri" w:hAnsi="Amiri" w:eastAsia="Amiri" w:cs="Amiri"/>
          <w:color w:val="111111"/>
          <w:sz w:val="28"/>
          <w:sz w:val="28"/>
          <w:szCs w:val="28"/>
          <w:rtl w:val="true"/>
          <w:lang w:bidi="ar-SA"/>
        </w:rPr>
        <w:t>مستقيم، لأنّ السّكوت عن تفسيقه أعمّ من التّوثيق، مضافا الى عدم صراحة بعض أصحابنا في كون المقول فيه إماميا كما مرّ، فتأمّل</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المولى النراقي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4" w:name="__RefHeading___Toc316865_2142443653"/>
      <w:bookmarkStart w:id="495" w:name="_Toc186"/>
      <w:bookmarkEnd w:id="494"/>
      <w:r>
        <w:rPr>
          <w:rtl w:val="true"/>
        </w:rPr>
        <w:t>تذييل يتضمن أمرين</w:t>
      </w:r>
      <w:r>
        <w:rPr>
          <w:rtl w:val="true"/>
        </w:rPr>
        <w:t>:</w:t>
      </w:r>
      <w:bookmarkEnd w:id="495"/>
    </w:p>
    <w:p>
      <w:pPr>
        <w:pStyle w:val="Heading6"/>
        <w:numPr>
          <w:ilvl w:val="5"/>
          <w:numId w:val="1"/>
        </w:numPr>
        <w:rPr/>
      </w:pPr>
      <w:bookmarkStart w:id="496" w:name="__RefHeading___Toc316867_2142443653"/>
      <w:bookmarkStart w:id="497" w:name="_Toc187"/>
      <w:bookmarkEnd w:id="496"/>
      <w:r>
        <w:rPr>
          <w:rtl w:val="true"/>
        </w:rPr>
        <w:t>الاول</w:t>
      </w:r>
      <w:r>
        <w:rPr>
          <w:rtl w:val="true"/>
        </w:rPr>
        <w:t xml:space="preserve">: </w:t>
      </w:r>
      <w:r>
        <w:rPr>
          <w:rtl w:val="true"/>
        </w:rPr>
        <w:t>كون هذه الامارات كثيرة جدا</w:t>
      </w:r>
      <w:bookmarkEnd w:id="49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إيراد ما ذكر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الأمارات و القرائن كثيرة، و من القرائن لحجية الخبر وقوع الاتفاق على العمل به، أو على الفتوى به، أو كونه مشهورا بحسب الرواية أو الفتوى، أو مقبولا مثل مقبولة عمر بن حنظلة، أو موافقا للكتاب أو السنة أو الإجماع أو حكم العقل أو التجربة، مثل ما ورد في خواص الآيات و الأعمال و الأدعية التي خاصيتها مجربة، مثل قراءة آخر الكهف للانتباه في الساعة التي تراد، </w:t>
      </w:r>
      <w:bookmarkStart w:id="498" w:name="pg15033_241715"/>
    </w:p>
    <w:p>
      <w:pPr>
        <w:pStyle w:val="BookText"/>
        <w:rPr/>
      </w:pPr>
      <w:bookmarkEnd w:id="49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أو يكون في متنه ما يشهد بكونه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خطب نهج البلاغة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نظائرها و الصحيفة السجادية، و دعاء أبي حمزة، و الزيارة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و مثل كونه كثيرا مستفيضا، أو عالي السند مثل الروايات التي رواها الكليني و ابن الوليد و الصفار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أمثالهم، بل و الصدوق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أمثاله أيضا عن القائم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العسكري و التقي و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ينبغي للمجتهد التنبّه لنظائر ما نبّهنا عليه، و الهداية من اللّه تعالى</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316869_2142443653"/>
      <w:bookmarkStart w:id="500" w:name="_Toc188"/>
      <w:bookmarkEnd w:id="499"/>
      <w:r>
        <w:rPr>
          <w:rtl w:val="true"/>
        </w:rPr>
        <w:t>الثاني</w:t>
      </w:r>
      <w:r>
        <w:rPr>
          <w:rtl w:val="true"/>
        </w:rPr>
        <w:t xml:space="preserve">: </w:t>
      </w:r>
      <w:r>
        <w:rPr>
          <w:rtl w:val="true"/>
        </w:rPr>
        <w:t>كون المدار في هذه الامارات على الظن الفعلي</w:t>
      </w:r>
      <w:bookmarkEnd w:id="50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يخفى عليك أن المدار فيما ذكرناه في هذا المقام و سابقه من ألفاظ التوثيق و المدح و أماراتها إنما هو على الظن الفعلي، فما لم يفد منها الظن الفعلي لا عبرة به، و ما أفاده كان معتبرا و إن كان من أضعف الألفاظ دلالة، فقد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شخص أدل على الوثاقة من 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مسامحة الثاني و نهاية دقّة الأول، أ لا ترى الى وقوع التأمل في توثيقات جماعة حتى عدوه من إمارات المدح دون التوثيق، فمن تلك الجماعة ابن فضال و ابن عقدة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ماثلهما في عدم كونه إماميا، فإنه قد تأمل جمع في توثيقاتهم نظرا الى عدم كونهم من الإمامية، و هو بناء على كون اعتبار التزكية من باب الشهادة لا بأس به، و أما على المشهور المنصور من كونها من باب الوثوق و الظن الذي ثبتت حجيته في الرجال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توثيق ابن نمير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ماثله فلا يبعد حصول وثاقة منه، بعد ملاحظة اعتداد المشايخ به و اعتمادهم، سيما إذا ظهر تشيع من وثّقوه كما هو في كثير من التراجم، و خصوصا إذا اعترف الموثّق نفسه بتشيعه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ابن طاوس، فإن المحقق الشيخ محمدا توقف في توثيقاته، و توقف صاحب المعالم في توثيقاتهما و توثيق الشهيد، و هو كما ترى، و لذا اعترض عليهما المجلسي الأول بأن العادل أخبر بالعدالة أو شهد بها فلا بد من القبول</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قال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تثبت به الوثاقة أو الحسن أيضا أن ينص على ذلك أحد الاعلام المتأخرين، بشرط أن يكون من أخبر عن وثاقته معاصرا للمخبر أو قريب العصر منه، كما يتفق ذلك في توثيقات الشيخ منتجب الدين أو ابن شهرآشوب، و أما في غير ذلك كما في توثيقات ابن طاوس و العلامة و ابن داود و من تأخر عنهم كالمجلسي لمن كان بعيدا عن عصرهم فلا عبرة بها، فإنها مبنية على الحدس و الاجتهاد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لعدم الفرق بين القدماء و المتأخرين في شهاداتهم الرجالية و عدم قبول دعوى من لحق الشيخ تبعه و قلده، و ما استشهد به في انتهاء سلسلة أسانيدهم الى الشيخ، فذاك تام في مقام الرواية و لا يمكن إسراؤه الى مقام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يوهن الجزم بهذه الدعوى، خصوصا عند من كان مداره الوثوق و الاطمئنان، فتدبر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قصرهم توثيقهم في توثيقات القدماء، مدفوعة بأنه غير ظاهر، بل ظاهر جملة من التراجم خلافه، مع أن ضرر القصر غير ظاهر، بل لا شبهة في إرادتهم بالثقة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قالوا في حق شخص أنه صحيح لم يفد في إثبات الاصطلاح المتأخر، لأن الصحة عندهم أعم من الصحة عند المتأخرين، نعم لو قامت أمارة على توهم منهم في موضع في أصل التوثيق لزم التوقف، و أما حيث لم يظهر التوهم فالأقوى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فإنه</w:t>
      </w:r>
      <w:r>
        <w:rPr>
          <w:rStyle w:val="FootnoteAnchor"/>
          <w:rtl w:val="true"/>
        </w:rPr>
        <w:footnoteReference w:id="771"/>
      </w:r>
      <w:r>
        <w:rPr>
          <w:rFonts w:ascii="Amiri" w:hAnsi="Amiri" w:eastAsia="Amiri" w:cs="Amiri"/>
          <w:color w:val="111111"/>
          <w:sz w:val="28"/>
          <w:sz w:val="28"/>
          <w:szCs w:val="28"/>
          <w:rtl w:val="true"/>
          <w:lang w:bidi="ar-SA"/>
        </w:rPr>
        <w:t>تأمل المولى الوحيد في استفادة العدالة من توثيقاته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يستفاد منها القوة و الاعتماد، و ربما تأمل المحقق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توثيقاته لتحققها بالنسبة الى جماعة اختص بهم من دون كتب الرجال، بل وقع التصريح بضعفهم من غيره على وجه يقرب الاتفاق، و لعل مراده من التوثيق أمر آخر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 فإن توثيقه من ضعفوه أو توقفوا في حاله لا يوجب وهن توثيقاته، غايته عدم الأخذ بتوثيقه عند تحقق اشتباهه، </w:t>
      </w:r>
    </w:p>
    <w:p>
      <w:pPr>
        <w:pStyle w:val="BookText"/>
        <w:rPr/>
      </w:pPr>
      <w:r>
        <w:rPr>
          <w:rFonts w:ascii="Amiri" w:hAnsi="Amiri" w:eastAsia="Amiri" w:cs="Amiri"/>
          <w:color w:val="111111"/>
          <w:sz w:val="28"/>
          <w:sz w:val="28"/>
          <w:szCs w:val="28"/>
          <w:rtl w:val="true"/>
          <w:lang w:bidi="ar-SA"/>
        </w:rPr>
        <w:t xml:space="preserve">فإن الخطأ من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عزيز</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جملة من من قيل بحجية كتبه و توثيقاته غير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الباب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5033_241719"/>
    </w:p>
    <w:p>
      <w:pPr>
        <w:pStyle w:val="Heading4"/>
        <w:numPr>
          <w:ilvl w:val="3"/>
          <w:numId w:val="1"/>
        </w:numPr>
        <w:rPr/>
      </w:pPr>
      <w:bookmarkStart w:id="502" w:name="__RefHeading___Toc316871_2142443653"/>
      <w:bookmarkStart w:id="503" w:name="_Toc189"/>
      <w:bookmarkEnd w:id="501"/>
      <w:bookmarkEnd w:id="502"/>
      <w:r>
        <w:rPr>
          <w:rtl w:val="true"/>
        </w:rPr>
        <w:t>المقام الثالث في ألفاظ الذم و القدح</w:t>
      </w:r>
      <w:bookmarkEnd w:id="503"/>
    </w:p>
    <w:p>
      <w:pPr>
        <w:pStyle w:val="Heading5"/>
        <w:numPr>
          <w:ilvl w:val="4"/>
          <w:numId w:val="1"/>
        </w:numPr>
        <w:rPr/>
      </w:pPr>
      <w:bookmarkStart w:id="504" w:name="__RefHeading___Toc316873_2142443653"/>
      <w:bookmarkStart w:id="505" w:name="_Toc190"/>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المقام الثالث في ألفاظ الذم</w:t>
      </w:r>
      <w:r>
        <w:rPr>
          <w:rStyle w:val="FootnoteAnchor"/>
          <w:rtl w:val="true"/>
        </w:rPr>
        <w:footnoteReference w:id="774"/>
      </w:r>
      <w:r>
        <w:rPr>
          <w:rFonts w:ascii="IRNazanin" w:hAnsi="IRNazanin" w:eastAsia="IRNazanin"/>
          <w:color w:val="111111"/>
          <w:sz w:val="28"/>
          <w:sz w:val="28"/>
          <w:szCs w:val="28"/>
          <w:rtl w:val="true"/>
          <w:lang w:bidi="fa-IR"/>
        </w:rPr>
        <w:t>و القدح</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5"/>
        <w:numPr>
          <w:ilvl w:val="4"/>
          <w:numId w:val="1"/>
        </w:numPr>
        <w:rPr/>
      </w:pPr>
      <w:bookmarkStart w:id="506" w:name="__RefHeading___Toc316875_2142443653"/>
      <w:bookmarkStart w:id="507" w:name="_Toc191"/>
      <w:bookmarkEnd w:id="506"/>
      <w:r>
        <w:rPr>
          <w:rtl w:val="true"/>
        </w:rPr>
        <w:t>قولهم</w:t>
      </w:r>
      <w:r>
        <w:rPr>
          <w:rtl w:val="true"/>
        </w:rPr>
        <w:t xml:space="preserve">: </w:t>
      </w:r>
      <w:r>
        <w:rPr>
          <w:rtl w:val="true"/>
        </w:rPr>
        <w:t>فاسق</w:t>
      </w:r>
      <w:r>
        <w:rPr>
          <w:rtl w:val="true"/>
        </w:rPr>
        <w:t xml:space="preserve">.. </w:t>
      </w:r>
      <w:r>
        <w:rPr>
          <w:rtl w:val="true"/>
        </w:rPr>
        <w:t>و ليس بعدل</w:t>
      </w:r>
      <w:r>
        <w:rPr>
          <w:rtl w:val="true"/>
        </w:rPr>
        <w:t xml:space="preserve">... </w:t>
      </w:r>
      <w:r>
        <w:rPr>
          <w:rtl w:val="true"/>
        </w:rPr>
        <w:t>و غيرهما</w:t>
      </w:r>
      <w:bookmarkEnd w:id="507"/>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و مثله شارب الخمر و النبيذ، و كذاب، و وضاع للحديث من قبل نفسه، و يختلق الحديث كذبا</w:t>
      </w:r>
      <w:r>
        <w:rPr>
          <w:rStyle w:val="FootnoteAnchor"/>
          <w:rtl w:val="true"/>
        </w:rPr>
        <w:footnoteReference w:id="775"/>
      </w:r>
      <w:r>
        <w:rPr>
          <w:rFonts w:ascii="Amiri" w:hAnsi="Amiri" w:eastAsia="Amiri" w:cs="Amiri"/>
          <w:color w:val="111111"/>
          <w:sz w:val="28"/>
          <w:sz w:val="28"/>
          <w:szCs w:val="28"/>
          <w:rtl w:val="true"/>
          <w:lang w:bidi="ar-SA"/>
        </w:rPr>
        <w:t>، و لا شبهة في كون كل من هذه الألفاظ دالا على الجرح و الذم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بعادل، و ليس بصادق، و ليس بمرضي، و ليس بمشكور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مما تضمن نفي أحد الفاظ المدح المزبورة، </w:t>
      </w:r>
    </w:p>
    <w:p>
      <w:pPr>
        <w:pStyle w:val="BookText"/>
        <w:rPr/>
      </w:pPr>
      <w:r>
        <w:rPr>
          <w:rFonts w:ascii="Amiri" w:hAnsi="Amiri" w:eastAsia="Amiri" w:cs="Amiri"/>
          <w:color w:val="111111"/>
          <w:sz w:val="28"/>
          <w:sz w:val="28"/>
          <w:szCs w:val="28"/>
          <w:rtl w:val="true"/>
          <w:lang w:bidi="ar-SA"/>
        </w:rPr>
        <w:t>فإن نفي المدح ذم، بل بعضها نص في الجرح</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و مثله ناصب و فاسد العقيدة</w:t>
      </w:r>
      <w:r>
        <w:rPr>
          <w:rStyle w:val="FootnoteAnchor"/>
          <w:rtl w:val="true"/>
        </w:rPr>
        <w:footnoteReference w:id="7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مما يدلّ على فساد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Style w:val="FootnoteAnchor"/>
          <w:rtl w:val="true"/>
        </w:rPr>
        <w:footnoteReference w:id="779"/>
      </w:r>
      <w:r>
        <w:rPr>
          <w:rFonts w:ascii="Amiri" w:hAnsi="Amiri" w:eastAsia="Amiri" w:cs="Amiri"/>
          <w:color w:val="111111"/>
          <w:sz w:val="28"/>
          <w:sz w:val="28"/>
          <w:szCs w:val="28"/>
          <w:rtl w:val="true"/>
          <w:lang w:bidi="ar-SA"/>
        </w:rPr>
        <w:t>و مثله خبيث و رجس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فإن كلا منها ذم 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w:t>
      </w:r>
      <w:r>
        <w:rPr>
          <w:rStyle w:val="FootnoteAnchor"/>
          <w:rtl w:val="true"/>
        </w:rPr>
        <w:footnoteReference w:id="780"/>
      </w:r>
      <w:r>
        <w:rPr>
          <w:rFonts w:ascii="IRNazanin" w:hAnsi="IRNazanin" w:eastAsia="IRNazanin"/>
          <w:color w:val="111111"/>
          <w:sz w:val="28"/>
          <w:sz w:val="28"/>
          <w:szCs w:val="28"/>
          <w:rtl w:val="true"/>
          <w:lang w:bidi="fa-IR"/>
        </w:rPr>
        <w:t>، و متعصب</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صحاح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صرف التعصب لا يعدّ ذما، فقد يكون مدحا لو كان للّه أو لإحقاق حق و إدحاض باطل، ما لم يقل أن في المقام انصرافا أو قرينة حالية أو مقالية، فتدبر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08" w:name="pg15033_241721"/>
    </w:p>
    <w:p>
      <w:pPr>
        <w:pStyle w:val="BookText"/>
        <w:rPr/>
      </w:pPr>
      <w:bookmarkEnd w:id="508"/>
      <w:r>
        <w:rPr>
          <w:rFonts w:ascii="IRNazanin" w:hAnsi="IRNazanin" w:eastAsia="IRNazanin"/>
          <w:color w:val="111111"/>
          <w:sz w:val="28"/>
          <w:sz w:val="28"/>
          <w:szCs w:val="28"/>
          <w:rtl w:val="true"/>
          <w:lang w:bidi="fa-IR"/>
        </w:rPr>
        <w:t>و ساقط</w:t>
      </w:r>
      <w:r>
        <w:rPr>
          <w:rStyle w:val="FootnoteAnchor"/>
          <w:rtl w:val="true"/>
        </w:rPr>
        <w:footnoteReference w:id="782"/>
      </w:r>
      <w:r>
        <w:rPr>
          <w:rFonts w:ascii="Amiri" w:hAnsi="Amiri" w:eastAsia="Amiri" w:cs="Amiri"/>
          <w:color w:val="111111"/>
          <w:sz w:val="28"/>
          <w:sz w:val="28"/>
          <w:szCs w:val="28"/>
          <w:rtl w:val="true"/>
          <w:lang w:bidi="ar-SA"/>
        </w:rPr>
        <w:t>، و متروك</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حديث الرجل حتى يجتمع الجميع على ترك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قولهم ضعيف، و في الكل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ليس بشيء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يعتد به، و لا يعتنى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شعب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متى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منه ما يقابل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يحصل من الوثوق بصدور رواياته عن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من لا يبالي عمن أخذ الحديث، و لا ريب أنه يجامع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 ضعيف في الحديث، و القدح بالنسبة الى الراوي في الأول أقوى، و بالنسبة الى الرواية في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من أنه قدح مناف للعدالة إذا قيل على الإطلاق دون التخصيص بالحديث، لأن المراد في الأول أنه ضعيف في نفسه، و في الثاني أن الضعف في روايته، فلا تدلّ على القدح في الراوي مع الإضافة الى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كلا منها يدلّ على عدم الاعتبار بل الذم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509" w:name="__RefHeading___Toc316877_2142443653"/>
      <w:bookmarkStart w:id="510" w:name="_Toc192"/>
      <w:bookmarkEnd w:id="509"/>
      <w:r>
        <w:rPr>
          <w:rtl w:val="true"/>
        </w:rPr>
        <w:t>قولهم</w:t>
      </w:r>
      <w:r>
        <w:rPr>
          <w:rtl w:val="true"/>
        </w:rPr>
        <w:t xml:space="preserve">: </w:t>
      </w:r>
      <w:r>
        <w:rPr>
          <w:rtl w:val="true"/>
        </w:rPr>
        <w:t>ضعيف</w:t>
      </w:r>
      <w:bookmarkEnd w:id="5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لا ريب في دلالته على الذم و القدح، بل عدّه جمع منهم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الأجلة</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إفادته سقوط الرواية و ضعفها</w:t>
      </w:r>
      <w:r>
        <w:rPr>
          <w:rStyle w:val="FootnoteAnchor"/>
          <w:rtl w:val="true"/>
        </w:rPr>
        <w:footnoteReference w:id="785"/>
      </w:r>
      <w:r>
        <w:rPr>
          <w:rFonts w:ascii="Amiri" w:hAnsi="Amiri" w:eastAsia="Amiri" w:cs="Amiri"/>
          <w:color w:val="111111"/>
          <w:sz w:val="28"/>
          <w:sz w:val="28"/>
          <w:szCs w:val="28"/>
          <w:rtl w:val="true"/>
          <w:lang w:bidi="ar-SA"/>
        </w:rPr>
        <w:t>، و إن لم يكن في الشدة مثل أكثر ما سبق، فيتميز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إفادته القدح في نفس الرجل كالألفاظ السابقة فلعله كذلك حيث أطلق و لم يكن قرينة كتصريح أو غيره على الخلاف، و لعله عليه يبتني ما حكاه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الأكثر من أنهم يفهمون منه القدح في نفس الرجل و يحكمون به بسببه</w:t>
      </w:r>
      <w:r>
        <w:rPr>
          <w:rStyle w:val="FootnoteAnchor"/>
          <w:rtl w:val="true"/>
        </w:rPr>
        <w:footnoteReference w:id="786"/>
      </w:r>
      <w:r>
        <w:rPr>
          <w:rFonts w:ascii="Amiri" w:hAnsi="Amiri" w:eastAsia="Amiri" w:cs="Amiri"/>
          <w:color w:val="111111"/>
          <w:sz w:val="28"/>
          <w:sz w:val="28"/>
          <w:szCs w:val="28"/>
          <w:rtl w:val="true"/>
          <w:lang w:bidi="ar-SA"/>
        </w:rPr>
        <w:t xml:space="preserve">، لكنه قد تأمل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نظرا إلى أعمية الضعف عند القدماء من الفسق، لأن أسباب الضعف عندهم كثيرة، فإنهم أطلقوه على أشخاص لمجرد قلّة الحفظ أو سوء الضبط أو الرواية من غير إجازة، أو الرواية عمن لم يلقه، أو الرواية لما ألفاظه مضطربة، أو الرواية </w:t>
      </w:r>
    </w:p>
    <w:p>
      <w:pPr>
        <w:pStyle w:val="BookText"/>
        <w:rPr/>
      </w:pPr>
      <w:r>
        <w:rPr>
          <w:rFonts w:ascii="Amiri" w:hAnsi="Amiri" w:eastAsia="Amiri" w:cs="Amiri"/>
          <w:color w:val="111111"/>
          <w:sz w:val="28"/>
          <w:sz w:val="28"/>
          <w:szCs w:val="28"/>
          <w:rtl w:val="true"/>
          <w:lang w:bidi="ar-SA"/>
        </w:rPr>
        <w:t>عن الضعفاء و المجاهيل، أو رواية راوي فاسد العقيدة عنه، أو أبرز الرواية التي ظاهرها الغلو أو التفويض أو الجبر أو التشبيه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مما لا يوجب الفسق، فكما أن تصحيحهم غير مقصور على العدالة، فكذا تضعيفهم غير مقصور على الفسق، كما لا يخفى على من تتبع و تأمل</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الحاصل أن تضعيفهم ليس بقادح عكس مدحهم، و الضعف عندهم أعم من الضعف في الحديث أو المحدث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يعترض عليه بأن فهم الأكثر منه القدح في نفس الرجل إنما هو عند الإطلاق، و الموارد التي أشار إليها مما قامت فيه قرينة على الخلاف، و لا مانع من استفادة الجرح منه عند الإطلاق</w:t>
      </w:r>
      <w:bookmarkStart w:id="511" w:name="pg15033_241724"/>
    </w:p>
    <w:p>
      <w:pPr>
        <w:pStyle w:val="BookText"/>
        <w:rPr/>
      </w:pPr>
      <w:bookmarkEnd w:id="511"/>
      <w:r>
        <w:rPr>
          <w:rFonts w:ascii="Amiri" w:hAnsi="Amiri" w:eastAsia="Amiri" w:cs="Amiri"/>
          <w:color w:val="111111"/>
          <w:sz w:val="28"/>
          <w:sz w:val="28"/>
          <w:szCs w:val="28"/>
          <w:rtl w:val="true"/>
          <w:lang w:bidi="ar-SA"/>
        </w:rPr>
        <w:t>و عدم القرينة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512" w:name="__RefHeading___Toc316879_2142443653"/>
      <w:bookmarkStart w:id="513" w:name="_Toc193"/>
      <w:bookmarkEnd w:id="512"/>
      <w:r>
        <w:rPr>
          <w:rtl w:val="true"/>
        </w:rPr>
        <w:t>قولهم</w:t>
      </w:r>
      <w:r>
        <w:rPr>
          <w:rtl w:val="true"/>
        </w:rPr>
        <w:t xml:space="preserve">: </w:t>
      </w:r>
      <w:r>
        <w:rPr>
          <w:rtl w:val="true"/>
        </w:rPr>
        <w:t>ضعيف الحديث</w:t>
      </w:r>
      <w:bookmarkEnd w:id="513"/>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 مضطرب الحديث</w:t>
      </w:r>
      <w:r>
        <w:rPr>
          <w:rStyle w:val="FootnoteAnchor"/>
          <w:rtl w:val="true"/>
        </w:rPr>
        <w:footnoteReference w:id="789"/>
      </w:r>
      <w:r>
        <w:rPr>
          <w:rFonts w:ascii="Amiri" w:hAnsi="Amiri" w:eastAsia="Amiri" w:cs="Amiri"/>
          <w:color w:val="111111"/>
          <w:sz w:val="28"/>
          <w:sz w:val="28"/>
          <w:szCs w:val="28"/>
          <w:rtl w:val="true"/>
          <w:lang w:bidi="ar-SA"/>
        </w:rPr>
        <w:t>و مختلط الحديث</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هذا و لا شك بقبول ما رواه قبل الاختلاط إن اجتمعت شرائطه و ارتفعت موانعه دون ما بعده، أما لو شك في التقدم و التأخر فيرد الحديث مع الإطلاق لكونه شك في المحصل، و يعلم ذلك إما بالتاريخ أو بقول الراوي عنه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ممن كان مخلطا أو مضطربا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في رجاله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العقيقي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أخي طاهر، مخلط و ذكر في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رياح مخلط، و من أصحاب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صالح الأحمر الواسطي، أصله كوفي 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غير هؤلاء في رجاله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p>
    <w:p>
      <w:pPr>
        <w:pStyle w:val="BookText"/>
        <w:rPr/>
      </w:pPr>
      <w:r>
        <w:rPr>
          <w:rFonts w:ascii="Amiri" w:hAnsi="Amiri" w:eastAsia="Amiri" w:cs="Amiri"/>
          <w:color w:val="111111"/>
          <w:sz w:val="28"/>
          <w:sz w:val="28"/>
          <w:szCs w:val="28"/>
          <w:rtl w:val="true"/>
          <w:lang w:bidi="ar-SA"/>
        </w:rPr>
        <w:t xml:space="preserve">الكاف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ليس بشيء، إذ هذا اصطلاح خاص منه، و إن صحّ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لين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يتساهل في روايته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ساقط الحديث، و متروك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ليس بنقي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يعرف حديثه و ينكر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نص عبارة المصنف رحمه اللّه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غمز عليه في حديثه، و واهي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وهى أي ضعف في الغاية،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الحائط إذا ضعف و هم بالسقوط، و هو كناية عن شدة ضعفه و سقوط اعتبار حديثه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كذا ليس بمرضي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 الحديث، و قد أفاد البلقيني في محاسن الاصطلاح المطبوع ذيل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مقارب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التعديل، و سوى البطليموسي بين الفتح و الكسر،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فالفتح تجريح، تقول هذا بتر مقارب أي رديء، ذكره ثعلب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شبهة في إفادة كل منها الذم في حديثه،</w:t>
      </w:r>
    </w:p>
    <w:p>
      <w:pPr>
        <w:pStyle w:val="BookText"/>
        <w:rPr/>
      </w:pPr>
      <w:r>
        <w:rPr>
          <w:rFonts w:ascii="Amiri" w:hAnsi="Amiri" w:eastAsia="Amiri" w:cs="Amiri"/>
          <w:color w:val="111111"/>
          <w:sz w:val="28"/>
          <w:sz w:val="28"/>
          <w:szCs w:val="28"/>
          <w:rtl w:val="true"/>
          <w:lang w:bidi="ar-SA"/>
        </w:rPr>
        <w:t>و في دلالتها على القدح في العدالة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مصيرهم الى استفادة وثاقة الرجل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هو القدح في وثاقته بما ذكر، فكما أنه يبعد الوثوق بأحاديث رجل ما لم يكن ثقة في نفسه، فكذا يبعد الحكم بأمثال ما ذكر ما لم يكن ضعيفا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لا ملازمة بين ما ذكر و بين فسق الرجل أو ضعفه في نفسه، و ظاهر تقييد الضعف و نحوه بالحديث هو عدمه في نفسه، و الفرق بين ثقة في الحديث و ضعيف في الحديث ظاهر، ضرورة كون الوثاقة منشأ الوثوق بالرّواية، و ضعف الحديث غير ملازم للفسق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استظهر بعض الأجلّة الوجه الثاني، بل زاد أنه لم يذهب الى الأول ذاهب</w:t>
      </w:r>
      <w:r>
        <w:rPr>
          <w:rStyle w:val="FootnoteAnchor"/>
          <w:rtl w:val="true"/>
        </w:rPr>
        <w:footnoteReference w:id="792"/>
      </w:r>
      <w:r>
        <w:rPr>
          <w:rFonts w:ascii="Amiri" w:hAnsi="Amiri" w:eastAsia="Amiri" w:cs="Amiri"/>
          <w:color w:val="111111"/>
          <w:sz w:val="28"/>
          <w:sz w:val="28"/>
          <w:szCs w:val="28"/>
          <w:rtl w:val="true"/>
          <w:lang w:bidi="ar-SA"/>
        </w:rPr>
        <w:t xml:space="preserve">و أن كان فيه إن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عدّ مضطرب الحديث و منكره و لينه و ساقطه من ألفاظ الجرح</w:t>
      </w:r>
      <w:r>
        <w:rPr>
          <w:rStyle w:val="FootnoteAnchor"/>
          <w:rtl w:val="true"/>
        </w:rPr>
        <w:footnoteReference w:id="793"/>
      </w:r>
      <w:r>
        <w:rPr>
          <w:rFonts w:ascii="Amiri" w:hAnsi="Amiri" w:eastAsia="Amiri" w:cs="Amiri"/>
          <w:color w:val="111111"/>
          <w:sz w:val="28"/>
          <w:sz w:val="28"/>
          <w:szCs w:val="28"/>
          <w:rtl w:val="true"/>
          <w:lang w:bidi="ar-SA"/>
        </w:rPr>
        <w:t>، و كفى به ذاهبا الى الأول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المولى الوحيد</w:t>
      </w:r>
      <w:r>
        <w:rPr>
          <w:rStyle w:val="FootnoteAnchor"/>
          <w:rtl w:val="true"/>
        </w:rPr>
        <w:footnoteReference w:id="794"/>
      </w:r>
      <w:r>
        <w:rPr>
          <w:rFonts w:ascii="Amiri" w:hAnsi="Amiri" w:eastAsia="Amiri" w:cs="Amiri"/>
          <w:color w:val="111111"/>
          <w:sz w:val="28"/>
          <w:sz w:val="28"/>
          <w:szCs w:val="28"/>
          <w:rtl w:val="true"/>
          <w:lang w:bidi="ar-SA"/>
        </w:rPr>
        <w:t>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و بين ما بعده من العبارات المزبورة، حيث جزم بعد التأمّل في دلالة ضعيف </w:t>
      </w:r>
    </w:p>
    <w:p>
      <w:pPr>
        <w:pStyle w:val="BookText"/>
        <w:rPr/>
      </w:pPr>
      <w:r>
        <w:rPr>
          <w:rFonts w:ascii="Amiri" w:hAnsi="Amiri" w:eastAsia="Amiri" w:cs="Amiri"/>
          <w:color w:val="111111"/>
          <w:sz w:val="28"/>
          <w:sz w:val="28"/>
          <w:szCs w:val="28"/>
          <w:rtl w:val="true"/>
          <w:lang w:bidi="ar-SA"/>
        </w:rPr>
        <w:t>على القدح بكون ضعيف الحديث أدون منه دلالة، ثم جزم في بقيّة العبارات بعدم الظّهور في القدح في العدالة، و عدم كونها من أسباب الجرح و ضعف الحديث على رواية المتأخرين، و إنما هي أسباب مرجوحية الرواية تعتبر في مقام الترجيح، و بينها تفاوت في المرجوحية، فمضطرب الحديث أشد بالقياس الى الثاني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 إنما هو فيما إذا أضيفت الألفاظ المزبورة الى الحديث، و أما مع عدم الإضافة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ساقط، و واهي، و ليس بمرضيّ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فلا ينبغي التأمّل في إفادتها ذمّا في الراوي نفسه، بل عدّها في البداية من ألفاظ الجرح</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الثّقة أو العدل أو الوصف المعتبر في ذلك، عدّه في البداية من ألفاظ الجرح</w:t>
      </w:r>
      <w:r>
        <w:rPr>
          <w:rStyle w:val="FootnoteAnchor"/>
          <w:rtl w:val="true"/>
        </w:rPr>
        <w:footnoteReference w:id="797"/>
      </w:r>
      <w:r>
        <w:rPr>
          <w:rFonts w:ascii="Amiri" w:hAnsi="Amiri" w:eastAsia="Amiri" w:cs="Amiri"/>
          <w:color w:val="111111"/>
          <w:sz w:val="28"/>
          <w:sz w:val="28"/>
          <w:szCs w:val="28"/>
          <w:rtl w:val="true"/>
          <w:lang w:bidi="ar-SA"/>
        </w:rPr>
        <w:t>، و حكى الوحيد عن جده المجلسي الأول 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ذمّا،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تأمّل، لاحتمال أن يراد أنه ليس بحيث يوثق به وثوقا تامّا، و إن كان فيه نوع من وثوق من قبيل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الثقة، و لعل هذا هو </w:t>
      </w:r>
      <w:bookmarkStart w:id="514" w:name="pg15033_241728"/>
    </w:p>
    <w:p>
      <w:pPr>
        <w:pStyle w:val="BookText"/>
        <w:rPr/>
      </w:pPr>
      <w:bookmarkEnd w:id="514"/>
      <w:r>
        <w:rPr>
          <w:rFonts w:ascii="Amiri" w:hAnsi="Amiri" w:eastAsia="Amiri" w:cs="Amiri"/>
          <w:color w:val="111111"/>
          <w:sz w:val="28"/>
          <w:sz w:val="28"/>
          <w:szCs w:val="28"/>
          <w:rtl w:val="true"/>
          <w:lang w:bidi="ar-SA"/>
        </w:rPr>
        <w:t>الظاهر، فيشعر بنوع مدح، فتأمّل</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الإنصاف أن ما في البداية و ما ذكره في طرفي الإفراط و التّفريط، و إن الأظهر كون ليس بذلك ظاهرا في الذّم غير دال على الجرح، و مجرد الاحتمال الّذي ذكره لا ينافي ظهور اللفظ في الذّم، و أما قولهم ليس بذلك الثّقة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فلا يخلو من إشعار بمدح ما، فتدبّر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515" w:name="__RefHeading___Toc316881_2142443653"/>
      <w:bookmarkStart w:id="516" w:name="_Toc194"/>
      <w:bookmarkEnd w:id="515"/>
      <w:r>
        <w:rPr>
          <w:rtl w:val="true"/>
        </w:rPr>
        <w:t>قولهم</w:t>
      </w:r>
      <w:r>
        <w:rPr>
          <w:rtl w:val="true"/>
        </w:rPr>
        <w:t xml:space="preserve">: </w:t>
      </w:r>
      <w:r>
        <w:rPr>
          <w:rtl w:val="true"/>
        </w:rPr>
        <w:t>مخلط أو مختلط</w:t>
      </w:r>
      <w:bookmarkEnd w:id="516"/>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و مختلط</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عثرت على حديث في التّهذيب يدلّ على استعمال الإمام لفظ مخلّط فيما ذكرنا من فساد المذهب رواه الشّيخ عن إسماعيل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 أمير المؤمنين عليه السّلام و لا يتبرأ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هو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مخلّط، و هو عدوّ لا تصل خلفه و لا كرامة، إلاّ أن تتقيه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ففي منتهى المقال عن بعض أجلاء</w:t>
      </w:r>
    </w:p>
    <w:p>
      <w:pPr>
        <w:pStyle w:val="BookText"/>
        <w:rPr/>
      </w:pPr>
      <w:r>
        <w:rPr>
          <w:rFonts w:ascii="Amiri" w:hAnsi="Amiri" w:eastAsia="Amiri" w:cs="Amiri"/>
          <w:color w:val="111111"/>
          <w:sz w:val="28"/>
          <w:sz w:val="28"/>
          <w:szCs w:val="28"/>
          <w:rtl w:val="true"/>
          <w:lang w:bidi="ar-SA"/>
        </w:rPr>
        <w:t xml:space="preserve">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القدح، لظهوره في فساد العقيدة، ثم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بل الظاهر أن المراد بأمثال هذين اللفظين من لا يبالي عمّن يروي و عمّن</w:t>
      </w:r>
      <w:r>
        <w:rPr>
          <w:rStyle w:val="FootnoteAnchor"/>
          <w:rtl w:val="true"/>
        </w:rPr>
        <w:footnoteReference w:id="801"/>
      </w:r>
      <w:r>
        <w:rPr>
          <w:rFonts w:ascii="Amiri" w:hAnsi="Amiri" w:eastAsia="Amiri" w:cs="Amiri"/>
          <w:color w:val="111111"/>
          <w:sz w:val="28"/>
          <w:sz w:val="28"/>
          <w:szCs w:val="28"/>
          <w:rtl w:val="true"/>
          <w:lang w:bidi="ar-SA"/>
        </w:rPr>
        <w:t>يأخذ، يجمع</w:t>
      </w:r>
      <w:r>
        <w:rPr>
          <w:rStyle w:val="FootnoteAnchor"/>
          <w:rtl w:val="true"/>
        </w:rPr>
        <w:footnoteReference w:id="802"/>
      </w:r>
      <w:r>
        <w:rPr>
          <w:rFonts w:ascii="Amiri" w:hAnsi="Amiri" w:eastAsia="Amiri" w:cs="Amiri"/>
          <w:color w:val="111111"/>
          <w:sz w:val="28"/>
          <w:sz w:val="28"/>
          <w:szCs w:val="28"/>
          <w:rtl w:val="true"/>
          <w:lang w:bidi="ar-SA"/>
        </w:rPr>
        <w:t>بين الغث و السّمين، و العاطل و الثمين، و ليس هذا طعنا في الرجل،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فاسد العقيدة، كيف يقول سديد الدين محمود الحمصي</w:t>
      </w:r>
      <w:r>
        <w:rPr>
          <w:rStyle w:val="FootnoteAnchor"/>
          <w:rtl w:val="true"/>
        </w:rPr>
        <w:footnoteReference w:id="803"/>
      </w:r>
      <w:r>
        <w:rPr>
          <w:rFonts w:ascii="Amiri" w:hAnsi="Amiri" w:eastAsia="Amiri" w:cs="Amiri"/>
          <w:color w:val="111111"/>
          <w:sz w:val="28"/>
          <w:sz w:val="28"/>
          <w:szCs w:val="28"/>
          <w:rtl w:val="true"/>
          <w:lang w:bidi="ar-SA"/>
        </w:rPr>
        <w:t xml:space="preserve">أن ابن إدريس مخلّط؟ و كيف 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أحمد العقيقي مخلّط</w:t>
      </w:r>
      <w:r>
        <w:rPr>
          <w:rStyle w:val="FootnoteAnchor"/>
          <w:rtl w:val="true"/>
        </w:rPr>
        <w:footnoteReference w:id="804"/>
      </w:r>
      <w:r>
        <w:rPr>
          <w:rFonts w:ascii="Amiri" w:hAnsi="Amiri" w:eastAsia="Amiri" w:cs="Amiri"/>
          <w:color w:val="111111"/>
          <w:sz w:val="28"/>
          <w:sz w:val="28"/>
          <w:szCs w:val="28"/>
          <w:rtl w:val="true"/>
          <w:lang w:bidi="ar-SA"/>
        </w:rPr>
        <w:t>؟ مع عدم تأمّل من أحد في كونه إماميّا و</w:t>
      </w:r>
      <w:r>
        <w:rPr>
          <w:rStyle w:val="FootnoteAnchor"/>
          <w:rtl w:val="true"/>
        </w:rPr>
        <w:footnoteReference w:id="80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في محمد بن جعفر بن أحمد بن بطّة</w:t>
      </w:r>
      <w:r>
        <w:rPr>
          <w:rStyle w:val="FootnoteAnchor"/>
          <w:rtl w:val="true"/>
        </w:rPr>
        <w:footnoteReference w:id="806"/>
      </w:r>
      <w:r>
        <w:rPr>
          <w:rFonts w:ascii="Amiri" w:hAnsi="Amiri" w:eastAsia="Amiri" w:cs="Amiri"/>
          <w:color w:val="111111"/>
          <w:sz w:val="28"/>
          <w:sz w:val="28"/>
          <w:szCs w:val="28"/>
          <w:rtl w:val="true"/>
          <w:lang w:bidi="ar-SA"/>
        </w:rPr>
        <w:t>، بعد اعترافه بكونه كثير</w:t>
      </w:r>
      <w:r>
        <w:rPr>
          <w:rStyle w:val="FootnoteAnchor"/>
          <w:rtl w:val="true"/>
        </w:rPr>
        <w:footnoteReference w:id="807"/>
      </w:r>
      <w:r>
        <w:rPr>
          <w:rFonts w:ascii="Amiri" w:hAnsi="Amiri" w:eastAsia="Amiri" w:cs="Amiri"/>
          <w:color w:val="111111"/>
          <w:sz w:val="28"/>
          <w:sz w:val="28"/>
          <w:szCs w:val="28"/>
          <w:rtl w:val="true"/>
          <w:lang w:bidi="ar-SA"/>
        </w:rPr>
        <w:t>المنزلة بقم، كثير الأدب و العلم 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يتساهل في الحديث، و يعلّق الأسانيد </w:t>
      </w:r>
    </w:p>
    <w:p>
      <w:pPr>
        <w:pStyle w:val="BookText"/>
        <w:rPr/>
      </w:pPr>
      <w:r>
        <w:rPr>
          <w:rFonts w:ascii="Amiri" w:hAnsi="Amiri" w:eastAsia="Amiri" w:cs="Amiri"/>
          <w:color w:val="111111"/>
          <w:sz w:val="28"/>
          <w:sz w:val="28"/>
          <w:szCs w:val="28"/>
          <w:rtl w:val="true"/>
          <w:lang w:bidi="ar-SA"/>
        </w:rPr>
        <w:t>بالإجازات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غلط كثير، قال ابن الوليد كان ضعيفا مختلطا فيما يسنده</w:t>
      </w:r>
      <w:r>
        <w:rPr>
          <w:rStyle w:val="FootnoteAnchor"/>
          <w:rtl w:val="true"/>
        </w:rPr>
        <w:footnoteReference w:id="808"/>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جابر بن يزيد أنه كان في نفسه مختلطا</w:t>
      </w:r>
      <w:r>
        <w:rPr>
          <w:rStyle w:val="FootnoteAnchor"/>
          <w:rtl w:val="true"/>
        </w:rPr>
        <w:footnoteReference w:id="809"/>
      </w:r>
      <w:r>
        <w:rPr>
          <w:rFonts w:ascii="Amiri" w:hAnsi="Amiri" w:eastAsia="Amiri" w:cs="Amiri"/>
          <w:color w:val="111111"/>
          <w:sz w:val="28"/>
          <w:sz w:val="28"/>
          <w:szCs w:val="28"/>
          <w:rtl w:val="true"/>
          <w:lang w:bidi="ar-SA"/>
        </w:rPr>
        <w:t>، و يؤيد ما قلناه، لأن الكلمة إذا كانت تدلّ بنفسها على ذلك لما زاد قبلها كلمة بنفسه لهذا، مع أن تشيّع الرجل في الظهور كالنور على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الدّبيلي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من أصحابنا واضح الرّواية قليل التّخليط</w:t>
      </w:r>
      <w:r>
        <w:rPr>
          <w:rStyle w:val="FootnoteAnchor"/>
          <w:rtl w:val="true"/>
        </w:rPr>
        <w:footnoteReference w:id="810"/>
      </w:r>
      <w:r>
        <w:rPr>
          <w:rFonts w:ascii="Amiri" w:hAnsi="Amiri" w:eastAsia="Amiri" w:cs="Amiri"/>
          <w:color w:val="111111"/>
          <w:sz w:val="28"/>
          <w:sz w:val="28"/>
          <w:szCs w:val="28"/>
          <w:rtl w:val="true"/>
          <w:lang w:bidi="ar-SA"/>
        </w:rPr>
        <w:t>، فلاحظ و تدبّر، فإنه ينادي بما قلناه و صريح فيما فهمناه، و في محمد بن أرومة</w:t>
      </w:r>
      <w:r>
        <w:rPr>
          <w:rStyle w:val="FootnoteAnchor"/>
          <w:rtl w:val="true"/>
        </w:rPr>
        <w:footnoteReference w:id="811"/>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صحاح إلاّ كتابا ينسب إليه من ترجمة</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الباطن، فإنّه مختلط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نحوه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ما قلناه، الى أن يظهر الخلاف فلا خلاف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 تصب، لأن الكلمتين المذكورتين مأخوذتان من </w:t>
      </w:r>
      <w:bookmarkStart w:id="517" w:name="pg15033_241731"/>
    </w:p>
    <w:p>
      <w:pPr>
        <w:pStyle w:val="BookText"/>
        <w:rPr/>
      </w:pPr>
      <w:bookmarkEnd w:id="517"/>
      <w:r>
        <w:rPr>
          <w:rFonts w:ascii="Amiri" w:hAnsi="Amiri" w:eastAsia="Amiri" w:cs="Amiri"/>
          <w:color w:val="111111"/>
          <w:sz w:val="28"/>
          <w:sz w:val="28"/>
          <w:szCs w:val="28"/>
          <w:rtl w:val="true"/>
          <w:lang w:bidi="ar-SA"/>
        </w:rPr>
        <w:t xml:space="preserve">الخلط و هو 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بقاؤهما على معناهما الأصلي الى أن تتحقّق حقيقة ثانية، فتدبر</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518" w:name="__RefHeading___Toc316883_2142443653"/>
      <w:bookmarkStart w:id="519" w:name="_Toc195"/>
      <w:bookmarkEnd w:id="518"/>
      <w:r>
        <w:rPr>
          <w:rtl w:val="true"/>
        </w:rPr>
        <w:t>قولهم</w:t>
      </w:r>
      <w:r>
        <w:rPr>
          <w:rtl w:val="true"/>
        </w:rPr>
        <w:t xml:space="preserve">: </w:t>
      </w:r>
      <w:r>
        <w:rPr>
          <w:rtl w:val="true"/>
        </w:rPr>
        <w:t>مرتفع القول</w:t>
      </w:r>
      <w:bookmarkEnd w:id="51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القول، جعله في البداية من ألفاظ الجرح، و فسّره بأنه لا يقبل قوله و لا يعتمد عليه</w:t>
      </w:r>
      <w:r>
        <w:rPr>
          <w:rStyle w:val="FootnoteAnchor"/>
          <w:rtl w:val="true"/>
        </w:rPr>
        <w:footnoteReference w:id="814"/>
      </w:r>
      <w:r>
        <w:rPr>
          <w:rFonts w:ascii="Amiri" w:hAnsi="Amiri" w:eastAsia="Amiri" w:cs="Amiri"/>
          <w:color w:val="111111"/>
          <w:sz w:val="28"/>
          <w:sz w:val="28"/>
          <w:szCs w:val="28"/>
          <w:rtl w:val="true"/>
          <w:lang w:bidi="ar-SA"/>
        </w:rPr>
        <w:t>، و لم أفهم الوجه في هذا التفسير و لا في جعله من أسباب الجرح، فإن عدم قبول قوله قد يكون لجهات اخر غير الفسق، و العام لا يدل على الخاص، فلا يكون من ألفاظ الجرح، بل الذم خاصة، إلا أن يريد بالجرح مطلق الذم، كما لعله غير بعيد بملاحظة بعض آخر من الألفاظ التي جعلها من أسباب الجرح، و إن كان إطلاق الجرح على مطلق الذم خلاف الاصطلاح، و خلاف جعله في صدر العنوان للجرح مقابل التعديل، و الذي أظن أن المراد بقولهم مرتفع القول أنه من أهل الارتفاع و الغلو</w:t>
      </w:r>
      <w:r>
        <w:rPr>
          <w:rStyle w:val="FootnoteAnchor"/>
          <w:rtl w:val="true"/>
        </w:rPr>
        <w:footnoteReference w:id="815"/>
      </w:r>
      <w:r>
        <w:rPr>
          <w:rFonts w:ascii="Amiri" w:hAnsi="Amiri" w:eastAsia="Amiri" w:cs="Amiri"/>
          <w:color w:val="111111"/>
          <w:sz w:val="28"/>
          <w:sz w:val="28"/>
          <w:szCs w:val="28"/>
          <w:rtl w:val="true"/>
          <w:lang w:bidi="ar-SA"/>
        </w:rPr>
        <w:t xml:space="preserve">فيكون </w:t>
      </w:r>
      <w:bookmarkStart w:id="520" w:name="pg15033_241732"/>
    </w:p>
    <w:p>
      <w:pPr>
        <w:pStyle w:val="BookText"/>
        <w:rPr/>
      </w:pPr>
      <w:bookmarkEnd w:id="520"/>
      <w:r>
        <w:rPr>
          <w:rFonts w:ascii="Amiri" w:hAnsi="Amiri" w:eastAsia="Amiri" w:cs="Amiri"/>
          <w:color w:val="111111"/>
          <w:sz w:val="28"/>
          <w:sz w:val="28"/>
          <w:szCs w:val="28"/>
          <w:rtl w:val="true"/>
          <w:lang w:bidi="ar-SA"/>
        </w:rPr>
        <w:t>ذلك جرحا حينئذ لذلك،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521" w:name="__RefHeading___Toc316885_2142443653"/>
      <w:bookmarkStart w:id="522" w:name="_Toc196"/>
      <w:bookmarkEnd w:id="521"/>
      <w:r>
        <w:rPr>
          <w:rtl w:val="true"/>
        </w:rPr>
        <w:t>قولهم</w:t>
      </w:r>
      <w:r>
        <w:rPr>
          <w:rtl w:val="true"/>
        </w:rPr>
        <w:t xml:space="preserve">: </w:t>
      </w:r>
      <w:r>
        <w:rPr>
          <w:rtl w:val="true"/>
        </w:rPr>
        <w:t>متهم بالكذب أو الغلو</w:t>
      </w:r>
      <w:r>
        <w:rPr>
          <w:rtl w:val="true"/>
        </w:rPr>
        <w:t>..</w:t>
      </w:r>
      <w:bookmarkEnd w:id="522"/>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بالكذب، أو الغلو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من الأوصاف القادحة، و لا ريب في إفادته الذم، بل جعله في البداية من ألفاظ الجرح</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إلا على التّوجيه الذي عرفت، مع ما فيه كما عرفت</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الباب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5033_241733"/>
    </w:p>
    <w:p>
      <w:pPr>
        <w:pStyle w:val="Heading4"/>
        <w:numPr>
          <w:ilvl w:val="3"/>
          <w:numId w:val="1"/>
        </w:numPr>
        <w:rPr/>
      </w:pPr>
      <w:bookmarkStart w:id="524" w:name="__RefHeading___Toc316887_2142443653"/>
      <w:bookmarkStart w:id="525" w:name="_Toc197"/>
      <w:bookmarkEnd w:id="523"/>
      <w:bookmarkEnd w:id="524"/>
      <w:r>
        <w:rPr>
          <w:rtl w:val="true"/>
        </w:rPr>
        <w:t>المقام الرابع في سائر أسباب الذم و ما تخيل كونه من ذلك</w:t>
      </w:r>
      <w:r>
        <w:rPr>
          <w:rtl w:val="true"/>
        </w:rPr>
        <w:t>:</w:t>
      </w:r>
      <w:bookmarkEnd w:id="525"/>
    </w:p>
    <w:p>
      <w:pPr>
        <w:pStyle w:val="Heading5"/>
        <w:numPr>
          <w:ilvl w:val="4"/>
          <w:numId w:val="1"/>
        </w:numPr>
        <w:rPr/>
      </w:pPr>
      <w:bookmarkStart w:id="526" w:name="__RefHeading___Toc316889_2142443653"/>
      <w:bookmarkStart w:id="527" w:name="_Toc198"/>
      <w:bookmarkEnd w:id="526"/>
      <w:r>
        <w:rPr>
          <w:rtl w:val="true"/>
        </w:rPr>
        <w:t>منها</w:t>
      </w:r>
      <w:r>
        <w:rPr>
          <w:rtl w:val="true"/>
        </w:rPr>
        <w:t xml:space="preserve">: </w:t>
      </w:r>
      <w:r>
        <w:rPr>
          <w:rtl w:val="true"/>
        </w:rPr>
        <w:t>كثرة روايته عن الضعفاء و المجاهيل</w:t>
      </w:r>
      <w:bookmarkEnd w:id="527"/>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روايته عن الضعفاء و المجاهيل</w:t>
      </w:r>
      <w:r>
        <w:rPr>
          <w:rStyle w:val="FootnoteAnchor"/>
          <w:rtl w:val="true"/>
        </w:rPr>
        <w:footnoteReference w:id="818"/>
      </w:r>
      <w:r>
        <w:rPr>
          <w:rFonts w:ascii="Amiri" w:hAnsi="Amiri" w:eastAsia="Amiri" w:cs="Amiri"/>
          <w:color w:val="111111"/>
          <w:sz w:val="28"/>
          <w:sz w:val="28"/>
          <w:szCs w:val="28"/>
          <w:rtl w:val="true"/>
          <w:lang w:bidi="ar-SA"/>
        </w:rPr>
        <w:t>، جعله القميون و ابن الغضائري من أسباب الذم، لكشف ذلك عن مسامحة في أمر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كما يمكن أن يكون لذلك يمكن أن يكون لكونه سريع التصديق، أو لأن الرواية غير العمل</w:t>
      </w:r>
      <w:r>
        <w:rPr>
          <w:rStyle w:val="FootnoteAnchor"/>
          <w:rtl w:val="true"/>
        </w:rPr>
        <w:footnoteReference w:id="81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528" w:name="pg15033_241734"/>
    </w:p>
    <w:p>
      <w:pPr>
        <w:pStyle w:val="Heading5"/>
        <w:numPr>
          <w:ilvl w:val="4"/>
          <w:numId w:val="1"/>
        </w:numPr>
        <w:rPr/>
      </w:pPr>
      <w:bookmarkStart w:id="529" w:name="__RefHeading___Toc316891_2142443653"/>
      <w:bookmarkStart w:id="530" w:name="_Toc199"/>
      <w:bookmarkEnd w:id="528"/>
      <w:bookmarkEnd w:id="529"/>
      <w:r>
        <w:rPr>
          <w:rtl w:val="true"/>
        </w:rPr>
        <w:t>منها</w:t>
      </w:r>
      <w:r>
        <w:rPr>
          <w:rtl w:val="true"/>
        </w:rPr>
        <w:t xml:space="preserve">: </w:t>
      </w:r>
      <w:r>
        <w:rPr>
          <w:rtl w:val="true"/>
        </w:rPr>
        <w:t>كثرة رواية المذمومين عنه</w:t>
      </w:r>
      <w:bookmarkEnd w:id="530"/>
    </w:p>
    <w:p>
      <w:pPr>
        <w:pStyle w:val="BookText"/>
        <w:rPr/>
      </w:pPr>
      <w:r>
        <w:rPr>
          <w:rFonts w:ascii="Amiri" w:hAnsi="Amiri" w:eastAsia="Amiri" w:cs="Amiri"/>
          <w:color w:val="111111"/>
          <w:sz w:val="28"/>
          <w:sz w:val="28"/>
          <w:szCs w:val="28"/>
          <w:rtl w:val="true"/>
          <w:lang w:bidi="ar-SA"/>
        </w:rPr>
        <w:t>كثرة رواية المذمومين عنه، أو ادعاؤهم كونه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كسابقه في عدم الدلالة على الذم، بل أضعف من سابقه، لأن الرواية عن الضعيف تحت طوعه دون رواية المذموم عنه، فتأمل</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316893_2142443653"/>
      <w:bookmarkStart w:id="532" w:name="_Toc200"/>
      <w:bookmarkEnd w:id="531"/>
      <w:r>
        <w:rPr>
          <w:rtl w:val="true"/>
        </w:rPr>
        <w:t>منها</w:t>
      </w:r>
      <w:r>
        <w:rPr>
          <w:rtl w:val="true"/>
        </w:rPr>
        <w:t xml:space="preserve">: </w:t>
      </w:r>
      <w:r>
        <w:rPr>
          <w:rtl w:val="true"/>
        </w:rPr>
        <w:t xml:space="preserve">روايته عنهم </w:t>
      </w:r>
      <w:r>
        <w:rPr>
          <w:rtl w:val="true"/>
        </w:rPr>
        <w:t>(</w:t>
      </w:r>
      <w:r>
        <w:rPr>
          <w:rtl w:val="true"/>
        </w:rPr>
        <w:t>ع</w:t>
      </w:r>
      <w:r>
        <w:rPr>
          <w:rtl w:val="true"/>
        </w:rPr>
        <w:t xml:space="preserve">) </w:t>
      </w:r>
      <w:r>
        <w:rPr>
          <w:rtl w:val="true"/>
        </w:rPr>
        <w:t>على وجه يظهر منه كونهم رواة لا حججا</w:t>
      </w:r>
      <w:bookmarkEnd w:id="53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يظهر منه 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لا حججا،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مظنة عدم كونه من الشيعة، إلا أن يظهر من القرائن كونه منهم، مثل أن يكون ما رواه موافقا لمذهبهم و مخالفا لمذهب غيرهم، أو أنه يكثر من الرواية عنهم غاية الإكثار، أو أن غالب رواياته يفتون بها و يرجحونها على ما رواه الشيعة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فيحمل كيفية روايته على التقية، أو تصحيح مضمونها عند المخالفين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ترويجه فيهم سيما المستضعفين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الناصبين منهم، أو تأليفا لقلوبهم، أو استعطافا لهم الى التشيع،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أن كل ما يحدثونه فهو عن الباري عزّ اسمه، و قد سبق ان نقلناه في المستدرك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5033_241735"/>
    </w:p>
    <w:p>
      <w:pPr>
        <w:pStyle w:val="BookText"/>
        <w:rPr/>
      </w:pPr>
      <w:bookmarkEnd w:id="53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كيفية الرواية لا دلالة فيه على كونه من غير الشيعة بوجه، فكان الأولى جعل الأصل عدم الدلالة، و ذكر ضد الشواهد المذكورة شواهد على الدلالة، بحيث تفيد بانضمامها عدم كونه شيعيا، و لعله لذا أمر في ذيل كلامه بالتأمل</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316895_2142443653"/>
      <w:bookmarkStart w:id="535" w:name="_Toc201"/>
      <w:bookmarkEnd w:id="534"/>
      <w:r>
        <w:rPr>
          <w:rtl w:val="true"/>
        </w:rPr>
        <w:t>منها</w:t>
      </w:r>
      <w:r>
        <w:rPr>
          <w:rtl w:val="true"/>
        </w:rPr>
        <w:t xml:space="preserve">: </w:t>
      </w:r>
      <w:r>
        <w:rPr>
          <w:rtl w:val="true"/>
        </w:rPr>
        <w:t>كونه كاتب الخليفة و من عماله</w:t>
      </w:r>
      <w:bookmarkEnd w:id="53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كاتب الخليفة أو الوالي أو من عماله، فإن ظاهره الذم كما اعترف به العلامة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Style w:val="FootnoteAnchor"/>
          <w:rtl w:val="true"/>
        </w:rPr>
        <w:footnoteReference w:id="821"/>
      </w:r>
      <w:r>
        <w:rPr>
          <w:rFonts w:ascii="Amiri" w:hAnsi="Amiri" w:eastAsia="Amiri" w:cs="Amiri"/>
          <w:color w:val="111111"/>
          <w:sz w:val="28"/>
          <w:sz w:val="28"/>
          <w:szCs w:val="28"/>
          <w:rtl w:val="true"/>
          <w:lang w:bidi="ar-SA"/>
        </w:rPr>
        <w:t xml:space="preserve">، حيث أنه قيل في حقه إنه كان واليا من قبل بني أمية، فقال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يبعد انفكاكه عن القبيح</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رواه في أحمد بن عبد اللّه الكرخي</w:t>
      </w:r>
      <w:r>
        <w:rPr>
          <w:rStyle w:val="FootnoteAnchor"/>
          <w:rtl w:val="true"/>
        </w:rPr>
        <w:footnoteReference w:id="82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إسحاق بن إبراهيم فتاب، و أقبل على تصنيف الكتب</w:t>
      </w:r>
      <w:r>
        <w:rPr>
          <w:rStyle w:val="FootnoteAnchor"/>
          <w:rtl w:val="true"/>
        </w:rPr>
        <w:footnoteReference w:id="824"/>
      </w:r>
      <w:r>
        <w:rPr>
          <w:rFonts w:ascii="Amiri" w:hAnsi="Amiri" w:eastAsia="Amiri" w:cs="Amiri"/>
          <w:color w:val="111111"/>
          <w:sz w:val="28"/>
          <w:sz w:val="28"/>
          <w:szCs w:val="28"/>
          <w:rtl w:val="true"/>
          <w:lang w:bidi="ar-SA"/>
        </w:rPr>
        <w:t>فإن التوبة لا تكون إلا عن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يرفع </w:t>
      </w:r>
    </w:p>
    <w:p>
      <w:pPr>
        <w:pStyle w:val="BookText"/>
        <w:rPr/>
      </w:pPr>
      <w:r>
        <w:rPr>
          <w:rFonts w:ascii="Amiri" w:hAnsi="Amiri" w:eastAsia="Amiri" w:cs="Amiri"/>
          <w:color w:val="111111"/>
          <w:sz w:val="28"/>
          <w:sz w:val="28"/>
          <w:szCs w:val="28"/>
          <w:rtl w:val="true"/>
          <w:lang w:bidi="ar-SA"/>
        </w:rPr>
        <w:t>اليد عن الظاهر المذكور بورود المدح و التعديل فيه كما في علي بن يقطين</w:t>
      </w:r>
      <w:r>
        <w:rPr>
          <w:rStyle w:val="FootnoteAnchor"/>
          <w:rtl w:val="true"/>
        </w:rPr>
        <w:footnoteReference w:id="8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المولى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 من المشهور التأمل من هذه الجهة كما في يعقوب بن يزيد، و حذيفة بن منصور و</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لعدم مقاومتهما</w:t>
      </w:r>
      <w:r>
        <w:rPr>
          <w:rStyle w:val="FootnoteAnchor"/>
          <w:rtl w:val="true"/>
        </w:rPr>
        <w:footnoteReference w:id="826"/>
      </w:r>
      <w:r>
        <w:rPr>
          <w:rFonts w:ascii="Amiri" w:hAnsi="Amiri" w:eastAsia="Amiri" w:cs="Amiri"/>
          <w:color w:val="111111"/>
          <w:sz w:val="28"/>
          <w:sz w:val="28"/>
          <w:szCs w:val="28"/>
          <w:rtl w:val="true"/>
          <w:lang w:bidi="ar-SA"/>
        </w:rPr>
        <w:t xml:space="preserve">التوثيق المنصوص أو المدح المنافي باحتمال كونها باذنهم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تقية و حفظا لأنفسهم أو غيرهم، أو اعتقادهم الإباحة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الوجوه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تحققها منهم على الوجه الفاسد بحيث لا تأمل في فساده و لا يقبل الاجتهاد في تصحيحه بأن تكون في اعتقادهم صحيحة و إن أخطئوا في اجتهادهم غير معلوم، مع أن الأصل في أفعال المسلمين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سمعك و بصرك ما تجد إليه سبيلا، و أمثاله كثيرة، و أيضا أنهم عليهم السّلام أبقوهم على حالهم و أقرّوا لهم ظاهرا مع أنهم كانوا متدينين بأمرهم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مطيعين لهم و يصلون الى خدمتهم، و يسألونهم عن أحوال أفعالهم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بعضهم فينتهي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أمثال ما ذكر، بل ربما ظهر مما ذكر أن القدح بأمثالها مشكل و إن لم يصادمها التوثيق و المدح، فتأمل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536" w:name="pg15033_241737"/>
    </w:p>
    <w:p>
      <w:pPr>
        <w:pStyle w:val="BookText"/>
        <w:rPr/>
      </w:pPr>
      <w:bookmarkEnd w:id="53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أن ظاهر الفعل القدح ما لم تقم القرائن الصارفة، فما لم يصادمه التوثيق و المدح ينبغي عدّه قادحا، كما بنى على ذلك بعض من تأخر عنه</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16897_2142443653"/>
      <w:bookmarkStart w:id="538" w:name="_Toc202"/>
      <w:bookmarkEnd w:id="537"/>
      <w:r>
        <w:rPr>
          <w:rtl w:val="true"/>
        </w:rPr>
        <w:t>منها</w:t>
      </w:r>
      <w:r>
        <w:rPr>
          <w:rtl w:val="true"/>
        </w:rPr>
        <w:t xml:space="preserve">: </w:t>
      </w:r>
      <w:r>
        <w:rPr>
          <w:rtl w:val="true"/>
        </w:rPr>
        <w:t>كون الرجل من بني امية</w:t>
      </w:r>
      <w:bookmarkEnd w:id="53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الرجل من بني أمية، فإنه من أسباب الذم، و لذا توقف بعضهم في رواية سعد الخير مع دلالة الأخبار على جلالته و علو شأنه، و جعل منشأ التوقف و الإشكال أنه قد تواتر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بني أمية قاطبة كما في زيارة عاشوراء المقطوع أنها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استفاض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بني أمية يؤاخذون بأفعال آبائهم لأنهم يرضون بها، و ما رواه في الصافي</w:t>
      </w:r>
      <w:r>
        <w:rPr>
          <w:rStyle w:val="FootnoteAnchor"/>
          <w:rtl w:val="true"/>
        </w:rPr>
        <w:footnoteReference w:id="829"/>
      </w:r>
      <w:r>
        <w:rPr>
          <w:rFonts w:ascii="Amiri" w:hAnsi="Amiri" w:eastAsia="Amiri" w:cs="Amiri"/>
          <w:color w:val="111111"/>
          <w:sz w:val="28"/>
          <w:sz w:val="28"/>
          <w:szCs w:val="28"/>
          <w:rtl w:val="true"/>
          <w:lang w:bidi="ar-SA"/>
        </w:rPr>
        <w:t xml:space="preserve">عن الاحتجاج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مروان، فلست أنا سببتك و لا سببت أباك</w:t>
      </w:r>
      <w:r>
        <w:rPr>
          <w:rStyle w:val="FootnoteAnchor"/>
          <w:rtl w:val="true"/>
        </w:rPr>
        <w:footnoteReference w:id="830"/>
      </w:r>
      <w:r>
        <w:rPr>
          <w:rFonts w:ascii="Amiri" w:hAnsi="Amiri" w:eastAsia="Amiri" w:cs="Amiri"/>
          <w:color w:val="111111"/>
          <w:sz w:val="28"/>
          <w:sz w:val="28"/>
          <w:szCs w:val="28"/>
          <w:rtl w:val="true"/>
          <w:lang w:bidi="ar-SA"/>
        </w:rPr>
        <w:t>، و لكن اللّه</w:t>
      </w:r>
      <w:r>
        <w:rPr>
          <w:rStyle w:val="FootnoteAnchor"/>
          <w:rtl w:val="true"/>
        </w:rPr>
        <w:footnoteReference w:id="831"/>
      </w:r>
      <w:r>
        <w:rPr>
          <w:rFonts w:ascii="Amiri" w:hAnsi="Amiri" w:eastAsia="Amiri" w:cs="Amiri"/>
          <w:color w:val="111111"/>
          <w:sz w:val="28"/>
          <w:sz w:val="28"/>
          <w:szCs w:val="28"/>
          <w:rtl w:val="true"/>
          <w:lang w:bidi="ar-SA"/>
        </w:rPr>
        <w:t xml:space="preserve">لعنك و لعن أباك و أهل بيتك و ذريتك و ما خرج من صلب أبيك الى يوم القيامة على لسان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أنت و لا أحد ممن حضر </w:t>
      </w:r>
    </w:p>
    <w:p>
      <w:pPr>
        <w:pStyle w:val="BookText"/>
        <w:rPr/>
      </w:pPr>
      <w:r>
        <w:rPr>
          <w:rFonts w:ascii="Amiri" w:hAnsi="Amiri" w:eastAsia="Amiri" w:cs="Amiri"/>
          <w:color w:val="111111"/>
          <w:sz w:val="28"/>
          <w:sz w:val="28"/>
          <w:szCs w:val="28"/>
          <w:rtl w:val="true"/>
          <w:lang w:bidi="ar-SA"/>
        </w:rPr>
        <w:t xml:space="preserve">هذه اللعنة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لأبيك من قبلك، و ما زادك اللّه</w:t>
      </w:r>
      <w:r>
        <w:rPr>
          <w:rStyle w:val="FootnoteAnchor"/>
          <w:rtl w:val="true"/>
        </w:rPr>
        <w:footnoteReference w:id="832"/>
      </w:r>
      <w:r>
        <w:rPr>
          <w:rFonts w:ascii="Amiri" w:hAnsi="Amiri" w:eastAsia="Amiri" w:cs="Amiri"/>
          <w:color w:val="111111"/>
          <w:sz w:val="28"/>
          <w:sz w:val="28"/>
          <w:szCs w:val="28"/>
          <w:rtl w:val="true"/>
          <w:lang w:bidi="ar-SA"/>
        </w:rPr>
        <w:t>بما خوفك إلا طغيانا كبيرا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ألطف منه تعميم كلام اللّه المجيد و الشجرة الملعونة في القرآن</w:t>
      </w:r>
      <w:r>
        <w:rPr>
          <w:rStyle w:val="FootnoteAnchor"/>
          <w:rtl w:val="true"/>
        </w:rPr>
        <w:footnoteReference w:id="834"/>
      </w:r>
      <w:r>
        <w:rPr>
          <w:rFonts w:ascii="Amiri" w:hAnsi="Amiri" w:eastAsia="Amiri" w:cs="Amiri"/>
          <w:color w:val="111111"/>
          <w:sz w:val="28"/>
          <w:sz w:val="28"/>
          <w:szCs w:val="28"/>
          <w:rtl w:val="true"/>
          <w:lang w:bidi="ar-SA"/>
        </w:rPr>
        <w:t>، فإنه روى الخاصة و العامة مستفيضا أنها في بني أمية</w:t>
      </w:r>
      <w:r>
        <w:rPr>
          <w:rStyle w:val="FootnoteAnchor"/>
          <w:rtl w:val="true"/>
        </w:rPr>
        <w:footnoteReference w:id="835"/>
      </w:r>
      <w:r>
        <w:rPr>
          <w:rFonts w:ascii="Amiri" w:hAnsi="Amiri" w:eastAsia="Amiri" w:cs="Amiri"/>
          <w:color w:val="111111"/>
          <w:sz w:val="28"/>
          <w:sz w:val="28"/>
          <w:szCs w:val="28"/>
          <w:rtl w:val="true"/>
          <w:lang w:bidi="ar-SA"/>
        </w:rPr>
        <w:t>، فهذا التعميم مع أنه متواتر النقل محفوف بالقرائن على إرادة التعميم، فإن رمت تخصيصه بما ورد في حق سعد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كان ذلك هادما لأساس جواز تعميم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التعبد به، بل وجوبه، فلو كان يجوز ذلك لحرم تعميمه و إطلاقه، فكان يجب تقييده، مع أن الذي ورد فيه زيادة على ذلك تأكيده كما في زيارة عاشوراء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البعض</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الذم و المدح لطوائف و أهل قبائل و بلدان على ذلك النحو، كما ورد أن أهل أصفهان لا يكون فيهم خمس </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و السماحة، و الشجاعة، و الكرم، و 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أهل مصر، و الظاهر من أمثال هذه الإطلاقات هو الأغلب من أولئك، لأنا نجد في بعض الأفراد على خلاف ما ورد، و لا سيما أهل مصر، فإنه لا يبعد أن يقال انقلب المدح الى الذم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 في أمثال هذه الخطابات، و لكن في خصوص الشجرة الملعونة حيث تأكدت العمومات و تعبدنا اللّه بلعنهم وجوبا، و لا يتمّ هذا التعبد إلا بالتعميم الحقيقي، و متى قام احتمال التخصيص و لو بفرد امتنع التعبد قطعا، ففرق بين الأمرين، فلذلك لا يجوز اللعن و الذم فيما ورد من غير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احتجاج أبي ذر بإطلاق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العاص ثلاثين رجلا جعلوا مال اللّه دولا، و عباده خولا، و دينه دخلا</w:t>
      </w:r>
      <w:r>
        <w:rPr>
          <w:rStyle w:val="FootnoteAnchor"/>
          <w:rtl w:val="true"/>
        </w:rPr>
        <w:footnoteReference w:id="837"/>
      </w:r>
      <w:r>
        <w:rPr>
          <w:rFonts w:ascii="Amiri" w:hAnsi="Amiri" w:eastAsia="Amiri" w:cs="Amiri"/>
          <w:color w:val="111111"/>
          <w:sz w:val="28"/>
          <w:sz w:val="28"/>
          <w:szCs w:val="28"/>
          <w:rtl w:val="true"/>
          <w:lang w:bidi="ar-SA"/>
        </w:rPr>
        <w:t xml:space="preserve">، على ذم عثمان بن عفان، فلو كان التخصيص محتملا لما </w:t>
      </w:r>
    </w:p>
    <w:p>
      <w:pPr>
        <w:pStyle w:val="BookText"/>
        <w:rPr/>
      </w:pPr>
      <w:r>
        <w:rPr>
          <w:rFonts w:ascii="Amiri" w:hAnsi="Amiri" w:eastAsia="Amiri" w:cs="Amiri"/>
          <w:color w:val="111111"/>
          <w:sz w:val="28"/>
          <w:sz w:val="28"/>
          <w:szCs w:val="28"/>
          <w:rtl w:val="true"/>
          <w:lang w:bidi="ar-SA"/>
        </w:rPr>
        <w:t>صح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يؤكده استدلال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 مروان بن الحكم بعموم رواية الاحتجاج، على أن الظاهر من سياق الحديث التعميم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تأويل تلك الآية و الأخبار بأن المراد ببني أمية جميع و الجهنميين من أهل الإسلام سواء كانوا من نسل أو غيرهم، فمردود، بأن ذلك ان تمّ يكون شاهدا للتعميم لغيرهم من حذوهم، و لا يوجب التخصيص بغير الثقة العدل منهم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الاستشهاد للتخصيص بكثرة الأخبار بمدح علي بن يقطين مع كونه أمويا مردود، بعدم نطق أحد بهذا النسب لابن يقطين، و لو ثبت أمكن كون نسبته الى بني أمية لتبني واحد منهم إياه، لا لكونه من نسلهم حقيقة، و كذا الحال في كون سعد الخير من ولد عمر بن عبد العزيز، و قد كان التبني دأبا في الجاهلية و الإسلام كما ذكرنا شرحه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الكلبي</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تبنى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كما في قوله تعالى وَ إِذْ قالَ إِبْراهِيمُ لِأَبِيهِ آزَرَ </w:t>
      </w:r>
      <w:r>
        <w:rPr>
          <w:rStyle w:val="FootnoteAnchor"/>
          <w:rtl w:val="true"/>
        </w:rPr>
        <w:footnoteReference w:id="839"/>
      </w:r>
      <w:r>
        <w:rPr>
          <w:rFonts w:ascii="Amiri" w:hAnsi="Amiri" w:eastAsia="Amiri" w:cs="Amiri"/>
          <w:color w:val="111111"/>
          <w:sz w:val="28"/>
          <w:sz w:val="28"/>
          <w:szCs w:val="28"/>
          <w:rtl w:val="true"/>
          <w:lang w:bidi="ar-SA"/>
        </w:rPr>
        <w:t>مع أنه عمه أو زوج أمه، سمي بالأب لتبنيه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كله أن كون الرجل من بني أمية من أسباب الذم، إلا أنه ما دام احتمال التبني الذي كان شائعا قائما لا يجرح العدل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ثم لا يخفى عليك أن ما ذكرناه على فرض تماميته لا يتم في كل من لقّب بالأموي ما لم يعلم انتسابه الى بني أمية المعروفين، ضرورة أن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أمية بن نخالة</w:t>
      </w:r>
      <w:r>
        <w:rPr>
          <w:rStyle w:val="FootnoteAnchor"/>
          <w:rtl w:val="true"/>
        </w:rPr>
        <w:footnoteReference w:id="840"/>
      </w:r>
      <w:r>
        <w:rPr>
          <w:rFonts w:ascii="Amiri" w:hAnsi="Amiri" w:eastAsia="Amiri" w:cs="Amiri"/>
          <w:color w:val="111111"/>
          <w:sz w:val="28"/>
          <w:sz w:val="28"/>
          <w:szCs w:val="28"/>
          <w:rtl w:val="true"/>
          <w:lang w:bidi="ar-SA"/>
        </w:rPr>
        <w:t xml:space="preserve">بن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بضم الهمزة و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أمية بن عبد بن شمس ابن مناف، كما قاله السمعاني</w:t>
      </w:r>
      <w:r>
        <w:rPr>
          <w:rStyle w:val="FootnoteAnchor"/>
          <w:rtl w:val="true"/>
        </w:rPr>
        <w:footnoteReference w:id="841"/>
      </w:r>
      <w:r>
        <w:rPr>
          <w:rFonts w:ascii="Amiri" w:hAnsi="Amiri" w:eastAsia="Amiri" w:cs="Amiri"/>
          <w:color w:val="111111"/>
          <w:sz w:val="28"/>
          <w:sz w:val="28"/>
          <w:szCs w:val="28"/>
          <w:rtl w:val="true"/>
          <w:lang w:bidi="ar-SA"/>
        </w:rPr>
        <w:t>، و المذموم إنما هو المنتسب الى أن الموسوم بالأمية الأكبر دون الأول المدعو بأمية الأصغر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عثرت بعد حين على ما يهدم أساس ما ذكرناه، و هو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الاختصاص بإسناده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سعد الخير و هو من ولد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ينشج كما تنشج النساء،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أبكي و أنا من الشجرة الملعونة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أموي، أنت</w:t>
      </w:r>
      <w:r>
        <w:rPr>
          <w:rStyle w:val="FootnoteAnchor"/>
          <w:rtl w:val="true"/>
        </w:rPr>
        <w:footnoteReference w:id="842"/>
      </w:r>
      <w:r>
        <w:rPr>
          <w:rFonts w:ascii="Amiri" w:hAnsi="Amiri" w:eastAsia="Amiri" w:cs="Amiri"/>
          <w:color w:val="111111"/>
          <w:sz w:val="28"/>
          <w:sz w:val="28"/>
          <w:szCs w:val="28"/>
          <w:rtl w:val="true"/>
          <w:lang w:bidi="ar-SA"/>
        </w:rPr>
        <w:t xml:space="preserve">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المدار على الإيمان و التقوى، و هو الذي يساعد عليه أصول المذهب و قواعد العدل و الأخبار و الآيات الكثيرة، حيث ترى نفي الولاية عن ابن نوح </w:t>
      </w:r>
      <w:bookmarkStart w:id="539" w:name="pg15033_241742"/>
    </w:p>
    <w:p>
      <w:pPr>
        <w:pStyle w:val="BookText"/>
        <w:rPr/>
      </w:pPr>
      <w:bookmarkEnd w:id="539"/>
      <w:r>
        <w:rPr>
          <w:rFonts w:ascii="Amiri" w:hAnsi="Amiri" w:eastAsia="Amiri" w:cs="Amiri"/>
          <w:color w:val="111111"/>
          <w:sz w:val="28"/>
          <w:sz w:val="28"/>
          <w:szCs w:val="28"/>
          <w:rtl w:val="true"/>
          <w:lang w:bidi="ar-SA"/>
        </w:rPr>
        <w:t>و إثبات الجزئية لمن تبع</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المطلقات التي هي قضية خارجية صادرة من المعصوم عليه السّلام من دون قرينة تدلّ على إيكال إحراز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المكلف، فبطبيعة الحال تدل على أن المتكلم لاحظ الموضوع بتمام افراده و قد أحرز فيه أن لا مؤمن فيهم، و عليه فلا مانع من التمسك بالعام لاثبات جواز لعن الفرد المشكوك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سيدنا الاستاذ في المحاضرات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جواز التمسك بالعام في الشبهات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علمنا من الخارج أن فيهم مؤمنا فهو خارج عن العموم، و لا يجوز لعنه جزما، و أما إذا شك في فرد أنه مؤمن أو ليس بمؤمن فلا مانع من التمسك بعمومه لاثبات جواز لعنه، و يستكشف منه بدليل الآن أنه ليس بمؤمن،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316899_2142443653"/>
      <w:bookmarkStart w:id="541" w:name="_Toc203"/>
      <w:bookmarkEnd w:id="540"/>
      <w:r>
        <w:rPr>
          <w:rtl w:val="true"/>
        </w:rPr>
        <w:t>منها</w:t>
      </w:r>
      <w:r>
        <w:rPr>
          <w:rtl w:val="true"/>
        </w:rPr>
        <w:t xml:space="preserve">: </w:t>
      </w:r>
      <w:r>
        <w:rPr>
          <w:rtl w:val="true"/>
        </w:rPr>
        <w:t>فساد العقيدة</w:t>
      </w:r>
      <w:bookmarkEnd w:id="54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542" w:name="__RefHeading___Toc316901_2142443653"/>
      <w:bookmarkStart w:id="543" w:name="_Toc204"/>
      <w:bookmarkEnd w:id="542"/>
      <w:r>
        <w:rPr>
          <w:rtl w:val="true"/>
        </w:rPr>
        <w:t>من الفرق الفاسدة</w:t>
      </w:r>
      <w:r>
        <w:rPr>
          <w:rtl w:val="true"/>
        </w:rPr>
        <w:t xml:space="preserve">: </w:t>
      </w:r>
      <w:r>
        <w:rPr>
          <w:rtl w:val="true"/>
        </w:rPr>
        <w:t>العامة</w:t>
      </w:r>
      <w:bookmarkEnd w:id="543"/>
    </w:p>
    <w:p>
      <w:pPr>
        <w:pStyle w:val="Heading6"/>
        <w:numPr>
          <w:ilvl w:val="5"/>
          <w:numId w:val="1"/>
        </w:numPr>
        <w:rPr/>
      </w:pPr>
      <w:bookmarkStart w:id="544" w:name="__RefHeading___Toc316903_2142443653"/>
      <w:bookmarkStart w:id="545" w:name="_Toc205"/>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فساد العقيدة، سواء كان في نفس الأصول أو في فروعها، و حيث جرى الكلام الى هنا لزمنا الإشارة إجمالا الى أسباب فساد العقيدة ليعلم المراد بها حيثما استعملت في كتب الرجال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فرق الإسلام</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خطأ شاع في تاريخ المذاهب و الأديان و تداوله الأصحاب و سطروه في مدوناتهم لا يرد على مصنفنا خاصة و هو أنهم قالوا بأن الشيعي هو من اعتقد بإمامة علي عليه السّلام بلا فصل بعد رسول اللّه صلّى اللّه عليه و آله و سلّم و مع ذلك تجدهم ذكروا فرقا من الشيعة، الشيعة منهم براء و لا ينطبق عليهم الحد الذي ذكروه كأكثر فرق الزيدية و جمهرة مما ذكره المصنف هنا المعتقدين بإمامة الشيخين أو غيرهم،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صاحب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باقي الفرق كالتبرية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كالمجسمة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فهولاء ليسوا من فرق الشيعة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ذكرناه، و إن كان يرد عليه ما مرّ في الجملة فراجع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 هم معروفون</w:t>
      </w:r>
      <w:r>
        <w:rPr>
          <w:rFonts w:eastAsia="Amiri" w:cs="Amiri" w:ascii="Amiri" w:hAnsi="Amiri"/>
          <w:color w:val="111111"/>
          <w:sz w:val="28"/>
          <w:szCs w:val="28"/>
          <w:rtl w:val="true"/>
          <w:lang w:bidi="ar-SA"/>
        </w:rPr>
        <w:t>.</w:t>
      </w:r>
      <w:bookmarkStart w:id="546" w:name="pg15033_241743"/>
    </w:p>
    <w:p>
      <w:pPr>
        <w:pStyle w:val="Heading6"/>
        <w:numPr>
          <w:ilvl w:val="5"/>
          <w:numId w:val="1"/>
        </w:numPr>
        <w:rPr/>
      </w:pPr>
      <w:bookmarkStart w:id="547" w:name="__RefHeading___Toc316905_2142443653"/>
      <w:bookmarkStart w:id="548" w:name="_Toc206"/>
      <w:bookmarkEnd w:id="546"/>
      <w:bookmarkEnd w:id="547"/>
      <w:r>
        <w:rPr>
          <w:rtl w:val="true"/>
        </w:rPr>
        <w:t>و منها</w:t>
      </w:r>
      <w:r>
        <w:rPr>
          <w:rtl w:val="true"/>
        </w:rPr>
        <w:t xml:space="preserve">: </w:t>
      </w:r>
      <w:r>
        <w:rPr>
          <w:rtl w:val="true"/>
        </w:rPr>
        <w:t>الكيسانية</w:t>
      </w:r>
      <w:r>
        <w:rPr>
          <w:rtl w:val="true"/>
        </w:rPr>
        <w:t>:</w:t>
      </w:r>
      <w:bookmarkEnd w:id="548"/>
    </w:p>
    <w:p>
      <w:pPr>
        <w:pStyle w:val="Heading6"/>
        <w:numPr>
          <w:ilvl w:val="5"/>
          <w:numId w:val="1"/>
        </w:numPr>
        <w:rPr/>
      </w:pPr>
      <w:bookmarkStart w:id="549" w:name="__RefHeading___Toc316907_2142443653"/>
      <w:bookmarkStart w:id="550" w:name="_Toc207"/>
      <w:bookmarkEnd w:id="549"/>
      <w:r>
        <w:rPr>
          <w:rtl w:val="true"/>
        </w:rPr>
        <w:t>اشارة</w:t>
      </w:r>
      <w:bookmarkEnd w:id="55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على ما 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شذ عن الحق</w:t>
      </w:r>
      <w:r>
        <w:rPr>
          <w:rStyle w:val="FootnoteAnchor"/>
          <w:rtl w:val="true"/>
        </w:rPr>
        <w:footnoteReference w:id="846"/>
      </w:r>
      <w:r>
        <w:rPr>
          <w:rFonts w:ascii="IRNazanin" w:hAnsi="IRNazanin" w:eastAsia="IRNazanin"/>
          <w:color w:val="111111"/>
          <w:sz w:val="28"/>
          <w:sz w:val="28"/>
          <w:szCs w:val="28"/>
          <w:rtl w:val="true"/>
          <w:lang w:bidi="fa-IR"/>
        </w:rPr>
        <w:t xml:space="preserve">، و هم </w:t>
      </w:r>
      <w:r>
        <w:rPr>
          <w:rFonts w:eastAsia="IRNazanin" w:cs="IRNazanin"/>
          <w:color w:val="111111"/>
          <w:sz w:val="28"/>
          <w:szCs w:val="28"/>
          <w:rtl w:val="true"/>
          <w:lang w:bidi="fa-IR"/>
        </w:rPr>
        <w:t>[</w:t>
      </w:r>
      <w:r>
        <w:rPr>
          <w:rStyle w:val="FootnoteAnchor"/>
          <w:rtl w:val="true"/>
        </w:rPr>
        <w:footnoteReference w:id="847"/>
      </w:r>
      <w:r>
        <w:rPr>
          <w:rFonts w:ascii="Amiri" w:hAnsi="Amiri" w:eastAsia="Amiri" w:cs="Amiri"/>
          <w:color w:val="111111"/>
          <w:sz w:val="28"/>
          <w:sz w:val="28"/>
          <w:szCs w:val="28"/>
          <w:rtl w:val="true"/>
          <w:lang w:bidi="ar-SA"/>
        </w:rPr>
        <w:t xml:space="preserve">أصحاب كيسان غلام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المختار بن أبي عبيدة الثقفي المشهور، سموا بذلك لأن اسم المختار كان كيسان</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من هنا قيل لهم المختارية، انظر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حمله و وضعه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 بيده على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كيس يا كيس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 هذه الفرقة أن الإمام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تبري محمد بن الحنفية من الحنفية و الكيسانية و المختارية و ما نسبوه له، لما روى عن أمير المؤمنين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المحامدة تابى أن يعصى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المحامدة؟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عليه الرجاليون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روى صحيحا 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يفصل به بين دعوى المحق و المبطل في أمر الإمامة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و زرارة جميعا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أرسل محمد بن الحنفية الى علي بن الحسين عليهما السّلام فخلا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 و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بن علي و هو يتولى علي بن الحسين عليهما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أنه هو المهدي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يملأ اللّه الأرض به قسطا و عدلا، و أنه حي لا يموت، و قد غاب في جبل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 و ربما يجتمعون ليالي الجمعة و يشتغلون بالعبادة، و أقصى تعلقهم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صاحب رايته كما كان هو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أولى بمقامه، و في أنه المهدي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تنقضي الأيام و الليالي حتى يبعث اللّه تعالى رجلا من أهل بيتي، اسمه اسمي، و كنيته كنيتي، و اسم أبيه اسم أبي، يملأ الأرض قسطا و عدلا بعد ما ملئت ظلما و جورا</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أسماء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لم </w:t>
      </w:r>
    </w:p>
    <w:p>
      <w:pPr>
        <w:pStyle w:val="BookText"/>
        <w:rPr/>
      </w:pPr>
      <w:r>
        <w:rPr>
          <w:rFonts w:ascii="Amiri" w:hAnsi="Amiri" w:eastAsia="Amiri" w:cs="Amiri"/>
          <w:color w:val="111111"/>
          <w:sz w:val="28"/>
          <w:sz w:val="28"/>
          <w:szCs w:val="28"/>
          <w:rtl w:val="true"/>
          <w:lang w:bidi="ar-SA"/>
        </w:rPr>
        <w:t>يمت أنه إذا ثبتت إمامته، و أنه القائم تعين بقاؤه لئلا تخلو الأرض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فرقة أخرى منهم أن ابن الحنفية هو الإمام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الحسنين، و إن الحسن إنما دعي في الباطن إليه بأمره، و الحسين إنما ظهر بالسيف، و أنهما كانا داعيين إليه و امرين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فرقة ثالثة منهم أنه مات و انتقلت الإمامة الى ولده</w:t>
      </w:r>
      <w:r>
        <w:rPr>
          <w:rStyle w:val="FootnoteAnchor"/>
          <w:rtl w:val="true"/>
        </w:rPr>
        <w:footnoteReference w:id="851"/>
      </w:r>
      <w:r>
        <w:rPr>
          <w:rFonts w:ascii="Amiri" w:hAnsi="Amiri" w:eastAsia="Amiri" w:cs="Amiri"/>
          <w:color w:val="111111"/>
          <w:sz w:val="28"/>
          <w:sz w:val="28"/>
          <w:szCs w:val="28"/>
          <w:rtl w:val="true"/>
          <w:lang w:bidi="ar-SA"/>
        </w:rPr>
        <w:t>، و عدّ بعضهم منهم الواقفية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فرقة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مات و أنه يقوم بعد الموت، و أنه المهدي</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قال في المذاهب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أتباع المختار بن عبيد الثقفي، و قد كان خارجيا ثم صار من الشيعة الذين يناصرون عليا، و سميت الكيسانية نسبة الى كيسان، و قيل أنه اسم المختار، و قيل أنه مولى لعلي بن أبي طالب، أو تلميذ لابنه محمد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انقرضت الكيسانية و لا يعرف منها في هذا الزمان أحد، و منهم السيد الحميري في أول أمره و غيره، و قد تصدى علماؤنا الأقدمون رضوان اللّه عليهم أجمعين لرد طرهاتهم بما لا مزيد عليه، انظر غيبة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منهم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فلاحظ</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5033_241747"/>
    </w:p>
    <w:p>
      <w:pPr>
        <w:pStyle w:val="BookText"/>
        <w:rPr/>
      </w:pPr>
      <w:bookmarkEnd w:id="55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552" w:name="__RefHeading___Toc316909_2142443653"/>
      <w:bookmarkStart w:id="553" w:name="_Toc208"/>
      <w:bookmarkEnd w:id="552"/>
      <w:r>
        <w:rPr>
          <w:rtl w:val="true"/>
        </w:rPr>
        <w:t>الإسماعيلية</w:t>
      </w:r>
      <w:r>
        <w:rPr>
          <w:rtl w:val="true"/>
        </w:rPr>
        <w:t>:</w:t>
      </w:r>
      <w:bookmarkEnd w:id="553"/>
    </w:p>
    <w:p>
      <w:pPr>
        <w:pStyle w:val="BookText"/>
        <w:rPr/>
      </w:pPr>
      <w:r>
        <w:rPr>
          <w:rFonts w:ascii="Amiri" w:hAnsi="Amiri" w:eastAsia="Amiri" w:cs="Amiri"/>
          <w:color w:val="111111"/>
          <w:sz w:val="28"/>
          <w:sz w:val="28"/>
          <w:szCs w:val="28"/>
          <w:rtl w:val="true"/>
          <w:lang w:bidi="ar-SA"/>
        </w:rPr>
        <w:t xml:space="preserve">و هم القائلون بالإمامة الى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الى ابنه إسماعيل</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لقبوا بالسبعية و الباطنية و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العلامة المجلسي في بحاره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لهم ثلاث فرق تبعا للشيخ المفيد في فصوله، و ردهم و أبطل أحجيتهم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هم على ما عن</w:t>
      </w:r>
      <w:bookmarkStart w:id="554" w:name="pg15033_241748"/>
    </w:p>
    <w:p>
      <w:pPr>
        <w:pStyle w:val="BookText"/>
        <w:rPr/>
      </w:pPr>
      <w:bookmarkEnd w:id="554"/>
      <w:r>
        <w:rPr>
          <w:rFonts w:ascii="Amiri" w:hAnsi="Amiri" w:eastAsia="Amiri" w:cs="Amiri"/>
          <w:color w:val="111111"/>
          <w:sz w:val="28"/>
          <w:sz w:val="28"/>
          <w:szCs w:val="28"/>
          <w:rtl w:val="true"/>
          <w:lang w:bidi="ar-SA"/>
        </w:rPr>
        <w:t>التعليقة</w:t>
      </w:r>
      <w:r>
        <w:rPr>
          <w:rStyle w:val="FootnoteAnchor"/>
          <w:rtl w:val="true"/>
        </w:rPr>
        <w:footnoteReference w:id="854"/>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555" w:name="__RefHeading___Toc316911_2142443653"/>
      <w:bookmarkStart w:id="556" w:name="_Toc209"/>
      <w:bookmarkEnd w:id="555"/>
      <w:r>
        <w:rPr>
          <w:rtl w:val="true"/>
        </w:rPr>
        <w:t>من الفرق الفاسدة</w:t>
      </w:r>
      <w:r>
        <w:rPr>
          <w:rtl w:val="true"/>
        </w:rPr>
        <w:t xml:space="preserve">: </w:t>
      </w:r>
      <w:r>
        <w:rPr>
          <w:rtl w:val="true"/>
        </w:rPr>
        <w:t>الهاشمية</w:t>
      </w:r>
      <w:bookmarkEnd w:id="556"/>
    </w:p>
    <w:p>
      <w:pPr>
        <w:pStyle w:val="BookText"/>
        <w:rPr/>
      </w:pPr>
      <w:r>
        <w:rPr>
          <w:rFonts w:ascii="Amiri" w:hAnsi="Amiri" w:eastAsia="Amiri" w:cs="Amiri"/>
          <w:color w:val="111111"/>
          <w:sz w:val="28"/>
          <w:sz w:val="28"/>
          <w:szCs w:val="28"/>
          <w:rtl w:val="true"/>
          <w:lang w:bidi="ar-SA"/>
        </w:rPr>
        <w:t>الهاشمية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المنتسبون الى أبي هاشم، و هم أيضا فرق</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16913_2142443653"/>
      <w:bookmarkStart w:id="558" w:name="_Toc210"/>
      <w:bookmarkEnd w:id="557"/>
      <w:r>
        <w:rPr>
          <w:rtl w:val="true"/>
        </w:rPr>
        <w:t>من الفرق الفاسدة</w:t>
      </w:r>
      <w:r>
        <w:rPr>
          <w:rtl w:val="true"/>
        </w:rPr>
        <w:t xml:space="preserve">: </w:t>
      </w:r>
      <w:r>
        <w:rPr>
          <w:rtl w:val="true"/>
        </w:rPr>
        <w:t>الحيانية</w:t>
      </w:r>
      <w:bookmarkEnd w:id="558"/>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الحيانية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حيّان السّراج، يزعمون أن الإمام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الحنفيّة، و لا يرون للحسنين 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6"/>
        <w:numPr>
          <w:ilvl w:val="5"/>
          <w:numId w:val="1"/>
        </w:numPr>
        <w:rPr/>
      </w:pPr>
      <w:bookmarkStart w:id="559" w:name="__RefHeading___Toc316915_2142443653"/>
      <w:bookmarkStart w:id="560" w:name="_Toc211"/>
      <w:bookmarkEnd w:id="559"/>
      <w:r>
        <w:rPr>
          <w:rtl w:val="true"/>
        </w:rPr>
        <w:t>من الفرق الفاسدة</w:t>
      </w:r>
      <w:r>
        <w:rPr>
          <w:rtl w:val="true"/>
        </w:rPr>
        <w:t xml:space="preserve">: </w:t>
      </w:r>
      <w:r>
        <w:rPr>
          <w:rtl w:val="true"/>
        </w:rPr>
        <w:t>الرزامية</w:t>
      </w:r>
      <w:bookmarkEnd w:id="5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الرزّامية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561" w:name="pg15033_241749"/>
    </w:p>
    <w:p>
      <w:pPr>
        <w:pStyle w:val="BookText"/>
        <w:rPr/>
      </w:pPr>
      <w:bookmarkEnd w:id="561"/>
      <w:r>
        <w:rPr>
          <w:rFonts w:ascii="Amiri" w:hAnsi="Amiri" w:eastAsia="Amiri" w:cs="Amiri"/>
          <w:color w:val="111111"/>
          <w:sz w:val="28"/>
          <w:sz w:val="28"/>
          <w:szCs w:val="28"/>
          <w:rtl w:val="true"/>
          <w:lang w:bidi="ar-SA"/>
        </w:rPr>
        <w:t>أتباع رزام، ساقوا الإمامة بعد أبي هاشم بن محمد بن الحنفية الى عبد اللّه بن العباس بالنص</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316917_2142443653"/>
      <w:bookmarkStart w:id="563" w:name="_Toc212"/>
      <w:bookmarkEnd w:id="562"/>
      <w:r>
        <w:rPr>
          <w:rtl w:val="true"/>
        </w:rPr>
        <w:t>من الفرق الفاسدة</w:t>
      </w:r>
      <w:r>
        <w:rPr>
          <w:rtl w:val="true"/>
        </w:rPr>
        <w:t xml:space="preserve">: </w:t>
      </w:r>
      <w:r>
        <w:rPr>
          <w:rtl w:val="true"/>
        </w:rPr>
        <w:t>الفطحية</w:t>
      </w:r>
      <w:bookmarkEnd w:id="56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الفطحيّة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القائلون بإمامة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 اللّه الأفطح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يدخلونه بين أبيه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يدخلونه بين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و عن الاختيار</w:t>
      </w:r>
      <w:r>
        <w:rPr>
          <w:rStyle w:val="FootnoteAnchor"/>
          <w:rtl w:val="true"/>
        </w:rPr>
        <w:footnoteReference w:id="861"/>
      </w:r>
      <w:r>
        <w:rPr>
          <w:rFonts w:ascii="Amiri" w:hAnsi="Amiri" w:eastAsia="Amiri" w:cs="Amiri"/>
          <w:color w:val="111111"/>
          <w:sz w:val="28"/>
          <w:sz w:val="28"/>
          <w:szCs w:val="28"/>
          <w:rtl w:val="true"/>
          <w:lang w:bidi="ar-SA"/>
        </w:rPr>
        <w:t xml:space="preserve">أنهم سمّوا بذلك لأنه قيل أنه كان أفطح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عريضه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الى رئيس لهم يقال له عبد اللّه بن فطيح من أهل الكوفة، و الذين قالوا بإمامة عامة مشايخ العصابة و فقهائها، </w:t>
      </w:r>
    </w:p>
    <w:p>
      <w:pPr>
        <w:pStyle w:val="BookText"/>
        <w:rPr/>
      </w:pPr>
      <w:r>
        <w:rPr>
          <w:rFonts w:ascii="Amiri" w:hAnsi="Amiri" w:eastAsia="Amiri" w:cs="Amiri"/>
          <w:color w:val="111111"/>
          <w:sz w:val="28"/>
          <w:sz w:val="28"/>
          <w:szCs w:val="28"/>
          <w:rtl w:val="true"/>
          <w:lang w:bidi="ar-SA"/>
        </w:rPr>
        <w:t xml:space="preserve">قالوا بهذه المقالة فدخلت عليهم الشّبهة لما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الإمامة في الأكبر من ولد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إمام، ثم منهم من رجع عن القول بإمامته لمّا امتحنه بمسائل من الحلال و الحرام لم يكن عنده جواب، و لما ظهر منه الأشياء التي لا ينبغي أن تظهر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عبد اللّه مات بعد أبيه بسبعين يوما فرجع الباقون إلا شذاذا منهم عن القول بإمامته الى القول بإمامة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رجعوا الى الذي روى أن الإمامة لا تكون في الأخوين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 و بقي شذاذ منهم على القول بإمامته، و بعد أن مات قالوا بإمامة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لازمه صحة قول من قال أنّهم يدخلونه بين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روى عن أبي عبد اللّه عليه السّلام أنه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سيجلس مجلسا و يدّعي الإمامة بعدي فلا تنازعه بكلمة، فإنه أول أهلي لحوقا بي، كذا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ابن داود في رجاله بابا لرجالاتهم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و عدّ منهم ستّة عشر راويا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5033_241751"/>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القول بالفطحية أقرب مذاهب الشّيعة الى الحق، كما نبّهنا على ذلك في ذيل الفائدة السّابعة من مقدّمة تنقيح المقال</w:t>
      </w:r>
      <w:r>
        <w:rPr>
          <w:rStyle w:val="FootnoteAnchor"/>
          <w:rtl w:val="true"/>
        </w:rPr>
        <w:footnoteReference w:id="866"/>
      </w:r>
      <w:r>
        <w:rPr>
          <w:rFonts w:ascii="IRNazanin" w:hAnsi="IRNazanin" w:eastAsia="IRNazanin"/>
          <w:color w:val="111111"/>
          <w:sz w:val="28"/>
          <w:sz w:val="28"/>
          <w:szCs w:val="28"/>
          <w:rtl w:val="true"/>
          <w:lang w:bidi="fa-IR"/>
        </w:rPr>
        <w:t>، فراجع و تدبّر</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انظر حول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و تعرّض الشّيخ الطّوسي لمذهبهم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ردّهم، و قد وردت في ذمّهم روايات كما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انظر تعليقة الوحيد البهبهاني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جملة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316919_2142443653"/>
      <w:bookmarkStart w:id="566" w:name="_Toc213"/>
      <w:bookmarkEnd w:id="565"/>
      <w:r>
        <w:rPr>
          <w:rtl w:val="true"/>
        </w:rPr>
        <w:t>من الفرق الفاسدة</w:t>
      </w:r>
      <w:r>
        <w:rPr>
          <w:rtl w:val="true"/>
        </w:rPr>
        <w:t xml:space="preserve">: </w:t>
      </w:r>
      <w:r>
        <w:rPr>
          <w:rtl w:val="true"/>
        </w:rPr>
        <w:t>السمطية</w:t>
      </w:r>
      <w:bookmarkEnd w:id="56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السمطية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القائلون بإمامة محمد بن جعفر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ديباجة دون أخيه</w:t>
      </w:r>
      <w:r>
        <w:rPr>
          <w:rStyle w:val="FootnoteAnchor"/>
          <w:rtl w:val="true"/>
        </w:rPr>
        <w:footnoteReference w:id="868"/>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869"/>
      </w:r>
      <w:r>
        <w:rPr>
          <w:rFonts w:ascii="IRNazanin" w:hAnsi="IRNazanin" w:eastAsia="IRNazanin"/>
          <w:color w:val="111111"/>
          <w:sz w:val="28"/>
          <w:sz w:val="28"/>
          <w:szCs w:val="28"/>
          <w:rtl w:val="true"/>
          <w:lang w:bidi="fa-IR"/>
        </w:rPr>
        <w:t>عبد اللّه الأفطح</w:t>
      </w:r>
      <w:r>
        <w:rPr>
          <w:rStyle w:val="FootnoteAnchor"/>
          <w:rtl w:val="true"/>
        </w:rPr>
        <w:footnoteReference w:id="870"/>
      </w:r>
      <w:r>
        <w:rPr>
          <w:rFonts w:ascii="IRNazanin" w:hAnsi="IRNazanin" w:eastAsia="IRNazanin"/>
          <w:color w:val="111111"/>
          <w:sz w:val="28"/>
          <w:sz w:val="28"/>
          <w:szCs w:val="28"/>
          <w:rtl w:val="true"/>
          <w:lang w:bidi="fa-IR"/>
        </w:rPr>
        <w:t xml:space="preserve">، نسبوا الى </w:t>
      </w:r>
      <w:bookmarkStart w:id="567" w:name="pg15033_241752"/>
    </w:p>
    <w:p>
      <w:pPr>
        <w:pStyle w:val="BookText"/>
        <w:rPr/>
      </w:pPr>
      <w:bookmarkEnd w:id="567"/>
      <w:r>
        <w:rPr>
          <w:rFonts w:ascii="Amiri" w:hAnsi="Amiri" w:eastAsia="Amiri" w:cs="Amiri"/>
          <w:color w:val="111111"/>
          <w:sz w:val="28"/>
          <w:sz w:val="28"/>
          <w:szCs w:val="28"/>
          <w:rtl w:val="true"/>
          <w:lang w:bidi="ar-SA"/>
        </w:rPr>
        <w:t>رئيس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السمط</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إلا أن المحدث المجلسي رحمه اللّه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السبطية نسبة الى رئيسهم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يحيى بن أبي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البحار لا السمط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حول السمطية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الشيعة للنوبختي</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سميطيه، ريحانة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8" w:name="__RefHeading___Toc316921_2142443653"/>
      <w:bookmarkStart w:id="569" w:name="_Toc214"/>
      <w:bookmarkEnd w:id="568"/>
      <w:r>
        <w:rPr>
          <w:rtl w:val="true"/>
        </w:rPr>
        <w:t>من الفرق الفاسدة</w:t>
      </w:r>
      <w:r>
        <w:rPr>
          <w:rtl w:val="true"/>
        </w:rPr>
        <w:t xml:space="preserve">: </w:t>
      </w:r>
      <w:r>
        <w:rPr>
          <w:rtl w:val="true"/>
        </w:rPr>
        <w:t>الناووسية</w:t>
      </w:r>
      <w:bookmarkEnd w:id="56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الناووسيّة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ناووس</w:t>
      </w:r>
      <w:r>
        <w:rPr>
          <w:rStyle w:val="FootnoteAnchor"/>
          <w:rtl w:val="true"/>
        </w:rPr>
        <w:footnoteReference w:id="873"/>
      </w:r>
      <w:r>
        <w:rPr>
          <w:rFonts w:ascii="Amiri" w:hAnsi="Amiri" w:eastAsia="Amiri" w:cs="Amiri"/>
          <w:color w:val="111111"/>
          <w:sz w:val="28"/>
          <w:sz w:val="28"/>
          <w:szCs w:val="28"/>
          <w:rtl w:val="true"/>
          <w:lang w:bidi="ar-SA"/>
        </w:rPr>
        <w:t>، و قيل نسبوا الى قرية ناووسيا</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و هم القائلون بالإمامة الى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وقفوا عليه، و قالوا إنه حي لن يموت حتى يظهر و يظهر أمره، و هو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الملل و النحل أنهم زعموا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ستنشق الأرض عنه قبل يوم القيامة فيملأ </w:t>
      </w:r>
      <w:bookmarkStart w:id="570" w:name="pg15033_241753"/>
    </w:p>
    <w:p>
      <w:pPr>
        <w:pStyle w:val="BookText"/>
        <w:rPr/>
      </w:pPr>
      <w:bookmarkEnd w:id="570"/>
      <w:r>
        <w:rPr>
          <w:rFonts w:ascii="IRNazanin" w:hAnsi="IRNazanin" w:eastAsia="IRNazanin"/>
          <w:color w:val="111111"/>
          <w:sz w:val="28"/>
          <w:sz w:val="28"/>
          <w:szCs w:val="28"/>
          <w:rtl w:val="true"/>
          <w:lang w:bidi="fa-IR"/>
        </w:rPr>
        <w:t>الأرض عدلا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نسبوا الى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ناووس، و قيل إلى قرية تسمى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الصارمية أيضا</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انظر حول الناووسية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ريحانة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 دائرة معارف 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724/9</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نفايس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و كذا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عدّها من فرق الشيعة الإمامية،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و قد تعرض الشيخ الطوسي في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لأباطيلهم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الناووسية رواية عن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نعاني إليك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ما شاء اللّه، ثم أن محمد بن سليمان 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أجرك في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 إقامة الناووسية على أبي عبد اللّه عليه السّلام، بهذا الحديث،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عقد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ذكر جماعة من الناووسية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 و سعد بن طريف الحنظلي الإسكافي و عبد اللّه بن أحمد بن أبي زيد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ذكر الأولان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316923_2142443653"/>
      <w:bookmarkStart w:id="572" w:name="_Toc215"/>
      <w:bookmarkEnd w:id="571"/>
      <w:r>
        <w:rPr>
          <w:rtl w:val="true"/>
        </w:rPr>
        <w:t>من الفرق الفاسدة</w:t>
      </w:r>
      <w:r>
        <w:rPr>
          <w:rtl w:val="true"/>
        </w:rPr>
        <w:t xml:space="preserve">: </w:t>
      </w:r>
      <w:r>
        <w:rPr>
          <w:rtl w:val="true"/>
        </w:rPr>
        <w:t>الواقفية</w:t>
      </w:r>
      <w:bookmarkEnd w:id="57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الذين وقفوا على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المعروف من هذا اللفظ حيثما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الكلاب المبتلّة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الإطلاق ظاهر</w:t>
      </w:r>
      <w:r>
        <w:rPr>
          <w:rStyle w:val="FootnoteAnchor"/>
          <w:rtl w:val="true"/>
        </w:rPr>
        <w:footnoteReference w:id="877"/>
      </w:r>
      <w:r>
        <w:rPr>
          <w:rFonts w:ascii="Amiri" w:hAnsi="Amiri" w:eastAsia="Amiri" w:cs="Amiri"/>
          <w:color w:val="111111"/>
          <w:sz w:val="28"/>
          <w:sz w:val="28"/>
          <w:szCs w:val="28"/>
          <w:rtl w:val="true"/>
          <w:lang w:bidi="ar-SA"/>
        </w:rPr>
        <w:t xml:space="preserve">، و إنما وقفوا على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أنه القائم المنتظر، أما بدعوى حياته و غيبته، أو موته و بعثته، مع تضليل من بعده بدعوى الإمامة، أو باعتقاد أنهم خلفاؤه و قضاته الى زمان ظهوره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ascii="Amiri" w:hAnsi="Amiri" w:eastAsia="Amiri" w:cs="Amiri"/>
          <w:color w:val="111111"/>
          <w:sz w:val="28"/>
          <w:sz w:val="28"/>
          <w:szCs w:val="28"/>
          <w:rtl w:val="true"/>
          <w:lang w:bidi="ar-SA"/>
        </w:rPr>
        <w:t xml:space="preserve">و صريح بعض المتأخرين أن القائلين بختم الإمامة على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الموسوية، و لهم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يشكون في حياته و مماته، و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يجزمون بموته و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يقولون بحياته، و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بالواقفية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فالممطورة قسيم للواقفية، و روى الكشي عن أبي القاسم الحسن بن محمد، عن عمر بن يزيد،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بدء الواقفة أنه كان اجتمع ثلاثون ألف دينار عند الأشاعثة زكاة أموالهم، و ما كان يجب عليهم فيها، فحملوها الى وكيلين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أحدهما حيان السراج، و آخر كان معه، و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الحبس فاتخذوا بذلك دورا و عقارا</w:t>
      </w:r>
      <w:r>
        <w:rPr>
          <w:rStyle w:val="FootnoteAnchor"/>
          <w:rtl w:val="true"/>
        </w:rPr>
        <w:footnoteReference w:id="87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اشتروا</w:t>
      </w:r>
      <w:r>
        <w:rPr>
          <w:rStyle w:val="FootnoteAnchor"/>
          <w:rtl w:val="true"/>
        </w:rPr>
        <w:footnoteReference w:id="880"/>
      </w:r>
      <w:r>
        <w:rPr>
          <w:rFonts w:ascii="Amiri" w:hAnsi="Amiri" w:eastAsia="Amiri" w:cs="Amiri"/>
          <w:color w:val="111111"/>
          <w:sz w:val="28"/>
          <w:sz w:val="28"/>
          <w:szCs w:val="28"/>
          <w:rtl w:val="true"/>
          <w:lang w:bidi="ar-SA"/>
        </w:rPr>
        <w:t xml:space="preserve">الغلات، فلما مات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انتهى الخبر إليهما أنكرا موته، و أذاعا في الشيعة أنه لا يموت لأنه القائم، فاعتمدت عليهما طائفة من الشيعة و انتشر قولهما في الناس حتى كان عند موتهما أوصيا بدفع المال الى ورثة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استبان للشيعة أنهما انما قالا ذلك حرصا على المال</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انه حدثه 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القسم الحسين بن محمد بن عمر بن يزيد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بنصه، و الظاهر أن ما في المتن سهو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العيون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كتاب 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نوابه أحد إلا و عنده المال الكثير، و كان سبب وقوفهم و جحودهم لموته، و كان عند زياد القندي سبعون ألف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عند علي بن أبي حمزة ثلاثون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رأيت ذلك و تبين لي الحق و عرفت من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تكلمت و دعوت الناس إليه، فبعثا إليّ و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يدعوك الى هذا؟ إن كنت تريد المال فنحن نعينك</w:t>
      </w:r>
      <w:r>
        <w:rPr>
          <w:rStyle w:val="FootnoteAnchor"/>
          <w:rtl w:val="true"/>
        </w:rPr>
        <w:footnoteReference w:id="882"/>
      </w:r>
      <w:r>
        <w:rPr>
          <w:rFonts w:ascii="Amiri" w:hAnsi="Amiri" w:eastAsia="Amiri" w:cs="Amiri"/>
          <w:color w:val="111111"/>
          <w:sz w:val="28"/>
          <w:sz w:val="28"/>
          <w:szCs w:val="28"/>
          <w:rtl w:val="true"/>
          <w:lang w:bidi="ar-SA"/>
        </w:rPr>
        <w:t>و ضمنا لى عشرة آلاف،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فأبيت،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 و ما كنت لادع الجهاد في أمر</w:t>
      </w:r>
      <w:r>
        <w:rPr>
          <w:rStyle w:val="FootnoteAnchor"/>
          <w:rtl w:val="true"/>
        </w:rPr>
        <w:footnoteReference w:id="883"/>
      </w:r>
      <w:r>
        <w:rPr>
          <w:rFonts w:ascii="Amiri" w:hAnsi="Amiri" w:eastAsia="Amiri" w:cs="Amiri"/>
          <w:color w:val="111111"/>
          <w:sz w:val="28"/>
          <w:sz w:val="28"/>
          <w:szCs w:val="28"/>
          <w:rtl w:val="true"/>
          <w:lang w:bidi="ar-SA"/>
        </w:rPr>
        <w:t>على كل حال، فناصباني و اظهرا لي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الكشي</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ربما يطلق الواقفي على من وقف على غير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كمن وقف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وقف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ذلك في إكمال الدين و إتمام النعمة</w:t>
      </w:r>
      <w:r>
        <w:rPr>
          <w:rStyle w:val="FootnoteAnchor"/>
          <w:rtl w:val="true"/>
        </w:rPr>
        <w:footnoteReference w:id="886"/>
      </w:r>
      <w:r>
        <w:rPr>
          <w:rFonts w:ascii="Amiri" w:hAnsi="Amiri" w:eastAsia="Amiri" w:cs="Amiri"/>
          <w:color w:val="111111"/>
          <w:sz w:val="28"/>
          <w:sz w:val="28"/>
          <w:szCs w:val="28"/>
          <w:rtl w:val="true"/>
          <w:lang w:bidi="ar-SA"/>
        </w:rPr>
        <w:t xml:space="preserve">، لكن مع التقييد بالموقوف عليه كما يقال الواقفة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لهم أسماء اخر كالناووسية لمن وقف عليه كما مرّ، و من ذلك قولهم في عنبسة بن مصعب واقفي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كذا قيل في يحيى بن القاسم كما في رجال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علي بن الحسان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فلا بد من ملاحظة الطبقة و غيرها مما قد يعين عدم بقائه الى زمانه سلام اللّه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جزم المولى الوحيد</w:t>
      </w:r>
      <w:r>
        <w:rPr>
          <w:rStyle w:val="FootnoteAnchor"/>
          <w:rtl w:val="true"/>
        </w:rPr>
        <w:footnoteReference w:id="8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889"/>
      </w:r>
      <w:r>
        <w:rPr>
          <w:rFonts w:ascii="Amiri" w:hAnsi="Amiri" w:eastAsia="Amiri" w:cs="Amiri"/>
          <w:color w:val="111111"/>
          <w:sz w:val="28"/>
          <w:sz w:val="28"/>
          <w:szCs w:val="28"/>
          <w:rtl w:val="true"/>
          <w:lang w:bidi="ar-SA"/>
        </w:rPr>
        <w:t xml:space="preserve">بأن إطلاق الواقفي في الرجال ينصرف الى من وقف على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 مع الإطلاق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القرينة يحمل على من قامت عليه، و لعل من جملة القرائن عدم دركه 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موته قبله أو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سماعة بن مهران، و علي ابن حيان، و يحيى بن القاسم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عن جده المجلسي الأول أن الواقفة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منهم وقفوا عليه في زمانه، بأن اعتقدوا كونه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لشبهة حصلت لهم مما ورد عنه و عن أبيه أنه صاحب الأمر، و لم يفهموا أن كل واحد منهم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بن مهران، لما نقل أنه مات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معلوم كفر هذا الشخص، لأنه عرف إمام زمانه و لم يجب عليه معرفة الإمام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سمع أن الإمام الذي بعده فلان و لم يعتقد صار كافرا</w:t>
      </w:r>
      <w:r>
        <w:rPr>
          <w:rStyle w:val="FootnoteAnchor"/>
          <w:rtl w:val="true"/>
        </w:rPr>
        <w:footnoteReference w:id="892"/>
      </w:r>
      <w:r>
        <w:rPr>
          <w:rFonts w:ascii="Amiri" w:hAnsi="Amiri" w:eastAsia="Amiri" w:cs="Amiri"/>
          <w:color w:val="111111"/>
          <w:sz w:val="28"/>
          <w:sz w:val="28"/>
          <w:szCs w:val="28"/>
          <w:rtl w:val="true"/>
          <w:lang w:bidi="ar-SA"/>
        </w:rPr>
        <w:t>، ثم أيد كلام جده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من فرط حبهم دولة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شدة تمنيهم إياها، و بسبب الشدائد و المحن التي </w:t>
      </w:r>
    </w:p>
    <w:p>
      <w:pPr>
        <w:pStyle w:val="BookText"/>
        <w:rPr/>
      </w:pPr>
      <w:r>
        <w:rPr>
          <w:rFonts w:ascii="Amiri" w:hAnsi="Amiri" w:eastAsia="Amiri" w:cs="Amiri"/>
          <w:color w:val="111111"/>
          <w:sz w:val="28"/>
          <w:sz w:val="28"/>
          <w:szCs w:val="28"/>
          <w:rtl w:val="true"/>
          <w:lang w:bidi="ar-SA"/>
        </w:rPr>
        <w:t>كانت عليهم و على أئمتهم من القتل و الخوف و سائر الاذايا، و كذا من بغضهم أعداءهم الذين كانوا يرون الدولة و بسط اليد و التسلط و ساير نعم الدنيا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كانوا مشتاقين</w:t>
      </w:r>
      <w:r>
        <w:rPr>
          <w:rStyle w:val="FootnoteAnchor"/>
          <w:rtl w:val="true"/>
        </w:rPr>
        <w:footnoteReference w:id="893"/>
      </w:r>
      <w:r>
        <w:rPr>
          <w:rFonts w:ascii="Amiri" w:hAnsi="Amiri" w:eastAsia="Amiri" w:cs="Amiri"/>
          <w:color w:val="111111"/>
          <w:sz w:val="28"/>
          <w:sz w:val="28"/>
          <w:szCs w:val="28"/>
          <w:rtl w:val="true"/>
          <w:lang w:bidi="ar-SA"/>
        </w:rPr>
        <w:t xml:space="preserve">الى دولة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w:t>
      </w:r>
      <w:r>
        <w:rPr>
          <w:rStyle w:val="FootnoteAnchor"/>
          <w:rtl w:val="true"/>
        </w:rPr>
        <w:footnoteReference w:id="894"/>
      </w:r>
      <w:r>
        <w:rPr>
          <w:rFonts w:ascii="Amiri" w:hAnsi="Amiri" w:eastAsia="Amiri" w:cs="Amiri"/>
          <w:color w:val="111111"/>
          <w:sz w:val="28"/>
          <w:sz w:val="28"/>
          <w:szCs w:val="28"/>
          <w:rtl w:val="true"/>
          <w:lang w:bidi="ar-SA"/>
        </w:rPr>
        <w:t xml:space="preserve">، مسلمين أنفسهم بظهوره، متوقعين لوقوعه عن قريب،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يسلون خاطرهم، حتى قيل إن الشيعة تربى بالأماني</w:t>
      </w:r>
      <w:r>
        <w:rPr>
          <w:rStyle w:val="FootnoteAnchor"/>
          <w:rtl w:val="true"/>
        </w:rPr>
        <w:footnoteReference w:id="895"/>
      </w:r>
      <w:r>
        <w:rPr>
          <w:rFonts w:ascii="Amiri" w:hAnsi="Amiri" w:eastAsia="Amiri" w:cs="Amiri"/>
          <w:color w:val="111111"/>
          <w:sz w:val="28"/>
          <w:sz w:val="28"/>
          <w:szCs w:val="28"/>
          <w:rtl w:val="true"/>
          <w:lang w:bidi="ar-SA"/>
        </w:rPr>
        <w:t xml:space="preserve">، 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بما ذكره في ترجمة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يقطين</w:t>
      </w:r>
      <w:r>
        <w:rPr>
          <w:rStyle w:val="FootnoteAnchor"/>
          <w:rtl w:val="true"/>
        </w:rPr>
        <w:footnoteReference w:id="896"/>
      </w:r>
      <w:r>
        <w:rPr>
          <w:rFonts w:ascii="Amiri" w:hAnsi="Amiri" w:eastAsia="Amiri" w:cs="Amiri"/>
          <w:color w:val="111111"/>
          <w:sz w:val="28"/>
          <w:sz w:val="28"/>
          <w:szCs w:val="28"/>
          <w:rtl w:val="true"/>
          <w:lang w:bidi="ar-SA"/>
        </w:rPr>
        <w:t>، مما تضمن قول علي بن يقطين، أن أمرنا لم يحضر فعلّلنا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لنا أن هذا الأمر لا يكون إلا بعد مأتي سنة و ثلاث مائة سنة لقست قلوب، و لرجع عامة الناس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قالوا ما أسرعه و ما أقربه تألفا لقلوب الناس و تقريبا للفرج</w:t>
      </w:r>
      <w:r>
        <w:rPr>
          <w:rStyle w:val="FootnoteAnchor"/>
          <w:rtl w:val="true"/>
        </w:rPr>
        <w:footnoteReference w:id="89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أنهم كثيرا ما يسألونهم عن قائمهم فربما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يظهر مراده من القائم مصلحة</w:t>
      </w:r>
      <w:r>
        <w:rPr>
          <w:rStyle w:val="FootnoteAnchor"/>
          <w:rtl w:val="true"/>
        </w:rPr>
        <w:footnoteReference w:id="898"/>
      </w:r>
      <w:r>
        <w:rPr>
          <w:rFonts w:ascii="Amiri" w:hAnsi="Amiri" w:eastAsia="Amiri" w:cs="Amiri"/>
          <w:color w:val="111111"/>
          <w:sz w:val="28"/>
          <w:sz w:val="28"/>
          <w:szCs w:val="28"/>
          <w:rtl w:val="true"/>
          <w:lang w:bidi="ar-SA"/>
        </w:rPr>
        <w:t xml:space="preserve">، و تسلية لخواطرهم، سيما بالنسبة إلى من علم عدم بقائه الى ما بعد زمانه، كما وقع 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w:t>
      </w:r>
    </w:p>
    <w:p>
      <w:pPr>
        <w:pStyle w:val="BookText"/>
        <w:rPr/>
      </w:pPr>
      <w:r>
        <w:rPr>
          <w:rFonts w:ascii="IRNazanin" w:hAnsi="IRNazanin" w:eastAsia="IRNazanin"/>
          <w:color w:val="111111"/>
          <w:sz w:val="28"/>
          <w:sz w:val="28"/>
          <w:szCs w:val="28"/>
          <w:rtl w:val="true"/>
          <w:lang w:bidi="fa-IR"/>
        </w:rPr>
        <w:t>جابر</w:t>
      </w:r>
      <w:r>
        <w:rPr>
          <w:rStyle w:val="FootnoteAnchor"/>
          <w:rtl w:val="true"/>
        </w:rPr>
        <w:footnoteReference w:id="899"/>
      </w:r>
      <w:r>
        <w:rPr>
          <w:rFonts w:ascii="Amiri" w:hAnsi="Amiri" w:eastAsia="Amiri" w:cs="Amiri"/>
          <w:color w:val="111111"/>
          <w:sz w:val="28"/>
          <w:sz w:val="28"/>
          <w:szCs w:val="28"/>
          <w:rtl w:val="true"/>
          <w:lang w:bidi="ar-SA"/>
        </w:rPr>
        <w:t>، كما سنذكره في ترجمة عنبسة، و ربما كانوا يشيرون الى مرادهم، و هم من فرط ميل قلوبهم و زيادة حرصهم ربما كانوا لا يتفطنون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بما يذكره في ترجمة عنبسة الى ما رواه في الكافي في باب النص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أن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مشيرا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الذين قال اللّه عز و جل وَ نُرِيدُ أَنْ نَمُنَّ عَلَى اَلَّذِينَ اُسْتُضْعِفُوا الآية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جابر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القائم عليه السّلام</w:t>
      </w:r>
      <w:r>
        <w:rPr>
          <w:rStyle w:val="FootnoteAnchor"/>
          <w:rtl w:val="true"/>
        </w:rPr>
        <w:footnoteReference w:id="9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جابر،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أن ليس كل إمام فهو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الإمام الذي كان قبله</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في تلك الترجمة</w:t>
      </w:r>
      <w:r>
        <w:rPr>
          <w:rStyle w:val="FootnoteAnchor"/>
          <w:rtl w:val="true"/>
        </w:rPr>
        <w:footnoteReference w:id="9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كما ترى يشير الى حصول الشبهة لعنبسة من جهة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سأل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ترتفع عنه الشبهة حتى كشف له عن المراد بأن كلا منّا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القائم بأمر الإمامة 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القائم المعروف الذي يكون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جعلنا من كل مكروه فداه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فمجرد الرمي بالوقف لعله لا يرتب عليه الأثر إلا بعد الفحص و البحث عن أن الوقف هل كان في حياة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زمانه أو بعد موته، و هل هو عند التحمل أو الاداء، كما لا يخفى وجهه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Fonts w:ascii="Amiri" w:hAnsi="Amiri" w:eastAsia="Amiri" w:cs="Amiri"/>
          <w:color w:val="111111"/>
          <w:sz w:val="28"/>
          <w:sz w:val="28"/>
          <w:szCs w:val="28"/>
          <w:rtl w:val="true"/>
          <w:lang w:bidi="ar-SA"/>
        </w:rPr>
        <w:t xml:space="preserve">و ينبغي تذييل المقام بالأخبار التي رواها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الواقفة، مثل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و محمد بن الحسن البراني</w:t>
      </w:r>
      <w:r>
        <w:rPr>
          <w:rStyle w:val="FootnoteAnchor"/>
          <w:rtl w:val="true"/>
        </w:rPr>
        <w:footnoteReference w:id="906"/>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عبدوس الخليجي</w:t>
      </w:r>
      <w:r>
        <w:rPr>
          <w:rStyle w:val="FootnoteAnchor"/>
          <w:rtl w:val="true"/>
        </w:rPr>
        <w:footnoteReference w:id="907"/>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عن علي بن عبد اللّه الزهري</w:t>
      </w:r>
      <w:r>
        <w:rPr>
          <w:rStyle w:val="FootnoteAnchor"/>
          <w:rtl w:val="true"/>
        </w:rPr>
        <w:footnoteReference w:id="9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الواقفة،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عاند عن الحق، و مقيم على سيئة ان مات بها كانت جهنم مأواه و بئس المصير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يحيى</w:t>
      </w:r>
      <w:r>
        <w:rPr>
          <w:rStyle w:val="FootnoteAnchor"/>
          <w:rtl w:val="true"/>
        </w:rPr>
        <w:footnoteReference w:id="9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الواقفة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يعيشون حيارى، و يموتون زنادقة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ابن أحمد كتابه</w:t>
      </w:r>
      <w:r>
        <w:rPr>
          <w:rStyle w:val="FootnoteAnchor"/>
          <w:rtl w:val="true"/>
        </w:rPr>
        <w:footnoteReference w:id="9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بن الربيع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w:t>
      </w:r>
      <w:r>
        <w:rPr>
          <w:rStyle w:val="FootnoteAnchor"/>
          <w:rtl w:val="true"/>
        </w:rPr>
        <w:footnoteReference w:id="913"/>
      </w:r>
      <w:r>
        <w:rPr>
          <w:rFonts w:ascii="Amiri" w:hAnsi="Amiri" w:eastAsia="Amiri" w:cs="Amiri"/>
          <w:color w:val="111111"/>
          <w:sz w:val="28"/>
          <w:sz w:val="28"/>
          <w:szCs w:val="28"/>
          <w:rtl w:val="true"/>
          <w:lang w:bidi="ar-SA"/>
        </w:rPr>
        <w:t>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هؤلاء الذين يزعمون أن أباك حي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تعطهم، فإنهم كفار مشركون زنادقة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كافر إن مات موسى بن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خلف بن حامد الكشي، عن الحسن بن طلحة، عن بكير</w:t>
      </w:r>
      <w:r>
        <w:rPr>
          <w:rStyle w:val="FootnoteAnchor"/>
          <w:rtl w:val="true"/>
        </w:rPr>
        <w:footnoteReference w:id="917"/>
      </w:r>
      <w:r>
        <w:rPr>
          <w:rFonts w:ascii="Amiri" w:hAnsi="Amiri" w:eastAsia="Amiri" w:cs="Amiri"/>
          <w:color w:val="111111"/>
          <w:sz w:val="28"/>
          <w:sz w:val="28"/>
          <w:szCs w:val="28"/>
          <w:rtl w:val="true"/>
          <w:lang w:bidi="ar-SA"/>
        </w:rPr>
        <w:t>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w:t>
      </w:r>
      <w:r>
        <w:rPr>
          <w:rStyle w:val="FootnoteAnchor"/>
          <w:rtl w:val="true"/>
        </w:rPr>
        <w:footnoteReference w:id="91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فيها،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Style w:val="FootnoteAnchor"/>
          <w:rtl w:val="true"/>
        </w:rPr>
        <w:footnoteReference w:id="9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الواقفة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إمام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اللّه عليهم بل يداه مبسوطتان، و اليد هو الإمام في باطن الكتاب، و إنما عنى بقولهم لا إمام بعد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عن الحسن بن طلحة المروزي، عن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تجالس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أجالسهم و أنا مخالف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تجالسهم، فإن </w:t>
      </w:r>
    </w:p>
    <w:p>
      <w:pPr>
        <w:pStyle w:val="BookText"/>
        <w:rPr/>
      </w:pPr>
      <w:r>
        <w:rPr>
          <w:rFonts w:ascii="Amiri" w:hAnsi="Amiri" w:eastAsia="Amiri" w:cs="Amiri"/>
          <w:color w:val="111111"/>
          <w:sz w:val="28"/>
          <w:sz w:val="28"/>
          <w:szCs w:val="28"/>
          <w:rtl w:val="true"/>
          <w:lang w:bidi="ar-SA"/>
        </w:rPr>
        <w:t>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w:t>
      </w:r>
      <w:r>
        <w:rPr>
          <w:rStyle w:val="FootnoteAnchor"/>
          <w:rtl w:val="true"/>
        </w:rPr>
        <w:footnoteReference w:id="921"/>
      </w:r>
      <w:r>
        <w:rPr>
          <w:rFonts w:ascii="Amiri" w:hAnsi="Amiri" w:eastAsia="Amiri" w:cs="Amiri"/>
          <w:color w:val="111111"/>
          <w:sz w:val="28"/>
          <w:sz w:val="28"/>
          <w:szCs w:val="28"/>
          <w:rtl w:val="true"/>
          <w:lang w:bidi="ar-SA"/>
        </w:rPr>
        <w:t>يعني بالآيات الأوصياء الذين كفروا بها الواقفة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إذ دخل عليه رجل من أهل المدينة فسأله عن الواقفة،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اخذوا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اللّه لا يبدلها حتى يقتلوا عن آخرهم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w:t>
      </w:r>
      <w:r>
        <w:rPr>
          <w:rStyle w:val="FootnoteAnchor"/>
          <w:rtl w:val="true"/>
        </w:rPr>
        <w:footnoteReference w:id="9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قال حدثني عبدوس الكوفي، عن حمدويه، عمّن حدثه، عن الحكم بن مسكين،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بذلك إسماعيل بن محمد بن موسى بن سلام، عن الحكم بن </w:t>
      </w:r>
    </w:p>
    <w:p>
      <w:pPr>
        <w:pStyle w:val="BookText"/>
        <w:rPr/>
      </w:pPr>
      <w:r>
        <w:rPr>
          <w:rFonts w:ascii="Amiri" w:hAnsi="Amiri" w:eastAsia="Amiri" w:cs="Amiri"/>
          <w:color w:val="111111"/>
          <w:sz w:val="28"/>
          <w:sz w:val="28"/>
          <w:szCs w:val="28"/>
          <w:rtl w:val="true"/>
          <w:lang w:bidi="ar-SA"/>
        </w:rPr>
        <w:t>عيص</w:t>
      </w:r>
      <w:r>
        <w:rPr>
          <w:rStyle w:val="FootnoteAnchor"/>
          <w:rtl w:val="true"/>
        </w:rPr>
        <w:footnoteReference w:id="9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خالي سليمان</w:t>
      </w:r>
      <w:r>
        <w:rPr>
          <w:rStyle w:val="FootnoteAnchor"/>
          <w:rtl w:val="true"/>
        </w:rPr>
        <w:footnoteReference w:id="9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Style w:val="FootnoteAnchor"/>
          <w:rtl w:val="true"/>
        </w:rPr>
        <w:footnoteReference w:id="928"/>
      </w:r>
      <w:r>
        <w:rPr>
          <w:rFonts w:ascii="IRNazanin" w:hAnsi="IRNazanin" w:eastAsia="IRNazanin"/>
          <w:color w:val="111111"/>
          <w:sz w:val="28"/>
          <w:sz w:val="28"/>
          <w:szCs w:val="28"/>
          <w:rtl w:val="true"/>
          <w:lang w:bidi="fa-IR"/>
        </w:rPr>
        <w:t>هذا الأمر؟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لم يخلقه شيطانا،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w:t>
      </w:r>
      <w:r>
        <w:rPr>
          <w:rStyle w:val="FootnoteAnchor"/>
          <w:rtl w:val="true"/>
        </w:rPr>
        <w:footnoteReference w:id="929"/>
      </w:r>
      <w:r>
        <w:rPr>
          <w:rFonts w:ascii="Amiri" w:hAnsi="Amiri" w:eastAsia="Amiri" w:cs="Amiri"/>
          <w:color w:val="111111"/>
          <w:sz w:val="28"/>
          <w:sz w:val="28"/>
          <w:szCs w:val="28"/>
          <w:rtl w:val="true"/>
          <w:lang w:bidi="ar-SA"/>
        </w:rPr>
        <w:t>باللّه ولدك من فتنة 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تلك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الأئمة، و وقوفهم</w:t>
      </w:r>
      <w:r>
        <w:rPr>
          <w:rStyle w:val="FootnoteAnchor"/>
          <w:rtl w:val="true"/>
        </w:rPr>
        <w:footnoteReference w:id="930"/>
      </w:r>
      <w:r>
        <w:rPr>
          <w:rFonts w:ascii="Amiri" w:hAnsi="Amiri" w:eastAsia="Amiri" w:cs="Amiri"/>
          <w:color w:val="111111"/>
          <w:sz w:val="28"/>
          <w:sz w:val="28"/>
          <w:szCs w:val="28"/>
          <w:rtl w:val="true"/>
          <w:lang w:bidi="ar-SA"/>
        </w:rPr>
        <w:t xml:space="preserve">على ابنى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موته، و يزعمون أن لا إمام بعده، أولئك شر الخلق</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زيد</w:t>
      </w:r>
      <w:r>
        <w:rPr>
          <w:rStyle w:val="FootnoteAnchor"/>
          <w:rtl w:val="true"/>
        </w:rPr>
        <w:footnoteReference w:id="932"/>
      </w:r>
      <w:r>
        <w:rPr>
          <w:rFonts w:ascii="Amiri" w:hAnsi="Amiri" w:eastAsia="Amiri" w:cs="Amiri"/>
          <w:color w:val="111111"/>
          <w:sz w:val="28"/>
          <w:sz w:val="28"/>
          <w:szCs w:val="28"/>
          <w:rtl w:val="true"/>
          <w:lang w:bidi="ar-SA"/>
        </w:rPr>
        <w:t>، عن محمد 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قوم قد وقفوا على أبيك يزعمون أنه لم يمت،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هم كذّاب</w:t>
      </w:r>
      <w:r>
        <w:rPr>
          <w:rStyle w:val="FootnoteAnchor"/>
          <w:rtl w:val="true"/>
        </w:rPr>
        <w:footnoteReference w:id="933"/>
      </w:r>
      <w:r>
        <w:rPr>
          <w:rFonts w:ascii="IRNazanin" w:hAnsi="IRNazanin" w:eastAsia="IRNazanin"/>
          <w:color w:val="111111"/>
          <w:sz w:val="28"/>
          <w:sz w:val="28"/>
          <w:szCs w:val="28"/>
          <w:rtl w:val="true"/>
          <w:lang w:bidi="fa-IR"/>
        </w:rPr>
        <w:t xml:space="preserve">بما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w:t>
      </w:r>
    </w:p>
    <w:p>
      <w:pPr>
        <w:pStyle w:val="BookText"/>
        <w:rPr/>
      </w:pPr>
      <w:r>
        <w:rPr>
          <w:rFonts w:ascii="Amiri" w:hAnsi="Amiri" w:eastAsia="Amiri" w:cs="Amiri"/>
          <w:color w:val="111111"/>
          <w:sz w:val="28"/>
          <w:sz w:val="28"/>
          <w:szCs w:val="28"/>
          <w:rtl w:val="true"/>
          <w:lang w:bidi="ar-SA"/>
        </w:rPr>
        <w:t xml:space="preserve">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اللّه يمد في أجل أحد من بني آدم لحاجة الخلق إليه لمدّ اللّه في أجل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الفارسي، قال حدثني ميمونة النحاس</w:t>
      </w:r>
      <w:r>
        <w:rPr>
          <w:rStyle w:val="FootnoteAnchor"/>
          <w:rtl w:val="true"/>
        </w:rPr>
        <w:footnoteReference w:id="935"/>
      </w:r>
      <w:r>
        <w:rPr>
          <w:rFonts w:ascii="Amiri" w:hAnsi="Amiri" w:eastAsia="Amiri" w:cs="Amiri"/>
          <w:color w:val="111111"/>
          <w:sz w:val="28"/>
          <w:sz w:val="28"/>
          <w:szCs w:val="28"/>
          <w:rtl w:val="true"/>
          <w:lang w:bidi="ar-SA"/>
        </w:rPr>
        <w:t>، عن محمد ابن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حال قوم قد وقفوا على أبيك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ما أشد كذبهم، أما أنهم يزعمون أني عقيم، و ينكرون من يلي هذا الأمر من ولدي</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الحسين بن محمد بن عمر ابن يزيد، عن عمه، عن جده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مليا في فضائل الشيعة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الشيعة بعد ثامنهم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النصاب،</w:t>
      </w:r>
      <w:r>
        <w:rPr>
          <w:rStyle w:val="FootnoteAnchor"/>
          <w:rtl w:val="true"/>
        </w:rPr>
        <w:footnoteReference w:id="93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بيّن لنا نعرفهم فلعلنا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عمر ما أنت منهم، إنما هم قوم يفتنون بزيد و يفتنون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عن موسى ابن القاسم البجلي،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يفتنون بعد موتي فيقولون هو القائم، و ما القائم إلا بعدي بسنين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الحسين بن محمد بن عمر بن يزيد،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بدو الواقفة أنه كان اجتمع ثلاثون ألف دينار عند الأشاعثة لزكاة مالهم</w:t>
      </w:r>
      <w:r>
        <w:rPr>
          <w:rStyle w:val="FootnoteAnchor"/>
          <w:rtl w:val="true"/>
        </w:rPr>
        <w:footnoteReference w:id="940"/>
      </w:r>
      <w:r>
        <w:rPr>
          <w:rFonts w:ascii="Amiri" w:hAnsi="Amiri" w:eastAsia="Amiri" w:cs="Amiri"/>
          <w:color w:val="111111"/>
          <w:sz w:val="28"/>
          <w:sz w:val="28"/>
          <w:szCs w:val="28"/>
          <w:rtl w:val="true"/>
          <w:lang w:bidi="ar-SA"/>
        </w:rPr>
        <w:t xml:space="preserve">، و ما كان يجب عليهم فيها، فحملوه الى وكيلين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w:t>
      </w:r>
      <w:r>
        <w:rPr>
          <w:rStyle w:val="FootnoteAnchor"/>
          <w:rtl w:val="true"/>
        </w:rPr>
        <w:footnoteReference w:id="941"/>
      </w:r>
      <w:r>
        <w:rPr>
          <w:rFonts w:ascii="Amiri" w:hAnsi="Amiri" w:eastAsia="Amiri" w:cs="Amiri"/>
          <w:color w:val="111111"/>
          <w:sz w:val="28"/>
          <w:sz w:val="28"/>
          <w:szCs w:val="28"/>
          <w:rtl w:val="true"/>
          <w:lang w:bidi="ar-SA"/>
        </w:rPr>
        <w:t xml:space="preserve">السراج و الآخر كان معه، و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الحبس، فاتخذا بذلك دورا و عقدا العقود و اشتريا الغلات، فلما مات موسى فانتهى</w:t>
      </w:r>
      <w:r>
        <w:rPr>
          <w:rStyle w:val="FootnoteAnchor"/>
          <w:rtl w:val="true"/>
        </w:rPr>
        <w:footnoteReference w:id="942"/>
      </w:r>
      <w:r>
        <w:rPr>
          <w:rFonts w:ascii="Amiri" w:hAnsi="Amiri" w:eastAsia="Amiri" w:cs="Amiri"/>
          <w:color w:val="111111"/>
          <w:sz w:val="28"/>
          <w:sz w:val="28"/>
          <w:szCs w:val="28"/>
          <w:rtl w:val="true"/>
          <w:lang w:bidi="ar-SA"/>
        </w:rPr>
        <w:t xml:space="preserve">الخبر إليهما أنكرا موته، و اذاعا في الشيعة أنه لا يموت، لأنه هو القائم، فاعتمدت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943"/>
      </w:r>
      <w:r>
        <w:rPr>
          <w:rFonts w:ascii="Amiri" w:hAnsi="Amiri" w:eastAsia="Amiri" w:cs="Amiri"/>
          <w:color w:val="111111"/>
          <w:sz w:val="28"/>
          <w:sz w:val="28"/>
          <w:szCs w:val="28"/>
          <w:rtl w:val="true"/>
          <w:lang w:bidi="ar-SA"/>
        </w:rPr>
        <w:t xml:space="preserve">طائفة من الشيعة، و انتشر قولهما في الناس حتى كان عند موتهما أوصيا بدفع ذلك المال الى ورثة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فاستبان للشيعة أنهما قالا ذلك حرصا على المال</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رجاء الحناط، عن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هم حمر</w:t>
      </w:r>
      <w:r>
        <w:rPr>
          <w:rStyle w:val="FootnoteAnchor"/>
          <w:rtl w:val="true"/>
        </w:rPr>
        <w:footnoteReference w:id="945"/>
      </w:r>
      <w:r>
        <w:rPr>
          <w:rFonts w:ascii="Amiri" w:hAnsi="Amiri" w:eastAsia="Amiri" w:cs="Amiri"/>
          <w:color w:val="111111"/>
          <w:sz w:val="28"/>
          <w:sz w:val="28"/>
          <w:szCs w:val="28"/>
          <w:rtl w:val="true"/>
          <w:lang w:bidi="ar-SA"/>
        </w:rPr>
        <w:t xml:space="preserve">الشيعة، ثم تلا هذه الآية إِنْ هُمْ إِلاّ كَالْأَنْعامِ بَلْ هُمْ أَضَلُّ سَبِيلاً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w:t>
      </w:r>
      <w:r>
        <w:rPr>
          <w:rStyle w:val="FootnoteAnchor"/>
          <w:rtl w:val="true"/>
        </w:rPr>
        <w:footnoteReference w:id="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عن</w:t>
      </w:r>
      <w:r>
        <w:rPr>
          <w:rStyle w:val="FootnoteAnchor"/>
          <w:rtl w:val="true"/>
        </w:rPr>
        <w:footnoteReference w:id="948"/>
      </w:r>
      <w:r>
        <w:rPr>
          <w:rFonts w:ascii="Amiri" w:hAnsi="Amiri" w:eastAsia="Amiri" w:cs="Amiri"/>
          <w:color w:val="111111"/>
          <w:sz w:val="28"/>
          <w:sz w:val="28"/>
          <w:szCs w:val="28"/>
          <w:rtl w:val="true"/>
          <w:lang w:bidi="ar-SA"/>
        </w:rPr>
        <w:t xml:space="preserve">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الزيدية و الواقفة و النصاب عنده بمنزلة واحدة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يعقوب بن يزيد، عن ابن أبي عمير،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عامِلَةٌ ناصِبَةٌ </w:t>
      </w:r>
      <w:r>
        <w:rPr>
          <w:rStyle w:val="FootnoteAnchor"/>
          <w:rtl w:val="true"/>
        </w:rPr>
        <w:footnoteReference w:id="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النصاب و الزيدية، و الواقفة من النصاب</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هؤلاء الممطورة، فاقنت عليهم في الصلاة</w:t>
      </w:r>
      <w:r>
        <w:rPr>
          <w:rStyle w:val="FootnoteAnchor"/>
          <w:rtl w:val="true"/>
        </w:rPr>
        <w:footnoteReference w:id="9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أقنت عليهم في الصلاة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عن محمد بن الحسين الكوفي، عن محمد بن جبار</w:t>
      </w:r>
      <w:r>
        <w:rPr>
          <w:rStyle w:val="FootnoteAnchor"/>
          <w:rtl w:val="true"/>
        </w:rPr>
        <w:footnoteReference w:id="954"/>
      </w:r>
      <w:r>
        <w:rPr>
          <w:rFonts w:ascii="Amiri" w:hAnsi="Amiri" w:eastAsia="Amiri" w:cs="Amiri"/>
          <w:color w:val="111111"/>
          <w:sz w:val="28"/>
          <w:sz w:val="28"/>
          <w:szCs w:val="28"/>
          <w:rtl w:val="true"/>
          <w:lang w:bidi="ar-SA"/>
        </w:rPr>
        <w:t>، عن عمر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يعيشون حيارى </w:t>
      </w:r>
    </w:p>
    <w:p>
      <w:pPr>
        <w:pStyle w:val="BookText"/>
        <w:rPr/>
      </w:pPr>
      <w:r>
        <w:rPr>
          <w:rFonts w:ascii="Amiri" w:hAnsi="Amiri" w:eastAsia="Amiri" w:cs="Amiri"/>
          <w:color w:val="111111"/>
          <w:sz w:val="28"/>
          <w:sz w:val="28"/>
          <w:szCs w:val="28"/>
          <w:rtl w:val="true"/>
          <w:lang w:bidi="ar-SA"/>
        </w:rPr>
        <w:t>و يموتون زنادقة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ثم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 الختلي قال حدثني أحمد بن إدريس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معروف، عن الحجال، عن إبراهيم بن أبي البلاد،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الممطورة و شكهم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ما عاشوا في شك، ثم يموتون زنادقة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بعض هذه الممطورة، أ فأقنت عليهم في صلاتي؟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أقنت عليهم في صلاتك</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خلف</w:t>
      </w:r>
      <w:r>
        <w:rPr>
          <w:rStyle w:val="FootnoteAnchor"/>
          <w:rtl w:val="true"/>
        </w:rPr>
        <w:footnoteReference w:id="958"/>
      </w:r>
      <w:r>
        <w:rPr>
          <w:rFonts w:ascii="Amiri" w:hAnsi="Amiri" w:eastAsia="Amiri" w:cs="Amiri"/>
          <w:color w:val="111111"/>
          <w:sz w:val="28"/>
          <w:sz w:val="28"/>
          <w:szCs w:val="28"/>
          <w:rtl w:val="true"/>
          <w:lang w:bidi="ar-SA"/>
        </w:rPr>
        <w:t>بن جابر الكشي،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الحسن بن طلحة المروزي، عن يحيى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فأجابني، و كتبت</w:t>
      </w:r>
      <w:r>
        <w:rPr>
          <w:rStyle w:val="FootnoteAnchor"/>
          <w:rtl w:val="true"/>
        </w:rPr>
        <w:footnoteReference w:id="959"/>
      </w:r>
      <w:r>
        <w:rPr>
          <w:rFonts w:ascii="Amiri" w:hAnsi="Amiri" w:eastAsia="Amiri" w:cs="Amiri"/>
          <w:color w:val="111111"/>
          <w:sz w:val="28"/>
          <w:sz w:val="28"/>
          <w:szCs w:val="28"/>
          <w:rtl w:val="true"/>
          <w:lang w:bidi="ar-SA"/>
        </w:rPr>
        <w:t>و ذكرت في آخر الكتاب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w:t>
      </w:r>
      <w:r>
        <w:rPr>
          <w:rStyle w:val="FootnoteAnchor"/>
          <w:rtl w:val="true"/>
        </w:rPr>
        <w:footnoteReference w:id="9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الجواب كله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من المؤمنين و لا من المسلمين، هم ممن كذّب بآيات اللّه، و نحن أشهر معلومات، فلا جدال فينا و لا رفث، و لا فسوق فينا، انصب لهم من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قال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w:t>
      </w:r>
      <w:r>
        <w:rPr>
          <w:rStyle w:val="FootnoteAnchor"/>
          <w:rtl w:val="true"/>
        </w:rPr>
        <w:footnoteReference w:id="962"/>
      </w:r>
      <w:r>
        <w:rPr>
          <w:rFonts w:ascii="Amiri" w:hAnsi="Amiri" w:eastAsia="Amiri" w:cs="Amiri"/>
          <w:color w:val="111111"/>
          <w:sz w:val="28"/>
          <w:sz w:val="28"/>
          <w:szCs w:val="28"/>
          <w:rtl w:val="true"/>
          <w:lang w:bidi="ar-SA"/>
        </w:rPr>
        <w:t>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عامر، عن أبان، عن حبيب الخثعمي، عن ابن أبي يعفور، قال 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ولدي و احبهم إليّ غير أن اللّه عز و جل يضل قوما من شيعتنا</w:t>
      </w:r>
      <w:r>
        <w:rPr>
          <w:rStyle w:val="FootnoteAnchor"/>
          <w:rtl w:val="true"/>
        </w:rPr>
        <w:footnoteReference w:id="963"/>
      </w:r>
      <w:r>
        <w:rPr>
          <w:rFonts w:ascii="Amiri" w:hAnsi="Amiri" w:eastAsia="Amiri" w:cs="Amiri"/>
          <w:color w:val="111111"/>
          <w:sz w:val="28"/>
          <w:sz w:val="28"/>
          <w:szCs w:val="28"/>
          <w:rtl w:val="true"/>
          <w:lang w:bidi="ar-SA"/>
        </w:rPr>
        <w:t xml:space="preserve">بعد موته جزعا عليه فيقولون لم يمت، و ينكرون الأئمة من بعده، و يدعون </w:t>
      </w:r>
    </w:p>
    <w:p>
      <w:pPr>
        <w:pStyle w:val="BookText"/>
        <w:rPr/>
      </w:pPr>
      <w:r>
        <w:rPr>
          <w:rFonts w:ascii="Amiri" w:hAnsi="Amiri" w:eastAsia="Amiri" w:cs="Amiri"/>
          <w:color w:val="111111"/>
          <w:sz w:val="28"/>
          <w:sz w:val="28"/>
          <w:szCs w:val="28"/>
          <w:rtl w:val="true"/>
          <w:lang w:bidi="ar-SA"/>
        </w:rPr>
        <w:t>الشيعة الى ضلالتهم، و في ذلك ابطال حقوقنا، و هدم دين اللّه، يا ابن أبي يعفور، و اللّه و رسوله منهم بريء، و نحن منهم براء</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نوح، عن سعيد العطار، عن حمزة الزيات،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حمران بن أعين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شيعتكم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في الدنيا و الآخرة، و ما أحد من شيعتنا إلا و هو مكتوب عندنا اسمه و اسم أبيه، إلا من يتولى منهم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أو من شيعتكم من يتولى عنكم بعد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أنت لا تدركهم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فتناظرنا في هذا الحديث فكتبنا به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 عمن استثنى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الواقفة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العيون</w:t>
      </w:r>
      <w:r>
        <w:rPr>
          <w:rStyle w:val="FootnoteAnchor"/>
          <w:rtl w:val="true"/>
        </w:rPr>
        <w:footnoteReference w:id="966"/>
      </w:r>
      <w:r>
        <w:rPr>
          <w:rFonts w:ascii="Amiri" w:hAnsi="Amiri" w:eastAsia="Amiri" w:cs="Amiri"/>
          <w:color w:val="111111"/>
          <w:sz w:val="28"/>
          <w:sz w:val="28"/>
          <w:szCs w:val="28"/>
          <w:rtl w:val="true"/>
          <w:lang w:bidi="ar-SA"/>
        </w:rPr>
        <w:t>و غيبة الشيخ</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نوابه</w:t>
      </w:r>
      <w:r>
        <w:rPr>
          <w:rStyle w:val="FootnoteAnchor"/>
          <w:rtl w:val="true"/>
        </w:rPr>
        <w:footnoteReference w:id="968"/>
      </w:r>
      <w:r>
        <w:rPr>
          <w:rFonts w:ascii="Amiri" w:hAnsi="Amiri" w:eastAsia="Amiri" w:cs="Amiri"/>
          <w:color w:val="111111"/>
          <w:sz w:val="28"/>
          <w:sz w:val="28"/>
          <w:szCs w:val="28"/>
          <w:rtl w:val="true"/>
          <w:lang w:bidi="ar-SA"/>
        </w:rPr>
        <w:t xml:space="preserve">أحد إلا و عنده المال الكثير، و كان ذلك سبب وقوفهم </w:t>
      </w:r>
    </w:p>
    <w:p>
      <w:pPr>
        <w:pStyle w:val="BookText"/>
        <w:rPr/>
      </w:pPr>
      <w:r>
        <w:rPr>
          <w:rFonts w:ascii="IRNazanin" w:hAnsi="IRNazanin" w:eastAsia="IRNazanin"/>
          <w:color w:val="111111"/>
          <w:sz w:val="28"/>
          <w:sz w:val="28"/>
          <w:szCs w:val="28"/>
          <w:rtl w:val="true"/>
          <w:lang w:bidi="fa-IR"/>
        </w:rPr>
        <w:t>و جحودهم</w:t>
      </w:r>
      <w:r>
        <w:rPr>
          <w:rStyle w:val="FootnoteAnchor"/>
          <w:rtl w:val="true"/>
        </w:rPr>
        <w:footnoteReference w:id="969"/>
      </w:r>
      <w:r>
        <w:rPr>
          <w:rFonts w:ascii="Amiri" w:hAnsi="Amiri" w:eastAsia="Amiri" w:cs="Amiri"/>
          <w:color w:val="111111"/>
          <w:sz w:val="28"/>
          <w:sz w:val="28"/>
          <w:szCs w:val="28"/>
          <w:rtl w:val="true"/>
          <w:lang w:bidi="ar-SA"/>
        </w:rPr>
        <w:t xml:space="preserve">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عند زياد القندي سبعون ألف دينار، و عند علي بن أبي حمزة ثلاثون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رأيت ذلك، و تبين لي الحق، و عرفت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فكلمت</w:t>
      </w:r>
      <w:r>
        <w:rPr>
          <w:rStyle w:val="FootnoteAnchor"/>
          <w:rtl w:val="true"/>
        </w:rPr>
        <w:footnoteReference w:id="970"/>
      </w:r>
      <w:r>
        <w:rPr>
          <w:rFonts w:ascii="Amiri" w:hAnsi="Amiri" w:eastAsia="Amiri" w:cs="Amiri"/>
          <w:color w:val="111111"/>
          <w:sz w:val="28"/>
          <w:sz w:val="28"/>
          <w:szCs w:val="28"/>
          <w:rtl w:val="true"/>
          <w:lang w:bidi="ar-SA"/>
        </w:rPr>
        <w:t>و دعوت الناس إليه، فبعثا إليّ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الى هذا؟ إن كنت تريد المال فنحن نغنيك، و ضمنّا لك عشرة آلاف دينار،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فأبيت و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إذا ظهرت البدع فعلى العالم</w:t>
      </w:r>
      <w:r>
        <w:rPr>
          <w:rStyle w:val="FootnoteAnchor"/>
          <w:rtl w:val="true"/>
        </w:rPr>
        <w:footnoteReference w:id="972"/>
      </w:r>
      <w:r>
        <w:rPr>
          <w:rFonts w:ascii="Amiri" w:hAnsi="Amiri" w:eastAsia="Amiri" w:cs="Amiri"/>
          <w:color w:val="111111"/>
          <w:sz w:val="28"/>
          <w:sz w:val="28"/>
          <w:szCs w:val="28"/>
          <w:rtl w:val="true"/>
          <w:lang w:bidi="ar-SA"/>
        </w:rPr>
        <w:t>ان يظهر علمه، و إن لم يفعل سلب نور الإيمان من قلبه، و ما كنت لادع الجهاد في أمر اللّه على كل حال، فناصباني و اظهرا لي العداوة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المتوسمين، يعلم من يقف عليه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يكظم عليهم غيظه و لا </w:t>
      </w:r>
      <w:bookmarkStart w:id="573" w:name="pg15033_241773"/>
    </w:p>
    <w:p>
      <w:pPr>
        <w:pStyle w:val="BookText"/>
        <w:rPr/>
      </w:pPr>
      <w:bookmarkEnd w:id="573"/>
      <w:r>
        <w:rPr>
          <w:rFonts w:ascii="Amiri" w:hAnsi="Amiri" w:eastAsia="Amiri" w:cs="Amiri"/>
          <w:color w:val="111111"/>
          <w:sz w:val="28"/>
          <w:sz w:val="28"/>
          <w:szCs w:val="28"/>
          <w:rtl w:val="true"/>
          <w:lang w:bidi="ar-SA"/>
        </w:rPr>
        <w:t xml:space="preserve">يبدي لهم ما يعرف منهم، فسمي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انظر حول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المقالات و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واقفية بمعنى آخر لاحظها في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الشيخ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عقائد الواقفة و ردهم، كما عقد لهم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 عدّ منهم ستا و ستين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الروايات الواردة في رجال الكشي مما فات المصنف رحمه اللّه حول الواقفة، و كذا حول الزيدية و المرجئة و الخوارج و الغلاة، ثم عدّ أسماء من ذكرهم الشيخ الطوسي من هؤلاء الطوائف في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316925_2142443653"/>
      <w:bookmarkStart w:id="575" w:name="_Toc216"/>
      <w:bookmarkEnd w:id="574"/>
      <w:r>
        <w:rPr>
          <w:rtl w:val="true"/>
        </w:rPr>
        <w:t>من الفرق الفاسدة</w:t>
      </w:r>
      <w:r>
        <w:rPr>
          <w:rtl w:val="true"/>
        </w:rPr>
        <w:t xml:space="preserve">: </w:t>
      </w:r>
      <w:r>
        <w:rPr>
          <w:rtl w:val="true"/>
        </w:rPr>
        <w:t>الزيدية</w:t>
      </w:r>
      <w:bookmarkEnd w:id="5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القائلون بإمامة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فرق</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قال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السرحوبية، منسوبة الى زياد بن المنذر أبي الجارود الخراساني الأعمى السرحوب، و هم القائلون بالنص على علي و كفر من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الى سليمان بن حريز، و هم القائلون بإمامة الشيخين و كفر عثمان، و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نظيره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قال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البترية و السليمانية و الصالحية من الزيدية، يقولون بإمامة الشيخين و اختلفوا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كالسليمانية في الاعتقاد، إلا في كفر عثمان كما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أغلبهم يقولون بإمامة كل فاطمي عالم صالح ذي رأي</w:t>
      </w:r>
    </w:p>
    <w:p>
      <w:pPr>
        <w:pStyle w:val="BookText"/>
        <w:rPr/>
      </w:pPr>
      <w:r>
        <w:rPr>
          <w:rFonts w:ascii="Amiri" w:hAnsi="Amiri" w:eastAsia="Amiri" w:cs="Amiri"/>
          <w:color w:val="111111"/>
          <w:sz w:val="28"/>
          <w:sz w:val="28"/>
          <w:szCs w:val="28"/>
          <w:rtl w:val="true"/>
          <w:lang w:bidi="ar-SA"/>
        </w:rPr>
        <w:t xml:space="preserve">يخرج بالسيف، و زيد هذا قتل و صلب بالكناسة موضع قريب من الكوفة، و قد نهاه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الخروج و الجهاد فلم ينته فصار الى ذلك، و اختلفت الروايات في أمره، فبعضها يدلّ على ذمه بل كفره لدعواه الإمامة بغير حق، و بعضها يدل على علو قدره و جلالة شأنه، و ربما جمع بعضهم بينهما بحمل النهي عن الخروج على التقية، أو</w:t>
      </w:r>
      <w:r>
        <w:rPr>
          <w:rStyle w:val="FootnoteAnchor"/>
          <w:rtl w:val="true"/>
        </w:rPr>
        <w:footnoteReference w:id="978"/>
      </w:r>
      <w:r>
        <w:rPr>
          <w:rFonts w:ascii="Amiri" w:hAnsi="Amiri" w:eastAsia="Amiri" w:cs="Amiri"/>
          <w:color w:val="111111"/>
          <w:sz w:val="28"/>
          <w:sz w:val="28"/>
          <w:szCs w:val="28"/>
          <w:rtl w:val="true"/>
          <w:lang w:bidi="ar-SA"/>
        </w:rPr>
        <w:t xml:space="preserve">أنه ليس نهي تحريم، بل شفقة و خوفا عليه، </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و قد أوضحنا في ترجمته في تنقيح المقال</w:t>
      </w:r>
      <w:r>
        <w:rPr>
          <w:rStyle w:val="FootnoteAnchor"/>
          <w:rtl w:val="true"/>
        </w:rPr>
        <w:footnoteReference w:id="980"/>
      </w:r>
      <w:r>
        <w:rPr>
          <w:rFonts w:ascii="Amiri" w:hAnsi="Amiri" w:eastAsia="Amiri" w:cs="Amiri"/>
          <w:color w:val="111111"/>
          <w:sz w:val="28"/>
          <w:sz w:val="28"/>
          <w:szCs w:val="28"/>
          <w:rtl w:val="true"/>
          <w:lang w:bidi="ar-SA"/>
        </w:rPr>
        <w:t>حسن حاله بنفسه، و صحة خروجه، فلاحظ و تدبر</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 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عن أهل البيت عليهم السّلام فيهم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5033_241775"/>
    </w:p>
    <w:p>
      <w:pPr>
        <w:pStyle w:val="Heading6"/>
        <w:numPr>
          <w:ilvl w:val="5"/>
          <w:numId w:val="1"/>
        </w:numPr>
        <w:rPr/>
      </w:pPr>
      <w:bookmarkStart w:id="577" w:name="__RefHeading___Toc316927_2142443653"/>
      <w:bookmarkStart w:id="578" w:name="_Toc217"/>
      <w:bookmarkEnd w:id="576"/>
      <w:bookmarkEnd w:id="577"/>
      <w:r>
        <w:rPr>
          <w:rtl w:val="true"/>
        </w:rPr>
        <w:t>من الفرق الفاسدة</w:t>
      </w:r>
      <w:r>
        <w:rPr>
          <w:rtl w:val="true"/>
        </w:rPr>
        <w:t xml:space="preserve">: </w:t>
      </w:r>
      <w:r>
        <w:rPr>
          <w:rtl w:val="true"/>
        </w:rPr>
        <w:t>البترية</w:t>
      </w:r>
      <w:bookmarkEnd w:id="57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البترية</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 قيل بكسرها</w:t>
      </w:r>
      <w:r>
        <w:rPr>
          <w:rStyle w:val="FootnoteAnchor"/>
          <w:rtl w:val="true"/>
        </w:rPr>
        <w:footnoteReference w:id="983"/>
      </w:r>
      <w:r>
        <w:rPr>
          <w:rFonts w:ascii="Amiri" w:hAnsi="Amiri" w:eastAsia="Amiri" w:cs="Amiri"/>
          <w:color w:val="111111"/>
          <w:sz w:val="28"/>
          <w:sz w:val="28"/>
          <w:szCs w:val="28"/>
          <w:rtl w:val="true"/>
          <w:lang w:bidi="ar-SA"/>
        </w:rPr>
        <w:t>، ثم سكون التاء المثناة من فوق</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فرق من الزيدية، قيل نسبوا الى المغيرة بن سعد</w:t>
      </w:r>
      <w:r>
        <w:rPr>
          <w:rStyle w:val="FootnoteAnchor"/>
          <w:rtl w:val="true"/>
        </w:rPr>
        <w:footnoteReference w:id="985"/>
      </w:r>
      <w:r>
        <w:rPr>
          <w:rFonts w:ascii="Amiri" w:hAnsi="Amiri" w:eastAsia="Amiri" w:cs="Amiri"/>
          <w:color w:val="111111"/>
          <w:sz w:val="28"/>
          <w:sz w:val="28"/>
          <w:szCs w:val="28"/>
          <w:rtl w:val="true"/>
          <w:lang w:bidi="ar-SA"/>
        </w:rPr>
        <w:t>،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الأبتر، و قيل</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البترية، هم أصحاب كثير النوا الحسن</w:t>
      </w:r>
      <w:r>
        <w:rPr>
          <w:rStyle w:val="FootnoteAnchor"/>
          <w:rtl w:val="true"/>
        </w:rPr>
        <w:footnoteReference w:id="987"/>
      </w:r>
      <w:r>
        <w:rPr>
          <w:rFonts w:ascii="Amiri" w:hAnsi="Amiri" w:eastAsia="Amiri" w:cs="Amiri"/>
          <w:color w:val="111111"/>
          <w:sz w:val="28"/>
          <w:sz w:val="28"/>
          <w:szCs w:val="28"/>
          <w:rtl w:val="true"/>
          <w:lang w:bidi="ar-SA"/>
        </w:rPr>
        <w:t>بن صالح بن حي</w:t>
      </w:r>
      <w:r>
        <w:rPr>
          <w:rStyle w:val="FootnoteAnchor"/>
          <w:rtl w:val="true"/>
        </w:rPr>
        <w:footnoteReference w:id="988"/>
      </w:r>
      <w:r>
        <w:rPr>
          <w:rFonts w:ascii="Amiri" w:hAnsi="Amiri" w:eastAsia="Amiri" w:cs="Amiri"/>
          <w:color w:val="111111"/>
          <w:sz w:val="28"/>
          <w:sz w:val="28"/>
          <w:szCs w:val="28"/>
          <w:rtl w:val="true"/>
          <w:lang w:bidi="ar-SA"/>
        </w:rPr>
        <w:t>و سالم بن أبي حفصة، و الحكم بن عيينة</w:t>
      </w:r>
      <w:r>
        <w:rPr>
          <w:rStyle w:val="FootnoteAnchor"/>
          <w:rtl w:val="true"/>
        </w:rPr>
        <w:footnoteReference w:id="989"/>
      </w:r>
      <w:r>
        <w:rPr>
          <w:rFonts w:ascii="Amiri" w:hAnsi="Amiri" w:eastAsia="Amiri" w:cs="Amiri"/>
          <w:color w:val="111111"/>
          <w:sz w:val="28"/>
          <w:sz w:val="28"/>
          <w:szCs w:val="28"/>
          <w:rtl w:val="true"/>
          <w:lang w:bidi="ar-SA"/>
        </w:rPr>
        <w:t>، و سلمة بن كهيل، و أبي المقدام</w:t>
      </w:r>
      <w:r>
        <w:rPr>
          <w:rStyle w:val="FootnoteAnchor"/>
          <w:rtl w:val="true"/>
        </w:rPr>
        <w:footnoteReference w:id="990"/>
      </w:r>
      <w:r>
        <w:rPr>
          <w:rFonts w:ascii="Amiri" w:hAnsi="Amiri" w:eastAsia="Amiri" w:cs="Amiri"/>
          <w:color w:val="111111"/>
          <w:sz w:val="28"/>
          <w:sz w:val="28"/>
          <w:szCs w:val="28"/>
          <w:rtl w:val="true"/>
          <w:lang w:bidi="ar-SA"/>
        </w:rPr>
        <w:t xml:space="preserve">ثابت الحداد، و هم الذين دعوا الى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خلطوها بولاية أبي بكر و عمر، و يثبتون لهم الإمامة و يبغضون عثمان و طلحة و الزبير </w:t>
      </w:r>
    </w:p>
    <w:p>
      <w:pPr>
        <w:pStyle w:val="BookText"/>
        <w:rPr/>
      </w:pPr>
      <w:r>
        <w:rPr>
          <w:rFonts w:ascii="Amiri" w:hAnsi="Amiri" w:eastAsia="Amiri" w:cs="Amiri"/>
          <w:color w:val="111111"/>
          <w:sz w:val="28"/>
          <w:sz w:val="28"/>
          <w:szCs w:val="28"/>
          <w:rtl w:val="true"/>
          <w:lang w:bidi="ar-SA"/>
        </w:rPr>
        <w:t xml:space="preserve">و عايشة، و يرون الخروج مع بطون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يثبتون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لكل من خرج منهم عند خروجه الإمامة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93"/>
      </w:r>
      <w:r>
        <w:rPr>
          <w:rFonts w:ascii="Amiri" w:hAnsi="Amiri" w:eastAsia="Amiri" w:cs="Amiri"/>
          <w:color w:val="111111"/>
          <w:sz w:val="28"/>
          <w:sz w:val="28"/>
          <w:szCs w:val="28"/>
          <w:rtl w:val="true"/>
          <w:lang w:bidi="ar-SA"/>
        </w:rPr>
        <w:t>و الذي اعتقده ان البترية هم زيدية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وجه تسمية البترية وجهين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من أنه بتقديم الباء الموحدة، نسبة الى المغيرة بن سعد</w:t>
      </w:r>
      <w:r>
        <w:rPr>
          <w:rStyle w:val="FootnoteAnchor"/>
          <w:rtl w:val="true"/>
        </w:rPr>
        <w:footnoteReference w:id="994"/>
      </w:r>
      <w:r>
        <w:rPr>
          <w:rFonts w:ascii="IRNazanin" w:hAnsi="IRNazanin" w:eastAsia="IRNazanin"/>
          <w:color w:val="111111"/>
          <w:sz w:val="28"/>
          <w:sz w:val="28"/>
          <w:szCs w:val="28"/>
          <w:rtl w:val="true"/>
          <w:lang w:bidi="fa-IR"/>
        </w:rPr>
        <w:t>الأبتر</w:t>
      </w:r>
      <w:r>
        <w:rPr>
          <w:rStyle w:val="FootnoteAnchor"/>
          <w:rtl w:val="true"/>
        </w:rPr>
        <w:footnoteReference w:id="995"/>
      </w:r>
      <w:r>
        <w:rPr>
          <w:rFonts w:ascii="Amiri" w:hAnsi="Amiri" w:eastAsia="Amiri" w:cs="Amiri"/>
          <w:color w:val="111111"/>
          <w:sz w:val="28"/>
          <w:sz w:val="28"/>
          <w:szCs w:val="28"/>
          <w:rtl w:val="true"/>
          <w:lang w:bidi="ar-SA"/>
        </w:rPr>
        <w:t xml:space="preserve">، أو لأنهم لما تبرءوا من أعداء الشيخين التفت إليهم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تبرءون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بترتم أمرنا بتركم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عن سعد</w:t>
      </w:r>
      <w:r>
        <w:rPr>
          <w:rStyle w:val="FootnoteAnchor"/>
          <w:rtl w:val="true"/>
        </w:rPr>
        <w:footnoteReference w:id="997"/>
      </w:r>
      <w:r>
        <w:rPr>
          <w:rFonts w:ascii="Amiri" w:hAnsi="Amiri" w:eastAsia="Amiri" w:cs="Amiri"/>
          <w:color w:val="111111"/>
          <w:sz w:val="28"/>
          <w:sz w:val="28"/>
          <w:szCs w:val="28"/>
          <w:rtl w:val="true"/>
          <w:lang w:bidi="ar-SA"/>
        </w:rPr>
        <w:t xml:space="preserve">بن جناح الكشي، عن علي بن محمد بن </w:t>
      </w:r>
    </w:p>
    <w:p>
      <w:pPr>
        <w:pStyle w:val="BookText"/>
        <w:rPr/>
      </w:pPr>
      <w:r>
        <w:rPr>
          <w:rFonts w:ascii="Amiri" w:hAnsi="Amiri" w:eastAsia="Amiri" w:cs="Amiri"/>
          <w:color w:val="111111"/>
          <w:sz w:val="28"/>
          <w:sz w:val="28"/>
          <w:szCs w:val="28"/>
          <w:rtl w:val="true"/>
          <w:lang w:bidi="ar-SA"/>
        </w:rPr>
        <w:t>يزيد القمي</w:t>
      </w:r>
      <w:r>
        <w:rPr>
          <w:rStyle w:val="FootnoteAnchor"/>
          <w:rtl w:val="true"/>
        </w:rPr>
        <w:footnoteReference w:id="998"/>
      </w:r>
      <w:r>
        <w:rPr>
          <w:rFonts w:ascii="Amiri" w:hAnsi="Amiri" w:eastAsia="Amiri" w:cs="Amiri"/>
          <w:color w:val="111111"/>
          <w:sz w:val="28"/>
          <w:sz w:val="28"/>
          <w:szCs w:val="28"/>
          <w:rtl w:val="true"/>
          <w:lang w:bidi="ar-SA"/>
        </w:rPr>
        <w:t>، عن أحمد بن محمد بن عيسى، عن الحسين بن سعيد، عن فضالة بن أيوب، عن الحسين</w:t>
      </w:r>
      <w:r>
        <w:rPr>
          <w:rStyle w:val="FootnoteAnchor"/>
          <w:rtl w:val="true"/>
        </w:rPr>
        <w:footnoteReference w:id="999"/>
      </w:r>
      <w:r>
        <w:rPr>
          <w:rFonts w:ascii="Amiri" w:hAnsi="Amiri" w:eastAsia="Amiri" w:cs="Amiri"/>
          <w:color w:val="111111"/>
          <w:sz w:val="28"/>
          <w:sz w:val="28"/>
          <w:szCs w:val="28"/>
          <w:rtl w:val="true"/>
          <w:lang w:bidi="ar-SA"/>
        </w:rPr>
        <w:t>بن عثمان الرواسي،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سلمة ابن كهيل، و أبو المقدام، و</w:t>
      </w:r>
      <w:r>
        <w:rPr>
          <w:rStyle w:val="FootnoteAnchor"/>
          <w:rtl w:val="true"/>
        </w:rPr>
        <w:footnoteReference w:id="1000"/>
      </w:r>
      <w:r>
        <w:rPr>
          <w:rFonts w:ascii="Amiri" w:hAnsi="Amiri" w:eastAsia="Amiri" w:cs="Amiri"/>
          <w:color w:val="111111"/>
          <w:sz w:val="28"/>
          <w:sz w:val="28"/>
          <w:szCs w:val="28"/>
          <w:rtl w:val="true"/>
          <w:lang w:bidi="ar-SA"/>
        </w:rPr>
        <w:t>ثابت الحداد، و سالم بن أبي حفصة، و كثير النوا و جماعة معهم</w:t>
      </w:r>
      <w:r>
        <w:rPr>
          <w:rStyle w:val="FootnoteAnchor"/>
          <w:rtl w:val="true"/>
        </w:rPr>
        <w:footnoteReference w:id="1001"/>
      </w:r>
      <w:r>
        <w:rPr>
          <w:rFonts w:ascii="Amiri" w:hAnsi="Amiri" w:eastAsia="Amiri" w:cs="Amiri"/>
          <w:color w:val="111111"/>
          <w:sz w:val="28"/>
          <w:sz w:val="28"/>
          <w:szCs w:val="28"/>
          <w:rtl w:val="true"/>
          <w:lang w:bidi="ar-SA"/>
        </w:rPr>
        <w:t xml:space="preserve">و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زيد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عليا و حسنا و حسينا و نتبرأ من أعدائهم؟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نتولى أبا بكر و عمر و نتبرأ من أعدائهم، قال فالتفت اليهم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تبرءون</w:t>
      </w:r>
      <w:r>
        <w:rPr>
          <w:rStyle w:val="FootnoteAnchor"/>
          <w:rtl w:val="true"/>
        </w:rPr>
        <w:footnoteReference w:id="1002"/>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بترتم أمرنا بتركم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سموا البترية</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وافقوا السليمانية إلا أنهم توقفوا في عثمان، هذا ما ذكره شارح المواقف في تحرير مذهبهم، و رأيت في شرح الأصول للناصر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بتقديم التاء المثناة من فوق على الباء الموحدة، و هو </w:t>
      </w:r>
    </w:p>
    <w:p>
      <w:pPr>
        <w:pStyle w:val="BookText"/>
        <w:rPr/>
      </w:pPr>
      <w:r>
        <w:rPr>
          <w:rFonts w:ascii="Amiri" w:hAnsi="Amiri" w:eastAsia="Amiri" w:cs="Amiri"/>
          <w:color w:val="111111"/>
          <w:sz w:val="28"/>
          <w:sz w:val="28"/>
          <w:szCs w:val="28"/>
          <w:rtl w:val="true"/>
          <w:lang w:bidi="ar-SA"/>
        </w:rPr>
        <w:t>الذي اختاره الفاضل الكاظمي في تكملة النقد</w:t>
      </w:r>
      <w:r>
        <w:rPr>
          <w:rStyle w:val="FootnoteAnchor"/>
          <w:rtl w:val="true"/>
        </w:rPr>
        <w:footnoteReference w:id="1004"/>
      </w:r>
      <w:r>
        <w:rPr>
          <w:rFonts w:ascii="Amiri" w:hAnsi="Amiri" w:eastAsia="Amiri" w:cs="Amiri"/>
          <w:color w:val="111111"/>
          <w:sz w:val="28"/>
          <w:sz w:val="28"/>
          <w:szCs w:val="28"/>
          <w:rtl w:val="true"/>
          <w:lang w:bidi="ar-SA"/>
        </w:rPr>
        <w:t>، حيث روى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تتبرءون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تبرأتم أمرنا تبرأكم اللّه، فيومئذ سموا التبرية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على هذه الرواية أن التبرية بتقديم التاء المثناة على الموحدة،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روى الكشي في رجاله عن سعد بن جناح</w:t>
      </w:r>
      <w:r>
        <w:rPr>
          <w:rStyle w:val="FootnoteAnchor"/>
          <w:rtl w:val="true"/>
        </w:rPr>
        <w:footnoteReference w:id="1005"/>
      </w:r>
      <w:r>
        <w:rPr>
          <w:rFonts w:ascii="Amiri" w:hAnsi="Amiri" w:eastAsia="Amiri" w:cs="Amiri"/>
          <w:color w:val="111111"/>
          <w:sz w:val="28"/>
          <w:sz w:val="28"/>
          <w:szCs w:val="28"/>
          <w:rtl w:val="true"/>
          <w:lang w:bidi="ar-SA"/>
        </w:rPr>
        <w:t>الكشي، عن علي بن محمد، عن أحمد بن محمد بن عيسى، عن محمد بن إسماعيل بن بزيع، عن محمد بن فضيل، عن أبي عمر سعد الجلاب</w:t>
      </w:r>
      <w:r>
        <w:rPr>
          <w:rStyle w:val="FootnoteAnchor"/>
          <w:rtl w:val="true"/>
        </w:rPr>
        <w:footnoteReference w:id="100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التبرية</w:t>
      </w:r>
      <w:r>
        <w:rPr>
          <w:rStyle w:val="FootnoteAnchor"/>
          <w:rtl w:val="true"/>
        </w:rPr>
        <w:footnoteReference w:id="1007"/>
      </w:r>
      <w:r>
        <w:rPr>
          <w:rFonts w:ascii="Amiri" w:hAnsi="Amiri" w:eastAsia="Amiri" w:cs="Amiri"/>
          <w:color w:val="111111"/>
          <w:sz w:val="28"/>
          <w:sz w:val="28"/>
          <w:szCs w:val="28"/>
          <w:rtl w:val="true"/>
          <w:lang w:bidi="ar-SA"/>
        </w:rPr>
        <w:t>صف واحد ما بين المشرق و المغرب ما أعزّ اللّه لهم</w:t>
      </w:r>
      <w:r>
        <w:rPr>
          <w:rStyle w:val="FootnoteAnchor"/>
          <w:rtl w:val="true"/>
        </w:rPr>
        <w:footnoteReference w:id="1008"/>
      </w:r>
      <w:r>
        <w:rPr>
          <w:rFonts w:ascii="Amiri" w:hAnsi="Amiri" w:eastAsia="Amiri" w:cs="Amiri"/>
          <w:color w:val="111111"/>
          <w:sz w:val="28"/>
          <w:sz w:val="28"/>
          <w:szCs w:val="28"/>
          <w:rtl w:val="true"/>
          <w:lang w:bidi="ar-SA"/>
        </w:rPr>
        <w:t>دينا</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انظر عن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فرق الشيعة للنوبختي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تعليقة الوحيد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مقالات الإسلاميين للأشعري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من فرق الزيدية، و كذا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و شرح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رواية نقلها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مؤسس التبرية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رباح، في قصة مفصلة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5033_241779"/>
    </w:p>
    <w:p>
      <w:pPr>
        <w:pStyle w:val="BookText"/>
        <w:rPr/>
      </w:pPr>
      <w:bookmarkEnd w:id="57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580" w:name="__RefHeading___Toc316929_2142443653"/>
      <w:bookmarkStart w:id="581" w:name="_Toc218"/>
      <w:bookmarkEnd w:id="580"/>
      <w:r>
        <w:rPr>
          <w:rtl w:val="true"/>
        </w:rPr>
        <w:t>من الفرق الفاسدة</w:t>
      </w:r>
      <w:r>
        <w:rPr>
          <w:rtl w:val="true"/>
        </w:rPr>
        <w:t xml:space="preserve">: </w:t>
      </w:r>
      <w:r>
        <w:rPr>
          <w:rtl w:val="true"/>
        </w:rPr>
        <w:t>الجارودية</w:t>
      </w:r>
      <w:bookmarkEnd w:id="581"/>
    </w:p>
    <w:p>
      <w:pPr>
        <w:pStyle w:val="BookText"/>
        <w:rPr/>
      </w:pP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السرحوبية أيضا، لنسبتهم الى أبي جارود زياد بن المنذر السرحوب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 المذموم بالذم المفرط</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 و هم القائلون بالنص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الثلاثة و كل من أنكره</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الشيعة ينسبون الى الزيدية و ليسوا منهم، نسبوا الى رئيس لهم من أهل خراسان يقال له أبو الجارود زياد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الأفاضل أنهم فرقتان زيدية و هم شيعة، و فرقة بترية و هم لا يجعلون 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بل عندهم هي شورى، و يجوّزون تقديم المفضول على الفاضل</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الكتب</w:t>
      </w:r>
      <w:r>
        <w:rPr>
          <w:rStyle w:val="FootnoteAnchor"/>
          <w:rtl w:val="true"/>
        </w:rPr>
        <w:footnoteReference w:id="1013"/>
      </w:r>
      <w:r>
        <w:rPr>
          <w:rFonts w:ascii="Amiri" w:hAnsi="Amiri" w:eastAsia="Amiri" w:cs="Amiri"/>
          <w:color w:val="111111"/>
          <w:sz w:val="28"/>
          <w:sz w:val="28"/>
          <w:szCs w:val="28"/>
          <w:rtl w:val="true"/>
          <w:lang w:bidi="ar-SA"/>
        </w:rPr>
        <w:t xml:space="preserve">أن الجارودية لا يعتقدون إمامة الشيخين، و لكن حيث رضي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لم ينازعهما جريا مجرى الأئمة في </w:t>
      </w:r>
      <w:bookmarkStart w:id="582" w:name="pg15033_241780"/>
    </w:p>
    <w:p>
      <w:pPr>
        <w:pStyle w:val="BookText"/>
        <w:rPr/>
      </w:pPr>
      <w:bookmarkEnd w:id="582"/>
      <w:r>
        <w:rPr>
          <w:rFonts w:ascii="Amiri" w:hAnsi="Amiri" w:eastAsia="Amiri" w:cs="Amiri"/>
          <w:color w:val="111111"/>
          <w:sz w:val="28"/>
          <w:sz w:val="28"/>
          <w:szCs w:val="28"/>
          <w:rtl w:val="true"/>
          <w:lang w:bidi="ar-SA"/>
        </w:rPr>
        <w:t>وجوب الإطاعة</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انظر رجال الكشي</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ريحانة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3" w:name="__RefHeading___Toc316931_2142443653"/>
      <w:bookmarkStart w:id="584" w:name="_Toc219"/>
      <w:bookmarkEnd w:id="583"/>
      <w:r>
        <w:rPr>
          <w:rtl w:val="true"/>
        </w:rPr>
        <w:t>من الفرق الفاسدة</w:t>
      </w:r>
      <w:r>
        <w:rPr>
          <w:rtl w:val="true"/>
        </w:rPr>
        <w:t xml:space="preserve">: </w:t>
      </w:r>
      <w:r>
        <w:rPr>
          <w:rtl w:val="true"/>
        </w:rPr>
        <w:t>السليمانية</w:t>
      </w:r>
      <w:bookmarkEnd w:id="58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القائلون بإمامة الشيخين و كفر عثمان، منسوبون الى سليمان بن جرير</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6"/>
      </w:r>
      <w:r>
        <w:rPr>
          <w:rFonts w:ascii="Amiri" w:hAnsi="Amiri" w:eastAsia="Amiri" w:cs="Amiri"/>
          <w:color w:val="111111"/>
          <w:sz w:val="28"/>
          <w:sz w:val="28"/>
          <w:szCs w:val="28"/>
          <w:rtl w:val="true"/>
          <w:lang w:bidi="ar-SA"/>
        </w:rPr>
        <w:t xml:space="preserve">القائل بان الإمامة شورى فيما بين الخلق، و يصح أن ينعقد بعقد رجلين من خيار المسلمين، و أثبت لذلك إمامة الشيخين، و قال بكفر عثمان للأحداث التي أحدثها، و كفر عائشة و طلحة و الزبير لإقدامهم على قتال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كشاف الاصطلاحات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697/1</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 قد عدّهم في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فرق الزيدية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5033_241781"/>
    </w:p>
    <w:p>
      <w:pPr>
        <w:pStyle w:val="Heading6"/>
        <w:numPr>
          <w:ilvl w:val="5"/>
          <w:numId w:val="1"/>
        </w:numPr>
        <w:rPr/>
      </w:pPr>
      <w:bookmarkStart w:id="586" w:name="__RefHeading___Toc316933_2142443653"/>
      <w:bookmarkStart w:id="587" w:name="_Toc220"/>
      <w:bookmarkEnd w:id="585"/>
      <w:bookmarkEnd w:id="586"/>
      <w:r>
        <w:rPr>
          <w:rtl w:val="true"/>
        </w:rPr>
        <w:t>من الفرق الفاسدة</w:t>
      </w:r>
      <w:r>
        <w:rPr>
          <w:rtl w:val="true"/>
        </w:rPr>
        <w:t xml:space="preserve">: </w:t>
      </w:r>
      <w:r>
        <w:rPr>
          <w:rtl w:val="true"/>
        </w:rPr>
        <w:t>الصالحية</w:t>
      </w:r>
      <w:bookmarkEnd w:id="58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فرقة من الزيدية يقولون بإمامة الشيخين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316935_2142443653"/>
      <w:bookmarkStart w:id="589" w:name="_Toc221"/>
      <w:bookmarkEnd w:id="588"/>
      <w:r>
        <w:rPr>
          <w:rtl w:val="true"/>
        </w:rPr>
        <w:t>من الفرق الفاسدة</w:t>
      </w:r>
      <w:r>
        <w:rPr>
          <w:rtl w:val="true"/>
        </w:rPr>
        <w:t xml:space="preserve">: </w:t>
      </w:r>
      <w:r>
        <w:rPr>
          <w:rtl w:val="true"/>
        </w:rPr>
        <w:t>الخطابية</w:t>
      </w:r>
      <w:bookmarkEnd w:id="58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طائفة منسوبة الى الخطاب محمد بن وهب الأسدي</w:t>
      </w:r>
      <w:r>
        <w:rPr>
          <w:rStyle w:val="FootnoteAnchor"/>
          <w:rtl w:val="true"/>
        </w:rPr>
        <w:footnoteReference w:id="1019"/>
      </w:r>
      <w:r>
        <w:rPr>
          <w:rFonts w:ascii="Amiri" w:hAnsi="Amiri" w:eastAsia="Amiri" w:cs="Amiri"/>
          <w:color w:val="111111"/>
          <w:sz w:val="28"/>
          <w:sz w:val="28"/>
          <w:szCs w:val="28"/>
          <w:rtl w:val="true"/>
          <w:lang w:bidi="ar-SA"/>
        </w:rPr>
        <w:t xml:space="preserve">الأجدع،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مقلاص</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هو أن رئيس الخطابية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مقلاص أبي زينب الأسدي الكوفي الأجدع الزراد، و كنيته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هو وجه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إسماعيل أو أبو الظبيان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التراجم مملوءة بلعنه و البراءة منه، انظر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كانوا يدينون بشهادة</w:t>
      </w:r>
    </w:p>
    <w:p>
      <w:pPr>
        <w:pStyle w:val="BookText"/>
        <w:rPr/>
      </w:pPr>
      <w:r>
        <w:rPr>
          <w:rFonts w:ascii="Amiri" w:hAnsi="Amiri" w:eastAsia="Amiri" w:cs="Amiri"/>
          <w:color w:val="111111"/>
          <w:sz w:val="28"/>
          <w:sz w:val="28"/>
          <w:szCs w:val="28"/>
          <w:rtl w:val="true"/>
          <w:lang w:bidi="ar-SA"/>
        </w:rPr>
        <w:t>الزور على من خالفهم و خادعهم لمخالفتهم له في العقيدة إذا حلف على صدق دعواه، قاله في المجمع،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سأله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اؤخر المغرب حتى يشتبك النجوم؟</w:t>
      </w:r>
      <w:r>
        <w:rPr>
          <w:rStyle w:val="FootnoteAnchor"/>
          <w:rtl w:val="true"/>
        </w:rPr>
        <w:footnoteReference w:id="10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خطابية، أي سنة سنها أبو الخطاب محمد بن مقلاص المكنى بأبي زينب</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يفهم من الحديث أن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مبدعا، و يظهر من تمام ما ذكره أن للخطابية إطلاقين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المنسوبون الى محمد بن وهب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المنسوبون الى أبي الخطاب</w:t>
      </w:r>
      <w:r>
        <w:rPr>
          <w:rStyle w:val="FootnoteAnchor"/>
          <w:rtl w:val="true"/>
        </w:rPr>
        <w:footnoteReference w:id="1023"/>
      </w:r>
      <w:r>
        <w:rPr>
          <w:rFonts w:ascii="Amiri" w:hAnsi="Amiri" w:eastAsia="Amiri" w:cs="Amiri"/>
          <w:color w:val="111111"/>
          <w:sz w:val="28"/>
          <w:sz w:val="28"/>
          <w:szCs w:val="28"/>
          <w:rtl w:val="true"/>
          <w:lang w:bidi="ar-SA"/>
        </w:rPr>
        <w:t xml:space="preserve">، و لعل الثاني هو الذي قيل إنه كان يزعم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ثم آلهة</w:t>
      </w:r>
      <w:r>
        <w:rPr>
          <w:rStyle w:val="FootnoteAnchor"/>
          <w:rtl w:val="true"/>
        </w:rPr>
        <w:footnoteReference w:id="1024"/>
      </w:r>
      <w:r>
        <w:rPr>
          <w:rFonts w:ascii="Amiri" w:hAnsi="Amiri" w:eastAsia="Amiri" w:cs="Amiri"/>
          <w:color w:val="111111"/>
          <w:sz w:val="28"/>
          <w:sz w:val="28"/>
          <w:szCs w:val="28"/>
          <w:rtl w:val="true"/>
          <w:lang w:bidi="ar-SA"/>
        </w:rPr>
        <w:t xml:space="preserve">، و الآلهة نور من النبوة و نور من الإمامة، و لا يخلو العالم من هذه الأنوار، و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و ليس المحسوس الذي </w:t>
      </w:r>
      <w:bookmarkStart w:id="590" w:name="pg15033_241783"/>
    </w:p>
    <w:p>
      <w:pPr>
        <w:pStyle w:val="BookText"/>
        <w:rPr/>
      </w:pPr>
      <w:bookmarkEnd w:id="590"/>
      <w:r>
        <w:rPr>
          <w:rFonts w:ascii="Amiri" w:hAnsi="Amiri" w:eastAsia="Amiri" w:cs="Amiri"/>
          <w:color w:val="111111"/>
          <w:sz w:val="28"/>
          <w:sz w:val="28"/>
          <w:szCs w:val="28"/>
          <w:rtl w:val="true"/>
          <w:lang w:bidi="ar-SA"/>
        </w:rPr>
        <w:t>يرونه، بل أنه لما نزل الى العالم لبس هذه الصورة</w:t>
      </w:r>
      <w:r>
        <w:rPr>
          <w:rStyle w:val="FootnoteAnchor"/>
          <w:rtl w:val="true"/>
        </w:rPr>
        <w:footnoteReference w:id="1025"/>
      </w:r>
      <w:r>
        <w:rPr>
          <w:rFonts w:ascii="Amiri" w:hAnsi="Amiri" w:eastAsia="Amiri" w:cs="Amiri"/>
          <w:color w:val="111111"/>
          <w:sz w:val="28"/>
          <w:sz w:val="28"/>
          <w:szCs w:val="28"/>
          <w:rtl w:val="true"/>
          <w:lang w:bidi="ar-SA"/>
        </w:rPr>
        <w:t>الإنسانية لئلا ينفر منه، ثم تمادى الكفر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انفصل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أكمل من اللّه، تعالى عما يقولون علوا كبيرا</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بنص ما ذكره المصنف رحمه اللّه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 الأصل فيه ما ذكره الوحيد البهبهاني في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فرق يسير،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حول 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فرق الشيعة للنوبختي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كشاف الاصطلاحات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دائرة معارف 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368/8</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و انظر المستدرك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الذامة لهم في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1" w:name="__RefHeading___Toc316937_2142443653"/>
      <w:bookmarkStart w:id="592" w:name="_Toc222"/>
      <w:bookmarkEnd w:id="591"/>
      <w:r>
        <w:rPr>
          <w:rtl w:val="true"/>
        </w:rPr>
        <w:t>من الفرق الفاسدة</w:t>
      </w:r>
      <w:r>
        <w:rPr>
          <w:rtl w:val="true"/>
        </w:rPr>
        <w:t xml:space="preserve">: </w:t>
      </w:r>
      <w:r>
        <w:rPr>
          <w:rtl w:val="true"/>
        </w:rPr>
        <w:t>البزيعية</w:t>
      </w:r>
      <w:bookmarkEnd w:id="59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البزيعية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593" w:name="pg15033_241784"/>
    </w:p>
    <w:p>
      <w:pPr>
        <w:pStyle w:val="BookText"/>
        <w:rPr/>
      </w:pPr>
      <w:bookmarkEnd w:id="593"/>
      <w:r>
        <w:rPr>
          <w:rFonts w:ascii="Amiri" w:hAnsi="Amiri" w:eastAsia="Amiri" w:cs="Amiri"/>
          <w:color w:val="111111"/>
          <w:sz w:val="28"/>
          <w:sz w:val="28"/>
          <w:szCs w:val="28"/>
          <w:rtl w:val="true"/>
          <w:lang w:bidi="ar-SA"/>
        </w:rPr>
        <w:t>فعن تاريخ أبي زيد البلخي</w:t>
      </w:r>
      <w:r>
        <w:rPr>
          <w:rStyle w:val="FootnoteAnchor"/>
          <w:rtl w:val="true"/>
        </w:rPr>
        <w:footnoteReference w:id="1028"/>
      </w:r>
      <w:r>
        <w:rPr>
          <w:rFonts w:ascii="Amiri" w:hAnsi="Amiri" w:eastAsia="Amiri" w:cs="Amiri"/>
          <w:color w:val="111111"/>
          <w:sz w:val="28"/>
          <w:sz w:val="28"/>
          <w:szCs w:val="28"/>
          <w:rtl w:val="true"/>
          <w:lang w:bidi="ar-SA"/>
        </w:rPr>
        <w:t xml:space="preserve">أنهم أصحاب بزيع الحائك، أقرّوا بنبوته و زعموا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أنبياء، و أنهم لا يموتون و لكنهم يرفعون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بزيع أنه صعد الى السماء، و أن اللّه تعالى مسح على رأسه و مج في فيه، فإن الحكمة تثبت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فرقة من الخطابية يقولون الإمام بعد أبي الخطاب بزيع، و ان كل مؤمن يوحى إليه، و ان الإنسان إذا بلغ الكمال لا يقال له مات، بل رفع الى الملكوت، و ادعوا معاينة أمواتهم بكرة و عشية</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قد عدهم في مقالات 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غلاة فرق الشيعة، و انظر عنهم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المقالات و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خطط 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316939_2142443653"/>
      <w:bookmarkStart w:id="595" w:name="_Toc223"/>
      <w:bookmarkEnd w:id="594"/>
      <w:r>
        <w:rPr>
          <w:rtl w:val="true"/>
        </w:rPr>
        <w:t>من الفرق الفاسدة</w:t>
      </w:r>
      <w:r>
        <w:rPr>
          <w:rtl w:val="true"/>
        </w:rPr>
        <w:t xml:space="preserve">: </w:t>
      </w:r>
      <w:r>
        <w:rPr>
          <w:rtl w:val="true"/>
        </w:rPr>
        <w:t>البيانية</w:t>
      </w:r>
      <w:bookmarkEnd w:id="59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تاريخ أبي زيد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أنهم فرقة أقرّوا بنبوة بيان و هو رجل من سواد الكوفة، تأول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w:t>
      </w:r>
      <w:r>
        <w:rPr>
          <w:rStyle w:val="FootnoteAnchor"/>
          <w:rtl w:val="true"/>
        </w:rPr>
        <w:footnoteReference w:id="1031"/>
      </w:r>
      <w:r>
        <w:rPr>
          <w:rFonts w:ascii="Amiri" w:hAnsi="Amiri" w:eastAsia="Amiri" w:cs="Amiri"/>
          <w:color w:val="111111"/>
          <w:sz w:val="28"/>
          <w:sz w:val="28"/>
          <w:szCs w:val="28"/>
          <w:rtl w:val="true"/>
          <w:lang w:bidi="ar-SA"/>
        </w:rPr>
        <w:t>انه هو، و كان يقول بالتناسخ و الرجعة، فقتله خالد ابن عبد اللّه القسري</w:t>
      </w:r>
      <w:r>
        <w:rPr>
          <w:rFonts w:eastAsia="Amiri" w:cs="Amiri" w:ascii="Amiri" w:hAnsi="Amiri"/>
          <w:color w:val="111111"/>
          <w:sz w:val="28"/>
          <w:szCs w:val="28"/>
          <w:rtl w:val="true"/>
          <w:lang w:bidi="ar-SA"/>
        </w:rPr>
        <w:t xml:space="preserve">. </w:t>
      </w:r>
      <w:bookmarkStart w:id="596" w:name="pg15033_241785"/>
    </w:p>
    <w:p>
      <w:pPr>
        <w:pStyle w:val="Heading6"/>
        <w:numPr>
          <w:ilvl w:val="5"/>
          <w:numId w:val="1"/>
        </w:numPr>
        <w:rPr/>
      </w:pPr>
      <w:bookmarkStart w:id="597" w:name="__RefHeading___Toc316941_2142443653"/>
      <w:bookmarkStart w:id="598" w:name="_Toc224"/>
      <w:bookmarkEnd w:id="596"/>
      <w:bookmarkEnd w:id="597"/>
      <w:r>
        <w:rPr>
          <w:rtl w:val="true"/>
        </w:rPr>
        <w:t>من الفرق الفاسدة</w:t>
      </w:r>
      <w:r>
        <w:rPr>
          <w:rtl w:val="true"/>
        </w:rPr>
        <w:t xml:space="preserve">: </w:t>
      </w:r>
      <w:r>
        <w:rPr>
          <w:rtl w:val="true"/>
        </w:rPr>
        <w:t>البنانية</w:t>
      </w:r>
      <w:bookmarkEnd w:id="59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البنانية</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انظر عن البنانية و البيانية المصادر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361/4</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 قد عدّها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إلا أنه في مقالات 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عدّها من غلاة فرق الشيعة، و كذا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بيان بن سمعان، و نظيره في شرح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بالباء الموحدة، و نونين بينهما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اتباع بنان بن سمعان الهندي الذاهب الى الحلول، و القائل بإمامة أبي هاشم بن محمد بن الحنفية، و قد يطلق البنانية على أتباع بنان التبّان الذي ذكرنا ما ورد فيه و في بزيع الحائك من الذم و اللعن في ترجمتهما من تنقيح المقال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6"/>
        <w:numPr>
          <w:ilvl w:val="5"/>
          <w:numId w:val="1"/>
        </w:numPr>
        <w:rPr/>
      </w:pPr>
      <w:bookmarkStart w:id="599" w:name="__RefHeading___Toc316943_2142443653"/>
      <w:bookmarkStart w:id="600" w:name="_Toc225"/>
      <w:bookmarkEnd w:id="599"/>
      <w:r>
        <w:rPr>
          <w:rtl w:val="true"/>
        </w:rPr>
        <w:t>من الفرق الفاسدة</w:t>
      </w:r>
      <w:r>
        <w:rPr>
          <w:rtl w:val="true"/>
        </w:rPr>
        <w:t xml:space="preserve">: </w:t>
      </w:r>
      <w:r>
        <w:rPr>
          <w:rtl w:val="true"/>
        </w:rPr>
        <w:t>الحرورية</w:t>
      </w:r>
      <w:bookmarkEnd w:id="60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الذين تبرّءوا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شهدوا عليه </w:t>
      </w:r>
    </w:p>
    <w:p>
      <w:pPr>
        <w:pStyle w:val="BookText"/>
        <w:rPr/>
      </w:pPr>
      <w:r>
        <w:rPr>
          <w:rFonts w:ascii="Amiri" w:hAnsi="Amiri" w:eastAsia="Amiri" w:cs="Amiri"/>
          <w:color w:val="111111"/>
          <w:sz w:val="28"/>
          <w:sz w:val="28"/>
          <w:szCs w:val="28"/>
          <w:rtl w:val="true"/>
          <w:lang w:bidi="ar-SA"/>
        </w:rPr>
        <w:t xml:space="preserve">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في الكافي عن عليّ بن إبراهيم، عن أبيه، عن ابن أبي عمير، عن محمد بن حكم</w:t>
      </w:r>
      <w:r>
        <w:rPr>
          <w:rStyle w:val="FootnoteAnchor"/>
          <w:rtl w:val="true"/>
        </w:rPr>
        <w:footnoteReference w:id="1035"/>
      </w:r>
      <w:r>
        <w:rPr>
          <w:rFonts w:ascii="Amiri" w:hAnsi="Amiri" w:eastAsia="Amiri" w:cs="Amiri"/>
          <w:color w:val="111111"/>
          <w:sz w:val="28"/>
          <w:sz w:val="28"/>
          <w:szCs w:val="28"/>
          <w:rtl w:val="true"/>
          <w:lang w:bidi="ar-SA"/>
        </w:rPr>
        <w:t>، و حمّاد</w:t>
      </w:r>
      <w:r>
        <w:rPr>
          <w:rStyle w:val="FootnoteAnchor"/>
          <w:rtl w:val="true"/>
        </w:rPr>
        <w:footnoteReference w:id="1036"/>
      </w:r>
      <w:r>
        <w:rPr>
          <w:rFonts w:ascii="Amiri" w:hAnsi="Amiri" w:eastAsia="Amiri" w:cs="Amiri"/>
          <w:color w:val="111111"/>
          <w:sz w:val="28"/>
          <w:sz w:val="28"/>
          <w:szCs w:val="28"/>
          <w:rtl w:val="true"/>
          <w:lang w:bidi="ar-SA"/>
        </w:rPr>
        <w:t>بن أبي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و قدريّة و 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تلك الملل الكافرة المشركة الّتي لا تعبد اللّه على شيء</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لا يخفى عليك أن الحروريّة</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نسبة الى حروراء موضع بقرب الكوفة</w:t>
      </w:r>
      <w:r>
        <w:rPr>
          <w:rStyle w:val="FootnoteAnchor"/>
          <w:rtl w:val="true"/>
        </w:rPr>
        <w:footnoteReference w:id="1039"/>
      </w:r>
      <w:r>
        <w:rPr>
          <w:rFonts w:ascii="Amiri" w:hAnsi="Amiri" w:eastAsia="Amiri" w:cs="Amiri"/>
          <w:color w:val="111111"/>
          <w:sz w:val="28"/>
          <w:sz w:val="28"/>
          <w:szCs w:val="28"/>
          <w:rtl w:val="true"/>
          <w:lang w:bidi="ar-SA"/>
        </w:rPr>
        <w:t>كان أول مجمعهم فيه</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الخوارج، كان أول مجتمعهم </w:t>
      </w:r>
      <w:bookmarkStart w:id="601" w:name="pg15033_241787"/>
    </w:p>
    <w:p>
      <w:pPr>
        <w:pStyle w:val="BookText"/>
        <w:rPr/>
      </w:pPr>
      <w:bookmarkEnd w:id="601"/>
      <w:r>
        <w:rPr>
          <w:rFonts w:ascii="Amiri" w:hAnsi="Amiri" w:eastAsia="Amiri" w:cs="Amiri"/>
          <w:color w:val="111111"/>
          <w:sz w:val="28"/>
          <w:sz w:val="28"/>
          <w:szCs w:val="28"/>
          <w:rtl w:val="true"/>
          <w:lang w:bidi="ar-SA"/>
        </w:rPr>
        <w:t>فيها، تعمّقوا في الدّين حتّى مرقوا منه، فهم المارقون</w:t>
      </w:r>
      <w:r>
        <w:rPr>
          <w:rStyle w:val="FootnoteAnchor"/>
          <w:rtl w:val="true"/>
        </w:rPr>
        <w:footnoteReference w:id="1041"/>
      </w:r>
      <w:r>
        <w:rPr>
          <w:rFonts w:ascii="Amiri" w:hAnsi="Amiri" w:eastAsia="Amiri" w:cs="Amiri"/>
          <w:color w:val="111111"/>
          <w:sz w:val="28"/>
          <w:sz w:val="28"/>
          <w:szCs w:val="28"/>
          <w:rtl w:val="true"/>
          <w:lang w:bidi="ar-SA"/>
        </w:rPr>
        <w:t>، و 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حروريّة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ضم الراء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خارجيّة، توجبون قضاء صلاة الحيض</w:t>
      </w:r>
      <w:r>
        <w:rPr>
          <w:rFonts w:eastAsia="Amiri" w:cs="Amiri" w:ascii="Amiri" w:hAnsi="Amiri"/>
          <w:color w:val="111111"/>
          <w:sz w:val="28"/>
          <w:szCs w:val="28"/>
          <w:rtl w:val="true"/>
          <w:lang w:bidi="ar-SA"/>
        </w:rPr>
        <w:t>. [</w:t>
      </w:r>
      <w:r>
        <w:rPr>
          <w:rStyle w:val="FootnoteAnchor"/>
          <w:rtl w:val="true"/>
        </w:rPr>
        <w:footnoteReference w:id="1042"/>
      </w:r>
      <w:r>
        <w:rPr>
          <w:rFonts w:ascii="Amiri" w:hAnsi="Amiri" w:eastAsia="Amiri" w:cs="Amiri"/>
          <w:color w:val="111111"/>
          <w:sz w:val="28"/>
          <w:sz w:val="28"/>
          <w:szCs w:val="28"/>
          <w:rtl w:val="true"/>
          <w:lang w:bidi="ar-SA"/>
        </w:rPr>
        <w:t>و قال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الحروريّة فرقة من الخوارج، و يسمّون بالشّراة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شاري، زعموا أنهم شروا أنفسهم بأن لهم الجنة يقاتلون و يقتلون، و يظهر من بعضهم أن كل خارجي فهو من الشراة</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قد جاء في 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السيد الحميري و ان ابويه كانا اباضيين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قوم من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أمير المؤمنين صلوات اللّه عليه و أكثر الصحابة، انظر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149/12</w:t>
      </w:r>
      <w:r>
        <w:rPr>
          <w:rFonts w:ascii="Amiri" w:hAnsi="Amiri" w:eastAsia="Amiri" w:cs="Amiri"/>
          <w:color w:val="111111"/>
          <w:sz w:val="28"/>
          <w:sz w:val="28"/>
          <w:szCs w:val="28"/>
          <w:rtl w:val="true"/>
          <w:lang w:bidi="ar-SA"/>
        </w:rPr>
        <w:t>، و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فرقة العلياوية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2" w:name="__RefHeading___Toc316945_2142443653"/>
      <w:bookmarkStart w:id="603" w:name="_Toc226"/>
      <w:bookmarkEnd w:id="602"/>
      <w:r>
        <w:rPr>
          <w:rtl w:val="true"/>
        </w:rPr>
        <w:t>من الفرق الفاسدة</w:t>
      </w:r>
      <w:r>
        <w:rPr>
          <w:rtl w:val="true"/>
        </w:rPr>
        <w:t xml:space="preserve">: </w:t>
      </w:r>
      <w:r>
        <w:rPr>
          <w:rtl w:val="true"/>
        </w:rPr>
        <w:t>المخمسة</w:t>
      </w:r>
      <w:bookmarkEnd w:id="60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المخمسة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فرقة من الغلاة يقولون إن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أبا ذر و المقداد و عمارا و عمرو بن أمية الضمري هم النبيون و الموكلون بمصالح العالم من قبل الرب</w:t>
      </w:r>
      <w:r>
        <w:rPr>
          <w:rStyle w:val="FootnoteAnchor"/>
          <w:rtl w:val="true"/>
        </w:rPr>
        <w:footnoteReference w:id="1044"/>
      </w:r>
      <w:r>
        <w:rPr>
          <w:rFonts w:ascii="Amiri" w:hAnsi="Amiri" w:eastAsia="Amiri" w:cs="Amiri"/>
          <w:color w:val="111111"/>
          <w:sz w:val="28"/>
          <w:sz w:val="28"/>
          <w:szCs w:val="28"/>
          <w:rtl w:val="true"/>
          <w:lang w:bidi="ar-SA"/>
        </w:rPr>
        <w:t xml:space="preserve">، و الرب عندهم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604" w:name="pg15033_241788"/>
    </w:p>
    <w:p>
      <w:pPr>
        <w:pStyle w:val="Heading6"/>
        <w:numPr>
          <w:ilvl w:val="5"/>
          <w:numId w:val="1"/>
        </w:numPr>
        <w:rPr/>
      </w:pPr>
      <w:bookmarkStart w:id="605" w:name="__RefHeading___Toc316947_2142443653"/>
      <w:bookmarkStart w:id="606" w:name="_Toc227"/>
      <w:bookmarkEnd w:id="604"/>
      <w:bookmarkEnd w:id="605"/>
      <w:r>
        <w:rPr>
          <w:rtl w:val="true"/>
        </w:rPr>
        <w:t>من الفرق الفاسدة</w:t>
      </w:r>
      <w:r>
        <w:rPr>
          <w:rtl w:val="true"/>
        </w:rPr>
        <w:t xml:space="preserve">: </w:t>
      </w:r>
      <w:r>
        <w:rPr>
          <w:rtl w:val="true"/>
        </w:rPr>
        <w:t>العلياوية</w:t>
      </w:r>
      <w:bookmarkEnd w:id="60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العلياوية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اختيار الكشي</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ظهر بالعلوية الهاشمية، و أظهر أنه عبده و أظهر وليه من عنده و رسوله بالمحمدية، و وافق أصحاب أبي الخطاب في أربعة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مضي الأشخاص الثلاثة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تلبيس، و الحقيقة شخص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أول هذه الأشخاص في الإمامة، و أنكروا شخص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 محمدا عبد علي، 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رب، و أقاموا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ما أقامت المخمسة سلمان، و جعلوه رسولا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فوافقوهم في الإباحات و التعطيل و التناسخ</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العلياوية تسميها المخمسة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عليائية، و زعموا أن بشارا الشعيري لما أنكر ربوبية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في </w:t>
      </w:r>
    </w:p>
    <w:p>
      <w:pPr>
        <w:pStyle w:val="BookText"/>
        <w:rPr/>
      </w:pPr>
      <w:r>
        <w:rPr>
          <w:rFonts w:ascii="Amiri" w:hAnsi="Amiri" w:eastAsia="Amiri" w:cs="Amiri"/>
          <w:color w:val="111111"/>
          <w:sz w:val="28"/>
          <w:sz w:val="28"/>
          <w:szCs w:val="28"/>
          <w:rtl w:val="true"/>
          <w:lang w:bidi="ar-SA"/>
        </w:rPr>
        <w:t xml:space="preserve">علي، و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أنكر رسالة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مقام سلمان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على صورة طير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يكون في البحر، فلذلك سموهم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بشار الشعيري هو الذي روى الكشي في ترجمته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بن شيطان خرج من البحر فأغوى أصحابي</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 محمد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هذه الفرقة و المخمسة و العلياوية و أصحاب أبي الخطاب أن كل من انتسب الى أنه من آل محمد فهو مبطل في نفسه مفتر على اللّه تعالى كاذب، و أنهم الذين قال اللّه تعالى فيهم أنهم يهودا أو و نصارى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w:t>
      </w:r>
      <w:r>
        <w:rPr>
          <w:rStyle w:val="FootnoteAnchor"/>
          <w:rtl w:val="true"/>
        </w:rPr>
        <w:footnoteReference w:id="1049"/>
      </w:r>
      <w:r>
        <w:rPr>
          <w:rFonts w:ascii="Amiri" w:hAnsi="Amiri" w:eastAsia="Amiri" w:cs="Amiri"/>
          <w:color w:val="111111"/>
          <w:sz w:val="28"/>
          <w:sz w:val="28"/>
          <w:szCs w:val="28"/>
          <w:rtl w:val="true"/>
          <w:lang w:bidi="ar-SA"/>
        </w:rPr>
        <w:t xml:space="preserve">محمد في مذهب الخطابية،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 العلياوية، فهم ممن خلق، هذان كاذبون</w:t>
      </w:r>
      <w:r>
        <w:rPr>
          <w:rStyle w:val="FootnoteAnchor"/>
          <w:rtl w:val="true"/>
        </w:rPr>
        <w:footnoteReference w:id="1050"/>
      </w:r>
      <w:r>
        <w:rPr>
          <w:rFonts w:ascii="Amiri" w:hAnsi="Amiri" w:eastAsia="Amiri" w:cs="Amiri"/>
          <w:color w:val="111111"/>
          <w:sz w:val="28"/>
          <w:sz w:val="28"/>
          <w:szCs w:val="28"/>
          <w:rtl w:val="true"/>
          <w:lang w:bidi="ar-SA"/>
        </w:rPr>
        <w:t xml:space="preserve">فيما ادعوا من النسب، إذ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 لا يلد و لم يولد و لم يستولد، جلّ اللّه و تعالى عما يصفون علوا كبيرا</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و قد عدّهم في نفائس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 الغلاة، 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فرق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و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و فرهنگ معين</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5033_241790"/>
    </w:p>
    <w:p>
      <w:pPr>
        <w:pStyle w:val="Heading6"/>
        <w:numPr>
          <w:ilvl w:val="5"/>
          <w:numId w:val="1"/>
        </w:numPr>
        <w:rPr/>
      </w:pPr>
      <w:bookmarkStart w:id="608" w:name="__RefHeading___Toc316949_2142443653"/>
      <w:bookmarkStart w:id="609" w:name="_Toc228"/>
      <w:bookmarkEnd w:id="607"/>
      <w:bookmarkEnd w:id="608"/>
      <w:r>
        <w:rPr>
          <w:rtl w:val="true"/>
        </w:rPr>
        <w:t>من الفرق الفاسدة</w:t>
      </w:r>
      <w:r>
        <w:rPr>
          <w:rtl w:val="true"/>
        </w:rPr>
        <w:t xml:space="preserve">: </w:t>
      </w:r>
      <w:r>
        <w:rPr>
          <w:rtl w:val="true"/>
        </w:rPr>
        <w:t>القدرية</w:t>
      </w:r>
      <w:bookmarkEnd w:id="60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ما في المجمع</w:t>
      </w:r>
      <w:r>
        <w:rPr>
          <w:rStyle w:val="FootnoteAnchor"/>
          <w:rtl w:val="true"/>
        </w:rPr>
        <w:footnoteReference w:id="1052"/>
      </w:r>
      <w:r>
        <w:rPr>
          <w:rFonts w:ascii="Amiri" w:hAnsi="Amiri" w:eastAsia="Amiri" w:cs="Amiri"/>
          <w:color w:val="111111"/>
          <w:sz w:val="28"/>
          <w:sz w:val="28"/>
          <w:szCs w:val="28"/>
          <w:rtl w:val="true"/>
          <w:lang w:bidi="ar-SA"/>
        </w:rPr>
        <w:t>و غيره</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المنسوبون الى القدر، و يزعمون ان كل عبد خالق فعله، و لا يرون المعاصي و الكفر بتقدير اللّه و مشيئته، فنسبوا الى القدر لانه بدعتهم و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هم المعتزلة، لإسناد أفعالهم الى قدرتهم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قدري، و هو الذي يقول</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اللّه و يكون ما شاء إبليس</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القدري</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عباس حديثا طويلا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القدرية هم الذين ضاهوا النصارى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يخاصم المرجي و القدري و الزنديق، و فسّر المرجي بالأشعري، و القدري بالمعتزلي، كما حكاه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مجوس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المعتزلي من العدلية لقوله بالقدرة و الاختيار دون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أفعال اللّه تعالى مخلوقة لهم لقدرتهم عليها و اختيارهم لها من غير إجبار عليها و لا مشارك فيها، فلذا نسبوا الى القدر لقولهم به، فهم مشاركون لاولئك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جهة نفي القضاء و القدر بالنسبة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مقالة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معلوم موافقتهم لهم فيه، بل لعلهم موافقون الإمامية في ثبوت القضاء و القدر للّه، إذ القول بنفيه مخالف لصريح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فتسميتهم به غير مناسبة</w:t>
      </w:r>
      <w:r>
        <w:rPr>
          <w:rStyle w:val="FootnoteAnchor"/>
          <w:rtl w:val="true"/>
        </w:rPr>
        <w:footnoteReference w:id="1057"/>
      </w:r>
      <w:r>
        <w:rPr>
          <w:rFonts w:ascii="Amiri" w:hAnsi="Amiri" w:eastAsia="Amiri" w:cs="Amiri"/>
          <w:color w:val="111111"/>
          <w:sz w:val="28"/>
          <w:sz w:val="28"/>
          <w:szCs w:val="28"/>
          <w:rtl w:val="true"/>
          <w:lang w:bidi="ar-SA"/>
        </w:rPr>
        <w:t>، لعدم قولهم به حتى ينسبوا إليه، فهي من باب تسمية الشيء باسم ضده كالبصير للأعمى</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التفسير المزبور مأخوذ من الخبر، و من حكاية الناقل المعتبر، فاللازم التزام السكوت، و إلا فتسمية شيء بما أنكره كما ترى، بل كان المناسب حينئذ تسميتنا بالقدري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كيف مع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r>
        <w:rPr>
          <w:rFonts w:ascii="Amiri" w:hAnsi="Amiri" w:eastAsia="Amiri" w:cs="Amiri"/>
          <w:color w:val="111111"/>
          <w:sz w:val="28"/>
          <w:sz w:val="28"/>
          <w:szCs w:val="28"/>
          <w:rtl w:val="true"/>
          <w:lang w:bidi="ar-SA"/>
        </w:rPr>
        <w:t>ثم أن القدرية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أيضا، و هم فرق مختلفة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حنيفة، واصل بن عطا الغزال</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1506/2</w:t>
      </w:r>
      <w:r>
        <w:rPr>
          <w:rFonts w:ascii="IRNazanin" w:hAnsi="IRNazanin" w:eastAsia="IRNazanin"/>
          <w:color w:val="111111"/>
          <w:sz w:val="28"/>
          <w:sz w:val="28"/>
          <w:szCs w:val="28"/>
          <w:rtl w:val="true"/>
          <w:lang w:bidi="fa-IR"/>
        </w:rPr>
        <w:t>، دائرة معارف 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615/10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و عدّهم فيها من المعتزلة، نفايس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 و هناك فرقة صوفية تدعى بالواصلية كما في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الهذيلية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الهذيل العلاف</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1532/2</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خطط 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إبراهيم بن سيار بن هاني النظام</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1429/2</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دائرة معارف 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309/10</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بشر بن المعتمر</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أفاضل علماء المعتزلة، و هو الذي أحدث القول بالتوليد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معمر بن عباد السلمي</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فرق الشيعة للنوبختي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كشاف الاصطلاحات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963/2</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نفايس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عدهم في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المعتزلة، إلا أنه في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من غلاة الشيعة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المزوارية</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عيسى بن صبيح المكنى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موسى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بالمزوار</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كشاف الاصطلاحات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616/1</w:t>
      </w:r>
      <w:r>
        <w:rPr>
          <w:rFonts w:ascii="Amiri" w:hAnsi="Amiri" w:eastAsia="Amiri" w:cs="Amiri"/>
          <w:color w:val="111111"/>
          <w:sz w:val="28"/>
          <w:sz w:val="28"/>
          <w:szCs w:val="28"/>
          <w:rtl w:val="true"/>
          <w:lang w:bidi="ar-SA"/>
        </w:rPr>
        <w:t>، دائرة المعارف لفريد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ثمامة بن أشرس النميري</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قاموس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نفائس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دائرة المعارف لفريد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لا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المعتزلة أتباع تمامه بن الشرس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هشام بن عمرو الفوطي</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 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كشاف الاصطلاحات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1536/2</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الجاحظية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عمرو بن بحر الجاحظ</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قاموس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551/1</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شرح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الحسين بن أبي عمرو الخياط</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فرهنك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دائرة المعارف لفريد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803/3</w:t>
      </w:r>
      <w:r>
        <w:rPr>
          <w:rFonts w:ascii="Amiri" w:hAnsi="Amiri" w:eastAsia="Amiri" w:cs="Amiri"/>
          <w:color w:val="111111"/>
          <w:sz w:val="28"/>
          <w:sz w:val="28"/>
          <w:szCs w:val="28"/>
          <w:rtl w:val="true"/>
          <w:lang w:bidi="ar-SA"/>
        </w:rPr>
        <w:t>، قاموس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نفايس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2700</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شرح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الجبائية</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دائرة معارف 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كشاف الاصطلاحات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البهشمية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قاموس 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483/2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يظهر من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الفرقتين الأخيرتين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فرق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المعتزلة جنس يطلق على فرق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الواصلية، و الهذلية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الجبائية و هم البهثمية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جملة من مشاهير كل طائفة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علي محمد بن</w:t>
      </w:r>
      <w:bookmarkStart w:id="610" w:name="pg15033_241795"/>
    </w:p>
    <w:p>
      <w:pPr>
        <w:pStyle w:val="BookText"/>
        <w:rPr/>
      </w:pPr>
      <w:bookmarkEnd w:id="610"/>
      <w:r>
        <w:rPr>
          <w:rFonts w:ascii="Amiri" w:hAnsi="Amiri" w:eastAsia="Amiri" w:cs="Amiri"/>
          <w:color w:val="111111"/>
          <w:sz w:val="28"/>
          <w:sz w:val="28"/>
          <w:szCs w:val="28"/>
          <w:rtl w:val="true"/>
          <w:lang w:bidi="ar-SA"/>
        </w:rPr>
        <w:t>عبد الوهاب الجبائي، و ابنه أبي هاشم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العثور على خرافاتهم فراجع الكتب المعدّة لشرح الملل و النحل</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فرق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قاموس 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دائرة معارف 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423/6</w:t>
      </w:r>
      <w:r>
        <w:rPr>
          <w:rFonts w:ascii="IRNazanin" w:hAnsi="IRNazanin" w:eastAsia="IRNazanin"/>
          <w:color w:val="111111"/>
          <w:sz w:val="28"/>
          <w:sz w:val="28"/>
          <w:szCs w:val="28"/>
          <w:rtl w:val="true"/>
          <w:lang w:bidi="fa-IR"/>
        </w:rPr>
        <w:t>، معارف ابن قتيبة</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في موارد متعددة من الفرق بين الفرق منها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في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فرقة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و كذا في 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483/2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1" w:name="__RefHeading___Toc316951_2142443653"/>
      <w:bookmarkStart w:id="612" w:name="_Toc229"/>
      <w:bookmarkEnd w:id="611"/>
      <w:r>
        <w:rPr>
          <w:rtl w:val="true"/>
        </w:rPr>
        <w:t>من الفرق الفاسدة</w:t>
      </w:r>
      <w:r>
        <w:rPr>
          <w:rtl w:val="true"/>
        </w:rPr>
        <w:t xml:space="preserve">: </w:t>
      </w:r>
      <w:r>
        <w:rPr>
          <w:rtl w:val="true"/>
        </w:rPr>
        <w:t>المرجئة</w:t>
      </w:r>
      <w:bookmarkEnd w:id="61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ثم الراء، ثم الهمزة بغير 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الارجاء بمعنى التأخير عند أكثر اللغويين</w:t>
      </w:r>
      <w:r>
        <w:rPr>
          <w:rStyle w:val="FootnoteAnchor"/>
          <w:rtl w:val="true"/>
        </w:rPr>
        <w:footnoteReference w:id="1073"/>
      </w:r>
      <w:r>
        <w:rPr>
          <w:rFonts w:ascii="Amiri" w:hAnsi="Amiri" w:eastAsia="Amiri" w:cs="Amiri"/>
          <w:color w:val="111111"/>
          <w:sz w:val="28"/>
          <w:sz w:val="28"/>
          <w:szCs w:val="28"/>
          <w:rtl w:val="true"/>
          <w:lang w:bidi="ar-SA"/>
        </w:rPr>
        <w:t>، و بالياء بدل الهمزة من غير تشديد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وهم الجوهري فجعله عند إثبات الياء بدل الهمزة مشددا</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الخلاف في تفسير اللفظة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المسلمين يقولون الإيمان قول بلا عمل، كأنهم قدموا القول و أرجئوا</w:t>
      </w:r>
      <w:r>
        <w:rPr>
          <w:rStyle w:val="FootnoteAnchor"/>
          <w:rtl w:val="true"/>
        </w:rPr>
        <w:footnoteReference w:id="1076"/>
      </w:r>
      <w:r>
        <w:rPr>
          <w:rFonts w:ascii="Amiri" w:hAnsi="Amiri" w:eastAsia="Amiri" w:cs="Amiri"/>
          <w:color w:val="111111"/>
          <w:sz w:val="28"/>
          <w:sz w:val="28"/>
          <w:szCs w:val="28"/>
          <w:rtl w:val="true"/>
          <w:lang w:bidi="ar-SA"/>
        </w:rPr>
        <w:t>العمل أي أخروه، لأنهم يريدون أنهم لو لم يصلّوا و لم يصوموا لنجاهم إيمانهم، ذكره في تاج العروس</w:t>
      </w:r>
      <w:r>
        <w:rPr>
          <w:rStyle w:val="FootnoteAnchor"/>
          <w:rtl w:val="true"/>
        </w:rPr>
        <w:footnoteReference w:id="1077"/>
      </w:r>
      <w:r>
        <w:rPr>
          <w:rFonts w:ascii="Amiri" w:hAnsi="Amiri" w:eastAsia="Amiri" w:cs="Amiri"/>
          <w:color w:val="111111"/>
          <w:sz w:val="28"/>
          <w:sz w:val="28"/>
          <w:szCs w:val="28"/>
          <w:rtl w:val="true"/>
          <w:lang w:bidi="ar-SA"/>
        </w:rPr>
        <w:t>، و حكي تفسيره به عن ابن قتيبة</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قد حكاه عنه الوحيد البهبهاني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المسلمين يعتقدون أنه لا يضر مع الإيمان معصية، كما لا ينفع مع الكفر طاعة، سموا مرجئة لاعتقادهم أن اللّه تعالى أرجأ تعذيبهم عن المعاصي أي أخره عنهم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اتحاد هذا القول مع سابقه، و إن عدّمها بعضهم قولين، نعم هما مختلفان في وجه التسمية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الفرقة الجبرية الذين يقولون إن العبد لا فعل له، و إضافة الفعل إليه بمنزلة إضافته إلى المجازات، كجرى النهر </w:t>
      </w:r>
    </w:p>
    <w:p>
      <w:pPr>
        <w:pStyle w:val="BookText"/>
        <w:rPr/>
      </w:pPr>
      <w:r>
        <w:rPr>
          <w:rFonts w:ascii="Amiri" w:hAnsi="Amiri" w:eastAsia="Amiri" w:cs="Amiri"/>
          <w:color w:val="111111"/>
          <w:sz w:val="28"/>
          <w:sz w:val="28"/>
          <w:szCs w:val="28"/>
          <w:rtl w:val="true"/>
          <w:lang w:bidi="ar-SA"/>
        </w:rPr>
        <w:t>و دارت الرحى، و إنما سميت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مجبرة</w:t>
      </w:r>
      <w:r>
        <w:rPr>
          <w:rStyle w:val="FootnoteAnchor"/>
          <w:rtl w:val="true"/>
        </w:rPr>
        <w:footnoteReference w:id="1080"/>
      </w:r>
      <w:r>
        <w:rPr>
          <w:rFonts w:ascii="Amiri" w:hAnsi="Amiri" w:eastAsia="Amiri" w:cs="Amiri"/>
          <w:color w:val="111111"/>
          <w:sz w:val="28"/>
          <w:sz w:val="28"/>
          <w:szCs w:val="28"/>
          <w:rtl w:val="true"/>
          <w:lang w:bidi="ar-SA"/>
        </w:rPr>
        <w:t>لأنهم يؤخرون أمر اللّه و يرتكبون الكبائر، حكي ذلك عن بعض أهل المعرفة بالملل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المغرب عنه أنهم سمّوا بذلك لإرجائهم حكم الكبائر إلى يوم القيامة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 كل الأفعال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المرجي هو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يطلق على أهل السنة لتأخيرهم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الثلاثة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الأحاديث المرجي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و لم يصم و لم يغتسل من جنابة و هدم الكعبة و نكح امه فهو على إيمان جبرئيل و ميكائيل، و في الحديث خطابا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أشد تقليدا أم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بهم ما عدا الشيعة من العامة، اختاروا من عند أنفسهم رجلا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جعلوه رئيسا و لم يقولوا بعصمته عن الخطأ، و أوجبوا طاعته في كل ما يقول، و مع ذلك قلدوه في كل ما قال، و أنتم نصبتم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اعتقدتم عصمته عن الخطأ و مع ذلك خالفتموه في كثير من الامور، و سماهم مرجئة لأنهم زعموا أن اللّه تعالى أخر نصب الإمام ليكون نصبه باختيار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قلّدنا و قلّدوا،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جواب أكثر من الجواب الأول،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المرجئة نصبت رجلا لم تفرض طاعته و قلدوه، و 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نصبتم رجلا و فرضتم طاعته ثم لم تقلّدوه، فهم أشد منكم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التقليد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bookmarkStart w:id="613" w:name="pg15033_241798"/>
    </w:p>
    <w:p>
      <w:pPr>
        <w:pStyle w:val="BookText"/>
        <w:rPr/>
      </w:pPr>
      <w:bookmarkEnd w:id="613"/>
      <w:r>
        <w:rPr>
          <w:rFonts w:ascii="Amiri" w:hAnsi="Amiri" w:eastAsia="Amiri" w:cs="Amiri"/>
          <w:color w:val="111111"/>
          <w:sz w:val="28"/>
          <w:sz w:val="28"/>
          <w:szCs w:val="28"/>
          <w:rtl w:val="true"/>
          <w:lang w:bidi="ar-SA"/>
        </w:rPr>
        <w:t>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المرجئة و القدرية و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تلك الملل الكافرة المشركة التي لا تعبد اللّه على شيء</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انظر بقية الروايات في المستدرك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دائرة المعارف لفريد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316953_2142443653"/>
      <w:bookmarkStart w:id="615" w:name="_Toc230"/>
      <w:bookmarkEnd w:id="614"/>
      <w:r>
        <w:rPr>
          <w:rtl w:val="true"/>
        </w:rPr>
        <w:t>من الفرق الفاسدة</w:t>
      </w:r>
      <w:r>
        <w:rPr>
          <w:rtl w:val="true"/>
        </w:rPr>
        <w:t xml:space="preserve">: </w:t>
      </w:r>
      <w:r>
        <w:rPr>
          <w:rtl w:val="true"/>
        </w:rPr>
        <w:t>المغيرية</w:t>
      </w:r>
      <w:bookmarkEnd w:id="61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الى المغيرة بن سعيد و هم اتباعه</w:t>
      </w:r>
      <w:r>
        <w:rPr>
          <w:rStyle w:val="FootnoteAnchor"/>
          <w:rtl w:val="true"/>
        </w:rPr>
        <w:footnoteReference w:id="1085"/>
      </w:r>
      <w:r>
        <w:rPr>
          <w:rFonts w:ascii="Amiri" w:hAnsi="Amiri" w:eastAsia="Amiri" w:cs="Amiri"/>
          <w:color w:val="111111"/>
          <w:sz w:val="28"/>
          <w:sz w:val="28"/>
          <w:szCs w:val="28"/>
          <w:rtl w:val="true"/>
          <w:lang w:bidi="ar-SA"/>
        </w:rPr>
        <w:t>، يعتقدون ان اللّه تعالى جسّم على صورة رجل من نور على رأسه تاج من نور و قلبه منبع الحكمة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8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بإمامة محمد بن عبد اللّه بن الحسن بعد الباقر، و ان محمد بن عبد اللّه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ذلك ان لازمه حدوث المغيرية بعد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رواية جابر المذكورة في الخوارج وجود هذا المذهب في زمان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ما رواه في الخرائج،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خمسين رجلا، إذ دخل عليه كثير النوا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المغيرية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عمران عندنا بالكوفة يزعم ان ملكا يعرّفك الكافر من المؤمن، و شيعتك من أعدائك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عرفتك</w:t>
      </w:r>
      <w:r>
        <w:rPr>
          <w:rStyle w:val="FootnoteAnchor"/>
          <w:rtl w:val="true"/>
        </w:rPr>
        <w:footnoteReference w:id="10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أبيع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بل تبيع النوا،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يعرّفني شيعتي من عدوي، و لست تموت إلا تائها، 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الى الكوفة ذهبت في جماعة نسأل عنه فدللنا على عجوز، فقالت مات تائها منذ ثلاثة أيام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استظهر المولى الوحيد من التراجم كونهم من الغلاة،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نسبوهم إليهم</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انظر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دائرة المعارف لفريد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الحور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5033_241800"/>
    </w:p>
    <w:p>
      <w:pPr>
        <w:pStyle w:val="Heading6"/>
        <w:numPr>
          <w:ilvl w:val="5"/>
          <w:numId w:val="1"/>
        </w:numPr>
        <w:rPr/>
      </w:pPr>
      <w:bookmarkStart w:id="617" w:name="__RefHeading___Toc316955_2142443653"/>
      <w:bookmarkStart w:id="618" w:name="_Toc231"/>
      <w:bookmarkEnd w:id="616"/>
      <w:bookmarkEnd w:id="617"/>
      <w:r>
        <w:rPr>
          <w:rtl w:val="true"/>
        </w:rPr>
        <w:t>من الفرق الفاسدة</w:t>
      </w:r>
      <w:r>
        <w:rPr>
          <w:rtl w:val="true"/>
        </w:rPr>
        <w:t xml:space="preserve">: </w:t>
      </w:r>
      <w:r>
        <w:rPr>
          <w:rtl w:val="true"/>
        </w:rPr>
        <w:t>النصيرية</w:t>
      </w:r>
      <w:bookmarkEnd w:id="61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التعليقة</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الغلاة أصحاب محمد بن نصير النّميري</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هو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نبيّ من قبله، و أباح المحارم، و أحلّ نكاح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الكشّي أنهم فرقة قالوا بنبوّة محمد بن نصير الفهري النّميري</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أجلّة من عاصرناه</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عوامهم و أكثر خواصّهم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شعرائهم إطلاق النّصيري </w:t>
      </w:r>
      <w:bookmarkStart w:id="619" w:name="pg15033_241801"/>
    </w:p>
    <w:p>
      <w:pPr>
        <w:pStyle w:val="BookText"/>
        <w:rPr/>
      </w:pPr>
      <w:bookmarkEnd w:id="619"/>
      <w:r>
        <w:rPr>
          <w:rFonts w:ascii="Amiri" w:hAnsi="Amiri" w:eastAsia="Amiri" w:cs="Amiri"/>
          <w:color w:val="111111"/>
          <w:sz w:val="28"/>
          <w:sz w:val="28"/>
          <w:szCs w:val="28"/>
          <w:rtl w:val="true"/>
          <w:lang w:bidi="ar-SA"/>
        </w:rPr>
        <w:t xml:space="preserve">على من قال بربوبية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الكتب حكاية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لرئيسهم أو جمع منهم ثم إحيائهم ليرتدعوا عن ذلك فما نفعهم حتّى فعل بهم ذلك مرارا، بل أحرقهم ثم أحياهم فأصرّوا و زادوا في العقيدة المزبورة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اعتقدنا بربوبيّتك قبل أن نرى منك احياء، فكيف و قد رأيناه؟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الكتاب المزبور لم يثبت اعتباره، و ان كان مسندا الى ثاني المجلسيّين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تذكرة الأئمّة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316957_2142443653"/>
      <w:bookmarkStart w:id="621" w:name="_Toc232"/>
      <w:bookmarkEnd w:id="620"/>
      <w:r>
        <w:rPr>
          <w:rtl w:val="true"/>
        </w:rPr>
        <w:t>من الفرق الفاسدة</w:t>
      </w:r>
      <w:r>
        <w:rPr>
          <w:rtl w:val="true"/>
        </w:rPr>
        <w:t xml:space="preserve">: </w:t>
      </w:r>
      <w:r>
        <w:rPr>
          <w:rtl w:val="true"/>
        </w:rPr>
        <w:t>الشريعية</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الشّريعيّة</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هم فرقة ينتسبون الى الحسن الشّريعي الّذي ادّعى السّفارة عن الحجّة عجّل اللّه تعالى فرجه كذبا، و ادّعى مقاما ليس له بأهل، و لعنته الشيعة، و خرج التّوقيع الشّريف بلعنه</w:t>
      </w:r>
      <w:r>
        <w:rPr>
          <w:rStyle w:val="FootnoteAnchor"/>
          <w:rtl w:val="true"/>
        </w:rPr>
        <w:footnoteReference w:id="1097"/>
      </w:r>
      <w:r>
        <w:rPr>
          <w:rFonts w:ascii="Amiri" w:hAnsi="Amiri" w:eastAsia="Amiri" w:cs="Amiri"/>
          <w:color w:val="111111"/>
          <w:sz w:val="28"/>
          <w:sz w:val="28"/>
          <w:szCs w:val="28"/>
          <w:rtl w:val="true"/>
          <w:lang w:bidi="ar-SA"/>
        </w:rPr>
        <w:t>، و من الشّريعيّة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الحسن بن فرات، و ابنه محمد</w:t>
      </w:r>
      <w:r>
        <w:rPr>
          <w:rStyle w:val="FootnoteAnchor"/>
          <w:rtl w:val="true"/>
        </w:rPr>
        <w:footnoteReference w:id="1098"/>
      </w:r>
      <w:r>
        <w:rPr>
          <w:rFonts w:ascii="Amiri" w:hAnsi="Amiri" w:eastAsia="Amiri" w:cs="Amiri"/>
          <w:color w:val="111111"/>
          <w:sz w:val="28"/>
          <w:sz w:val="28"/>
          <w:szCs w:val="28"/>
          <w:rtl w:val="true"/>
          <w:lang w:bidi="ar-SA"/>
        </w:rPr>
        <w:t>و أحمد بن الحسين بن بشر بن زيد</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دائرة المعارف لفريد و جدي </w:t>
      </w:r>
      <w:r>
        <w:rPr>
          <w:rFonts w:eastAsia="Amiri" w:cs="Amiri" w:ascii="Amiri" w:hAnsi="Amiri"/>
          <w:color w:val="111111"/>
          <w:sz w:val="28"/>
          <w:szCs w:val="28"/>
          <w:lang w:bidi="ar-SA"/>
        </w:rPr>
        <w:t>378/5</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 فيها من غلاة فرق الشيعة، إلاّ أنّ المقريزي في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من فرق الخوارج، و انظر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5033_241802"/>
    </w:p>
    <w:p>
      <w:pPr>
        <w:pStyle w:val="Heading6"/>
        <w:numPr>
          <w:ilvl w:val="5"/>
          <w:numId w:val="1"/>
        </w:numPr>
        <w:rPr/>
      </w:pPr>
      <w:bookmarkStart w:id="623" w:name="__RefHeading___Toc316959_2142443653"/>
      <w:bookmarkStart w:id="624" w:name="_Toc233"/>
      <w:bookmarkEnd w:id="622"/>
      <w:bookmarkEnd w:id="623"/>
      <w:r>
        <w:rPr>
          <w:rtl w:val="true"/>
        </w:rPr>
        <w:t>من الفرق الفاسدة</w:t>
      </w:r>
      <w:r>
        <w:rPr>
          <w:rtl w:val="true"/>
        </w:rPr>
        <w:t xml:space="preserve">: </w:t>
      </w:r>
      <w:r>
        <w:rPr>
          <w:rtl w:val="true"/>
        </w:rPr>
        <w:t>المفوضة</w:t>
      </w:r>
      <w:bookmarkEnd w:id="62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ما أفاده الوحيد</w:t>
      </w:r>
      <w:r>
        <w:rPr>
          <w:rStyle w:val="FootnoteAnchor"/>
          <w:rtl w:val="true"/>
        </w:rPr>
        <w:footnoteReference w:id="1100"/>
      </w:r>
      <w:r>
        <w:rPr>
          <w:rFonts w:ascii="Amiri" w:hAnsi="Amiri" w:eastAsia="Amiri" w:cs="Amiri"/>
          <w:color w:val="111111"/>
          <w:sz w:val="28"/>
          <w:sz w:val="28"/>
          <w:szCs w:val="28"/>
          <w:rtl w:val="true"/>
          <w:lang w:bidi="ar-SA"/>
        </w:rPr>
        <w:t>و العلاّمة المجلسي</w:t>
      </w:r>
      <w:r>
        <w:rPr>
          <w:rStyle w:val="FootnoteAnchor"/>
          <w:rtl w:val="true"/>
        </w:rPr>
        <w:footnoteReference w:id="11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معان كثيرة فيها الصّحيح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آخر التّعليقة</w:t>
      </w:r>
      <w:r>
        <w:rPr>
          <w:rStyle w:val="FootnoteAnchor"/>
          <w:rtl w:val="true"/>
        </w:rPr>
        <w:footnoteReference w:id="1102"/>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إليه أمر العالم، فهو الخلاق للدّنيا و ما فيها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يقولون بالتّفويض إلى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يظهر من </w:t>
      </w:r>
    </w:p>
    <w:p>
      <w:pPr>
        <w:pStyle w:val="BookText"/>
        <w:rPr/>
      </w:pPr>
      <w:r>
        <w:rPr>
          <w:rFonts w:ascii="IRNazanin" w:hAnsi="IRNazanin" w:eastAsia="IRNazanin"/>
          <w:color w:val="111111"/>
          <w:sz w:val="28"/>
          <w:sz w:val="28"/>
          <w:szCs w:val="28"/>
          <w:rtl w:val="true"/>
          <w:lang w:bidi="fa-IR"/>
        </w:rPr>
        <w:t>بعض التّراجم</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الاعتقاد بذلك إلى طائفة، فإن أرادوا ظاهره و هو أنهم هم الفاعلون لذلك حقيقة فهو الكفر الصّريح، و قد دلّت الأدلّة العقليّة و النّقليّة على بطلانه، و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زعم أن اللّه تعالى فوّض أمر الخلق و الرّزق إلى حججه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 حكاه عنه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329/25</w:t>
      </w:r>
      <w:r>
        <w:rPr>
          <w:rFonts w:ascii="Amiri" w:hAnsi="Amiri" w:eastAsia="Amiri" w:cs="Amiri"/>
          <w:color w:val="111111"/>
          <w:sz w:val="28"/>
          <w:sz w:val="28"/>
          <w:szCs w:val="28"/>
          <w:rtl w:val="true"/>
          <w:lang w:bidi="ar-SA"/>
        </w:rPr>
        <w:t xml:space="preserve">، و له نظائر كثيرة في عيون أخبار الرّضا عليه السّلام و غيره كما في صفحة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و انظر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الحجّة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تسأل عن مقالة المفوّضة؛ كذبوا، بل قلوبنا أوعية لمشيئة اللّه، فإذا شاء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سنوافيك في المستدرك ببقيّة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نفي التّفويض في جملة من الرّوايات عنهم عليهم السّلام كما في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 إنّما أريد به نفي اختيارهم فيما حتم اللّه و أوحى به إليهم، فلا ينافي تفويض الأمر إليهم في بعض الموارد الآتية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أنّ اللّه تعالى هو الفاعل وحده لا شريك له، و لكن مقارنا لإرادتهم و دعائهم و سؤالهم من اللّه ذلك كشقّ القمر و إحياء الموتى و قلب العصا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المعجزات فهو حق، لكرامتهم عند اللّه، و زيادة قربهم منه،</w:t>
      </w:r>
    </w:p>
    <w:p>
      <w:pPr>
        <w:pStyle w:val="BookText"/>
        <w:rPr/>
      </w:pPr>
      <w:r>
        <w:rPr>
          <w:rFonts w:ascii="Amiri" w:hAnsi="Amiri" w:eastAsia="Amiri" w:cs="Amiri"/>
          <w:color w:val="111111"/>
          <w:sz w:val="28"/>
          <w:sz w:val="28"/>
          <w:szCs w:val="28"/>
          <w:rtl w:val="true"/>
          <w:lang w:bidi="ar-SA"/>
        </w:rPr>
        <w:t>و إظهار فضلهم و رفعة مقامهم بين خلقه و عباده حتّى يصدّقوهم و ينقادوا لهم، و يهتدوا بهداهم و يقتدوا بهم، فإنّهم الدّعاة إلى اللّه، و الأدلاء على مرضاته، و لكن هذا المعنى ليس من التّفويض في شيء، بل هو المعجز الصّرف نشأ على يدي حجّة اللّه تعالى لبلوغه أعلى مراتب الاخلاص و العبوديّة، فتفسير التّفويض بذلك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في أمر الدين، بمعنى أن اللّه تعالى فوّض إليهم أن يحلّلوا ما شاءوا و يحرّموا ما شاءوا، و يصحّحوا ما شاءوا و يبطلوا ما شاءوا بآرائهم من غير وحي، و هذا أيضا ضروريّ البطلان، و قد تظافرت الآيات و تواترت الأخبار بأنّهم لا ينطقون عن الهوى إن هو إلاّ وحي يوحى، و انّ اللّه تعالى كان متفضّلا عليهم بملكة كانوا يفهمون من كتاب اللّه تعالى ما كان و ما يكون، و أنّ الكتاب تبيان كل شيء، و إن أرادوا بذلك أنه تعالى لمّا أكمل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يختار إلاّ ما يوافق الحق و لا يخالف مشيّته، فوّض إليه تعيين بعض الأمور كزيادة بعض الرّكعات و تعيين النّوافل من الصّلاة و الصّيام، و طعمة الجد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إظهارا لشرفه و كرامته، ثم لما اختار أكد ذلك بالوحي من عنده، فلا فساد عقلا و لا نقلا فيه، بل في كثير من الأخبار ما يدل عليه، و قد عقد له في الكافي بابا</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كذا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أحللنا له شيئا أصابه من أعمال الظّالمين فهو له حلال، لأن الأئمّة منّا مفوّض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استعمل لفظ التّفويض فيه، و كذا في نصوص اخر كقولهم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مفوّض إليه، فإنّها مفسّرة بما ذكره العلاّمة المجلسي رحمه اللّه و غيره، لا ما يقوله بعض جهّال الشّيعة و المنحرفين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نسبه بعضهم إلى أكثر</w:t>
      </w:r>
    </w:p>
    <w:p>
      <w:pPr>
        <w:pStyle w:val="BookText"/>
        <w:rPr/>
      </w:pPr>
      <w:r>
        <w:rPr>
          <w:rFonts w:ascii="Amiri" w:hAnsi="Amiri" w:eastAsia="Amiri" w:cs="Amiri"/>
          <w:color w:val="111111"/>
          <w:sz w:val="28"/>
          <w:sz w:val="28"/>
          <w:szCs w:val="28"/>
          <w:rtl w:val="true"/>
          <w:lang w:bidi="ar-SA"/>
        </w:rPr>
        <w:t>المحدّثين</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فوّض الى نبيّه صلى اللّه عليه و آله و سلّم أمر دينه فقال ما آتاكُمُ اَلرَّسُولُ فَخُذُوهُ وَ ما نَهاكُمْ عَنْهُ فَانْتَهُوا فأمّا الخلق و الرّزق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أمر الخلق إليهم في السّياسة و التّأديب و التّكميل، و أمرهم بطاعتهم، بمعنى أنه يجب عليهم طاعتهم في كل ما يأمرون به و ينهون عنه، سواء علموا وجه الصّحة أم لا، بل و لو كان بحسب ظاهر نظرهم عدم الصّحّة، بل الواجب عليهم القبول و تفويض الأمر إليهم و التّسليم لهم بحيث لا يجدون حرجا فيما قضوا و يسلّموا تسليما، كما قال سبحانه</w:t>
      </w:r>
      <w:r>
        <w:rPr>
          <w:rStyle w:val="FootnoteAnchor"/>
          <w:rtl w:val="true"/>
        </w:rPr>
        <w:footnoteReference w:id="1108"/>
      </w:r>
      <w:r>
        <w:rPr>
          <w:rFonts w:ascii="Amiri" w:hAnsi="Amiri" w:eastAsia="Amiri" w:cs="Amiri"/>
          <w:color w:val="111111"/>
          <w:sz w:val="28"/>
          <w:sz w:val="28"/>
          <w:szCs w:val="28"/>
          <w:rtl w:val="true"/>
          <w:lang w:bidi="ar-SA"/>
        </w:rPr>
        <w:t>، و هذا لا شبهة في صحّته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بيان العلوم و الأحكام على ما أرادوا و رأوا </w:t>
      </w:r>
    </w:p>
    <w:p>
      <w:pPr>
        <w:pStyle w:val="BookText"/>
        <w:rPr/>
      </w:pPr>
      <w:r>
        <w:rPr>
          <w:rFonts w:ascii="Amiri" w:hAnsi="Amiri" w:eastAsia="Amiri" w:cs="Amiri"/>
          <w:color w:val="111111"/>
          <w:sz w:val="28"/>
          <w:sz w:val="28"/>
          <w:szCs w:val="28"/>
          <w:rtl w:val="true"/>
          <w:lang w:bidi="ar-SA"/>
        </w:rPr>
        <w:t>المصلحة فيه، لاختلاف عقول النّاس أو للتّقيّة، فيفتون بعض الناس بالأحكام الواقعيّة و بعضهم بالتّقيّة، و يسكتون عن جواب آخرين بحسب المصلحة، و يجيبون في تفسير الآيات و تأويلها و بيان الحكم و المعارف بحسب ما يحتمله عقل كل سائل، و قد جاء في 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تسألوا و ليس علينا أن نجيب</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ريب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الإعطاء و المنع، فإن اللّه تعالى خلق لهم الأرض و ما فيها، و جعل لهم الأنفال و صفو المال و الخمس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غيرها، فلهم أن يعطوا ما شاءوا و يمعنوا كذلك، و هذا أيضا لا إشكال في صحّته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في أن يحكموا في كل واقعة بظاهر الشّريعة أو بعلمهم أو ما يلهمهم اللّه تعالى من الواقع، كما دلّ عليه بعض الأخبار،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ظاهره من التّخيير المطلق في الحكم في كل واقعة من دون ملاحظة </w:t>
      </w:r>
    </w:p>
    <w:p>
      <w:pPr>
        <w:pStyle w:val="BookText"/>
        <w:rPr/>
      </w:pPr>
      <w:r>
        <w:rPr>
          <w:rFonts w:ascii="Amiri" w:hAnsi="Amiri" w:eastAsia="Amiri" w:cs="Amiri"/>
          <w:color w:val="111111"/>
          <w:sz w:val="28"/>
          <w:sz w:val="28"/>
          <w:szCs w:val="28"/>
          <w:rtl w:val="true"/>
          <w:lang w:bidi="ar-SA"/>
        </w:rPr>
        <w:t>خصوصيّات المقام، و ما فيه من المصالح و المفاسد و الحكم المترتّبة عليه كالتّخيير الابتدائي الثّابت بدليله كالقصر و الاتمام في مواضع التّخيير و خصال الكفّارة التّخييريّة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محل تأمّل و إشكال</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وجه المنافاة، كيف و الوحي هو المميّز، و الآية لنا لا علينا،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تقسيم الأرزاق، جعله في الفوائد مما يطلق عليه التفويض</w:t>
      </w:r>
      <w:r>
        <w:rPr>
          <w:rStyle w:val="FootnoteAnchor"/>
          <w:rtl w:val="true"/>
        </w:rPr>
        <w:footnoteReference w:id="1112"/>
      </w:r>
      <w:r>
        <w:rPr>
          <w:rFonts w:ascii="Amiri" w:hAnsi="Amiri" w:eastAsia="Amiri" w:cs="Amiri"/>
          <w:color w:val="111111"/>
          <w:sz w:val="28"/>
          <w:sz w:val="28"/>
          <w:szCs w:val="28"/>
          <w:rtl w:val="true"/>
          <w:lang w:bidi="ar-SA"/>
        </w:rPr>
        <w:t>و صحته و فساده يعرف من المعنى الأول، و لعله يرجع إليه أو عينه، إلا أن يعمم الأول للخلق و الرزق و الآجال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هذا بخصوص الأرزاق كما هو ظاهره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المعتزلة من أن اللّه سبحانه لا صنع له و لا دخل في أفعال العباد سوى أن خلقهم و أقدرهم ثم فوض إليهم أمر الأفعال يفعلون ما يشاءون على وجه الاستقلال، عكس مقالة المجبّرة، فهم بين إفراط و تفريط، و هو الذي ينبغي أن ينزل عليه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لمقابلته بالجبر، إذ كما أن في الجبر نسبة العدل الرءوف الى الظلم و العدوان، فكذا في التفويض عزل للمحيط القائم على كل نفس بما كسبت من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جاءت الأخبار بذم الفريقين، و ان الحق أمر بين الأمرين</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الزنادقة و أصحاب الإباحات، و هو القول برفع الحضر عن الخلق في الأفعال و الإباحة لهم ما شاءوا من الأعمال</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المراد و لا المثال و لا الممثل،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أن تكون إرادته سبحانه و تعالى تابعة لإرادتهم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تفويض الإرادة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أقرب للتفويض المبغوض، و كأنه سبحانه و تعالى تابع لإرادتهم عليهم السّلام، تعالى اللّه و تعالوا عن ذلك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قد عرفت ذلك كله و أن بعض الأقسام صحيح، و بعضها فاسد، فلا ينبغي المسارعة الى القدح في الرجل بمجرد عد بعضهم له من المفوضة، إذ لعله يقول بالقسم الصحيح من التفويض، بل لا بد من التأمل و التروي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اشتهار التفويض في المعاني المنكرة فينصرف الإطلاق إليها و ينزل عليها</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إلا أن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المفوضة صنفا من الغلاة مطلقا، و ان قولهم الذي فارقوا به من سواهم من الغلاة اعترافهم بحدوث الأئمة و خلقهم و نفي القدم عنهم و إضافة الخلق و الرزق إليهم، و دعواهم ان اللّه تعالى تفرد بخلقهم خاصة، و أنه فوض إليهم خلق العالم و ما فيه و 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حول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من غلاة الشيعة، كشاف الاصطلاحات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آل البيت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bookmarkStart w:id="625" w:name="pg15033_241809"/>
    </w:p>
    <w:p>
      <w:pPr>
        <w:pStyle w:val="Heading6"/>
        <w:numPr>
          <w:ilvl w:val="5"/>
          <w:numId w:val="1"/>
        </w:numPr>
        <w:rPr/>
      </w:pPr>
      <w:bookmarkStart w:id="626" w:name="__RefHeading___Toc316961_2142443653"/>
      <w:bookmarkStart w:id="627" w:name="_Toc234"/>
      <w:bookmarkEnd w:id="625"/>
      <w:bookmarkEnd w:id="626"/>
      <w:r>
        <w:rPr>
          <w:rtl w:val="true"/>
        </w:rPr>
        <w:t>من الفرق الفاسدة</w:t>
      </w:r>
      <w:r>
        <w:rPr>
          <w:rtl w:val="true"/>
        </w:rPr>
        <w:t xml:space="preserve">: </w:t>
      </w:r>
      <w:r>
        <w:rPr>
          <w:rtl w:val="true"/>
        </w:rPr>
        <w:t>الجبرية</w:t>
      </w:r>
      <w:bookmarkEnd w:id="62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المفتوحة، ثم الباء الساكنة خلاف القدرية</w:t>
      </w:r>
      <w:r>
        <w:rPr>
          <w:rStyle w:val="FootnoteAnchor"/>
          <w:rtl w:val="true"/>
        </w:rPr>
        <w:footnoteReference w:id="1116"/>
      </w:r>
      <w:r>
        <w:rPr>
          <w:rFonts w:ascii="Amiri" w:hAnsi="Amiri" w:eastAsia="Amiri" w:cs="Amiri"/>
          <w:color w:val="111111"/>
          <w:sz w:val="28"/>
          <w:sz w:val="28"/>
          <w:szCs w:val="28"/>
          <w:rtl w:val="true"/>
          <w:lang w:bidi="ar-SA"/>
        </w:rPr>
        <w:t>، و في عرف أهل الكلام يسمون المجبرة و المرجئة لأنهم يؤخرون أمر اللّه، و يرتكبون الكبائر، قاله في المجمع</w:t>
      </w:r>
      <w:r>
        <w:rPr>
          <w:rStyle w:val="FootnoteAnchor"/>
          <w:rtl w:val="true"/>
        </w:rPr>
        <w:footnoteReference w:id="1117"/>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المفهوم من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الجبرية </w:t>
      </w:r>
    </w:p>
    <w:p>
      <w:pPr>
        <w:pStyle w:val="BookText"/>
        <w:rPr/>
      </w:pPr>
      <w:r>
        <w:rPr>
          <w:rFonts w:ascii="Amiri" w:hAnsi="Amiri" w:eastAsia="Amiri" w:cs="Amiri"/>
          <w:color w:val="111111"/>
          <w:sz w:val="28"/>
          <w:sz w:val="28"/>
          <w:szCs w:val="28"/>
          <w:rtl w:val="true"/>
          <w:lang w:bidi="ar-SA"/>
        </w:rPr>
        <w:t xml:space="preserve">الأشاعرة، و من القدرية المعتزلة، لأنهم شهروا أنفسهم بإنكار ركن عظيم من الدين و هو كون الحوادث بقدرة اللّه تعالى و قضائه، و زعموا أن العبد قبل أن يقع منه الفعل مستطيع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يتوقف فعله على تجدد فعل من أفعاله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أحد معاني التفويض</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 الذين قالوا ليس لنا صنع و نحن مجبرون، يحدث اللّه لنا الفعل عند الفعل، و إنما الأفعال منسوبة الى الناس على المجاز لا على الحقيقة، و تأولوا في ذلك بآيات من كتاب اللّه لم يعرفوا معناها مثل قوله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111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يُرِدِ اَللّهُ أَنْ يَهْدِيَهُ يَشْرَحْ صَدْرَهُ لِلْإِسْلامِ وَ مَنْ يُرِدْ أَنْ يُضِلَّهُ يَجْعَلْ صَدْرَهُ ضَيِّقاً حَرَجاً </w:t>
      </w:r>
      <w:r>
        <w:rPr>
          <w:rStyle w:val="FootnoteAnchor"/>
          <w:rtl w:val="true"/>
        </w:rPr>
        <w:footnoteReference w:id="11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الآيات التي تأويلها على خلاف معانيها، و فيما قالوه ابطال للثواب و العقاب، و إذا قالوا ذلك ثم أقرّوا بالثواب و العقاب نسبوا الى اللّه تعالى الجور، و ان يعذب على غير اكتساب و فعل، تعالى اللّه عن ذلك علوا كبيرا أن يعاقب أحدا على غير فعل، و بغير حجة واضحة عليه، و القرآن كله و العقل</w:t>
      </w:r>
      <w:r>
        <w:rPr>
          <w:rStyle w:val="FootnoteAnchor"/>
          <w:rtl w:val="true"/>
        </w:rPr>
        <w:footnoteReference w:id="1121"/>
      </w:r>
      <w:r>
        <w:rPr>
          <w:rFonts w:ascii="Amiri" w:hAnsi="Amiri" w:eastAsia="Amiri" w:cs="Amiri"/>
          <w:color w:val="111111"/>
          <w:sz w:val="28"/>
          <w:sz w:val="28"/>
          <w:szCs w:val="28"/>
          <w:rtl w:val="true"/>
          <w:lang w:bidi="ar-SA"/>
        </w:rPr>
        <w:t>ردّ عليهم</w:t>
      </w:r>
      <w:r>
        <w:rPr>
          <w:rStyle w:val="FootnoteAnchor"/>
          <w:rtl w:val="true"/>
        </w:rPr>
        <w:footnoteReference w:id="1122"/>
      </w:r>
      <w:r>
        <w:rPr>
          <w:rFonts w:ascii="Amiri" w:hAnsi="Amiri" w:eastAsia="Amiri" w:cs="Amiri"/>
          <w:color w:val="111111"/>
          <w:sz w:val="28"/>
          <w:sz w:val="28"/>
          <w:szCs w:val="28"/>
          <w:rtl w:val="true"/>
          <w:lang w:bidi="ar-SA"/>
        </w:rPr>
        <w:t>، كما لا يخفى على من راجع و تدبر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23"/>
      </w:r>
      <w:r>
        <w:rPr>
          <w:rFonts w:ascii="Amiri" w:hAnsi="Amiri" w:eastAsia="Amiri" w:cs="Amiri"/>
          <w:color w:val="111111"/>
          <w:sz w:val="28"/>
          <w:sz w:val="28"/>
          <w:szCs w:val="28"/>
          <w:rtl w:val="true"/>
          <w:lang w:bidi="ar-SA"/>
        </w:rPr>
        <w:t>ثم لا يخفى عليك أن الجبرية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جهم بن صفوان</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فرق الشيعة للنوبختي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المقالات و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قاموس 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649/1</w:t>
      </w:r>
      <w:r>
        <w:rPr>
          <w:rFonts w:ascii="IRNazanin" w:hAnsi="IRNazanin" w:eastAsia="IRNazanin"/>
          <w:color w:val="111111"/>
          <w:sz w:val="28"/>
          <w:sz w:val="28"/>
          <w:szCs w:val="28"/>
          <w:rtl w:val="true"/>
          <w:lang w:bidi="fa-IR"/>
        </w:rPr>
        <w:t>، فهرست ابن النديم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دائرة معارف 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جبرية خالصة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الحسين بن محمد النجار</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نفائس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عدّهم من الجبرية،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كشاف الاصطلاحات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1382/2</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عدّهم من المرجئة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ضرار بن عمرو</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فرق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دائرة المعارف لفريد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650/5</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نفايس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و يطلب</w:t>
      </w:r>
    </w:p>
    <w:p>
      <w:pPr>
        <w:pStyle w:val="BookText"/>
        <w:rPr/>
      </w:pPr>
      <w:r>
        <w:rPr>
          <w:rFonts w:ascii="Amiri" w:hAnsi="Amiri" w:eastAsia="Amiri" w:cs="Amiri"/>
          <w:color w:val="111111"/>
          <w:sz w:val="28"/>
          <w:sz w:val="28"/>
          <w:szCs w:val="28"/>
          <w:rtl w:val="true"/>
          <w:lang w:bidi="ar-SA"/>
        </w:rPr>
        <w:t>شرح عقائدهم الفاسدة من الكتب المعدة لبيان الملل و النحل</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قاموس 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577/1</w:t>
      </w:r>
      <w:r>
        <w:rPr>
          <w:rFonts w:ascii="IRNazanin" w:hAnsi="IRNazanin" w:eastAsia="IRNazanin"/>
          <w:color w:val="111111"/>
          <w:sz w:val="28"/>
          <w:sz w:val="28"/>
          <w:szCs w:val="28"/>
          <w:rtl w:val="true"/>
          <w:lang w:bidi="fa-IR"/>
        </w:rPr>
        <w:t>، دائرة معارف 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دائرة المعارف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282/6</w:t>
      </w:r>
      <w:r>
        <w:rPr>
          <w:rFonts w:ascii="IRNazanin" w:hAnsi="IRNazanin" w:eastAsia="IRNazanin"/>
          <w:color w:val="111111"/>
          <w:sz w:val="28"/>
          <w:sz w:val="28"/>
          <w:szCs w:val="28"/>
          <w:rtl w:val="true"/>
          <w:lang w:bidi="fa-IR"/>
        </w:rPr>
        <w:t>،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فرهنگ معين</w:t>
      </w:r>
      <w:r>
        <w:rPr>
          <w:rFonts w:eastAsia="IRNazanin" w:cs="IRNazanin"/>
          <w:color w:val="111111"/>
          <w:sz w:val="28"/>
          <w:szCs w:val="28"/>
          <w:rtl w:val="true"/>
          <w:lang w:bidi="fa-IR"/>
        </w:rPr>
        <w:t xml:space="preserve">: </w:t>
      </w:r>
      <w:r>
        <w:rPr>
          <w:rFonts w:eastAsia="IRNazanin" w:cs="IRNazanin"/>
          <w:color w:val="111111"/>
          <w:sz w:val="28"/>
          <w:szCs w:val="28"/>
          <w:lang w:bidi="fa-IR"/>
        </w:rPr>
        <w:t>425/5</w:t>
      </w:r>
      <w:r>
        <w:rPr>
          <w:rFonts w:ascii="IRNazanin" w:hAnsi="IRNazanin" w:eastAsia="IRNazanin"/>
          <w:color w:val="111111"/>
          <w:sz w:val="28"/>
          <w:sz w:val="28"/>
          <w:szCs w:val="28"/>
          <w:rtl w:val="true"/>
          <w:lang w:bidi="fa-IR"/>
        </w:rPr>
        <w:t>، و ما مرّ من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الخوارج فرق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راشد نافع بن الأزرق</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القاموس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كشاف الاصطلاحات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617/1</w:t>
      </w:r>
      <w:r>
        <w:rPr>
          <w:rFonts w:ascii="Amiri" w:hAnsi="Amiri" w:eastAsia="Amiri" w:cs="Amiri"/>
          <w:color w:val="111111"/>
          <w:sz w:val="28"/>
          <w:sz w:val="28"/>
          <w:szCs w:val="28"/>
          <w:rtl w:val="true"/>
          <w:lang w:bidi="ar-SA"/>
        </w:rPr>
        <w:t>، دائرة المعارف لفريد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البيهسية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بيهس الهيصم بن جابر</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قاموس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المقالات و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بيهس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الهيصم بن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عبد الكريم بن عجرد</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نفائس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r>
        <w:rPr>
          <w:rFonts w:ascii="IRNazanin" w:hAnsi="IRNazanin" w:eastAsia="IRNazanin"/>
          <w:color w:val="111111"/>
          <w:sz w:val="28"/>
          <w:sz w:val="28"/>
          <w:szCs w:val="28"/>
          <w:rtl w:val="true"/>
          <w:lang w:bidi="fa-IR"/>
        </w:rPr>
        <w:t>، و في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عدهم من فرق عطوية الخوارج، و عد في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المجهولية من العجاردة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الصلتية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عثمان بن أبي الصلت</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كشاف الاصطلاحات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811/1</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دائرة المعارف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308/14</w:t>
      </w:r>
      <w:r>
        <w:rPr>
          <w:rFonts w:ascii="IRNazanin" w:hAnsi="IRNazanin" w:eastAsia="IRNazanin"/>
          <w:color w:val="111111"/>
          <w:sz w:val="28"/>
          <w:sz w:val="28"/>
          <w:szCs w:val="28"/>
          <w:rtl w:val="true"/>
          <w:lang w:bidi="fa-IR"/>
        </w:rPr>
        <w:t>، فرهنگ معين</w:t>
      </w:r>
      <w:r>
        <w:rPr>
          <w:rFonts w:eastAsia="IRNazanin" w:cs="IRNazanin"/>
          <w:color w:val="111111"/>
          <w:sz w:val="28"/>
          <w:szCs w:val="28"/>
          <w:rtl w:val="true"/>
          <w:lang w:bidi="fa-IR"/>
        </w:rPr>
        <w:t xml:space="preserve">: </w:t>
      </w:r>
      <w:r>
        <w:rPr>
          <w:rFonts w:eastAsia="IRNazanin" w:cs="IRNazanin"/>
          <w:color w:val="111111"/>
          <w:sz w:val="28"/>
          <w:szCs w:val="28"/>
          <w:lang w:bidi="fa-IR"/>
        </w:rPr>
        <w:t>1028/5</w:t>
      </w:r>
      <w:r>
        <w:rPr>
          <w:rFonts w:ascii="IRNazanin" w:hAnsi="IRNazanin" w:eastAsia="IRNazanin"/>
          <w:color w:val="111111"/>
          <w:sz w:val="28"/>
          <w:sz w:val="28"/>
          <w:szCs w:val="28"/>
          <w:rtl w:val="true"/>
          <w:lang w:bidi="fa-IR"/>
        </w:rPr>
        <w:t>، و عدّهم في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العجاردة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حمزة بن أدرك</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القاموس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دائرة المعارف لفريد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594/3</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 و عدهم في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من العجاردة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الشعيبية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شعيب بن محمد</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كشاف الاصطلاحات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733/1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نفائس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عدهم من عجاردة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ميمون بن خالد</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الأطرافية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بمعذورية أصحاب الأطراف</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دائرة المعارف لفريد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717/5</w:t>
      </w:r>
      <w:r>
        <w:rPr>
          <w:rFonts w:ascii="Amiri" w:hAnsi="Amiri" w:eastAsia="Amiri" w:cs="Amiri"/>
          <w:color w:val="111111"/>
          <w:sz w:val="28"/>
          <w:sz w:val="28"/>
          <w:szCs w:val="28"/>
          <w:rtl w:val="true"/>
          <w:lang w:bidi="ar-SA"/>
        </w:rPr>
        <w:t>، كشاف الاصطلاحات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حازم بن علي</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نفايس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أصحاب حازم بن عاصم و كذا في شرح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الثعالبة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ثعلبة بن عامر</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قاموس 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نفايس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و في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الخوارج أصحاب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الرشيدية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الطوسي،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العشيرية</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قاموس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538/2</w:t>
      </w:r>
      <w:r>
        <w:rPr>
          <w:rFonts w:ascii="Amiri" w:hAnsi="Amiri" w:eastAsia="Amiri" w:cs="Amiri"/>
          <w:color w:val="111111"/>
          <w:sz w:val="28"/>
          <w:sz w:val="28"/>
          <w:szCs w:val="28"/>
          <w:rtl w:val="true"/>
          <w:lang w:bidi="ar-SA"/>
        </w:rPr>
        <w:t>،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نفائس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 في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من عجاردة الخوارج، و في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العشرية، و عبر عنهم المصنف هنا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شيبان بن سلمة</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نفائس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كشاف الاصطلاحات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734/1</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و في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عدهم من العجاردة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المكرمية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مكرم بن عبد اللّه العجلي</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كشاف الاصطلاحات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1266/2</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عبد اللّه بن إباض</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القاموس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xml:space="preserve">، قاموس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دائرة معارف 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افترقوا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الحفصية، و اليزيدية، و الحارثية،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الحفصية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حفص بن أبي المقدام</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قاموس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دائرة معارف 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462/3</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 نفائس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و عدهم في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الإباضية الخوارج،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 من فرق الإباضية، أصحاب أبي حفص بن أبي المقدام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الحارث الإباضي</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نفايس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قاموس 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فرق ثلاثة، المقالات و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 عدهم من فرق الإباضية لا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يزيد بن نيسة</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614/1</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فرهنگ معين</w:t>
      </w:r>
      <w:r>
        <w:rPr>
          <w:rFonts w:eastAsia="IRNazanin" w:cs="IRNazanin"/>
          <w:color w:val="111111"/>
          <w:sz w:val="28"/>
          <w:szCs w:val="28"/>
          <w:rtl w:val="true"/>
          <w:lang w:bidi="fa-IR"/>
        </w:rPr>
        <w:t xml:space="preserve">: </w:t>
      </w:r>
      <w:r>
        <w:rPr>
          <w:rFonts w:eastAsia="IRNazanin" w:cs="IRNazanin"/>
          <w:color w:val="111111"/>
          <w:sz w:val="28"/>
          <w:szCs w:val="28"/>
          <w:lang w:bidi="fa-IR"/>
        </w:rPr>
        <w:t>1165/5</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نفايس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و في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عدهم من الإباضية الخوارج</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الصفرية الزيادية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زياد بن الأصفر</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دائرة معارف 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522/5</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229/14</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 قال في نفائس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صفرية زيادية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يونس السمري</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1544/2</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نفائس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و عدها في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من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342/4</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 من المشبه،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لتعرف الفرق بين الفرقتين مع وحدة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عبيد المكبت</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949/2</w:t>
      </w:r>
      <w:r>
        <w:rPr>
          <w:rFonts w:ascii="Amiri" w:hAnsi="Amiri" w:eastAsia="Amiri" w:cs="Amiri"/>
          <w:color w:val="111111"/>
          <w:sz w:val="28"/>
          <w:sz w:val="28"/>
          <w:szCs w:val="28"/>
          <w:rtl w:val="true"/>
          <w:lang w:bidi="ar-SA"/>
        </w:rPr>
        <w:t>، وعدها في نفائس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غسان الكوفي</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628" w:name="pg15033_241818"/>
    </w:p>
    <w:p>
      <w:pPr>
        <w:pStyle w:val="BookText"/>
        <w:rPr/>
      </w:pPr>
      <w:bookmarkEnd w:id="628"/>
      <w:r>
        <w:rPr>
          <w:rFonts w:ascii="Amiri" w:hAnsi="Amiri" w:eastAsia="Amiri" w:cs="Amiri"/>
          <w:color w:val="111111"/>
          <w:sz w:val="28"/>
          <w:sz w:val="28"/>
          <w:szCs w:val="28"/>
          <w:rtl w:val="true"/>
          <w:lang w:bidi="ar-SA"/>
        </w:rPr>
        <w:t>و الثوبائية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ثوبان المرجي</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قاموس 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دائرة معارف 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774/2</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نفائس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و عدّها في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 المرجئة، و قال في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أصحاب ثوبان المرجي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صالح بن عمرو الصالحي</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ريحانة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كشاف الاصطلاحات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821/1</w:t>
      </w:r>
      <w:r>
        <w:rPr>
          <w:rFonts w:ascii="IRNazanin" w:hAnsi="IRNazanin" w:eastAsia="IRNazanin"/>
          <w:color w:val="111111"/>
          <w:sz w:val="28"/>
          <w:sz w:val="28"/>
          <w:szCs w:val="28"/>
          <w:rtl w:val="true"/>
          <w:lang w:bidi="fa-IR"/>
        </w:rPr>
        <w:t>، و عدها في نفائس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من فرق الزيدية، و لعلها تلك الغالية لا هذه، و في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عدها من فرق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هذه الفرق عقائد سخيفة، جملة منها موجبة للكفر، و اخرى مورثة للفسق</w:t>
      </w:r>
      <w:r>
        <w:rPr>
          <w:rStyle w:val="FootnoteAnchor"/>
          <w:rtl w:val="true"/>
        </w:rPr>
        <w:footnoteReference w:id="1151"/>
      </w:r>
      <w:r>
        <w:rPr>
          <w:rFonts w:ascii="Amiri" w:hAnsi="Amiri" w:eastAsia="Amiri" w:cs="Amiri"/>
          <w:color w:val="111111"/>
          <w:sz w:val="28"/>
          <w:sz w:val="28"/>
          <w:szCs w:val="28"/>
          <w:rtl w:val="true"/>
          <w:lang w:bidi="ar-SA"/>
        </w:rPr>
        <w:t>، و شرح ذلك كله يطلب من الكتب المعدة لشرح الملل و النحل</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316963_2142443653"/>
      <w:bookmarkStart w:id="630" w:name="_Toc235"/>
      <w:bookmarkEnd w:id="629"/>
      <w:r>
        <w:rPr>
          <w:rtl w:val="true"/>
        </w:rPr>
        <w:t>من الفرق الفاسدة</w:t>
      </w:r>
      <w:r>
        <w:rPr>
          <w:rtl w:val="true"/>
        </w:rPr>
        <w:t xml:space="preserve">: </w:t>
      </w:r>
      <w:r>
        <w:rPr>
          <w:rtl w:val="true"/>
        </w:rPr>
        <w:t>الغلاة</w:t>
      </w:r>
      <w:bookmarkEnd w:id="63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الغلاة</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قال اللّه سبحانه يا أَهْلَ اَلْكِتابِ لا تَغْلُوا فِي دِينِكُمْ وَ لا تَقُولُوا عَلَى اَللّهِ إِلاَّ اَلْحَقَّ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الدالة على كفر من أشرك باللّه أو اتخذ غيره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دلّ منها على ذم اليهود و النصارى في الغلو في العزيز و عيسى كلها شاهد بل دليل على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الغلو ممقوت لا محالة أينما كان و ممن كان، و الإفراط كالتفريط كله سيئة، و الحسنة بين السيئتين، و الكلام فيه إنما في تعين حده كي لا يلزم الإغراء بالجهل تارة أو الكذب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فالغلاة من المتظاهرين بالإسلام و هم الذين نسبوا أمير المؤمنين و الأئمة من ذريته عليهم السّلام الى الألوهية و النبوة، و وصفوهم في الفضل في الدين و الدنيا الى ما تجاوزوا فيه الحد و خرجوا عن القصد،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الشيخ المفيد رحمه اللّه في تصحيح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ضلال كفار، حكم فيهم أمير المؤمنين صلوات اللّه عليه بالقتل و التحريق بالنار، و قضت عليهم الأئمة عليهم السّلام بالكفر و الخروج عن الإسلام، و قد بحث عنهم الشيخ المجلسي أعلى اللّه مقامه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فذلكة، و عدّ منهم طوائف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305/25</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في عد جمع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شيخنا الأميني طاب ثراه في غديره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بحث الغلو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عبرت عنهم كتب الأديان، و المذاهب بالغالية أيضا،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الغلاة بالعلائية، و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فرق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فرهنگ معين</w:t>
      </w:r>
      <w:r>
        <w:rPr>
          <w:rFonts w:eastAsia="IRNazanin" w:cs="IRNazanin"/>
          <w:color w:val="111111"/>
          <w:sz w:val="28"/>
          <w:szCs w:val="28"/>
          <w:rtl w:val="true"/>
          <w:lang w:bidi="fa-IR"/>
        </w:rPr>
        <w:t xml:space="preserve">: </w:t>
      </w:r>
      <w:r>
        <w:rPr>
          <w:rFonts w:eastAsia="IRNazanin" w:cs="IRNazanin"/>
          <w:color w:val="111111"/>
          <w:sz w:val="28"/>
          <w:szCs w:val="28"/>
          <w:lang w:bidi="fa-IR"/>
        </w:rPr>
        <w:t>1265/5</w:t>
      </w:r>
      <w:r>
        <w:rPr>
          <w:rFonts w:ascii="IRNazanin" w:hAnsi="IRNazanin" w:eastAsia="IRNazanin"/>
          <w:color w:val="111111"/>
          <w:sz w:val="28"/>
          <w:sz w:val="28"/>
          <w:szCs w:val="28"/>
          <w:rtl w:val="true"/>
          <w:lang w:bidi="fa-IR"/>
        </w:rPr>
        <w:t>، دائرة المعارف لفريد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نفائس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و غيرها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5033_241820"/>
    </w:p>
    <w:p>
      <w:pPr>
        <w:pStyle w:val="Heading6"/>
        <w:numPr>
          <w:ilvl w:val="5"/>
          <w:numId w:val="1"/>
        </w:numPr>
        <w:rPr/>
      </w:pPr>
      <w:bookmarkStart w:id="632" w:name="__RefHeading___Toc316965_2142443653"/>
      <w:bookmarkStart w:id="633" w:name="_Toc236"/>
      <w:bookmarkEnd w:id="631"/>
      <w:bookmarkEnd w:id="632"/>
      <w:r>
        <w:rPr>
          <w:rtl w:val="true"/>
        </w:rPr>
        <w:t>فرق الغلاة</w:t>
      </w:r>
      <w:bookmarkEnd w:id="63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53"/>
      </w:r>
      <w:r>
        <w:rPr>
          <w:rFonts w:ascii="Amiri" w:hAnsi="Amiri" w:eastAsia="Amiri" w:cs="Amiri"/>
          <w:color w:val="111111"/>
          <w:sz w:val="28"/>
          <w:sz w:val="28"/>
          <w:szCs w:val="28"/>
          <w:rtl w:val="true"/>
          <w:lang w:bidi="ar-SA"/>
        </w:rPr>
        <w:t>و هم معروفون، و جعلهم بعض الأجلّة عشر</w:t>
      </w:r>
      <w:r>
        <w:rPr>
          <w:rStyle w:val="FootnoteAnchor"/>
          <w:rtl w:val="true"/>
        </w:rPr>
        <w:footnoteReference w:id="1154"/>
      </w:r>
      <w:r>
        <w:rPr>
          <w:rFonts w:ascii="Amiri" w:hAnsi="Amiri" w:eastAsia="Amiri" w:cs="Amiri"/>
          <w:color w:val="111111"/>
          <w:sz w:val="28"/>
          <w:sz w:val="28"/>
          <w:szCs w:val="28"/>
          <w:rtl w:val="true"/>
          <w:lang w:bidi="ar-SA"/>
        </w:rPr>
        <w:t xml:space="preserve">فرق، مفسرا لها بالغالين في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المنسوبون الى هشام بن سالم و هشام بن الحكم</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ثم ان هناك فرقا من الشيعة بهذا الاسم انظرها في مصادرها الآتية، و هناك هشامية اتباع الفوطي، انظر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ascii="Amiri" w:hAnsi="Amiri" w:eastAsia="Amiri" w:cs="Amiri"/>
          <w:color w:val="111111"/>
          <w:sz w:val="28"/>
          <w:sz w:val="28"/>
          <w:szCs w:val="28"/>
          <w:rtl w:val="true"/>
          <w:lang w:bidi="ar-SA"/>
        </w:rPr>
        <w:t>، و في نفائس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من الغلاة، 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القائلون بالمشابهة بين الخالق و المخلوق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ترجمة هشام بن سالم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هشام بن الحكم في رجال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اتباع هشام بن الحكم،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عدّهم فيها من المشبه و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ذكر فرق منها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بايعوا يونس القمي</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 من المشبهة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قوم محمد بن نعمان</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بيان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دائرة معارف فريد و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316/10</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نفائس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السبئية، و هم اتباع عبد اللّه بن سبأ</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بيان الأديان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كشاف اصطلاحات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625/1</w:t>
      </w:r>
      <w:r>
        <w:rPr>
          <w:rFonts w:ascii="IRNazanin" w:hAnsi="IRNazanin" w:eastAsia="IRNazanin"/>
          <w:color w:val="111111"/>
          <w:sz w:val="28"/>
          <w:sz w:val="28"/>
          <w:szCs w:val="28"/>
          <w:rtl w:val="true"/>
          <w:lang w:bidi="fa-IR"/>
        </w:rPr>
        <w:t>، خطط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r>
        <w:rPr>
          <w:rFonts w:ascii="IRNazanin" w:hAnsi="IRNazanin" w:eastAsia="IRNazanin"/>
          <w:color w:val="111111"/>
          <w:sz w:val="28"/>
          <w:sz w:val="28"/>
          <w:szCs w:val="28"/>
          <w:rtl w:val="true"/>
          <w:lang w:bidi="fa-IR"/>
        </w:rPr>
        <w:t>، نفايس 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دائرة معارف فريد و جدي</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فرهنگ معين</w:t>
      </w:r>
      <w:r>
        <w:rPr>
          <w:rFonts w:eastAsia="IRNazanin" w:cs="IRNazanin"/>
          <w:color w:val="111111"/>
          <w:sz w:val="28"/>
          <w:szCs w:val="28"/>
          <w:rtl w:val="true"/>
          <w:lang w:bidi="fa-IR"/>
        </w:rPr>
        <w:t xml:space="preserve">: </w:t>
      </w:r>
      <w:r>
        <w:rPr>
          <w:rFonts w:eastAsia="IRNazanin" w:cs="IRNazanin"/>
          <w:color w:val="111111"/>
          <w:sz w:val="28"/>
          <w:szCs w:val="28"/>
          <w:lang w:bidi="fa-IR"/>
        </w:rPr>
        <w:t>728/5</w:t>
      </w:r>
      <w:r>
        <w:rPr>
          <w:rFonts w:ascii="IRNazanin" w:hAnsi="IRNazanin" w:eastAsia="IRNazanin"/>
          <w:color w:val="111111"/>
          <w:sz w:val="28"/>
          <w:sz w:val="28"/>
          <w:szCs w:val="28"/>
          <w:rtl w:val="true"/>
          <w:lang w:bidi="fa-IR"/>
        </w:rPr>
        <w:t>، حور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مقالات الإسلاميين</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ذكرهم الشيخ الطوسي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مذهبهم، و فصل الكلام فيه السيد مرتضى العسكري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و خمسون و مائة صحابي مختلق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حيث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المدائن، و الذي يظهر من الشهرستاني أن عبد اللّه هذا كان يهوديا فاسلم، و كان في حال تهوّده يقول في يوشع بن نون وصي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 و في المواقف إن ابن سبأ كان يقول إن عليا لم يمت و لم يقتل و إنما قتل ابن ملجم شيطانا،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السحاب و الرعد و البرق سوطه، و أنه ينزل بعد هذا الى الأرض و يملأها عدلا، و هؤلاء يقولون عند سماع الرعد عليك السّلام يا أمير المؤمنين</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الطيارة</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فرقهم</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أن الغلاة هم الذين يقولون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يلتزمون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تلك المرتبة لهم، كمن يدعى فيهم النبوة كالبزيعية</w:t>
      </w:r>
      <w:r>
        <w:rPr>
          <w:rStyle w:val="FootnoteAnchor"/>
          <w:rtl w:val="true"/>
        </w:rPr>
        <w:footnoteReference w:id="1163"/>
      </w:r>
      <w:r>
        <w:rPr>
          <w:rFonts w:ascii="Amiri" w:hAnsi="Amiri" w:eastAsia="Amiri" w:cs="Amiri"/>
          <w:color w:val="111111"/>
          <w:sz w:val="28"/>
          <w:sz w:val="28"/>
          <w:szCs w:val="28"/>
          <w:rtl w:val="true"/>
          <w:lang w:bidi="ar-SA"/>
        </w:rPr>
        <w:t>، و الإلهية</w:t>
      </w:r>
      <w:r>
        <w:rPr>
          <w:rStyle w:val="FootnoteAnchor"/>
          <w:rtl w:val="true"/>
        </w:rPr>
        <w:footnoteReference w:id="1164"/>
      </w:r>
      <w:r>
        <w:rPr>
          <w:rFonts w:ascii="Amiri" w:hAnsi="Amiri" w:eastAsia="Amiri" w:cs="Amiri"/>
          <w:color w:val="111111"/>
          <w:sz w:val="28"/>
          <w:sz w:val="28"/>
          <w:szCs w:val="28"/>
          <w:rtl w:val="true"/>
          <w:lang w:bidi="ar-SA"/>
        </w:rPr>
        <w:t>كالنصيرية</w:t>
      </w:r>
      <w:r>
        <w:rPr>
          <w:rStyle w:val="FootnoteAnchor"/>
          <w:rtl w:val="true"/>
        </w:rPr>
        <w:footnoteReference w:id="116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معين النبيه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الغلاة منسوبة الى محمد بن نصير الفهري لعنه اللّه، كان يقول إن الرب هو علي بن محمد العسكري و إنه نبي من قبله، و كان يقول بإباحة المحارم و يحلل نكاح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العلياوية</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 في معين النبيه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عليان بن أبي ذراع، و هم قوم من الغلاة يقولون إن عليا هو اللّه، و يوقعون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الحسن بن علي بن أبي عثمان الملقب بسجادة منهم، و يفضّل محمد بن أبي زينب على محمد بن عبد اللّه صلوات اللّه عليه، لأن اللّه تعالى عاتبه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يعاتب محمد بن أبي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 مأخوذ من الغلو بمعنى التجاوز عن الحد، قال اللّه تعالى لا تَغْلُوا فِي دِينِكُمْ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لا تجاوزوا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كان من أهل الطيارة، و من أهل الارتفاع، و يريدون بذلك أنه كان غاليا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أنه قد كثر رمي رجال بالغلو و ليس</w:t>
      </w:r>
      <w:r>
        <w:rPr>
          <w:rStyle w:val="FootnoteAnchor"/>
          <w:rtl w:val="true"/>
        </w:rPr>
        <w:footnoteReference w:id="1167"/>
      </w:r>
      <w:r>
        <w:rPr>
          <w:rFonts w:ascii="Amiri" w:hAnsi="Amiri" w:eastAsia="Amiri" w:cs="Amiri"/>
          <w:color w:val="111111"/>
          <w:sz w:val="28"/>
          <w:sz w:val="28"/>
          <w:szCs w:val="28"/>
          <w:rtl w:val="true"/>
          <w:lang w:bidi="ar-SA"/>
        </w:rPr>
        <w:t>من الغلاة عند التحقيق، فينبغي التأمل و الاجتهاد في ذلك و عدم المبادرة الى القدح بمجرد ذلك، و لقد أجاد المولى الوحيد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كثيرا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القميين منهم و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يعتقدون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خاصة من الرفعة و الجلال، و مرتبة معينة من العصمة و الكمال بحسب اجتهادهم و رأيهم، و ما كانوا يجوزون التعدي عنها، و كانوا يعدون التعدي ارتفاعا و غلوا على حسب معتقدهم، حتى أنهم جعلوا مثل نفي السهو عنهم غلوا، بل </w:t>
      </w:r>
    </w:p>
    <w:p>
      <w:pPr>
        <w:pStyle w:val="BookText"/>
        <w:rPr/>
      </w:pPr>
      <w:r>
        <w:rPr>
          <w:rFonts w:ascii="Amiri" w:hAnsi="Amiri" w:eastAsia="Amiri" w:cs="Amiri"/>
          <w:color w:val="111111"/>
          <w:sz w:val="28"/>
          <w:sz w:val="28"/>
          <w:szCs w:val="28"/>
          <w:rtl w:val="true"/>
          <w:lang w:bidi="ar-SA"/>
        </w:rPr>
        <w:t>ربّما جعلوا مطلق التفويض إليهم أو التفويض المختلف فيه أو المبالغة في معجزاتهم، و نقل العجائب من خوارق العادات عنهم و الإغراق في شأنهم أو إجلالهم و تنزيههم عن كثير من النقائص و إظهار كثرة قدرة لهم، و ذكر علمهم بمكنونات السماء و الأرض ارتفاعا أو موروثا للتهمة به، سيما بجهة أن الغلاة كانوا مختفين في الشيعة مخلوطين بهم مدلسين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أن القدماء كانوا مختلفين في المسائل الأصولية أيضا، فربما كان شيء عند بعضهم فاسدا و كفرا أو غلوا أو تفويضا أو جبرا أو تشبيها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 كان عند آخر مما يجب اعتقاده، أولا 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منشأ جرحهم بالأمور المذكورة وجدان الرواية الظاهرة فيها منهم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ادعاء أرباب المذهب كونه منهم، أو روايتهم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المنشأ روايتهم المناكير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ربما يحصل التأمل في جرحهم بأمثال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عيسى و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ينسبان الراوي الى الكذب و وضع الحديث أيضا بعد ما ينسبانه الى الغلو، و كأنه لرواية</w:t>
      </w:r>
      <w:r>
        <w:rPr>
          <w:rStyle w:val="FootnoteAnchor"/>
          <w:rtl w:val="true"/>
        </w:rPr>
        <w:footnoteReference w:id="1168"/>
      </w:r>
      <w:r>
        <w:rPr>
          <w:rFonts w:ascii="Amiri" w:hAnsi="Amiri" w:eastAsia="Amiri" w:cs="Amiri"/>
          <w:color w:val="111111"/>
          <w:sz w:val="28"/>
          <w:sz w:val="28"/>
          <w:szCs w:val="28"/>
          <w:rtl w:val="true"/>
          <w:lang w:bidi="ar-SA"/>
        </w:rPr>
        <w:t>ما يدلّ عليه، و لا يخفى ما فيه</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أفاد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كل جرح لا في خصوص الغلو الذي خصّه به، إذ قد يرد مثل ذلك في القدح بالتفويض أو التشبيه أو غير ذلك فتدبر، نعم هو في الغلو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أول مقالة الوحيد في شعب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نسبته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و رمي الرجال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و الارتفاع و المذاهب الفاسدة إلا بعد الفحص و التفتيش</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التأمل في جرحهم بأمثال هذه الأمور، و من لحظ مواضع قدحهم في كثير من المشاهير كيونس بن عبد الرحمن، و محمد بن سنان، و المفضل بن عمر و أمثالهم عرف الوجه في ذلك، و كفاك شاهدا إخراج أحمد بن محمد بن عيسى لأحمد ابن محمد بن خالد البرقي من قم، بل عن المجلسي الأول أنه أخرج جماعة من قم</w:t>
      </w:r>
      <w:r>
        <w:rPr>
          <w:rStyle w:val="FootnoteAnchor"/>
          <w:rtl w:val="true"/>
        </w:rPr>
        <w:footnoteReference w:id="1170"/>
      </w:r>
      <w:r>
        <w:rPr>
          <w:rFonts w:ascii="Amiri" w:hAnsi="Amiri" w:eastAsia="Amiri" w:cs="Amiri"/>
          <w:color w:val="111111"/>
          <w:sz w:val="28"/>
          <w:sz w:val="28"/>
          <w:szCs w:val="28"/>
          <w:rtl w:val="true"/>
          <w:lang w:bidi="ar-SA"/>
        </w:rPr>
        <w:t>، بل عن المحقق الشيخ محمد بن صاحب المعالم أن أهل قم كانوا يخرجون الراوي بمجرد توهم الريب فيه</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ذكر الكشي في اختياره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عبيد اللّه القمي أخرج من قم في وقت كانوا يخرجون منها من اتهموا بالغلو</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فإذا كانت هذه حالتهم و ذا ديدنهم فكيف يعول على جرحهم و قدحهم بمجرده، بل لا بد من التروي و البحث عن سببه و الحمل على الصحة مهما أمكن، كيف لا و لو كان مجرد اعتقاد ما ليس بضروري البطلان عن</w:t>
      </w:r>
    </w:p>
    <w:p>
      <w:pPr>
        <w:pStyle w:val="BookText"/>
        <w:rPr/>
      </w:pPr>
      <w:r>
        <w:rPr>
          <w:rFonts w:ascii="Amiri" w:hAnsi="Amiri" w:eastAsia="Amiri" w:cs="Amiri"/>
          <w:color w:val="111111"/>
          <w:sz w:val="28"/>
          <w:sz w:val="28"/>
          <w:szCs w:val="28"/>
          <w:rtl w:val="true"/>
          <w:lang w:bidi="ar-SA"/>
        </w:rPr>
        <w:t>اجتهاد موجبا للقدح في الرجل للزم القدح في كثير من علمائنا المتقدمين، لأن كلا منهم نسب الى القول بما ظاهره مستنكر فاسد، كما نبّه على ذلك المولى الوحيد في ترجمة أحمد بن محمد بن نوح السيرافي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في الخلاصة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الى مذهب الوعيدية</w:t>
      </w:r>
      <w:r>
        <w:rPr>
          <w:rStyle w:val="FootnoteAnchor"/>
          <w:rtl w:val="true"/>
        </w:rPr>
        <w:footnoteReference w:id="1172"/>
      </w:r>
      <w:r>
        <w:rPr>
          <w:rFonts w:ascii="Amiri" w:hAnsi="Amiri" w:eastAsia="Amiri" w:cs="Amiri"/>
          <w:color w:val="111111"/>
          <w:sz w:val="28"/>
          <w:sz w:val="28"/>
          <w:szCs w:val="28"/>
          <w:rtl w:val="true"/>
          <w:lang w:bidi="ar-SA"/>
        </w:rPr>
        <w:t xml:space="preserve">، و هو و شيخه المفيد الى أنه تعالى لا يقدر على غير مقدور العبد، كما هو مذهب الجبائي، و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مذهب البهشمية من أن إرادته عرض لا في محل، و الشيخ الجليل إبراهيم بن نوبخت الى جواز اللذّة العقلية عليه سبحانه، و ان ماهيته تعالى معلومة كوجوده، و ان ماهيته الوجود، و ان المخالفين يخرجون من النار و لا يدخلون الجنة، و الصدوق و شيخه ابن الوليد و الطبرسي الى جواز السهو على</w:t>
      </w:r>
      <w:r>
        <w:rPr>
          <w:rStyle w:val="FootnoteAnchor"/>
          <w:rtl w:val="true"/>
        </w:rPr>
        <w:footnoteReference w:id="1173"/>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عبد اللّه الأسدي</w:t>
      </w:r>
      <w:r>
        <w:rPr>
          <w:rStyle w:val="FootnoteAnchor"/>
          <w:rtl w:val="true"/>
        </w:rPr>
        <w:footnoteReference w:id="1174"/>
      </w:r>
      <w:r>
        <w:rPr>
          <w:rFonts w:ascii="Amiri" w:hAnsi="Amiri" w:eastAsia="Amiri" w:cs="Amiri"/>
          <w:color w:val="111111"/>
          <w:sz w:val="28"/>
          <w:sz w:val="28"/>
          <w:szCs w:val="28"/>
          <w:rtl w:val="true"/>
          <w:lang w:bidi="ar-SA"/>
        </w:rPr>
        <w:t>الى الجبر و التشبيه و</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ذلك مما يطول تعداده، و الحكم بعدم عدالة هؤلاء لا يلتزمه أحد يؤمن باللّه، و الذي ظهر لي من كلمات أصحابنا المتقدمين و سيرة أساطين المحدثين أن المخالفة في غير الأصول الخمسة لا توجب الفسق، إلا أن تستلزم إنكار ضروري الدّين كالتجسيم بالحقيقة لا بالتّسمية، و كذا القول بالرؤية بالانطباع أو الانعكاس، و أمّا القول بها لا معهما فلا، لأنّه لا يبعد حملها على إرادة اليقين التّام </w:t>
      </w:r>
    </w:p>
    <w:p>
      <w:pPr>
        <w:pStyle w:val="BookText"/>
        <w:rPr/>
      </w:pPr>
      <w:r>
        <w:rPr>
          <w:rFonts w:ascii="Amiri" w:hAnsi="Amiri" w:eastAsia="Amiri" w:cs="Amiri"/>
          <w:color w:val="111111"/>
          <w:sz w:val="28"/>
          <w:sz w:val="28"/>
          <w:szCs w:val="28"/>
          <w:rtl w:val="true"/>
          <w:lang w:bidi="ar-SA"/>
        </w:rPr>
        <w:t>و الانكشاف العلمي، و أما تجويز السّهو عليه و إدراك اللذّة العقليّة عليه تعالى مع تفسيرها بإرادة</w:t>
      </w:r>
      <w:r>
        <w:rPr>
          <w:rStyle w:val="FootnoteAnchor"/>
          <w:rtl w:val="true"/>
        </w:rPr>
        <w:footnoteReference w:id="1175"/>
      </w:r>
      <w:r>
        <w:rPr>
          <w:rFonts w:ascii="Amiri" w:hAnsi="Amiri" w:eastAsia="Amiri" w:cs="Amiri"/>
          <w:color w:val="111111"/>
          <w:sz w:val="28"/>
          <w:sz w:val="28"/>
          <w:szCs w:val="28"/>
          <w:rtl w:val="true"/>
          <w:lang w:bidi="ar-SA"/>
        </w:rPr>
        <w:t>الكمال من حيث أنّه كمال فلا يوجب فسقا، و أمّا الجبر و التّشبيه فالبحث في ذلك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ابن طاوس و نصير الدّين المحقّق الطوسي و ابن فهد و الشّهيد الثّاني و شيخنا البهائي و جدّي العلاّمة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من الأجلّة الى التّصوف، و غير خفي أن ضرر التّصوف إنما هو فساد الاعتقاد من القول بالحلول أو الوحدة في الوجود أو الاتّحاد أو فساد الأعمال</w:t>
      </w:r>
      <w:r>
        <w:rPr>
          <w:rStyle w:val="FootnoteAnchor"/>
          <w:rtl w:val="true"/>
        </w:rPr>
        <w:footnoteReference w:id="1176"/>
      </w:r>
      <w:r>
        <w:rPr>
          <w:rFonts w:ascii="Amiri" w:hAnsi="Amiri" w:eastAsia="Amiri" w:cs="Amiri"/>
          <w:color w:val="111111"/>
          <w:sz w:val="28"/>
          <w:sz w:val="28"/>
          <w:szCs w:val="28"/>
          <w:rtl w:val="true"/>
          <w:lang w:bidi="ar-SA"/>
        </w:rPr>
        <w:t>المخالفة للشّرع الّتي يرتكبها كثير من المتصوّفة في مقام الرّياضة أو العبادة، و غير خفيّ على المطّلعين على أحوال</w:t>
      </w:r>
      <w:r>
        <w:rPr>
          <w:rStyle w:val="FootnoteAnchor"/>
          <w:rtl w:val="true"/>
        </w:rPr>
        <w:footnoteReference w:id="1177"/>
      </w:r>
      <w:r>
        <w:rPr>
          <w:rFonts w:ascii="Amiri" w:hAnsi="Amiri" w:eastAsia="Amiri" w:cs="Amiri"/>
          <w:color w:val="111111"/>
          <w:sz w:val="28"/>
          <w:sz w:val="28"/>
          <w:szCs w:val="28"/>
          <w:rtl w:val="true"/>
          <w:lang w:bidi="ar-SA"/>
        </w:rPr>
        <w:t>هؤلاء الأجلّة من كتبهم و غيرها أنّهم منزّهون من كلتا المفسدتين قطعا، و نسب جدّي العالم</w:t>
      </w:r>
      <w:r>
        <w:rPr>
          <w:rStyle w:val="FootnoteAnchor"/>
          <w:rtl w:val="true"/>
        </w:rPr>
        <w:footnoteReference w:id="1178"/>
      </w:r>
      <w:r>
        <w:rPr>
          <w:rFonts w:ascii="Amiri" w:hAnsi="Amiri" w:eastAsia="Amiri" w:cs="Amiri"/>
          <w:color w:val="111111"/>
          <w:sz w:val="28"/>
          <w:sz w:val="28"/>
          <w:szCs w:val="28"/>
          <w:rtl w:val="true"/>
          <w:lang w:bidi="ar-SA"/>
        </w:rPr>
        <w:t xml:space="preserve">الرّباني و المقدّس الصّمداني مولانا محمد صالح المازندراني و غيره من الأجلّة الى القول باشتراك اللفظ، و فيه أيضا ما أشرنا إليه، و نسب المحمّدون الثّلاثة و الطّبرسي رضي اللّه عنهم الى القول بتجويز السّهو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و نسب ابن الوليد 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السّهو</w:t>
      </w:r>
      <w:r>
        <w:rPr>
          <w:rStyle w:val="FootnoteAnchor"/>
          <w:rtl w:val="true"/>
        </w:rPr>
        <w:footnoteReference w:id="1180"/>
      </w:r>
      <w:r>
        <w:rPr>
          <w:rFonts w:ascii="IRNazanin" w:hAnsi="IRNazanin" w:eastAsia="IRNazanin"/>
          <w:color w:val="111111"/>
          <w:sz w:val="28"/>
          <w:sz w:val="28"/>
          <w:szCs w:val="28"/>
          <w:rtl w:val="true"/>
          <w:lang w:bidi="fa-IR"/>
        </w:rPr>
        <w:t>الى الغلو</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أكثر الأجلّة ليسوا بخالصين عن أمثال ما أشرنا إليه، و من </w:t>
      </w:r>
    </w:p>
    <w:p>
      <w:pPr>
        <w:pStyle w:val="BookText"/>
        <w:rPr/>
      </w:pPr>
      <w:r>
        <w:rPr>
          <w:rFonts w:ascii="Amiri" w:hAnsi="Amiri" w:eastAsia="Amiri" w:cs="Amiri"/>
          <w:color w:val="111111"/>
          <w:sz w:val="28"/>
          <w:sz w:val="28"/>
          <w:szCs w:val="28"/>
          <w:rtl w:val="true"/>
          <w:lang w:bidi="ar-SA"/>
        </w:rPr>
        <w:t>هذا يظهر التّأمل في ثبوت الغلو و فساد المذهب بمجرّد رمي علماء الرّجال</w:t>
      </w:r>
      <w:r>
        <w:rPr>
          <w:rStyle w:val="FootnoteAnchor"/>
          <w:rtl w:val="true"/>
        </w:rPr>
        <w:footnoteReference w:id="1181"/>
      </w:r>
      <w:r>
        <w:rPr>
          <w:rFonts w:ascii="Amiri" w:hAnsi="Amiri" w:eastAsia="Amiri" w:cs="Amiri"/>
          <w:color w:val="111111"/>
          <w:sz w:val="28"/>
          <w:sz w:val="28"/>
          <w:szCs w:val="28"/>
          <w:rtl w:val="true"/>
          <w:lang w:bidi="ar-SA"/>
        </w:rPr>
        <w:t>من دون ظهور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التّعليقة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الرّمي بما يتضمّن عيبا فضلا عن فساد العقيدة مما لا ينبغي الأخذ به بمجرّده، بل لا يجوز لما في ذلك من المفاسد الكثيرة العظيمة، إذ لعلّ الرّامي قد اشتبه في اجتهاده، أو عوّل على من يراه أهلا في ذلك، و كان مخطئا في اعتقاده، أو وجد في كتابه أخبارا تدلّ على ذلك و هو بريء منه و لا يقول به، أو ادّعى بعض أهل تلك المذاهب الفاسدة أنّه منهم و هو كاذب، أو روى أخبارا ربما توهّم من كان قاصرا أو ناقصا في الإدراك و العلم أنّ ذلك ارتفاع و غلو و ليس كذلك، أو كان جملة من الأخبار يرويها و يحدّث بها و يعترف بمضامينها و يصدق بها من غير تحاشي و اتّقاء من غيره من أهل زمانه، بل يتجاهر بها لا تتحمّلها أغلب العقول فلذا 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83"/>
      </w:r>
      <w:r>
        <w:rPr>
          <w:rFonts w:ascii="Amiri" w:hAnsi="Amiri" w:eastAsia="Amiri" w:cs="Amiri"/>
          <w:color w:val="111111"/>
          <w:sz w:val="28"/>
          <w:sz w:val="28"/>
          <w:szCs w:val="28"/>
          <w:rtl w:val="true"/>
          <w:lang w:bidi="ar-SA"/>
        </w:rPr>
        <w:t>و قد ورد في ذمّ الغلاة و تفسيقهم و تكفيرهم أخبار أوردها الكشّي في رجاله</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تعرّض الشّيخ الحر العاملي في إثبات الهداة بالنّصوص و المعجزات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جملة من الرّوايات في ابطال الغلو و الرّد على الغلاة، و كذا العلاّمة المجلسي ذكرها و أضاف عليها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الغلو في النبي و الأئمة صلوات اللّه عليه و عليهم و بيان معاني التفويض، و ما لا ينبغي أن ينسب إليهم منها و ما ينبغي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حدود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قد سبقهم الكليني رحمه اللّه في الكافي بذكر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الصّدوق في من لا يحضره الفقيه و العيون و إكمال الدّين و الأمالي و الخصال و ثواب الأعمال و التّوحيد و العلل و الاعتقادات بذكر جملة روايات بحذف المكرّر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رواه الشّيخ الطّوسي في كتاب الغيبة و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 الصفّار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 الطّبرسي في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الرّاوندي في الخرائج، و سعد بن عبد اللّه في كتاب بصائر الدّرجات و العيّاشي في التّفسير جملة روايات، و كذا ابن شهرآشوب في المناقب له سبعة أحاديث، و غيرهم في غيرها، أما ما ذكره الكشّي في رجاله فهو أربعة و عشرون حديثا، جاءت كلّها في ترجمة مقلاص بن أبي الخطاب البراد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حسكه و القاسم ابن يقطين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طبقت هذه الرّوايات على نسختين من رجال الكشّي و البحار و إثبات الهداة و ذكرنا باقي ما لم يتعرّض له المصنف رحمه اللّه من الرّوايات الذامة للغلو في المستدرك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الفائدة الأخيرة من المستدرك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نسبهم الشيخ الطوسي في رجاله الى الغلو</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حمدويه و ابراهيم،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العبيدي،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الغلاة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 من يكذب حتّى أنّ الشّيطان ليحتاج الى كذبه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مسعود</w:t>
      </w:r>
      <w:r>
        <w:rPr>
          <w:rStyle w:val="FootnoteAnchor"/>
          <w:rtl w:val="true"/>
        </w:rPr>
        <w:footnoteReference w:id="11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الحسين بن سعيد، عن ابن أبي عمير،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Style w:val="FootnoteAnchor"/>
          <w:rtl w:val="true"/>
        </w:rPr>
        <w:footnoteReference w:id="1186"/>
      </w:r>
      <w:r>
        <w:rPr>
          <w:rFonts w:ascii="Amiri" w:hAnsi="Amiri" w:eastAsia="Amiri" w:cs="Amiri"/>
          <w:color w:val="111111"/>
          <w:sz w:val="28"/>
          <w:sz w:val="28"/>
          <w:szCs w:val="28"/>
          <w:rtl w:val="true"/>
          <w:lang w:bidi="ar-SA"/>
        </w:rPr>
        <w:t>للغالية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الى اللّه فإنّكم فسّاق كفّار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أبي عمير، عن إبراهيم الكرخي،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ممّن ينتحل هذا الأمر لمن هو شرّ من اليهود و النّصارى و المجوس و الّذين أشركوا</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الرواية أجنبية عن المقام، و ذكرت تبعا للكشي من قبل الأصحاب، إلا أن يتمسك بعمومها فتكون أعم من المدعى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جعفر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ممّن يزعم أنّا أرباب،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برىء اللّه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ممن يزعم أنّا أنبياء،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برىء اللّه منه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يحيى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أنهم يزعمون أنك تعلم 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رأسي فو اللّه ما بقيت في جسدي شعرة و لا في رأسي إلاّ قامت،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هي إلاّ رواية</w:t>
      </w:r>
      <w:r>
        <w:rPr>
          <w:rStyle w:val="FootnoteAnchor"/>
          <w:rtl w:val="true"/>
        </w:rPr>
        <w:footnoteReference w:id="1190"/>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عن ابن أبي عمير،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تعلم قطر المطر، و عدد النجوم، و ورق الشجر، و وزن ما في البحر، و عدد التراب، فرفع يده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يعلم هذا إلا اللّه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يونس بن عبد الرحمن، عن يحيى</w:t>
      </w:r>
      <w:r>
        <w:rPr>
          <w:rStyle w:val="FootnoteAnchor"/>
          <w:rtl w:val="true"/>
        </w:rPr>
        <w:footnoteReference w:id="1193"/>
      </w:r>
      <w:r>
        <w:rPr>
          <w:rFonts w:ascii="IRNazanin" w:hAnsi="IRNazanin" w:eastAsia="IRNazanin"/>
          <w:color w:val="111111"/>
          <w:sz w:val="28"/>
          <w:sz w:val="28"/>
          <w:szCs w:val="28"/>
          <w:rtl w:val="true"/>
          <w:lang w:bidi="fa-IR"/>
        </w:rPr>
        <w:t>بن المفضل بن عمر، قال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قائمنا بدأ بكذابي </w:t>
      </w:r>
    </w:p>
    <w:p>
      <w:pPr>
        <w:pStyle w:val="BookText"/>
        <w:rPr/>
      </w:pPr>
      <w:r>
        <w:rPr>
          <w:rFonts w:ascii="Amiri" w:hAnsi="Amiri" w:eastAsia="Amiri" w:cs="Amiri"/>
          <w:color w:val="111111"/>
          <w:sz w:val="28"/>
          <w:sz w:val="28"/>
          <w:szCs w:val="28"/>
          <w:rtl w:val="true"/>
          <w:lang w:bidi="ar-SA"/>
        </w:rPr>
        <w:t>الشيعة فقتلهم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حمدويه و إبراهيم، قال</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أبي عمير، عن محمد بن أبي حمزة</w:t>
      </w:r>
      <w:r>
        <w:rPr>
          <w:rStyle w:val="FootnoteAnchor"/>
          <w:rtl w:val="true"/>
        </w:rPr>
        <w:footnoteReference w:id="1196"/>
      </w:r>
      <w:r>
        <w:rPr>
          <w:rFonts w:ascii="Amiri" w:hAnsi="Amiri" w:eastAsia="Amiri" w:cs="Amiri"/>
          <w:color w:val="111111"/>
          <w:sz w:val="28"/>
          <w:sz w:val="28"/>
          <w:szCs w:val="28"/>
          <w:rtl w:val="true"/>
          <w:lang w:bidi="ar-SA"/>
        </w:rPr>
        <w:t xml:space="preserve">قال أبو جعفر محمد بن عيسى و لقد لقيت محمدا رفعه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 أما و اللّه لكنت ما علمتك لجبانا في الحرب، لئيما في السّلام</w:t>
      </w:r>
      <w:r>
        <w:rPr>
          <w:rStyle w:val="FootnoteAnchor"/>
          <w:rtl w:val="true"/>
        </w:rPr>
        <w:footnoteReference w:id="1197"/>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خالد بن حماد</w:t>
      </w:r>
      <w:r>
        <w:rPr>
          <w:rStyle w:val="FootnoteAnchor"/>
          <w:rtl w:val="true"/>
        </w:rPr>
        <w:footnoteReference w:id="11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طلحة رفعه، عن محمد بن اسماعيل، عن علي بن يزيد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انزل اللّه </w:t>
      </w:r>
    </w:p>
    <w:p>
      <w:pPr>
        <w:pStyle w:val="BookText"/>
        <w:rPr/>
      </w:pPr>
      <w:r>
        <w:rPr>
          <w:rFonts w:ascii="Amiri" w:hAnsi="Amiri" w:eastAsia="Amiri" w:cs="Amiri"/>
          <w:color w:val="111111"/>
          <w:sz w:val="28"/>
          <w:sz w:val="28"/>
          <w:szCs w:val="28"/>
          <w:rtl w:val="true"/>
          <w:lang w:bidi="ar-SA"/>
        </w:rPr>
        <w:t>سبحانه آية في المنافقين الا و هي فيمن ينتحل التشيع</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w:t>
      </w:r>
      <w:r>
        <w:rPr>
          <w:rStyle w:val="FootnoteAnchor"/>
          <w:rtl w:val="true"/>
        </w:rPr>
        <w:footnoteReference w:id="1201"/>
      </w:r>
      <w:r>
        <w:rPr>
          <w:rFonts w:ascii="Amiri" w:hAnsi="Amiri" w:eastAsia="Amiri" w:cs="Amiri"/>
          <w:color w:val="111111"/>
          <w:sz w:val="28"/>
          <w:sz w:val="28"/>
          <w:szCs w:val="28"/>
          <w:rtl w:val="true"/>
          <w:lang w:bidi="ar-SA"/>
        </w:rPr>
        <w:t>محمد بن أحمد، عن محمد بن عيسى، عن الحسن</w:t>
      </w:r>
      <w:r>
        <w:rPr>
          <w:rStyle w:val="FootnoteAnchor"/>
          <w:rtl w:val="true"/>
        </w:rPr>
        <w:footnoteReference w:id="1202"/>
      </w:r>
      <w:r>
        <w:rPr>
          <w:rFonts w:ascii="Amiri" w:hAnsi="Amiri" w:eastAsia="Amiri" w:cs="Amiri"/>
          <w:color w:val="111111"/>
          <w:sz w:val="28"/>
          <w:sz w:val="28"/>
          <w:szCs w:val="28"/>
          <w:rtl w:val="true"/>
          <w:lang w:bidi="ar-SA"/>
        </w:rPr>
        <w:t>بن مياح، عن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مخالطة السفلة، فإن السفلة لا يئون</w:t>
      </w:r>
      <w:r>
        <w:rPr>
          <w:rStyle w:val="FootnoteAnchor"/>
          <w:rtl w:val="true"/>
        </w:rPr>
        <w:footnoteReference w:id="1203"/>
      </w:r>
      <w:r>
        <w:rPr>
          <w:rFonts w:ascii="Amiri" w:hAnsi="Amiri" w:eastAsia="Amiri" w:cs="Amiri"/>
          <w:color w:val="111111"/>
          <w:sz w:val="28"/>
          <w:sz w:val="28"/>
          <w:szCs w:val="28"/>
          <w:rtl w:val="true"/>
          <w:lang w:bidi="ar-SA"/>
        </w:rPr>
        <w:t>الى خير</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كونها أجنبية عن المقام،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عيسى، عن علي بن الحكم،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حمزة أ يزعم أن أبي يأتيه؟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يأتيه إلا المتكون</w:t>
      </w:r>
      <w:r>
        <w:rPr>
          <w:rStyle w:val="FootnoteAnchor"/>
          <w:rtl w:val="true"/>
        </w:rPr>
        <w:footnoteReference w:id="1205"/>
      </w:r>
      <w:r>
        <w:rPr>
          <w:rFonts w:ascii="Amiri" w:hAnsi="Amiri" w:eastAsia="Amiri" w:cs="Amiri"/>
          <w:color w:val="111111"/>
          <w:sz w:val="28"/>
          <w:sz w:val="28"/>
          <w:szCs w:val="28"/>
          <w:rtl w:val="true"/>
          <w:lang w:bidi="ar-SA"/>
        </w:rPr>
        <w:t>، إن إبليس سلط شيطانا يقال له المتكون يأتي في أي صورة شاء، إن شاء في صورة كبيرة، و إن شاء في صورة صغيرة</w:t>
      </w:r>
      <w:r>
        <w:rPr>
          <w:rStyle w:val="FootnoteAnchor"/>
          <w:rtl w:val="true"/>
        </w:rPr>
        <w:footnoteReference w:id="1206"/>
      </w:r>
      <w:r>
        <w:rPr>
          <w:rFonts w:ascii="Amiri" w:hAnsi="Amiri" w:eastAsia="Amiri" w:cs="Amiri"/>
          <w:color w:val="111111"/>
          <w:sz w:val="28"/>
          <w:sz w:val="28"/>
          <w:szCs w:val="28"/>
          <w:rtl w:val="true"/>
          <w:lang w:bidi="ar-SA"/>
        </w:rPr>
        <w:t xml:space="preserve">، و لا و اللّه ما يستطيع أن يجيء في صورة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مسعود، قال 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عن محمد بن عيسى، عن زكريا، عن ابن مسكان، عن قاسم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إني لهم إمام</w:t>
      </w:r>
      <w:r>
        <w:rPr>
          <w:rStyle w:val="FootnoteAnchor"/>
          <w:rtl w:val="true"/>
        </w:rPr>
        <w:footnoteReference w:id="1208"/>
      </w:r>
      <w:r>
        <w:rPr>
          <w:rFonts w:ascii="IRNazanin" w:hAnsi="IRNazanin" w:eastAsia="IRNazanin"/>
          <w:color w:val="111111"/>
          <w:sz w:val="28"/>
          <w:sz w:val="28"/>
          <w:szCs w:val="28"/>
          <w:rtl w:val="true"/>
          <w:lang w:bidi="fa-IR"/>
        </w:rPr>
        <w:t>، و اللّه ما أنا لهم بإمام، لعنهم اللّه</w:t>
      </w:r>
      <w:r>
        <w:rPr>
          <w:rStyle w:val="FootnoteAnchor"/>
          <w:rtl w:val="true"/>
        </w:rPr>
        <w:footnoteReference w:id="1209"/>
      </w:r>
      <w:r>
        <w:rPr>
          <w:rFonts w:ascii="Amiri" w:hAnsi="Amiri" w:eastAsia="Amiri" w:cs="Amiri"/>
          <w:color w:val="111111"/>
          <w:sz w:val="28"/>
          <w:sz w:val="28"/>
          <w:szCs w:val="28"/>
          <w:rtl w:val="true"/>
          <w:lang w:bidi="ar-SA"/>
        </w:rPr>
        <w:t>كلما سترت سرا</w:t>
      </w:r>
      <w:r>
        <w:rPr>
          <w:rStyle w:val="FootnoteAnchor"/>
          <w:rtl w:val="true"/>
        </w:rPr>
        <w:footnoteReference w:id="1210"/>
      </w:r>
      <w:r>
        <w:rPr>
          <w:rFonts w:ascii="Amiri" w:hAnsi="Amiri" w:eastAsia="Amiri" w:cs="Amiri"/>
          <w:color w:val="111111"/>
          <w:sz w:val="28"/>
          <w:sz w:val="28"/>
          <w:szCs w:val="28"/>
          <w:rtl w:val="true"/>
          <w:lang w:bidi="ar-SA"/>
        </w:rPr>
        <w:t>هتكوه، هتك اللّه ستورهم،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يقولون إنما يعني كذا، أنا إمام من أطاعني</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الوشاء،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بأنا</w:t>
      </w:r>
      <w:r>
        <w:rPr>
          <w:rStyle w:val="FootnoteAnchor"/>
          <w:rtl w:val="true"/>
        </w:rPr>
        <w:footnoteReference w:id="1212"/>
      </w:r>
      <w:r>
        <w:rPr>
          <w:rFonts w:ascii="Amiri" w:hAnsi="Amiri" w:eastAsia="Amiri" w:cs="Amiri"/>
          <w:color w:val="111111"/>
          <w:sz w:val="28"/>
          <w:sz w:val="28"/>
          <w:szCs w:val="28"/>
          <w:rtl w:val="true"/>
          <w:lang w:bidi="ar-SA"/>
        </w:rPr>
        <w:t>أنبياء فعليه لعنة اللّه، و من شك في ذلك فعليه لعنة اللّه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الحسن بن بندار، و محمد بن قولويه القميان،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بن أبي </w:t>
      </w:r>
    </w:p>
    <w:p>
      <w:pPr>
        <w:pStyle w:val="BookText"/>
        <w:rPr/>
      </w:pPr>
      <w:r>
        <w:rPr>
          <w:rFonts w:ascii="Amiri" w:hAnsi="Amiri" w:eastAsia="Amiri" w:cs="Amiri"/>
          <w:color w:val="111111"/>
          <w:sz w:val="28"/>
          <w:sz w:val="28"/>
          <w:szCs w:val="28"/>
          <w:rtl w:val="true"/>
          <w:lang w:bidi="ar-SA"/>
        </w:rPr>
        <w:t>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محمد بن أبي عمير، عن ابن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بنان</w:t>
      </w:r>
      <w:r>
        <w:rPr>
          <w:rStyle w:val="FootnoteAnchor"/>
          <w:rtl w:val="true"/>
        </w:rPr>
        <w:footnoteReference w:id="1214"/>
      </w:r>
      <w:r>
        <w:rPr>
          <w:rFonts w:ascii="IRNazanin" w:hAnsi="IRNazanin" w:eastAsia="IRNazanin"/>
          <w:color w:val="111111"/>
          <w:sz w:val="28"/>
          <w:sz w:val="28"/>
          <w:szCs w:val="28"/>
          <w:rtl w:val="true"/>
          <w:lang w:bidi="fa-IR"/>
        </w:rPr>
        <w:t>التبان، و أما بنان</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على اللّه</w:t>
      </w:r>
      <w:r>
        <w:rPr>
          <w:rStyle w:val="FootnoteAnchor"/>
          <w:rtl w:val="true"/>
        </w:rPr>
        <w:footnoteReference w:id="1216"/>
      </w:r>
      <w:r>
        <w:rPr>
          <w:rFonts w:ascii="Amiri" w:hAnsi="Amiri" w:eastAsia="Amiri" w:cs="Amiri"/>
          <w:color w:val="111111"/>
          <w:sz w:val="28"/>
          <w:sz w:val="28"/>
          <w:szCs w:val="28"/>
          <w:rtl w:val="true"/>
          <w:lang w:bidi="ar-SA"/>
        </w:rPr>
        <w:t>، أشهد أن أبي علي بن الحسين كان عبدا صالحا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و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ابن مسكان، عمّن حدثه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إنه كان يكذب على أبي فأذاقه اللّه حرّ الحديد، لعن اللّه من قال فينا ما لا نقوله في أنفسنا، و لعن اللّه من أزالنا عن العبودية للّه الذي خلقنا و إليه مآبنا و معادنا، و بيده نواصينا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سعد، عن أحمد بن محمد، عن أبيه و يعقوب ابن يزيد، و الحسين بن سعيد، عن ابن أبي عمير، عن إبراهيم بن عبد الحميد، عن حصين</w:t>
      </w:r>
      <w:r>
        <w:rPr>
          <w:rStyle w:val="FootnoteAnchor"/>
          <w:rtl w:val="true"/>
        </w:rPr>
        <w:footnoteReference w:id="1219"/>
      </w:r>
      <w:r>
        <w:rPr>
          <w:rFonts w:ascii="Amiri" w:hAnsi="Amiri" w:eastAsia="Amiri" w:cs="Amiri"/>
          <w:color w:val="111111"/>
          <w:sz w:val="28"/>
          <w:sz w:val="28"/>
          <w:szCs w:val="28"/>
          <w:rtl w:val="true"/>
          <w:lang w:bidi="ar-SA"/>
        </w:rPr>
        <w:t>بن عمرو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p>
    <w:p>
      <w:pPr>
        <w:pStyle w:val="BookText"/>
        <w:rPr/>
      </w:pPr>
      <w:r>
        <w:rPr>
          <w:rFonts w:ascii="IRNazanin" w:hAnsi="IRNazanin" w:eastAsia="IRNazanin"/>
          <w:color w:val="111111"/>
          <w:sz w:val="28"/>
          <w:sz w:val="28"/>
          <w:szCs w:val="28"/>
          <w:rtl w:val="true"/>
          <w:lang w:bidi="fa-IR"/>
        </w:rPr>
        <w:t xml:space="preserve">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أبا منصور حدثني أنه رفع الى ربه و مسح على رأسه و قال 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w:t>
      </w:r>
      <w:r>
        <w:rPr>
          <w:rStyle w:val="FootnoteAnchor"/>
          <w:rtl w:val="true"/>
        </w:rPr>
        <w:footnoteReference w:id="122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إبليس اتخذ عرشا فيما بين السماء و الأرض و اتخذ زبانية بعدد</w:t>
      </w:r>
      <w:r>
        <w:rPr>
          <w:rStyle w:val="FootnoteAnchor"/>
          <w:rtl w:val="true"/>
        </w:rPr>
        <w:footnoteReference w:id="1221"/>
      </w:r>
      <w:r>
        <w:rPr>
          <w:rFonts w:ascii="Amiri" w:hAnsi="Amiri" w:eastAsia="Amiri" w:cs="Amiri"/>
          <w:color w:val="111111"/>
          <w:sz w:val="28"/>
          <w:sz w:val="28"/>
          <w:szCs w:val="28"/>
          <w:rtl w:val="true"/>
          <w:lang w:bidi="ar-SA"/>
        </w:rPr>
        <w:t xml:space="preserve">الملائكة، فإذا دعا رجلا، فأجابه و وطئ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و تخطت إليه الأقدام تراءى له إبليس و رفع إليه، فإن أبا منصور كان رسول إبليس، لعن اللّه أبا منصور ثلاثا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عن الحسين بن سعيد،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بنانا</w:t>
      </w:r>
      <w:r>
        <w:rPr>
          <w:rStyle w:val="FootnoteAnchor"/>
          <w:rtl w:val="true"/>
        </w:rPr>
        <w:footnoteReference w:id="1223"/>
      </w:r>
      <w:r>
        <w:rPr>
          <w:rFonts w:ascii="Amiri" w:hAnsi="Amiri" w:eastAsia="Amiri" w:cs="Amiri"/>
          <w:color w:val="111111"/>
          <w:sz w:val="28"/>
          <w:sz w:val="28"/>
          <w:szCs w:val="28"/>
          <w:rtl w:val="true"/>
          <w:lang w:bidi="ar-SA"/>
        </w:rPr>
        <w:t xml:space="preserve">و السري و بزيعا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تراءى لهم الشيطان في أحسن ما يكون صورة آدمي من قرنه الى سرته،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بنانا يتأول هذه الآية وَ هُوَ اَلَّذِي فِي اَلسَّماءِ إِلهٌ وَ فِي اَلْأَرْضِ إِلهٌ </w:t>
      </w:r>
      <w:r>
        <w:rPr>
          <w:rStyle w:val="FootnoteAnchor"/>
          <w:rtl w:val="true"/>
        </w:rPr>
        <w:footnoteReference w:id="1224"/>
      </w:r>
      <w:r>
        <w:rPr>
          <w:rFonts w:ascii="Amiri" w:hAnsi="Amiri" w:eastAsia="Amiri" w:cs="Amiri"/>
          <w:color w:val="111111"/>
          <w:sz w:val="28"/>
          <w:sz w:val="28"/>
          <w:szCs w:val="28"/>
          <w:rtl w:val="true"/>
          <w:lang w:bidi="ar-SA"/>
        </w:rPr>
        <w:t>إن الذي في الأرض غير اله السماء، و اله السماء غير اله الأرض، و ان اله السماء أعظم من اله الأرض، و إن أهل الأرض يعرفون فضل اله السماء و يعظمونه،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إلا اللّه وحده لا شريك له، إله السماوات</w:t>
      </w:r>
      <w:r>
        <w:rPr>
          <w:rStyle w:val="FootnoteAnchor"/>
          <w:rtl w:val="true"/>
        </w:rPr>
        <w:footnoteReference w:id="1225"/>
      </w:r>
      <w:r>
        <w:rPr>
          <w:rFonts w:ascii="IRNazanin" w:hAnsi="IRNazanin" w:eastAsia="IRNazanin"/>
          <w:color w:val="111111"/>
          <w:sz w:val="28"/>
          <w:sz w:val="28"/>
          <w:szCs w:val="28"/>
          <w:rtl w:val="true"/>
          <w:lang w:bidi="fa-IR"/>
        </w:rPr>
        <w:t xml:space="preserve">و إله </w:t>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1226"/>
      </w:r>
      <w:r>
        <w:rPr>
          <w:rFonts w:ascii="Amiri" w:hAnsi="Amiri" w:eastAsia="Amiri" w:cs="Amiri"/>
          <w:color w:val="111111"/>
          <w:sz w:val="28"/>
          <w:sz w:val="28"/>
          <w:szCs w:val="28"/>
          <w:rtl w:val="true"/>
          <w:lang w:bidi="ar-SA"/>
        </w:rPr>
        <w:t>الأرضين، كذب بنان، عليه لعنه اللّه لقد صغّر اللّه جل جلاله</w:t>
      </w:r>
      <w:r>
        <w:rPr>
          <w:rStyle w:val="FootnoteAnchor"/>
          <w:rtl w:val="true"/>
        </w:rPr>
        <w:footnoteReference w:id="1227"/>
      </w:r>
      <w:r>
        <w:rPr>
          <w:rFonts w:ascii="Amiri" w:hAnsi="Amiri" w:eastAsia="Amiri" w:cs="Amiri"/>
          <w:color w:val="111111"/>
          <w:sz w:val="28"/>
          <w:sz w:val="28"/>
          <w:szCs w:val="28"/>
          <w:rtl w:val="true"/>
          <w:lang w:bidi="ar-SA"/>
        </w:rPr>
        <w:t>و صغّر عظمته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الحسين</w:t>
      </w:r>
      <w:r>
        <w:rPr>
          <w:rStyle w:val="FootnoteAnchor"/>
          <w:rtl w:val="true"/>
        </w:rPr>
        <w:footnoteReference w:id="1229"/>
      </w:r>
      <w:r>
        <w:rPr>
          <w:rFonts w:ascii="Amiri" w:hAnsi="Amiri" w:eastAsia="Amiri" w:cs="Amiri"/>
          <w:color w:val="111111"/>
          <w:sz w:val="28"/>
          <w:sz w:val="28"/>
          <w:szCs w:val="28"/>
          <w:rtl w:val="true"/>
          <w:lang w:bidi="ar-SA"/>
        </w:rPr>
        <w:t>بن سعيد، عن ابن أبي عمير، و حدثني محمد بن عيسى، عن يونس و محمد بن أبي عمير، عن محمد بن عمر بن أذينة،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حمزة بن عمارة اليزيدي</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في كل ليلة، و لا يزال إنسان يزعم أنه قد أراه إياه فقد ولى</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إلا أن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لي،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بما يقول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يقدر الشيطان أن يتمثل في صورة نبي و لا وصي 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كما ترى أجنبية عن المقام إلا بملاحظة القرائن،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عن يونس، </w:t>
      </w:r>
    </w:p>
    <w:p>
      <w:pPr>
        <w:pStyle w:val="BookText"/>
        <w:rPr/>
      </w:pPr>
      <w:r>
        <w:rPr>
          <w:rFonts w:ascii="Amiri" w:hAnsi="Amiri" w:eastAsia="Amiri" w:cs="Amiri"/>
          <w:color w:val="111111"/>
          <w:sz w:val="28"/>
          <w:sz w:val="28"/>
          <w:szCs w:val="28"/>
          <w:rtl w:val="true"/>
          <w:lang w:bidi="ar-SA"/>
        </w:rPr>
        <w:t>عن العباس بن عامر القصباني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أيوب بن نوح، و الحسن بن موسى الخشاب، و الحسن ابن عبد اللّه بن المغيرة، عن العباس بن عامر، عن حماد بن أبي طلحة،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بزيع؟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أما أنه ليس لهؤلاء المغيرة</w:t>
      </w:r>
      <w:r>
        <w:rPr>
          <w:rStyle w:val="FootnoteAnchor"/>
          <w:rtl w:val="true"/>
        </w:rPr>
        <w:footnoteReference w:id="1232"/>
      </w:r>
      <w:r>
        <w:rPr>
          <w:rFonts w:ascii="Amiri" w:hAnsi="Amiri" w:eastAsia="Amiri" w:cs="Amiri"/>
          <w:color w:val="111111"/>
          <w:sz w:val="28"/>
          <w:sz w:val="28"/>
          <w:szCs w:val="28"/>
          <w:rtl w:val="true"/>
          <w:lang w:bidi="ar-SA"/>
        </w:rPr>
        <w:t>شيء خيرا من القتل، لأنهم لا يتوبون أبدا</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مسعود</w:t>
      </w:r>
      <w:r>
        <w:rPr>
          <w:rStyle w:val="FootnoteAnchor"/>
          <w:rtl w:val="true"/>
        </w:rPr>
        <w:footnoteReference w:id="12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أورمة، عن محمد بن خالد البرقي، عن أبي طالب القمي،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أنكم آلهة، يتلون علينا بذلك قرآنا</w:t>
      </w:r>
      <w:r>
        <w:rPr>
          <w:rStyle w:val="FootnoteAnchor"/>
          <w:rtl w:val="true"/>
        </w:rPr>
        <w:footnoteReference w:id="1235"/>
      </w: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Style w:val="FootnoteAnchor"/>
          <w:rtl w:val="true"/>
        </w:rPr>
        <w:footnoteReference w:id="1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بصري و شعري و بشري و لحمي و</w:t>
      </w:r>
      <w:r>
        <w:rPr>
          <w:rStyle w:val="FootnoteAnchor"/>
          <w:rtl w:val="true"/>
        </w:rPr>
        <w:footnoteReference w:id="1237"/>
      </w:r>
      <w:r>
        <w:rPr>
          <w:rFonts w:ascii="Amiri" w:hAnsi="Amiri" w:eastAsia="Amiri" w:cs="Amiri"/>
          <w:color w:val="111111"/>
          <w:sz w:val="28"/>
          <w:sz w:val="28"/>
          <w:szCs w:val="28"/>
          <w:rtl w:val="true"/>
          <w:lang w:bidi="ar-SA"/>
        </w:rPr>
        <w:t>دمي من هؤلاء براء، براء</w:t>
      </w:r>
      <w:r>
        <w:rPr>
          <w:rStyle w:val="FootnoteAnchor"/>
          <w:rtl w:val="true"/>
        </w:rPr>
        <w:footnoteReference w:id="1238"/>
      </w:r>
      <w:r>
        <w:rPr>
          <w:rFonts w:ascii="IRNazanin" w:hAnsi="IRNazanin" w:eastAsia="IRNazanin"/>
          <w:color w:val="111111"/>
          <w:sz w:val="28"/>
          <w:sz w:val="28"/>
          <w:szCs w:val="28"/>
          <w:rtl w:val="true"/>
          <w:lang w:bidi="fa-IR"/>
        </w:rPr>
        <w:t xml:space="preserve">اللّه منهم و رسوله، ما هؤلاء على </w:t>
      </w:r>
    </w:p>
    <w:p>
      <w:pPr>
        <w:pStyle w:val="BookText"/>
        <w:rPr/>
      </w:pPr>
      <w:r>
        <w:rPr>
          <w:rFonts w:ascii="Amiri" w:hAnsi="Amiri" w:eastAsia="Amiri" w:cs="Amiri"/>
          <w:color w:val="111111"/>
          <w:sz w:val="28"/>
          <w:sz w:val="28"/>
          <w:szCs w:val="28"/>
          <w:rtl w:val="true"/>
          <w:lang w:bidi="ar-SA"/>
        </w:rPr>
        <w:t>ديني و دين آبائي، لا يجمعني</w:t>
      </w:r>
      <w:r>
        <w:rPr>
          <w:rStyle w:val="FootnoteAnchor"/>
          <w:rtl w:val="true"/>
        </w:rPr>
        <w:footnoteReference w:id="1239"/>
      </w:r>
      <w:r>
        <w:rPr>
          <w:rFonts w:ascii="Amiri" w:hAnsi="Amiri" w:eastAsia="Amiri" w:cs="Amiri"/>
          <w:color w:val="111111"/>
          <w:sz w:val="28"/>
          <w:sz w:val="28"/>
          <w:szCs w:val="28"/>
          <w:rtl w:val="true"/>
          <w:lang w:bidi="ar-SA"/>
        </w:rPr>
        <w:t>و إياهم يوم القيامة إلا و هو عليهم ساخط،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علم اللّه، و تراجمة وحي اللّه، و نحن قوم معصومون، أمر اللّه بطاعتنا، و نهى عن معصيتنا، نحن الحجة البالغة على من دون السماء و فوق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أشكيب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أبي طالب عن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إبراهيم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الموصلي، عن يونس بن عبد الرحمن، عن العلاء بن رزين،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السفلة، إنما شيعة جعفر بن محمد من عف بطنه و فرجه، و اشتد جهاده، و عمل لخالقه، و رجا ثوابه، و خاف عقابه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عن محمد بن الحسين، عن موسى بن سلام، عن حبيب الخثعمي، عن ابن أبي يعفور</w:t>
      </w:r>
      <w:r>
        <w:rPr>
          <w:rStyle w:val="FootnoteAnchor"/>
          <w:rtl w:val="true"/>
        </w:rPr>
        <w:footnoteReference w:id="12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رجل حسن الهيئة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السفلة، فما تقارب</w:t>
      </w:r>
      <w:r>
        <w:rPr>
          <w:rStyle w:val="FootnoteAnchor"/>
          <w:rtl w:val="true"/>
        </w:rPr>
        <w:footnoteReference w:id="1243"/>
      </w:r>
      <w:r>
        <w:rPr>
          <w:rFonts w:ascii="Amiri" w:hAnsi="Amiri" w:eastAsia="Amiri" w:cs="Amiri"/>
          <w:color w:val="111111"/>
          <w:sz w:val="28"/>
          <w:sz w:val="28"/>
          <w:szCs w:val="28"/>
          <w:rtl w:val="true"/>
          <w:lang w:bidi="ar-SA"/>
        </w:rPr>
        <w:t>في الأرض حتى خرجت، فسألت عنه فوجدته غاليا</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إبراهيم بن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القمي، عن حمدان بن سليمان، عن محمد بن الحسين، عن ابن فضال، عن ابن المعزا</w:t>
      </w:r>
      <w:r>
        <w:rPr>
          <w:rStyle w:val="FootnoteAnchor"/>
          <w:rtl w:val="true"/>
        </w:rPr>
        <w:footnoteReference w:id="1245"/>
      </w:r>
      <w:r>
        <w:rPr>
          <w:rFonts w:ascii="Amiri" w:hAnsi="Amiri" w:eastAsia="Amiri" w:cs="Amiri"/>
          <w:color w:val="111111"/>
          <w:sz w:val="28"/>
          <w:sz w:val="28"/>
          <w:szCs w:val="28"/>
          <w:rtl w:val="true"/>
          <w:lang w:bidi="ar-SA"/>
        </w:rPr>
        <w:t>، عن عنبسة،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أمسينا و ما أحد ادعى</w:t>
      </w:r>
      <w:r>
        <w:rPr>
          <w:rStyle w:val="FootnoteAnchor"/>
          <w:rtl w:val="true"/>
        </w:rPr>
        <w:footnoteReference w:id="1246"/>
      </w:r>
      <w:r>
        <w:rPr>
          <w:rFonts w:ascii="IRNazanin" w:hAnsi="IRNazanin" w:eastAsia="IRNazanin"/>
          <w:color w:val="111111"/>
          <w:sz w:val="28"/>
          <w:sz w:val="28"/>
          <w:szCs w:val="28"/>
          <w:rtl w:val="true"/>
          <w:lang w:bidi="fa-IR"/>
        </w:rPr>
        <w:t>لنا ممن انتحل</w:t>
      </w:r>
      <w:r>
        <w:rPr>
          <w:rStyle w:val="FootnoteAnchor"/>
          <w:rtl w:val="true"/>
        </w:rPr>
        <w:footnoteReference w:id="1247"/>
      </w:r>
      <w:r>
        <w:rPr>
          <w:rFonts w:ascii="IRNazanin" w:hAnsi="IRNazanin" w:eastAsia="IRNazanin"/>
          <w:color w:val="111111"/>
          <w:sz w:val="28"/>
          <w:sz w:val="28"/>
          <w:szCs w:val="28"/>
          <w:rtl w:val="true"/>
          <w:lang w:bidi="fa-IR"/>
        </w:rPr>
        <w:t>مودتنا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الحسن البرقي</w:t>
      </w:r>
      <w:r>
        <w:rPr>
          <w:rStyle w:val="FootnoteAnchor"/>
          <w:rtl w:val="true"/>
        </w:rPr>
        <w:footnoteReference w:id="1249"/>
      </w:r>
      <w:r>
        <w:rPr>
          <w:rFonts w:ascii="IRNazanin" w:hAnsi="IRNazanin" w:eastAsia="IRNazanin"/>
          <w:color w:val="111111"/>
          <w:sz w:val="28"/>
          <w:sz w:val="28"/>
          <w:szCs w:val="28"/>
          <w:rtl w:val="true"/>
          <w:lang w:bidi="fa-IR"/>
        </w:rPr>
        <w:t xml:space="preserve">و عثمان بن حامد،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عن محمد بن الحسين، عن موسى بن بشار، عن عبد اللّه بن شريك، عن أبيه</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الكشي في كتاب الرجال عن محمد بن الحسن عن محمد بن يزداد عن محمد بن الحسين بن أبي الخطاب عن موسى بن يسار عن عبيد اللّه بن شريك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عنزة، و هي أم عمرو، إذ أتاه قنبر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عشرة نفر بالباب يزعمون انك ربهم، فقال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ادخلهم</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فقال</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ربنا، و أنت الذي خلقتنا، و أنت الذي رزقتنا</w:t>
      </w:r>
      <w:r>
        <w:rPr>
          <w:rStyle w:val="FootnoteAnchor"/>
          <w:rtl w:val="true"/>
        </w:rPr>
        <w:footnoteReference w:id="1253"/>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لا تفعلوا، إنّما</w:t>
      </w:r>
      <w:r>
        <w:rPr>
          <w:rStyle w:val="FootnoteAnchor"/>
          <w:rtl w:val="true"/>
        </w:rPr>
        <w:footnoteReference w:id="1254"/>
      </w:r>
      <w:r>
        <w:rPr>
          <w:rFonts w:ascii="Amiri" w:hAnsi="Amiri" w:eastAsia="Amiri" w:cs="Amiri"/>
          <w:color w:val="111111"/>
          <w:sz w:val="28"/>
          <w:sz w:val="28"/>
          <w:szCs w:val="28"/>
          <w:rtl w:val="true"/>
          <w:lang w:bidi="ar-SA"/>
        </w:rPr>
        <w:t>أنا مخلوق مثلكم، فأبوا أن يفعلوا</w:t>
      </w:r>
      <w:r>
        <w:rPr>
          <w:rStyle w:val="FootnoteAnchor"/>
          <w:rtl w:val="true"/>
        </w:rPr>
        <w:footnoteReference w:id="1255"/>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ربي و ربكم اللّه، ويلكم توبوا و ارجعوا،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عن مقالتنا، أنت ربّنا ترزقنا</w:t>
      </w:r>
      <w:r>
        <w:rPr>
          <w:rStyle w:val="FootnoteAnchor"/>
          <w:rtl w:val="true"/>
        </w:rPr>
        <w:footnoteReference w:id="1256"/>
      </w:r>
      <w:r>
        <w:rPr>
          <w:rFonts w:ascii="IRNazanin" w:hAnsi="IRNazanin" w:eastAsia="IRNazanin"/>
          <w:color w:val="111111"/>
          <w:sz w:val="28"/>
          <w:sz w:val="28"/>
          <w:szCs w:val="28"/>
          <w:rtl w:val="true"/>
          <w:lang w:bidi="fa-IR"/>
        </w:rPr>
        <w:t>، و أنت خلقتنا، فقال قنبر</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بالفعلة، فخرج قنبر فأتاه بعشرة رجال </w:t>
      </w:r>
    </w:p>
    <w:p>
      <w:pPr>
        <w:pStyle w:val="BookText"/>
        <w:rPr/>
      </w:pPr>
      <w:r>
        <w:rPr>
          <w:rFonts w:ascii="IRNazanin" w:hAnsi="IRNazanin" w:eastAsia="IRNazanin"/>
          <w:color w:val="111111"/>
          <w:sz w:val="28"/>
          <w:sz w:val="28"/>
          <w:szCs w:val="28"/>
          <w:rtl w:val="true"/>
          <w:lang w:bidi="fa-IR"/>
        </w:rPr>
        <w:t>مع الزبل و المرور</w:t>
      </w:r>
      <w:r>
        <w:rPr>
          <w:rStyle w:val="FootnoteAnchor"/>
          <w:rtl w:val="true"/>
        </w:rPr>
        <w:footnoteReference w:id="1258"/>
      </w:r>
      <w:r>
        <w:rPr>
          <w:rFonts w:ascii="IRNazanin" w:hAnsi="IRNazanin" w:eastAsia="IRNazanin"/>
          <w:color w:val="111111"/>
          <w:sz w:val="28"/>
          <w:sz w:val="28"/>
          <w:szCs w:val="28"/>
          <w:rtl w:val="true"/>
          <w:lang w:bidi="fa-IR"/>
        </w:rPr>
        <w:t>، فأمرهم</w:t>
      </w:r>
      <w:r>
        <w:rPr>
          <w:rStyle w:val="FootnoteAnchor"/>
          <w:rtl w:val="true"/>
        </w:rPr>
        <w:footnoteReference w:id="1259"/>
      </w:r>
      <w:r>
        <w:rPr>
          <w:rFonts w:ascii="Amiri" w:hAnsi="Amiri" w:eastAsia="Amiri" w:cs="Amiri"/>
          <w:color w:val="111111"/>
          <w:sz w:val="28"/>
          <w:sz w:val="28"/>
          <w:szCs w:val="28"/>
          <w:rtl w:val="true"/>
          <w:lang w:bidi="ar-SA"/>
        </w:rPr>
        <w:t>أن يحفروا لهم في الأرض، فلمّا حفروا خدا أمر بالحطب و النار فطرح فيه حتى صار نارا تتوقد،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w:t>
      </w:r>
      <w:r>
        <w:rPr>
          <w:rStyle w:val="FootnoteAnchor"/>
          <w:rtl w:val="true"/>
        </w:rPr>
        <w:footnoteReference w:id="126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نرجع، فقذف</w:t>
      </w:r>
      <w:r>
        <w:rPr>
          <w:rStyle w:val="FootnoteAnchor"/>
          <w:rtl w:val="true"/>
        </w:rPr>
        <w:footnoteReference w:id="1261"/>
      </w:r>
      <w:r>
        <w:rPr>
          <w:rFonts w:ascii="Amiri" w:hAnsi="Amiri" w:eastAsia="Amiri" w:cs="Amiri"/>
          <w:color w:val="111111"/>
          <w:sz w:val="28"/>
          <w:sz w:val="28"/>
          <w:szCs w:val="28"/>
          <w:rtl w:val="true"/>
          <w:lang w:bidi="ar-SA"/>
        </w:rPr>
        <w:t>على بعضهم ثم قذف بقيتهم في النار</w:t>
      </w:r>
      <w:r>
        <w:rPr>
          <w:rStyle w:val="FootnoteAnchor"/>
          <w:rtl w:val="true"/>
        </w:rPr>
        <w:footnoteReference w:id="1262"/>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أبصرت شيئا منكرا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أوقدت نارا</w:t>
      </w:r>
      <w:r>
        <w:rPr>
          <w:rStyle w:val="FootnoteAnchor"/>
          <w:rtl w:val="true"/>
        </w:rPr>
        <w:footnoteReference w:id="1263"/>
      </w:r>
      <w:r>
        <w:rPr>
          <w:rFonts w:ascii="IRNazanin" w:hAnsi="IRNazanin" w:eastAsia="IRNazanin"/>
          <w:color w:val="111111"/>
          <w:sz w:val="28"/>
          <w:sz w:val="28"/>
          <w:szCs w:val="28"/>
          <w:rtl w:val="true"/>
          <w:lang w:bidi="fa-IR"/>
        </w:rPr>
        <w:t>و دعوت قنبرا</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انظر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متقاربة و جاء في صفحة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الكشي الحديث بألفاظ اخر، ذكرها المجلسي في البحار </w:t>
      </w:r>
      <w:r>
        <w:rPr>
          <w:rFonts w:eastAsia="Amiri" w:cs="Amiri" w:ascii="Amiri" w:hAnsi="Amiri"/>
          <w:color w:val="111111"/>
          <w:sz w:val="28"/>
          <w:szCs w:val="28"/>
          <w:lang w:bidi="ar-SA"/>
        </w:rPr>
        <w:t>300/25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سبعين رجلا من الزط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قتال أهل البصرة يدعونه إلها بلسانهم و سجدوا 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إنما أنا مخلوق مثلكم، فأبوا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ترجعوا عما قلتم في و تتوبوا الى اللّه لأقتلنكم، قال فأبوا، فخد عليه السّلام لهم أخاديد، و أوقد نارا، فكان قنبر يحمل الرجل بعد الرجل على منكبه فيقذفه في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أبصرت أمرا منكرا أوقدت نارا و دعوت قنبرا</w:t>
      </w:r>
    </w:p>
    <w:p>
      <w:pPr>
        <w:pStyle w:val="BookText"/>
        <w:rPr/>
      </w:pPr>
      <w:r>
        <w:rPr>
          <w:rFonts w:ascii="Amiri" w:hAnsi="Amiri" w:eastAsia="Amiri" w:cs="Amiri"/>
          <w:color w:val="111111"/>
          <w:sz w:val="28"/>
          <w:sz w:val="28"/>
          <w:szCs w:val="28"/>
          <w:rtl w:val="true"/>
          <w:lang w:bidi="ar-SA"/>
        </w:rPr>
        <w:t>ثم احتفرت حفرا فحفرا و قنبر يحطم حطما منكرا و في الديوان المنسوب 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الأبيات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الأمر أمرا منكرا أوقدت ناري و دعوت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و قد وجدت الرواية بعد ذلك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تختلف عما هنا كثيرا،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جنس من السودان و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أسود من السند إليهم تنسب الثياب الزطية، و قيل، الزط إعراب جت بالهندية و هم جيل من أهل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استعنت في بعض مصادر الأديان و الفرق بكتاب الشيخ جعفر الأميني النطنزي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أديان و مذاهب و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معجم مصادره لذكر بعض المصادر التي لم أحصل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الكشي حول ذم بعض الفرق غير ما تعرض له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الباب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5033_241845"/>
      <w:bookmarkStart w:id="635" w:name="pg15033_241845"/>
      <w:bookmarkEnd w:id="635"/>
    </w:p>
    <w:p>
      <w:pPr>
        <w:pStyle w:val="Heading2"/>
        <w:numPr>
          <w:ilvl w:val="1"/>
          <w:numId w:val="1"/>
        </w:numPr>
        <w:rPr/>
      </w:pPr>
      <w:bookmarkStart w:id="636" w:name="pg15033_241845"/>
      <w:bookmarkStart w:id="637" w:name="__RefHeading___Toc316967_2142443653"/>
      <w:bookmarkStart w:id="638" w:name="_Toc237"/>
      <w:bookmarkEnd w:id="636"/>
      <w:bookmarkEnd w:id="637"/>
      <w:r>
        <w:rPr>
          <w:rtl w:val="true"/>
        </w:rPr>
        <w:t>فهرس موضوعات الجزء الثاني من كتاب مقباس الهداية في علم الدراية</w:t>
      </w:r>
      <w:bookmarkEnd w:id="63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تقبل روايته و من ترد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شروط قبول خبر الواحد في الراوي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الشروط المعتبرة في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الضبط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الضابط؟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قيد العدالة يغني عن الضبط؟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يطلق عليه ضابط؟ </w:t>
      </w:r>
      <w:r>
        <w:rPr>
          <w:rFonts w:eastAsia="Amiri" w:cs="Amiri" w:ascii="Amiri" w:hAnsi="Amiri"/>
          <w:color w:val="111111"/>
          <w:sz w:val="28"/>
          <w:szCs w:val="28"/>
          <w:lang w:bidi="ar-SA"/>
        </w:rPr>
        <w:t>46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اعتبار الضبط في الراوي؟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الاكثار من الرواية لا يدل على عدم الضبط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الاصول لا تحتاج الى الضبط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الضابط الثقة، حجة و إن لم يكن له موافق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غير ما ذكر من الشروط كالذكورية و الحرية و غيرهما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اسمان جازت الرواية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حجية الخبر وجوده في أحد الكتب الاربعة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الراوي معتبرة حين الاداء لا حال التحمل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ثبوت عدالة الراوي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هل تكفي تزكية العدل الواحد في قبول الرواية؟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تزكية غير الامامي الموثق ايضا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التعدد و عدمه جار في الجرح كالتزكية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قبول الجرح و التعديل مطلقين او مع ذكر السبب، اقوال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حجة القول الاول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حجة القول الثاني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حجة القول الثالث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حجة القول الرابع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حجة القول الخامس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حجة القول السادس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حجة القول السابع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المجمل من ائمة الفن لا أثر له </w:t>
      </w:r>
      <w:r>
        <w:rPr>
          <w:rFonts w:eastAsia="Amiri" w:cs="Amiri" w:ascii="Amiri" w:hAnsi="Amiri"/>
          <w:color w:val="111111"/>
          <w:sz w:val="28"/>
          <w:szCs w:val="28"/>
          <w:lang w:bidi="ar-SA"/>
        </w:rPr>
        <w:t>97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الاشكالات الواردة في المقام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الاقوال في ما لو اجتمع الجرح و التعديل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يعتبر في تصحيح السند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هل يقبل التوثيق المجهول؟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الثقة حدثني الثقة تزكية للمروي عنه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مجرد رواية العدل عن رجل يكون تعديلا له؟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المجتهد على طبق حديث ليس حكما منه بصحته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الحديث للاجماع لا يدلّ على صحة سنده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يقع في كتب الرجال تصريح بعدالته فهو مجهول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روى ثقة عن ثقة حديثا و نفاه المروي عنه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الالفاظ المستعملة في التعديل و الجرح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المدح و اقسامها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عدل امامي ضابط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من اصحابنا الامامية ضابط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غير عدل أو ما شاكل ذلك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اشكال على المختار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قول الامامي ان فلانا ثقة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ليس بثقة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كرر في حقه لفظ الثقة </w:t>
      </w:r>
      <w:r>
        <w:rPr>
          <w:rFonts w:eastAsia="Amiri" w:cs="Amiri" w:ascii="Amiri" w:hAnsi="Amiri"/>
          <w:color w:val="111111"/>
          <w:sz w:val="28"/>
          <w:szCs w:val="28"/>
          <w:lang w:bidi="ar-SA"/>
        </w:rPr>
        <w:t>160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أو في الرواية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اجمعت العصابة على تصحيح ما يصح عنه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هذه العبارة؟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الجماعة و تعيين اسمائهم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شهد الثقاة بوثاقة جمع غير اصحاب الاجماع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اصحابنا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 وجه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اولياء أمير المؤمنين عليه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سر أمير المؤمنين عليه السّلام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الاجازة أو شيخ الاجازة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شيخوخة الرواية و الاجازة في افادة الوثاقة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أو من اجلائها أو معتمدها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مضطلع بالرواية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الجنبة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ثبت و ضابط </w:t>
      </w:r>
      <w:r>
        <w:rPr>
          <w:rFonts w:eastAsia="IRNazanin" w:cs="IRNazanin"/>
          <w:color w:val="111111"/>
          <w:sz w:val="28"/>
          <w:szCs w:val="28"/>
          <w:lang w:bidi="fa-IR"/>
        </w:rPr>
        <w:t>240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بحديثه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الصدق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 حديثه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الحديث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مسكون الى روايته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بالحديث و الرواية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محدث و قارئ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اضافة الى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الأمر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الكتاب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المنزلة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الامام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تذنيب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التعديل عند العامة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 xml:space="preserve">في ساير اسباب المدح و أماراته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وكيلا لأحد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يترك رواية الثقة أو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يروي عنه أو كتابه جماعة من الاصحاب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جماعة من الاصحاب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الجليل او الاجلاء عنه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بن يحيى و ابن ابي عمير عنه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اسماعيل أو جعفر بن بشير عنه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ممن يروي عن الثقات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الحسن بن فضال و نظائره عنه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ممن تكثر الرواية عنه و يغنى بها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كونهم عليهم السّلام محدثون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الثقة عن شخص مشترك الاسم و اكثاره منها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شيخ على شخص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القميين عليه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رواياته كلها او جلّها مقبولة أو سديدة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سند حديث وقع اتفاق الكل أو الجلّ على صحته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سند حديث صدر الطعن فيه من غير جهته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اكثار الكافي و الفقيه من الرواية عنه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الثقة عن رهط مطلقا او مقيدا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اصحابنا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الثقة الجليل عن اشياخه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الجليل شخصا مترضيا أو مترحما عليه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أحسبه الا فلانا </w:t>
      </w:r>
      <w:r>
        <w:rPr>
          <w:rFonts w:eastAsia="Amiri" w:cs="Amiri" w:ascii="Amiri" w:hAnsi="Amiri"/>
          <w:color w:val="111111"/>
          <w:sz w:val="28"/>
          <w:szCs w:val="28"/>
          <w:lang w:bidi="ar-SA"/>
        </w:rPr>
        <w:t>276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الراوي ممن ادعي اتفاق الشيعة على العمل بروايته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الراوي في سند حكم العلامة بصحة حديثه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حديث غير صحيح متضمن لوثاقته أو جلالته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الراوي من آل ابي جهم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الراوي من آل ابي شعبة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الراوي من آل ابي نعيم الأزدي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يذكره الكشي و لا يطعن عليه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اصحابنا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الامارات كثيرة جدا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المدار في هذه الامارات على الظن الفعلي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وقوع كلام في توثيق جماعة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الفاظ الذم و القدح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مخلط أو مختلط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القول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بالكذب أو 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ساير اسباب الذم و ما تخيل كونه من ذلك</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روايته عن الضعفاء و المجاهيل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رواية المذمومين عنه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يظهر منه كونهم رواة لا حججا </w:t>
      </w:r>
      <w:r>
        <w:rPr>
          <w:rFonts w:eastAsia="Amiri" w:cs="Amiri" w:ascii="Amiri" w:hAnsi="Amiri"/>
          <w:color w:val="111111"/>
          <w:sz w:val="28"/>
          <w:szCs w:val="28"/>
          <w:lang w:bidi="ar-SA"/>
        </w:rPr>
        <w:t>308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كاتب الخليفة و من عماله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الرجل من بني امية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العقيدة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الاسماعيلية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الحيانية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الرزامية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اصناف الواقفية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الاخبار الواردة في الواقفية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البترية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الجارودية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البزيعية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البنانية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المخمسة </w:t>
      </w:r>
      <w:r>
        <w:rPr>
          <w:rFonts w:eastAsia="Amiri" w:cs="Amiri" w:ascii="Amiri" w:hAnsi="Amiri"/>
          <w:color w:val="111111"/>
          <w:sz w:val="28"/>
          <w:szCs w:val="28"/>
          <w:lang w:bidi="ar-SA"/>
        </w:rPr>
        <w:t>361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العلياوية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فرق القدرية أو المعتزلة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المغيرية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النصيرية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الشريعية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معاني التفويض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فرق الجبرية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من الفرق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فرق الغلاة </w:t>
      </w:r>
      <w:r>
        <w:rPr>
          <w:rFonts w:eastAsia="Amiri" w:cs="Amiri" w:ascii="Amiri" w:hAnsi="Amiri"/>
          <w:color w:val="111111"/>
          <w:sz w:val="28"/>
          <w:szCs w:val="28"/>
          <w:lang w:bidi="ar-SA"/>
        </w:rPr>
        <w:t>394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الذامة للغلاة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الفصل يعدّ عند قدماء المحدثين و من تبعهم من المتأخرين نوعا من أنواع الحديث، فقد 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النوع الثالث و العشرين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صفة من تقبل روايته و من تردّ روايته و ما يتعلق بذلك من قدح، و جرح و توثيق و تعديل، و كذا العراقي في ألفيته و تبعه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أدرجوا بعد ذلك جملة من كتب العامة في الضعفاء الثقات، فلاحظ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زيادات، و للتوسع في البحث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يلزم منها اشاعة الفاحشة، و لا الغيبة المحرمة و غير ذلك، مما قيل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عدّ من فروض الكفاية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يحيى بن سعيد 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الرجاليين في وقته و حجتهم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جوابه لأبي بكر ابن خلاد و القصة بطولها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تغتب، لما جاء 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يَغْتَبْ بَعْضُكُمْ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في بداية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غير واحد من العامة لاحظ كلماتهم في شرح الألفية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عليه قامت السيرة العلمية للمتشرعة، و به اثبات الشرع، و به ندفع أضرار دنيوية و أخروية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بريء، و إن كان يصح استعمال المصدر و إرادة اسم الفاعل منه أو الصفة المشبهة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البداية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المائز، و ما في المتن أصح، كما في الطبعة الجديدة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الاولى البحث عن أهلية الراوي من جهتين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على القول بجواز العمل به من حيث هو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الظاهر ما أثبتناه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البالغ</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في مقام الاداء لا التحمل، و كذا ما يأتي، فتدبر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معقد الاجماع حال الرواية و إن لم يكن مسلما حال التحمل، و عليه إجماع جماهير أئمة الحديث و الفقه كما ادعاه النووي في تقريبه و تبعه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و كذا والد الشيخ البهائي في وصول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 حكي عن الخلاصة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ان رواية الكافر لا تقبل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علم من مذهبهم التحرز عن الكذب ام لا، و سواء اجازوا الكذب ام لا، و فيه ما فيه مما سنستدركه في محله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عميد الدين أبو عبد اللّه عبد المطلب بن مجد الدين ابي الفوارس الحسيني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مخطوط، لا اعرف له نسخة فعلا نعم طبعت بعض حواشيه على تهذيب الاصول للعلامة الحلي، انظر حاشية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الفرق بين الشهادة و الرواية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هنا جملة من الروايات تجدها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مستدركها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عز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دفع تهافت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المدعى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الكافر جهتين تمنعان من قبول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 الفسق، و الأول هو جهة الأولوية فيه، و الثاني هو جهة الشمول، لأن الكافر فاسق و لا عكس، إذ الفسق يتحقق بما هو أقل من الكفر، فالفاسق لا يشمل الكافر من حيث هو كافر و يشمله من حيث إنه فاسق فلا 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فيه بحث من جهة أن ظاهر العبارة جعل شمول الفاسق للكافر علة و وجها للأولوية، و هذا غير صحيح، 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حاصل الإشكال إنهما دليلان جعلا دليلا واحدا هنا، فتدبر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ما في مسالك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لابن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كالخطيب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ظاهر، إذ لا أولوية في الأحكام الشرعية التوقيفية، هذا مع قبول شهادته و وصيته في الجملة، و في موارد منصوصة و هي كافية لنفي الأولوية، فتدبر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لا يخفى ما في الجوابين من مسامحه، إذ المستدل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الإجماع العملي على قبول خبر هؤلاء الجماعة، و هو يكشف إما عن عدم كفرهم، أو قبول خبرهم مع كفرهم، و المستدل ناظر إلى أن الجمهور قبل خبرهم مع حكمه بكفرهم، و الراد يدعى قيام الشهرة على عدم قبول خبر الكافر، و جمع المستدل بين قولهم و فعلهم بحمل الكافر في كلامهم على غير أهل القبلة، فما نقض عليه لم يرد، و ما أورد لم يرد، فلاحظ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القمي في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النووي في تقريبه و تبعه،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و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المصادر المارة و الآتية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روايات رفع القلم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عن هذه الأمة ستة الخطأ و النسيان، و ما أكرهوا عليه، و ما لا يعلمون، و ما لا يطيقون، و ما اضطروا إليه و حكاه في البحار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 المعاد من المجلد الثالث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قصاص النفس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رفع عن أمتي تسعة أشياء، 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باب قواطع الصلاة من الوسائل و آداب السفر منه و من غيره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جماهير الفقهاء و المحدثين على اشتراط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 و كذا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الإجماع على عدم قبوله لو كان مميزا، و نظيره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من العامة ادعاه غير واحد كما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كل ذلك حين الأداء لا التحمل، إلا أن تعبير ابن السمعاني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الصغير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التدريب يظهر منه وجود المخالف و عدم تمامية الإجماع المدعى إلا على نحو الشهرة، فتدبر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خشية له على الكذب لعدم تقديره للكذب و عقوبته، و لا رادع له عنه، مع أنه لم يكن وليا في دنياه ففي امور دينه أولى، و لما في قبول خبره من تنفيذ على جميع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قياس البلوغ بالعقل لا وجه له لما هناك من فرق بينهما، و منه صحة سماع الصبي قبل البلوغ و الأداء بعده بلا كلام بخلاف شرطية العقل، فمع عدمه لا يصح مطلقا إلا في الأدواري، و ذاك استثناء منقطع، و قد مرّ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الميرزا القمي في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 إن لم يجرّب عليه الكذب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طرق الحديث و مصادره قريبا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من مزيدات الطبعة الثانية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رواياتها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مقاصد الأنام في نكت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بحق من أكبر الموسوعات الفقهية التي عرفتها الشيعة الإمامية إحاطة و استيعابا، شرع في تأليفه من كتاب الديات من آخر الشرائع في شهر جمادي الثانية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ثلاثة و ستين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كبارا حجري، آخره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أنهاه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طبعت بعض أجزائه في حياة المؤلف، و أعدم حرقا بعضه من بعض الحقراء و تلافى أكثره المصنف، و توجد الأجزاء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مقبرة الأسرة في النجف الأشرف، انظر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و مخزن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تقبل فيه شهادة الصبيان قبل البلوغ، و كذا في 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تهذيب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هي إما صحيحة أو حسنة، كحسنة جميل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شهادة الصبيان؟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القتل يؤخذ بأول كلامه و لا يؤخذ بالثاني 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الدليل أخص من المدعى، فلاحظ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بشرى الوصول إلى أسرار علم الأصول في ثمان مجلدات، من الموسوعات الضخمة الأصولية للطائفة للشيخ محمد حسن بن الشيخ عبد اللّه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منها في تقريرات الشيخ مرتضى الأنصاري أنار اللّه برهانه و جملة في تقريرات بحث السيد حسين الكوكمري طاب ثراه، لم يصنف إلى زمانه في الأصول مثله، لاحظ مخزن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لم يطبع، توجد منه نسخة في مقبرة العائلة وقف، و أخرى في مكتبة السيد الميلاني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مشهد، و كذا توجد منه نسخ في المكتبة الرضوية و المرعشية و غيرها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غالب المصنفات الإمامية الأصولية منها و الفقهية، بل نسبه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الشهرة بين الأصحاب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قطعوا به في كتب الأصول الفقهية و غيرها، و نظيره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الراوي ثقة متحرزا عن الكذب و إن كان فاسقا في العقائد و الجوارح، احتجاجا بعمل الطائفة بمن هذه صفتهم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تعلمون، كذا في عدتنا القديمة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عنا، كذا في الوسائل و ما أثبته المصنف هو الموجود في العدة بنصه، و كذا القوانين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لم نجده في، غيره من المجاميع الحديثية، و المراد بما رووه أي العامة بطريق مستفيض أو معتبر موثوق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متخرجا، و الصحيح ما أثبتناه وفاقا للأصل و الطبعة الثانية من الكتاب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كان الراوي من فرق الشيعة مثل الفطحية و الواقفية و الناووسية و غيرهم، نظر فيما يرويه فإن كان هناك قرينة تعضده أو خبر آخر من جهة الموثوقين بهم وجب العمل به، و إن كان هناك خبر آخر يخالفه من طريق الموثوقين وجب اطّراح ما اختصوا بروايته و العمل بما رواه الثقة، و إن كان ما رووه ليس هناك ما يخالفه و لا يعرف من الطائفة العمل بخلافه وجب أيضا العمل به إذا كان متحرجا في روايته موثوقا في أمانته و إن كان مخطئا في أصل الاعتقاد، فلأجل ما قلناه عملت الطائفة بأخبار الفطحية مثل عبد اللّه بن بكير و غيره، و أخبار الواقفة مثل سماعة بن مهران و علي بن أبي حمزة و عثمان بن عيسى، و من بعد هؤلاء بما رواه بنو فضال و بنو سماعة و الطاطريون و غيرهم فيما لم يكن عندهم فيه خلاف، و إنما نقلنا تمام كلامه لما فيه من الاختلاف مع النص، فلاحظ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نجدهم كثيرا ما عملوا في الفقه بالروايات الضعاف بسبب فساد عقيدة راويها مع أنها مخالفة لما قرّروه في أصولهم من عدم قبول رواية المخالف، معتذرين عن ذلك بانجبار ضعفها بالشهرة أو عمل الأصحاب بمضمونها فيثبت بها المذهب و إن ضعف الطريق، و على كل إطلاقهم اشتراط الإيمان مع استثناء ذلك غير جيد،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الرواية الصحيحة لو خليت و طبعها عمل بها، و بأن الرواية الضعيفة الأصل الأولي فيها عدم العمل، و هذا لا ينافي كون الإعراض عنها موجبا لوهنها و العمل بها موجبا لقوتها، كما لا يخفى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بمضامين مختلفة في أبواب متفرقة من كتب العامة و الخاصة،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الأول،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غير في الطبعة الثانية، و بدونها فالمعنى غير مستقيم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نمنع هذه الدعوى و نطالب بدليلها، و لو سلمناها لاقتصرنا على المواضع التي عملت فيها بأخبار خاصة و لم نجز التعدي في العمل إلى غيرها، و دعوى التحرز عن الكذب مع ظهور الفسوق مستبعد، إذ الذي يظهر فسوقه لا يوثق بما يظهر من تحرّجه عن الكذب، كما في الحاشية الخليلية للشيخ خليل بن الغازي القزويني على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و نظيره أجاب به الأسترآبادي في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الراء و بالهمزة، بوزن سهولة، و قد تبدل الهمزة واوا و تدغم في ما قبلها و تشدد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آداب نفسانية تحمل مراعاتها على الوقوف عند محاسن الأخلاق و جميل العادات، و يرجع في معرفتها إلى العرف المختلف و المتخلف بحسب الأمكنة و الأزمنة و الأفراد، و من كونها جزءا من مفهوم العدالة أو شرطا أم لا؛ كلام، و الأقوى العدم، و تفصيل الكلام في المبسوطات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لشيخنا الأنصاري رسالة في العدالة مطبوعة في آخر مكاسبه المطبوعة في تبريز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مبادي الوصول إلى علم الأصول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عميد الدين أبي الفوارس عبد المطلب الحسيني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أصول الفقه، و لعل مرادهم الاصولان، و قد أخذ اللفظ من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من المتقدمين منّا و منهم كأبي حنيفة محتجا بقبول خبره في تذكية اللحم و طهارة الماء ورق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فصلنا الكلام فيه في بحث المجهول، موضوعا و حكما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يظهر ذلك من جمع من العامة، قال في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من حدث به ثقة في دينه، معروفا بالصدق في حديثه عاقلا بما يحدث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بابا في الرد على من زعم أن العدالة هي إظهار الإسلام و عدم فسق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عدالة المحدث أن يكون مسلما لا يدعو إلى بدعة و لا يعلن من أنواع المعاصي ما تسقط به عدالته، فإن كان مع ذلك حافظا لحديثه فهي أرفع درجات المحدثين، و إن كان صاحب كتاب فلا ينبغي أن يحدث إلا من أصوله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تداولوا العمل بالأخبار الموثقة، فتدبر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سقطا، و 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الجهل بتحقق الشرط يتحقق الجهل بالمشروط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الجهل، يتحقق الجهل بالمشروط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للمعاني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أن تقدم العلة بالوصف لا مدخلية لها في ثبوت الوصف، فتدبر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الشروط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يذم عليه، و كذا في الأصل، و إن 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الآية، و ما بعده قرينة عليه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قد 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أخذه منه الأسترآبادي في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نظائر كثيرة في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السكوني عامي لكنه ثقة، و لا معارض لروايته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هناك في مسألة التيمم بالجص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السكوني ضعيف لكن روايته حسنة، و نظيره في خبر غياث بن إبراهيم باب الماء المضاف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الموارد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 ما ذهب إليه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يرجع هذا في الحقيقة إلى التثبت الاجمالي أو إلى مطلق العمل بالظن عند انسداد باب العلم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يلزم أن يذكره العدل كي تحصل به العدالة و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العدالة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لفظة اسم المفعول من التغفيل، لا على لفظة اسم الفاعل من الإغفال، و إن توهمه البعض، فتدبر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التبديل و التغيّر إن حدث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سالما من الشك و التصحيف و غيرهما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قاربت عبارته عبارة الشهيد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كذا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السيوطي و النووي في التقريب و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و ادعى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عليه، و سبقه في الادعاء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إجماع جماهير أئمة الحديث و الفقه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غير واحد و نص عليه آخرون، لاحظ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الكفاية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المارّة و الآتية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كالعراقي في ألفيته و شارحها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و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عميد الدين أبي عبد اللّه عبد المطلب بن مجد الدين أبي الفوارس الحسيني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زال مخطوطا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زيادة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حكاه عن غيره، و أجاب عنه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و قد يجاب عنه بأن العدل إذا عرف من نفسه كثرة السهو لم يجترئ على الرواية تحرزا عن إدخال ما ليس في الدين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و من صاحب المنتقى مناقشات في مسألة الضبط في مستدركاتنا السالفة، فراجع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لا يوجد في الطبعة الأولى، و ما في المتن مطابق للأصل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أو 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حبيب بن المعلل الخثعمي المدايني و هو الثقة، و هو غير حبيب الأحول الخثعمي الذي عدّ إماميا مجهولا، لاحظ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جهد مجد في من لا يحضره الفقيه لم أجد الرواية، و لا أحسبها فيه، و قد وجدتها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محمد بن إسماعيل عن أبي إسماعيل السراج عن حبيب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شكوت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السهو في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احص صلاتك بالحصى،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احفظها بالحصى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أخذها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الميرزا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 الفقيه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و إن وجدناه بعد اعتبار رواياته برواياتهم كثير المخالفة لهم، كذا في البداية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صرح به غير واحد كالسيوطي في تدريبه ج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للنووي في تقريبه، و أصول الحديث عنه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الضبط يعرف بموافقة الثقات المتقنين غالبا و لا تضرّ مخالفته النادرة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غير واحد من علماء الدراية منهم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 للعلامة الحلي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في الطبعة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سبطه 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لأن العلامة خاله، و كتب شرحه في حياة خاله، كما يظهر من دعائه له بطول البقاء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الضبط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المزبورة بدلا من المذكورة، و المعنى واحد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الأصول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نقله الماوردي في الحاوي عن أبي حنيفة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استثنى أخبار عائشة و أم سلمة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الإجماع على أن خبر العبد العدل مقبول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 في البداية بالأولوية في قبول شهادته في الجملة فالرواية أولى، و فيه ما لا يخفى، و لعله أخذه من الخطيب في كفايته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وجد ذلك في السلف و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الاتفاق المدعى هنا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هذه الشروط خلافا لأبي حنيفة، و خصّه البعض بما لو خالف القياس و غيره، و فصّل الكلام فيه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و أجمل غيره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الضاد المعجمة المشددة و الراء المهملة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بالسرور و البهجة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ascii="IRNazanin" w:hAnsi="IRNazanin" w:eastAsia="IRNazanin"/>
          <w:b w:val="false"/>
          <w:b w:val="false"/>
          <w:bCs w:val="false"/>
          <w:i w:val="false"/>
          <w:i w:val="false"/>
          <w:iCs w:val="false"/>
          <w:color w:val="333333"/>
          <w:sz w:val="20"/>
          <w:sz w:val="20"/>
          <w:szCs w:val="20"/>
          <w:rtl w:val="true"/>
        </w:rPr>
        <w:t>،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حديثنا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كلامنا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الأصمعي، كما حكاه الطيبي في الخلاصة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غيره عنه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قيل بوجوبه لم يكن بعيدا لمكان الأمر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أضاف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العدد بناء على اعتبار خبر الواحد، و على عدم اعتباره لا يعتبر في المقبول منه عدد خاص، بل ما يحصل به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فالعدد غير معتبر في الجملة مطلقا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هذا جمع من المحدثين و طائفة من الأخباريين بل جملة منهم و ادعوا قطيعة صدور هذه الأحاديث، و قد فصّلنا الكلام في مستدركاتنا السابقة، و هو باطل بالوجدان، حيث كيف يقطع بصدور حديث رواه واحد عن واحد مع ما هناك من رواة عرفوا بالكذب أو الوضع، و ما ذكروه من قرائن في المقام دالة على صدورها من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شيء منها إلى محصّل كما فصلناه، و قد أجمل القول فيها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كلام صاحب الحدائق و غيره بنصه في مستدركاتنا السابقة، فراجع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الباب و تذييل الفصل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تحقيق شيق لسيدنا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اختلاف النسخ و غير ذلك، فلاحظ</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تخليطهم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و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بناحية إسكاف بني 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التفصيل في ترجمتهم فراجع الموسوعة الرجالية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أحمد بن هلال العبرتائي، و عن محمد بن علي الشلمغاني المعروف بابن العزاقر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عثمان بن عيسى الرواسي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علي بن أبي حمزة البطائني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سبقه الشيخ في العدة، و قد عقد فصل في ذكر القرائن التي تدل على صحة أخبار الآحاد أو على بطلانها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استوفيناها في مستدركاتنا السالفة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الواقفة في هذا الكتاب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قد أخذه المصنف من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عندي التوقف من رواية ينفرد بها، و لم يذكر أنه من أصحاب الأصول، فراجع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طرق ثبوت الجرح كثبوت العدالة بلا فرق، و تذكر في علم الدراية معا غالبا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أحسبه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حامل علم معروف العناية به محمول أبدا على العدالة حتى يستبين جرحه، كما وجدته بعد ذلك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و هو كلام لم يرتضه القوم منهم، و ناقشه السيوطي مفصلا هناك، فلاحظ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بألفاظ متقاربة في 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حكاه في 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سيأتي للبحث صلة في ألفاظ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الإجازة أو الطائفة و غيرهما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و على الاستفاضة كل علماء العامة، انظر مقدمة ابن الصلاح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محاسن الاصطلاح للبلقيني، و التقريب للنووي و التدريب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استوفى البحث في هذه المسألة كالشيخ حسن نجل الشهيد الثاني في منتقى الجمان الفائدة الثانية من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قال في 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ألحق أن الجرح و التعديل يثبتان بواحد،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سبقه في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الحادية و الثلاثون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أكثر العلماء في الأصول من العامة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المنتقى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بين أصحابنا المتأخرين الاكتفاء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مختار صاحب وسائل الشيعة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حكاه في 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بل حكى عن الشيخ البهائي في بعض حواشيه على الزبدة اعتبار تزكية العدل المخالف، و حسّنه السيد الصدر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اختاره المصنف كما سيأتي في الشبهات، و عدّه الشيخ حسين بن الشيخ عبد الصمد العاملي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مذهب جلّ العامة كما نصّ عليه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الذي اختاره الخطيب و غيره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في محاسن الاصطلاح للبلقيني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حنيفة و أبي يوسف في الشهادة أيضا الاكتفاء لمعدّل أو مجرّح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اختيار أبي الطيب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سعيد الحلي، كما نص عليه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عندي عدم الاكتفاء في تزكية الراوي بشهادة العدل الواحد، و هو قول جماعة من الأصوليين، و مختار المحقق أبو القاسم بن سعيد، و حكاه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الطبعة الثانية للكتاب، لاحظ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تبع المحقق جمع كالشيخ حسن صاحب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 ثالث في المسألة غريب،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قيل يفصل بين ما إذا كانت التزكية مسندة من المزكي إلى اجتهاده أو إلى النقل عن غيره لكان متجها، لأنه إن كان الأول فلا يشترط العدد أصلا لأنه بمنزلة الحكم، و إن كان الثاني فيجري فيه الخلاف، و يتبين أيضا أنه لا يشترط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أصل النقل لا يشترط فيه، فكذا ما تفرع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ثمرة في هذا التفصيل صغرا و كبرا، فتدبر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بداية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قاله أبو علي في رجاله الجهة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لا يعتبر العدد في الأصل فكذا لا يعتبر في الفرع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الحادية و الثلاثون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104/100</w:t>
      </w:r>
      <w:r>
        <w:rPr>
          <w:rFonts w:ascii="IRNazanin" w:hAnsi="IRNazanin" w:eastAsia="IRNazanin"/>
          <w:b w:val="false"/>
          <w:b w:val="false"/>
          <w:bCs w:val="false"/>
          <w:i w:val="false"/>
          <w:i w:val="false"/>
          <w:iCs w:val="false"/>
          <w:color w:val="333333"/>
          <w:sz w:val="20"/>
          <w:sz w:val="20"/>
          <w:szCs w:val="20"/>
          <w:rtl w:val="true"/>
        </w:rPr>
        <w:t>، تعرض للمسألة و أدلتها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من متفرعات ما نوزع فيه في الفقه من الاكتفاء بخبر الثقة في الموضوعات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إن الشرط هو العدالة و المشروط هو قبول الرواية، و التقريب معهما لا يتم، فإذا كان المزكي عدلا لا يجب التثبت عند خبره، و يكتفي به، كذا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يكفي فيه الواحد نفس الرواية، و العدالة ليست شرطا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التزكية طريق من طرق المعرفة بالعدالة، و الطريق إلى معرفة الشرط لا يسمى شرطا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بيان هذا الوجه من باب الأولوية القطعية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عموم ما دل على حجية الخبر الواحد عام، و لو قبلناه في رواية الأحكام ففي نقل المحاسن و المساوى بطريق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الأولوية بتقريب عموم ما دلّ على حجية الخبر الواحد العدل إذا قبل في رواية الأحكام ففي نقل المحاسن و المساوى بطريق أولى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وارد على تزكية العدلين أيضا، إذ لا علم معه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فَرَجُلٌ وَ اِمْرَأَتانِ مِمَّنْ تَرْضَوْنَ مِنَ اَلشُّهَداءِ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في كون المفهوم تابعا للمنطوق وجودا و إن كان في تبعيته له في الحجية كلام، كما لا ريب أن المفهوم المخصص للمنطوق هو مفهوم ذلك المنطوق، و يتم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لو كان المفهوم من غير هذا المنطوق مخصص له، لا مطلقا، فتدبر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بدل ليس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العبرة عند العقلاء و السيرة و إمضاء الشارع بالاطمئنان، و حجيته مفروغ عنها لمن أحرزه من أي طريق كان، و لكن الإشكال إنما هو في حصول الاطمئنان كلية بوثاقة من روى عنه أصحاب الإجماع مثلا بعد ما ذكر فيه، هذا مع ما في دليل الانسداد من الإشكال، و لو سلم به كيف يحصل الظن بالوثاقة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للبحث مجال واسع اصوله و فروعه في الاصول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بأنها شهادة، فلا بد من أن تكون عن حس، لعدم قبول الأخبار الحدسية فيها كما في خبر الثقة في الأحكام و إن لم يشترطوا الجزم بكون الاخبار حسيا، بل يكفي صرف الاحتمال بصدوره عنه، حيث قامت السيرة على كفاية الحسن في قبول خبر الثقة، و مع عدم هذا الاحتمال فلا يقبل، و لذا نوقش في توثيقات الرواة التي يرسلها المتأخرون بدعوى عدم احتمال وجود طريق معتبر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وجوه و تفصيلات لاحظها في المفصلات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فاسقا، و كذا في الطبعة الاولى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اختياره للزوم التعدد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اشتراط العدالة في الراوي يقتضي اعتبار حصول العلم بها، و ظاهر أن تزكية الواحد لا تفيده بمجردها، و الاكتفاء بالعدلين مع عدم إفادتهما العلم إنما هو لقيامهما مقامه شرعا فلا يقاس عليه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الفائدة العاشرة من المستدرك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 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و غيرهما، بل هناك بدلا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الميرزا القمي في قوانين الاصول 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و الفضل ما شهدت به الأعداء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تعرضنا لذلك بأوضح من هذا في فوائد مقدمة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صدر عن مجهول الحال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الحبل المتين و مجموعة 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تحت عنوان تبصرة، و أخذه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حكاه عنه غيره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التوهم الميرزا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جاء بلفظ التأييد لا الدليل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تظهر الثمرة في الخلاف عند التعارض في الجرح، و على القول بجواز العمل بخبر المجهول، و هذا إنما يرد فيما لو كانت التزكية أو الجرح من باب الشهادة و ليس كذلك، و عليه صح الاجتهاد فيها، و المجتهد ابتداء كالمشاهد يتعرف على العدالة و الجرح بملاحظة الأمارات القائمة عنده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المستدركات التالية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للمقام التعبير بالقدح و المدح، كما قاله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لم أقف على من تفطن لذلك، لعدم شمول الجرح و التعديل لمطلق القدح و المدح و بحثهم فيهما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الخطيب البغدادي في كفايته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كالسخاوي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في شرح 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بدل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عميد الدين أبي عبد اللّه عبد المطلب بن مجد الدين أبي الفوارس الحسيني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أخت العلامة الحلي، و كتابه لا زال مخطوطا نادر النسخة إلا جملة من حواشيه طبعت على تهذيب الاصول للعلامة الحلي، و لم أجد هذه النسبة فيها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هو القاضي أبو بكر الباقلاني الذي مرت ترجمته في 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الشافعي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لعله أول من ذهب إليه، و أضاف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النيسابوري، و كذا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 لثاني الشهيدين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حكى الشهرة في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البهائي، و إليه ذهب النووي و تبعه السيوطي كما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 التعديل من غير ذكر سببه على الصحيح المشهور و لا يقبل الجرح إلا مبين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ظاهر مقرر في الفقه و اصوله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مذهب الأئمة من حفاظ الحديث كالشيخين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لا يقبل التعديل من غير ذكر سببه على الصحيح المشهور، و لا يقبل الجرح إلا بتبين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يظن أنه على إطلاقه و ليس كذلك، بل المشهور تقديم الجارح عند عدم إمكان الجمع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فيه طلب الترجيح و التعديل على ما يثمر غلبة الظن كالأكثر عددا أو ورعا أو ممارسة لعلم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المرجحات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قبول الجرح غير مفسر و لا يقبل التعديل إلا بذكر سببه، لأن أسباب العدالة يكثر التصنع فيها فيبني المعدّل على الظاهر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ترجمتهما في 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المحصول، و كذا إمام الحرمين، كما نصّ عليه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البلقيني في محاسن الاصطلاح ذيل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أغرب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الإطلاق في الجرح دون التعديل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منه في حاشية التهذيب لم ينص على ما 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الجويني الذي مرت ترجمته في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 فراجع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أحمد بن ثابت المعروف بالخطيب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الحفاظ المؤرخين، صاحب تاريخ بغداد و نيف و خمسين كتابا آخر،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الألفية و نصّ عليها شارحها السخاوي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و استثنى النسائي من الحفاظ المتقدمين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في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قال العلامة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المزكي إن كان عالما بأسباب الجرح و التعديل اكتفى بالإطلاق فيها منه، و الا وجب استفساره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تعليقه للسيد عميد الدين هنا، فلاحظ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صرح به الفاضل الجزائري في حاوي الأقوال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منه الأخذ 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 هو غلط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و هو غلط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الفسق حالة لها مقتضيات منها رد قول صاحبها في الشهادة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فإن أسباب التعديل كثيرة فيشق عدّها و إحصاؤها، و يحوج المعدّل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يفعل كذا، و لم يرتكب كذا، و فعل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يعدّد جميع ما يفسق بفعله أو بتركه، و ذلك شاق، بخلاف الجرح فإنه يحصل بأمر واحد و لا يشق ذكره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شعبة بن الحجاج، كما حكاه الخطيب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أكثر من واقعة نظيرها، و ذكرها و غيرها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الموحدة و ذال معجمة، الجافي الخلقة، الجلد على السير في الشعاب، و الوعر من الخيل غير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الأخير هو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كناية عن رداءة المركوب و عدم أصالته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يسيل من أنف الحيوان من الماء، و الامتخاط رميه له من أنفه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الشهيد في بدايته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عدّ له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في ذكر بعض أخبار من استفسر في الجرح فذكر ما لا يسقط العدالة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حسن الصدر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عدّه للأقوال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جلال الدين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و حسنه هناك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لا يوجد في الطبعة الأولى، و الموجود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 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حكى عن الخلاصة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المعنى واحد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عندنا من النسخ من البداية ليس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فنترك خبره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المعنى واحد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حذاقتهم، و هو الظاهر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الانتفاع به في حياته من المصنف نفسه أو تلامذته كي لا ينافي ما ذكره قريبا من أن طريقة العلماء عدم الرجوع إلى كتب معاصريهم من جهة الاستناد غالبا، و إنما تنفع المصنفات بعد مصنفه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من أين للعلماء المتقدمين من أئمة الرجال العلم بمذهب المتأخرين في العدالة؟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بزيادة توضيح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منه اختيار القول الخامس و هو تشريك التعديل و الجرح في قبولهما مطلقين من العالم البصير المرضي و قبول التفسير فيهما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عدالة صاحب الرجال تمنعه من الجرح بدون جارح كما تمنعه من التعديل بدون 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إنه في صورة المدح الغير بالغ رتبة العدالة المجمع عليها يذكره بدون ذكر العدالة فليفعل في الجرح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أفاده بعض الإخوان، فليتأمل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الجهة الرابعة لا توجد في الطبعة الأولى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أن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يحتاج إلى تأمل، و إن كان مطابقا للمطبوع، إذ لعل فيه نقصا أو زيادة بل تهافتا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الأيمان، و بعضكم الحن بحجته من بعض، فأيما رجل قطعت له من حال أخيه شيئا فإنما قطعت له به قطعة من النار،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التفت في زمان عدالته إلى خبره زمن فسقه و سكت عنه مع كون الاخبار ببطلانه ذا فائدة الآن يصح ما ذكر، و لكن لعله غفل عنه، أو أنه لا فائدة في الاستدراك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أصالة عدم الغفلة غفلة، فتأمل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الحاشية ما له تعلّق بالمسألة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منه أن توثيق أئمة الرجال لمنتقل الحال راجع إلى زمان روايته، و أنه دليل على صحة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إلا أن يقال إن مرادهم من الإطلاق هذا، فتأمل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أن الحسين بن بشار ممن عدل إلى الحق، و هنا جعله ممن عدل عن الحق، فهو عدول، انظر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و 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في الحاشية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 و المضعفون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تعرض إلى اثنى عشر إشكالا مع أجوبتها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تساوى عدد المعدلين مع الجارحين أم لا، و يظهر من جماعة أن هذه الأقوال في حالة تكافؤ الطرفين، أما لو رجحت كفة المعدلين على الجارحين أخذ بالأول، و كذا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له بأن كثرة المعدلين تقوى حال الرجل و توجب العمل بخبره أو طرحه في الجرح، و هي ضعيفة، و هذا ما يستشم من كلام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أهل العلم على أن من جرحه الواحد و الاثنان و عدله مثل عدد من جرحه فإن الجرح به أولى، و يظهر من البعض التوقف مع عدم تساوي الطرفين، و هذا قول سادس في المسألة قاله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زاد المعدّلون قدم التعديل، و كذا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اختاره مع ما فيه من أن كثرة المعدلين لا ترد قدح الجارحين، و جمهور العلماء على أن الحكم للجرح مطلقا و العمل به أولى حتما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صنيع ابن الصلاح مشعر بذلك أيضا، فهو بعد تقديم الجرح مطلقا قال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عدد المعدلين أكثر فقد قيل التعديل أولى، و الصحيح الذي عليه الجمهور أن الجرح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البلقيني في محاسن الاصطلاح ذيل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يرجّح بالأحفظ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أمكن الجمع بينهما أو لم يمكن، و سواء تعارضا في أصل ثبوت الملكة أم لا، و سواء استوى الطرفان في العدد أم لا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صاحب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القول الأصح، و كذا صاحب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المشهور، 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الناس على إطلاق القول بتقديم الجرح من دون تعرض للتفصيل بذكر السبب و عدمه و إليه أذهب، و هو مختار الشيخ عبد الصمد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المعدّل مخبر عن ظاهر الحال و الجارح عن الباطن الخفي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مما مرّ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هو العدالة و حسن الظاهر،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كثرة التسارع إلى الجرح توجب أن يكون الجرح موهونا، و الكل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مرجع هذا البحث إلى ما اختلف فيه الفقهاء و الأصوليون من أن الأصل الأولي في باب العدالة و الفسق ما هو؟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الأصل بالنسبة إليهما سواء، لأنهما كلاهما أمران وجوديان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ليسا من باب العدم و الملكة، فتدبر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مع عدم كون أحدهما أقوى، فابن الغضائري ضعيف في تضعيفه و جرحه و كذا القميون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نسبتهم الغلو، فيقدم التعديل كما هو الحال في داود الرقي حيث قال عنه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فاسد المذهب لا يلتفت إليه، مع أن الأصحاب وثقوه بالاتفاق، و له نظائر كثيرة يجدها المتتبع في المجاميع الرجالية، و لا يصح الأخذ بالإطلاق مطلقا، فلا تذهل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يلزم تقديم قول من لا يلزم من تقديمه تكذيب الآخر تعديلا كان أو جرحا، كل ذلك مع عدم عروض مانع من التقديم في الصورتين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كالنراقي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دليلنا إذا تقابل الشهادتان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ترجيح لأحد الشاهدين، وجب التوقف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المفتوحة و الشين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التعشير و هو أخذ العشر من أموال الناس بأمر الظالم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 للعلامة الحلي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يجزي التعديل على الإبهام من غير تسمية المعدّل، فإذا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الثقة أو نحو ذلك مقتصرا عليه لم يكتف به فيما ذكره الخطيب الحافظ و الصيرفي الفقيه و غيرهما، خلافا لمن اكتفى بذلك،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لأنه قد يكون ثقة عنده و غيره قد اطلع على جرحه بما هو جارح عنده أو بالإجماع فيحتاج إلى تسميته حتى يعرف،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اضرابه عن تسميته مريب يوقع في القلوب فيه ترددا، فإن كان القائل لذلك عالما أجزأ ذلك في حق من يوافقه في مذهبه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و في أكثر من مورد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للفيض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توضيح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بلفظه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لا يوجد في الطبعة الأولى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يقول الثقة حدثني من لا يتهم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ثم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تقدير تصريحه بقصد التزكية أو حمل الإطلاق عليها فيستتبع قوله مع ظهور عدم التعارض، و إنما يتحقق ظهوره مع تعيّنه بعد ذلك و البحث عن حاله، و إلا فالاحتمال قائم كما مرّ، ذهب بعضهم إلى الاكتفاء بذلك ما لم يظهر المعارض أو الخلاف و قد ظهر ضعفه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هو واضح من أن العدل قد يروي عن غير العدل، و ذهب إليه أكثر أهل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نص عليه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استدل في البداية على ذلك بالأولوية القطعية، مع أنه قد وقع ذلك من أكثر الأكابر من الرواة و المصنفين، و قد نسب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العلماء من أهل الحديث و غيرهم العدم،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أهل الحديث و بعض أصحاب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ذلك تعديلا منه له، لأن ذلك يتضمن تعديلا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هو الأول؛ لأنه يجوز أن يروي عن غير عدل فلم يتضمن روايته عنه تعديلا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هذه المصادر لا زالت خطية كما مرّ، قيّض اللّه من يبرزها إلى النور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الرأي المختار عند الأصوليين و عند بعض أئمة الحديث</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راويه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إليه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تبعه البلقيني في 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ذيل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و الإجماع لم أحصل عليه إلا في اجتهاد الصحابي لا مطلقا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المحصول في شرح وافية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السيد محسن بن السيد حسن الكاظمي الأعرجي المتوفى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خطي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في أصول الفقه، للشيخ إسماعيل بن الشيخ أسد اللّه الدزفولي الكاظمي، المتوفى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مختصر التذكرة في أصول الفقه للكراجكي الشيخ أبو الفتح محمد بن علي بن عثمان المتوفى سنة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مخطوط، و لا يحتمل كونه المختصر النافع للمحقق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لم أجد تصريحا في المقام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بكتاب معين، كما قيل ذلك في كتاب كامل الزيارات لابن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مقدمة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الطبعتين، و هو غلط قطعا،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مجروحيته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كتاب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تبيين، و سيأتي للمقام مزيد بيان و فروع في المقام الثاني في سائر أسباب المدح و أماراته، فلاحظ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أنه من مشايخ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المقال للشيخ عبد النبي الجزائري، لدينا منه نسخة خطية سبق الإشارة إليها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الحسن بن الوليد أستاذ المفيد، يعد حديثه صحيحا، لكونه من مشايخ الإجازة، و وثقه الشهيد الثاني أيضا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كتب الشهيد و كلّ العبارة للوحيد البهبهاني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قاله أيضا في حاشيته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الحسن بن الوليد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253/11</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بلفظه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غبار عليه، وجيه على مبناه من الاكتفاء بمجرد الوثوق و الاطمينان دون التنصيص على التوثيق و غيره، فتدبر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صريح الشهيد الثاني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و الآمدي في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لهما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السبكي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بالتوقف فيهما و في الرواية، حكاه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و هو غلط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له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فالمانع مفقود، و المقتضي للقبول موجود، و صيرورة الأصل فرعا غير قادح بوجه، كما سيذكره فيما بعد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في 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علي بن عمر بن أحمد بن مهدي الدارقطني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بأمير المؤمنين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السنن و غيره، انظر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بمضامين مختلفة عن طريق الخاصة و العامة، 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الباب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الأولى بالمصنف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الألفاظ 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كعدل و ثقة و حجة، و ألفاظ المدح غيرها، و المختلف فيه يفرده بالذكر، و يقسم المدح إلى عالي و متوسط و داني، و ما يفيد المدح المطلق و غيره، فتدبر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في صورة التعارض و الترجيح، فإن الصحيح بالظن الاجتهادي الحاصل من القسم الأول مقدم على الصحيح الحاصل من القسم الثاني، و يكون أقوى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منشأ الاختلاف في عدد ألفاظ المدح و كونها ذات مراتب من حيث الصراحة و الظهور هو الاختلاف في معنى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اعتبر خصوص الملكة كالشهيد الثاني و الشيخ البهائي و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على الألفاظ الصريحة الكاشفة عن ذلك، و من اكتفى بظاهر الإسلام مثلا كالشيخ وسّع دائرة هذه الألفاظ، هذا مع أن هناك ألفاظا متفقا على دلالتها على المدح و العدالة كالضابط و الثقة أو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الملا علي الطهراني الكني في كتابه 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متفق عليها فيما لو أضيفت إلى ثبت أو حافظ أو متقن أو حجة أو غيرها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عقدة و ابن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أشباههما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كفاية لفظة عدل في التزكية و عدم الحاجة إلى إضافة ضابط و حافظ و نحوها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صاحب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بل ادعى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الاتفاق على ثبوت التعديل في لفظ ثقة و عدل و حجة، و لا يخلو من تأمل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أول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 أنا ذا أذكر المتقدمين في التصنيف من سلفنا الصالح و هي أسماء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أول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لما رأيت جماعة من شيوخ طائفتنا من أصحاب الحديث عملوا فهرس كتب أصحابنا و ما صنفوه من التصانيف ثم 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تصانيف أصحابنا و اصولهم لا تكاد تضبط لكثرة انتشار أصحابنا في البلدان و أقاصي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رجال ابن شهرآشوب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كتب الشيعة و أسماء المصنفين منهم قديما و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للشيخ عبد النبي الجزائري المتوفى سنة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يقع نادرا خلاف ذلك، و الحمل على ما ذكرناه عند الإطلاق مع عدم الصارف متعين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السابعة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فإذن قد استبان لك أن من يذكره النجاشي من غير ذم و مدح و يكون سليما عنده عن الطعن في مذهبه و عن القدح في روايته، فيكون بحسب ذلك طريق الحديث من جهته قويا لا حسنا و لا موثقا، و لم أجد نص عبارة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فراجع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ما رواه الشيخ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التأمل في ما أفاده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النظر إلى كتاب رجاله بل و لا يختص به، و أما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أصحابنا، فالظاهر أنها كذلك عند الإطلاق، إلا أنه قد يظهر من بعض كلمات قدمى الرجاليين خلاف ذلك، كما في ترجمة عبد اللّه بن جبلة و معاوية بن حكيم و غيرهما، مع ما صرح به الشيخ في أول فهرسته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عبارته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كثيرا من مصنفي أصحابنا ينتحلون المذاهب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غير واحد من أعلامنا كالمولى الوحيد في فوائده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الملا علي الكني في توضيحه و غيرهما في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يقوي الاحتمال أيضا من اكتفائهم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ثبوت العدالة و الإمامية، أو مع الضبط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أما مثله أو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فهم يصفون الخبر بالحسن إذا مدح رواته بما لا يبلغ الوثاقة مع اعتبار الضبط و الإمامية في العمل به بل في مفهومه أيضا، و كذا في الموثق بالنسبة إلى الضبط بل هو أقوى مؤيدا لاستفادة الضبط بعد البناء على اعتباره، فلاحظ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زيادات الطبعة الثانية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الجيل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الفيومي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بالثقة العدل لأنه الثقة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صاحب الرياض أنه معنى مصطلح عليه بين المتشرعة، و ادعى الأسترآبادي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 في كون ثقة من ألفاظ التعديل و كذا غيرهم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زيادات الطبعة الثانية، و في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حيثما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 جمع من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 لم يتعرض لفساد المذهب فظاهر أنه عدل إمامي، لأن ديدنه التعرض لفساد المذهب، فعدمه ظاهر في عدم الظفر، و هو ظاهر في عدمه، لشدة بذل جهده وسعة باعه في الفن، و هذا القدر المتيقن من الدعوى، و لا يخفى ما فيه من تأمل، و من أين لهم هذه الملازمة في ما لو لم يتعرض إلى فساد المذهب لزم كونه إماميا مع أن ديدنه التعرض إلى الصحة إن كان صحيحا، و الإمامية إن كان إماميا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التوقف مع عدم مرجّح من غيره، إذا لم تحرز كون ديدنه التعرض، أو أحرز كون ديدنه عدم التعرض إلا من كان مخالفا في المذهب، فتدبر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بصيرتي ضمن كتاب الحبل المتين و غيره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حكى العبارة الوحيد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ناقشنا العبارة قريبا، فلاحظ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زيادات على الطبعة الاولى،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جعل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كذا في نسختنا من المصدر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هذا ليس من باب الظهور بل من باب الانصراف الى الفرد الشائع كما نص عليه النراقي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هذا و دعوى شيوع الشيعة في الاثني عشرية ممنوعة، بل قد يقال في غيرهم اظهر آنذاك، لا سيما في زمن الائمة سلام اللّه عليهم، و لا اقل من كونهم و غيرهم على حد سواء،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لم يكن المزكي اماميا و ظهور حاله بكلمة الثقة ذلك، خصوصا اذا كان ديدنه التعرض لغير الامامى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تغير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يؤخذ بالمتيقن و هو الاعتماد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ادعاء الخلاف في مثله في الوثاقة النفسية أو المقيدة بما قيدت 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و أن ديدن الرجاليين إطلاق لفظة الثقة غالبا دون لفظ عدل أو عادل 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الضبط يرادف الثبت وضعا و استعمالا و إرادة، أو يقرب منه، كما نصّ عليه في الفصول و في غيره من كتب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الظاهر من آخر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و إن لم يكن بعيدا في اللفظة إلا أنه بعيد في المقام، لظهور الوثوق الشخصي لغة و عرفا في الائتمان و الاعتماد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سطرنا لك قريبا كلمات اللغويين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عدم النقل، أ لا ترى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إلا أنه قليل الضبط أو كثير النسيان و أشباه ذلك مع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ثقة واقفي و لا 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إطلاق الثقة واردة غير الضابط و كذا غير الإمامي مع القرينة لا ينافي قولهم إن هذه الكلمة عند إطلاقها من دون قرينة ظاهر في العدل الإمامي الضابط، نعم إن كان قولهم ثقة نصا فيما أفادوه لصح ما ورد، و سيأتي له قريبا مزيد بيان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الألف و اللام في الكلمتين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 اللّه أعلم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لأصالة تشابه الأزمان مع فرض النقل و تغاير الأزمان، و كون الشك في التشابه شكا في مقوم موضوع الاستصحاب أو الأصل، فتأمل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ضابط، و هو غلط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مختار جمع من المتأخرين على رأسهم مجدد المذهب الوحيد البهبهاني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و جوابه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ذلك مع القرينة الصارفة لا مطلقا، و الكلام في صورة الإطلاق كما لا يخفى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الأولى و هو الظاهر، و في الطبعة الثانية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ملا علي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بعنوان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إذا كان الجرح في حق من قيل في حقه عدل أو ثقة من غير أصحابنا كجرح ابن فضال لأبان برميه بالناووسية، سواء كان في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الجوارح، فهل يقبل مطلقا أو لا كذلك، أو يبنى على حصول الظن الشخصي إن كان في أحد الجانبين و إلا فالنوعي، الأظهر الأخير، لأنه إذا كان عدلا أخبر عن أمر، فالقاعدة قبول قوله سواء أخبر عن مثل ما فيه في غيره أو غيره أو يلاحظ بعد ذلك ما هو المقرّر في تعارض الجرح و التعديل بالإطلاق و التقيد إذا جرح بالاعتقاد خاصة، و بالتباين إذا جرح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أنت بصير بما فيه، و عدم تمامية إطلاق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المسألة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يتعرض للإشكال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لفظ الثقة موضوعا للمفهوم المركب من التحرز عن الكذب و العدالة و كونه إماميا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بألفاظ متقاربة حكاه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المفاتيح للسيد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ظاهر، حيث لا قائل بالفصل، و سياق الدلالة و كذا اللغة و العرف لا يفرق فيهما، فتأمل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أحمد بن داود بن علي القمي، و ابن حمزة بن اليسع القمي، و الجارود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معين النبيه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الكاظمي في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بمحض الاحتمال على خلاف الوجدان، فإن النسخ التي تقع في أيدينا كلها خمس 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علّق بما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أفادا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ظهور كونه متحرزا عن الكذب في الحديث، و السكوت من غيره عنه، كما لا دلالة في اللفظ على غير صحة الحديث، فتدبر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المولى ملا علي كني في توضيح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 المطبوعة على حاشية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حكاه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من اضافات الطبعة الثانية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عبارة الوحيد البهبهاني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المولى ملا علي كني الطهراني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في 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في الأصل و لا في الطبعة الأولى من الكتاب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الاستثناء ما لم نفهمه، فإنه غير مخالف لما قبله حتى يصح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حكاه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بتصرف يسير، و هو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اعتراض ملا علي كني في توضيح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ذيل رجال أبي علي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ثم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إطلاق الثقة ما لم يصرح بالخلاف، مضافا إلى ما مرّ من استفادتها من أمور أخر مشتركة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الوثاقة و العدالة فلا يبعد ما أسند إلى المشهور لما مرّ و لوجود العبارتين معا في أحوال كثير منهم و لو من أشخاص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المعكوفين من زيادات الطبعة الثانية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هنا اصطلاح اختص به السيد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 من عادته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يروي إلا عن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تعديل، و إلا فلا، و ثقة ثقة صحيح الحديث في اصطلاح أئمة التوثيق و التوهين من أصحابنا رضوان اللّه تعالى عليهم تعبير عن هذا المعنى، و لم أجد هذا المصطلح في كلماتهم 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 روايته من الحسن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المولى الكني في توضيحه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العبارة المذكورة لا تفيد الوثاقة لا في من وردت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من روى هو عنه أيضا، بتوهم إرادة ان ما يضاف أو يسند إليه من الأحاديث فهو صحيح، إذ الصحة عند القدماء لا تلازم الوثاقة أصلا، نعم لو كانت العبارة في كلام المتأخرين أفادته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الصحة في لسان القدماء يجعلونها صفة لمتن الحديث على خلاف اصطلاح المتأخرين حيث يجعلونها صفة للسند، و يريدون به ما جمع شرائط العمل أما من كونه خبر ثقة كما هو في اصطلاح المتأخرين، أو لكونه محفوفا بقرائن تدلّ على العلم أو الظن بواقعية مضمونه و هي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تقيد العبارة بما إذا كانت في اصطلاح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البعض و سيأتي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فالقدماء لا يستظهر منهم ذلك، حيث إن الصحة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وثقوا بكونه من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كون الراوي عدلا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الشهيد في درايته نص على أنها من ألفاظ التعديل الدالة عليه صريحا، و تبعه من تبعه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ملا علي الكني الطهراني في كتابه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التعليقة المطبوعة في أول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مما ذكرنا ظهر فساد ما توهم بعض المتأخرين من أن قول مشايخ الرجال صحيح الحديث تعديل و سيجيء في الحسن بن علي بن النعمان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ممدوح، فتدبر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الكلام في الراوي لا الحديث، و الصحة فيه إنما جاءت لأجل صدوره عن هذا الراوي بالذات، و هو ظاهر في التوثيق، و بمنزلة القرينة المورثة للاعتماد، و كون الرواية مستندة إلى هذا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يبعد جدا كون الراوي ملتزما بعدم روايته إلا ما صدر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معه لا يستلزم ذلك وثاقته،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صحيح الحديث لفظة تدلّ على وثاقة الراوي بالالتزام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دلالة قولهم صحيح الحديث على وثاقة من قيل في حقه ذلك فهو صريح جماعة، قال الشهيد الثاني 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سبطه في شرح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عبد النبي الجزائري في حاوي الأقوال و المحقق البحراني و الشيخ سليمان في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صاحب المستدرك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فمفاد هذه الكلمة أن الحديث الذي يرويه هذا الراوي معتمد معمول به و معول عليه و جامع لشرائط العمل، و هذا تحسين للرجل و مدح له و لا يقتضي توثيقه في نفسه و عدالته لأنه أعمّ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يحتج، و المذكور أصح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صار من شدة الوثوق و تمام الاعتماد هو الحجة بنفسه، و إن كان الاحتجاج بحديثه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المولى الوحيد من عدم عدّه لهذه اللفظة في فوائده مع بنائه فيها على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من سبقه كما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بكونها توثيقا بانفرادها، و هو على حق إن لم يكن ثمّة اصطلاح خاص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عند العامة تعدّ من أعلى مراتب التعديل، قال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أقسام العبارات بالأخبار عن أحوال الرواة فارفعها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أو ثقة، و أدونها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أو ساقط</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الإجماع، و الاختلافات الأساسية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تطلب عبارة الكشي الناطقة بذلك من الفائدة الثامنة عشرة من مقدمة تنقيح المقال تحت عنوان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الشيخ بالإجماع في خصوص المورد، بل ما نقلناه عنه سابقا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ما قلناه عملت الطائفة بما رواه حفص بن غياث، و غياث بن كلوب، و نوح بن دراج و السكوني و غيرهم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ما قلناه عملت الطائفة بأخبار الفطحية مثل عبد اللّه بن بكير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 الواقفة مثل سماعة بن مهران و علي بن أبي حمزة و عثمان بن عيسى، و من بعد هؤلاء بما رواه بنو فضال و بنو سماعة و الطاطريون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ذلك عملت الطائفة بما رواه أبو الخطاب محمد بن أبي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هلال العبرتائي و ابن أبي عذاقر و غير هؤلاء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تتبعت رجال النجاشي في تراجم كل من أصحاب الإجماع، فلم أجد تصريحا بالإجماع، إلا أن يراد منه أن النجاشي صرح بوثاقة جميع هؤلاء، و هو كذلك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متعددة في ترجمة أصحاب الإجماع 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تراجم رجالات أصحاب الإجماع، و في الكل حكاية الإجماع لا ادّعاؤه فلاحظ، و كذا نص عليه في جملة كتبه الفقهية في أبواب متفرقة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الحسن سليمان بن عبد اللّه الماحوزي البحراني المتوفى في السابع عشر من شهر رجب سنة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الذي جاءت ترجمته في خاتمة الكتاب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انظر ترجمته في خاتمة الكتاب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هناك فرقا بين دعوى الإجماع و نقله، و ما عدا الكشي نقل دعواه، لا أنه ادّعاه،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قال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الإجماع ربما ذكر من كلام النجاشي لكن بعنوان النقل عن الكشي لا أنه ادّعاه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قال من القواميس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ظني أن كل من هم بعد الكشي قد أجمعوا على أحقية ما قال به الكشي و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ذلك؛ و ظني أنه قد سبقه في هذه الدعوى غيره و أنه اعتمد في ذلك على قول أستاذه أبو النظر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كلامه من مسامحة، خصوصا بملاحظة قوله إن مبدأ الإجماع النجاشي، فكيف يتواتر في جميع الطبقات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ذلك من عبارة جمع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غيره قال به كغيره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الدعوى هو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كانوا ليتفقوا في الرجل على الحكم بصحة كل ما يحكيه إلا و هو بمكانة من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إجماع لغوي لا اصطلاحي 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الإجماع لم يثبت وجوب اتباعه كالذي بالمعنى المصطلح، لكونه مجرد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 كما سنوافيك بالمقال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يصير إجماعا تعبديا كاشفا عن رأي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على حد سائر الإجماعات المدعاة في الأبواب المتفرقة من الفقه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إن كان فيه ضعف، ذهب إليه الحر العاملي في خاتمة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بصحة كل حديث رواه هؤلاء إذا صح السند إليه، حتى لو كانت روايته عن من هو معروف بالفسق و الوضع، فضلا عما إذا كانت روايته عن مجهول أو مهمل أو أرسلت روايته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شيخنا النوري في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ascii="IRNazanin" w:hAnsi="IRNazanin" w:eastAsia="IRNazanin"/>
          <w:b w:val="false"/>
          <w:b w:val="false"/>
          <w:bCs w:val="false"/>
          <w:i w:val="false"/>
          <w:i w:val="false"/>
          <w:iCs w:val="false"/>
          <w:color w:val="333333"/>
          <w:sz w:val="20"/>
          <w:sz w:val="20"/>
          <w:szCs w:val="20"/>
          <w:rtl w:val="true"/>
        </w:rPr>
        <w:t>، و حكاه المولى الكني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يظهر من كلامه عدم وجدانه في كلام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توقيف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فهم جماعة من المتأخرين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بصحة الحديث المنقول عنهم، و نسبته إلى أهل البيت عليهم السّلام بمجرد صحته عنهم من دون اعتبار العدالة في من يروون عنه، حتى لو رووا عن معروف بالفسق أو بالوضع فضلا عما لو ارسلوا الحديث كأن نقلوه صحيحا محكوما على نسبته إلى أهل العصمة صلوات اللّه و سلامه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بأن هذه العبارة ليست صريحة في ذلك و لا ظاهرة فيه، فإن ما يصح عنهم إنما هو الرواية لا المروي، بل كما يحتمل ذلك يحتمل كونها كناية عن الإجماع على عدالتهم و صدقهم بخلاف غيرهم ممن لم ينقل الإجماع على عدالته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عقبه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بأن هذه العبارة ليست صريحة في ذلك و لا ظاهرة فيه، فإن ما يصح عنهم إنما هو الرواية لا المروي، بل كما يحتمل ذلك يحتمل كونها كناية عن الإجماع على عدالتهم و صدقهم، بخلاف غيرهم ممن لم ينقل الإجماع على عدالته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رجال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كلماتهم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المحقق الماهر السيد محمد باقر الجيلاني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في تحقيق حال أبان كما نصّ عليه شيخنا النوري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مرت عبارته في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المصطفوي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وسط الصفحة، و كذا في أكثر من موضع، تصريحا أو عملا، كما في 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وسط الصفحة و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الرجل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 تجد ما يغنيك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لعله صحيح في من تقدم على زمن العلامة أعلى اللّه مقامه، أما من تأخر عنه فتجده في كلمات جملة من الأعاظم كالشهيد الثاني و كذا الأول و العلامة المجلسي و شيخنا البهائي و من تأخر عنهم، و قد مرت جملة من كلماتهم، و العجب كيف خفي على من مثله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بعض الحواشي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السيد محمد مهدي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خلاف ما يظهر من رجاله كما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أعرف وجه النسبة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شيخنا النوري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جمع لخصنا بعضها بتصرف،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الأستاذ الأكبر 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إلى القيل، و إن السيد محمد باقر الجيلاني في رسالته في تحقيق حال أبان صرح بأن متعلق التصحيح الرواية بالمعنى المصدري أي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أو حدثني أو سمعت من فلان، و نتيجة العبارة أن أحدا من الجماعة إذا تحقق أنه قال حدثني فلان فالعصابة أجمعوا على أنه صادق في اعتقاده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المحقق الشيخ محمدا في شرح الاستبصار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البعض توقف فيما إذا اشتهر من معنى الإجماع،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نفهم إلا كونه ثقة، و أن السيد المحقق الكاظمي في عدته جعل اتفاق الكلمة على الحكم بصحة ما يصح عنه أمارة على وثاقة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قبل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يتم على القول بكون مفاد العبارة وثاقة الجماعة المذكورين أو وثاقتهم و وثاقة كل من كان في السند بعد أحدهم، و أما على ما هو المشهور من أن المراد صحة أحاديث الجماعة بالمعنى المصطلح عند القدماء فلا دلالة فيها و لو بالالتزام على وثاقتهم، لجواز كون وجه الصحة احتفاف أحاديثهم بالقرائن الخارجية التي تجامع ضعف راويها كما صرح به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معين النبيه الشيخ ياسين بن صلاح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إنها كناية عن الإجماع على عدالة أولئك المذكورين و ثقتهم بخلاف غيرهم ممن لم ينقل الإجماع لهم على عدالتهم،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المتيقن من هذه اللفظة، و إلى هذا مال سيدنا الماجد البحراني و شيخنا العلامة المعاصر سليمان الثاني و غيرهما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ظهور فسق إمام الجماعة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 عبد اللّه بن بكير صحيح</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نكت الإرشاد كما صرح به أبو علي في توضيحه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و هو حديث الحسن بن محبوب عن غير واحد، حيث وصفه 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ليست صريحة هناك فلاحظ، و انظر تعليقة رجال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العبارة للشيخ البهائي في كتابه 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توثيق المزكي للراوي من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وسط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هذا القول الفيض الكاشاني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قال الأول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الدلالة مستفادة منه بالالتزام نظرا إلى استبعاد إجماعهم على الاعتماد على روايات غير الثقة، و إلا فهذه العبارة منقولة عن المتقدمين، و قد عرفت أن تصحيحهم لا يقتضي التوثيق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بالوضع، 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ترقيمنا، مع فرق يسير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المولى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قد فصل كلامه المصنف هنا، و دفعه الأسترآبادي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كلامه السابق، فلاحظ</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الشيخ محمد في شرح الاستبصار كما حكاه العلامة النوري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وجّه كلامه و نقحه، و حكاه السيد الصدر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 هذا المورد الإجماع على الوثاقة، بل مراده الإجماع على التصحيح، و كل ثقة مجمع على تصحيح خبره، نعم يرد عليه أن التصحيح في كلام القدماء بمعنى آخر، فينبغي التأمل في أن الصحيح بالمعنى المعروف فيراد منه أم لا؟ ثم عقبه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أورده جدى في شرح الاستبصار بأنه ليس في التعبير بها لتلك الجماعة دون غيرهم ممن لا خلاف في عدالته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اعتراض الوحيد البهبهاني في الفوائد و ناقشه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المطبوعة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للشيخ محمد في شرح الاستبصار، كما مرّت قريبا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الخلاف من هذه الجماعة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المعدلين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المطبوع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كلمات البعض في البعض، فراجع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المطبوع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وسط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قيل بأنها تدلّ على وثاقة الرجال الذين بعده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بعيد لأن، اعتمادهم على رواية رجل في خصوص مقام لا يدل على 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صاحب الفصول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ليست في الطبعة الأولى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كلام العلامة النوري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القول ظاهر كلام السيد محمد باقر الجيلاني في رسالته في تحقيق حال أبان، و هو متأخر زمانا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لا بعد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جعلوا البناء على الركون إلى الإجماع المزبور أما من باب التعبد، أو للبناء على اعتبار الظن في الطريق، أو على اعتباره في نفس الأحكام بناء على قاعدة الانسداد المقررة في أحدهما أو في خصوص الرجال، و حيث أفاد الظن وجب علينا البناء على ما يظهر من اللفظ المزبور، لكونه حينئذ كغيره من الألفاظ التي هي حجة أو من أجزائها، فتأمل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مع زيادة من المصنف و تغيير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ذكر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اختاره الأسترآبادي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غير استاذه و أيّده بما لا مزيد عليه، و غيرهما ممّن مرّ كلامه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الكتاب، فراجع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فصل في ذكر القرائن التي تدلّ على صحة أخبار الآحاد أو على بطلانها، و ما يرجّح به الأخبار بعضها على بعض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الطبعة الحجرية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الأقوال و الوجوه في المسألة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عمرو محمد بن عمر بن عبد العزيز الكشي صاحب كتاب الرجال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الأصل في دعوى الإجماع كما قيل، و نقله الآخرون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يظهر من تضاعيف كلماته أنه قد سبقه غيره في دعوى الإجماع،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فضالة بن أيوب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بيان من أجمع أصحابنا على تصحيح ما يصح عنهم و تصديقهم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فضالة بن أيوب، و قال بعضهم مكان ابن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غيره كثيرا، بل التدبر في كلماته الآتية بقوله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أو منهم فلان أو زعم أبو إسحاق الفقيه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مما يكشف عن قدم المسألة عن زمانه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بصير الأول بالجر، و الثاني بالرفع أو النصب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بصير الأول بالجر، و الثاني بالرفع أو النصب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الفقهاء من أصحاب أبي جعفر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مع اختلاف يسير بينهما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الفقهاء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لاحظ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اختار السيد أن يكون أبو بصير المرادي دون الأسدي، و بذا خالف الكشي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بن سنسن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له ترجمة ضافية في الموسوعة الرجالية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 العجلي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 الطحان الأعور السمان الطائفي الكوفي القصير الحداج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 أبو بصير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يسار 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 و الصحيح كذا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بن عبد اللّه النخعي، ترجمه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الأحمر البجلي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أبو محمد البجلي بيع السابري،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الرحمن مولى علي بن يقطين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السراد و يقال له الزراد،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زياد بن عيسى الأزدي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المغيرة أبو محمد البجلي مولى جندب بن عبد اللّه بن سفيان العقلي،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البزنطي،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خلاصة الرجال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الكشي على هؤلاء الثمانية عشر، إلا أن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حمدان بن أحمد نقل عن الكشي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خاصة الخاصة، أجمعت العصابة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تصحيح ما يصح عنه و الإقرار له بالفقه، و حيث ان أصل رجال الكشي ليس بأيدينا، و كل ما بأيدينا هو اختيار معرفة الرجال للشيخ الطوسي، فلعل ابن داود قد اعتمد في نقله على الأصل في رجال الكشي كما احتمل ذلك شيخنا النوري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757/3</w:t>
      </w:r>
      <w:r>
        <w:rPr>
          <w:rFonts w:ascii="IRNazanin" w:hAnsi="IRNazanin" w:eastAsia="IRNazanin"/>
          <w:b w:val="false"/>
          <w:b w:val="false"/>
          <w:bCs w:val="false"/>
          <w:i w:val="false"/>
          <w:i w:val="false"/>
          <w:iCs w:val="false"/>
          <w:color w:val="333333"/>
          <w:sz w:val="20"/>
          <w:sz w:val="20"/>
          <w:szCs w:val="20"/>
          <w:rtl w:val="true"/>
        </w:rPr>
        <w:t xml:space="preserve">، و للسيد محمد صادق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كتاب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للعبارة يصعب الأخذ 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في غالب ترجمة أصحاب الإجماع نظير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للسيد الأعرجي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 شيخنا النوري قدس سره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عدّه أصحاب الإجماع اثنين و عشرين رجلا، جمعا بين ما اختاره الكشي و ما نقله البعض عنه، و ما ذكره ابن داود، و قال مستدلا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الإجماعين في محل الانفراد لعدم نفي أحد النقلين ما أثبته الآخر، و عدم وجوب كون العدد في كل طبقة ستة، و إنما اطلع كل واحد على ما لم يطلع عليه الآخر، و الجمع بينهما ممكن، فيكون الجمع موردا للإجماع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كلامه علا مقامه، و أنت خبير بما فيه، لأن بعض ما نقله الكشي عن بعضهم لم يرتضه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يصححه، فكيف ينسب له، كما أنا لا نعلم من هو ذلك البعض حتى يجمع له بمثل هذا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المرسل و عبارة الشيخ في العدة و غيره في غيرها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أصحاب الحديث قد جمعوا أسماء الرواة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الثقات على اختلافهم في الآراء و المقالات فكانوا أربعة آلاف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الصادق عليه السّلام من العلوم ما لم ينقل عن أحد، و قد جمع أصحاب الحديث أسماء الرواة من الثقات على اختلافهم في الآراء و المقالات و كانوا أربعة آلاف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عقدة مصنف كتاب الرجال لأبي عبد اللّه عدّهم فيه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سنوافيك ببحثها في 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الصفحة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في ذلك ما حكاه الشيخ في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مرّت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 من إسناده العمل ببعض الروايات إلى عمل الطائفة، و ادعى إجماع الإمامية على العمل بروايات آخرين مثل السكوني و حفص بن غياث و غياث بن كلوب و نوح بن دراج و طلحة بن زيد و من ماثلهم من العامة، و من الشيعة غير الإمامية كعبد اللّه بن بكير و سماعة بن مهران و الطاطريين و بني فضال و علي بن حمزة البطائني و عثمان بن عيسى و غيرهم، و تجري جميع الأقوال السابقة هنا أيضا، فتدبّر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إضافات الطبعة الثانية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السيد صدر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تعليقته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لم يعدوا عبد اللّه بن سنان و عبد اللّه بن يعقوب و علي بن يقطين ممن لا يطعن عليهم في شيء مع الستة المجمع على تصديقهم، و يمكن الجواب بوجوه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استدلّ به الوحيد في تعليقته المطبوعة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إطلاق الأصحاب لذكر الرجل يقتضي كونه إماميا، فلا يحتاج إلى التقييد بكونه من أصحابنا و شبهه، و لو صرح كان تصريحا بما علم من العادة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البحرين مادة 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ميرزا محمد الأسترآبادي، مصنف كتب الرجال الوسيط و الكبير و الصغير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زياد، من دون اسم الأب، و الأصح ما ذكره الشيخ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الوشاء البجلي الكوفي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التقي المجلسي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أقوى من 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 وجوه أصحابنا،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لا ينقلون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السيد حسن الصدر في نهايته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 الحسن كالصحيح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عندي عدّ حديث المتصف بهما في الحسن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التكملة للمحقق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يدلّ على أكثر من الحسن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له المولى البهبهاني في فوائده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تعليقته على منهج المقال في ترجمة الحسين بن أبي العلاء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 ترجمة محمد بن قيس الأسدي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معنى الخاص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كون الممدوح أعم، بل هو إلى وصف الحسن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خاصة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عدّ في الخلاصة جمع منهم ممن اشترك في هذا اللقب أو قيل عنه أنه من خواص أمير المؤمنين عليه السّلام، أو أصفياء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ثقات أمير المؤمنين، أو الباقون على منهاج نبيهم، و الاثنا عشر الذين بايعوا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العقبة، و الاثنا عشر منافقا، و الاثنا عشر الذين أنكروا على أبي بكر، و السفراء الأربعة، و غيرها، راجعها في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حكاه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الأولياء من أصحاب أمير المؤمنين عليه السّلام في كونه دالا على التعديل، و بين قولهم من أولياء أمير المؤمنين عليه السّلام أو غيره من الأئمة سلام اللّه عليهم أجمعين، و ذلك أن الإطلاق يفيد تعظيما لا يفيده التقييد، و لا يخفى ما فيه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من الإضافات على الطبعة الثانية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 يكتب كذلك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و كذا في البحار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في النجف،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حيث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أمير المؤمنين عليه السّلام لأسلم عليه، فجلست انتظره، فخرج إليّ، فقمت إليه فسلمت عليه، فضرب على 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بيانه مستقلا، و كأنّ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 عما هناك و جدد هنا زيادته في الطبعة الثانية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الكميل بن زياد بن نهيك بن هيثم النخعي من أصحاب علي عليه السّلام و شيعته و خاصته، قتله الحجاج لعنة اللّه عليه على المذهب، و كان عامل علي عليه السّلام على هيت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أضافه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الطبعة الثانية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الشيخوخة من يستجاز في رواية الكتب المشهورة و المجامع الحديثية، و إن أخذت في لسان البعض اعمّ، و لا بد من عدّها من الأمارات لا من ألفاظ المدح بالمعنى الأخص، فتدبر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في أول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حكى عن المحقق الشيخ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المصنفين من عدم توثيق الشيوخ، و فيها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منهج المقال في ترجمة محمد بن سليمان البندقي حكى عن المعراج من أنه لا ريب في عدالة شيوخ الإجازة،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مشايخنا من عهد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زماننا لا يحتاجون إلى التنصيص، لما اشتهر في كل عصر من ثقتهم و ورعهم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لدينا نسخة مصورة من 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العبارة بعد بحث ليس بمستوف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بالاستفاضة بأن تشتهر عدالته بين أهل النقل و غيرهم من أهل العلم كمشايخنا السالفين من عهد الشيخ محمد بن يعقوب الكليني و ما بعده إلى زماننا هذا لا يحتاج أحد من هؤلاء المشايخ إلى تنصيص على تزكيته و لا تنبيه على عدالته، لما اشتهر في كل عصر من ثقتهم و ضبطهم و ورعهم زيادة على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يختلف عما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و لم أجد ما نقله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هذا، فراجع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كما مر كرارا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مرت الإشارة إليه في كلام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حكاه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قال شيخنا البهائي في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مجموعة رسائل الشيخ البهائي التي أولها الحبل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يدخل في أسانيد بعض الأحاديث من ليس له ذكر في كتب الجرح و التعديل بمدح و لا قدح، غير أن أعاظم علمائنا المتقدمين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اعتنوا بشأنه و أكثروا الرواية عنه، و أعيان مشايخنا المتأخرين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حكموا بصحة روايات هو في سندها، و الظاهر أن هذا القدر كاف في حصول الظن بالعدالة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جماعة منهم أحمد بن محمد بن الحسن بن الوليد، و أحمد بن محمد بن يحيى العطار، و الحسين بن الحسن بن أبان، أبو الحسين علي بن أبي جيد،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و أمثالهم من مشايخ الأصحاب لنا ظنّ بحسن حالهم و عدالتهم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عددت حديثهم في الحبل المتين و في هذا الكتاب في الصحيح جريا على منوال مشايخنا المتأخرين، و نرجو من اللّه سبحانه أن يكون اعتقادنا فيهم مطابقا للواقع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كونه من مشايخ الإجازة لا يفيد شيئا إذ ربما أخذوا من الضعيف لعلو إسناده أو لمجرد إخراج الحديث من الإرسال و اتصال المشيخة بالسند ليدخل في المسانيد و إن كان المجيز فاسد المذهب، و لكان لمجرد كونه من مشايخ الإجازة ظهورا في الوثاقة لصححوا أخبار سهل بن زياد، فإنه من مشايخ الإجازة كما حكى المجلسيان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لما قالوا إن الجهل بمشايخ الإجازة غير قادح، لأن المستجاز فيه من الأصول المعلومة، و أجمل الوجوه من قال بدلالة ذلك على المدح، و القائل بالعدالة ظاهرا لا يريد كلية الكبرى بل يريد توثيق هؤلاء الأعلام المشهورين بالتعظيم و الجلالة عند الطائفة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التذييل ليس في الطبعة الأولى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تتبع مضن وجدت مراد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النبي الكاظمي المتوفى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أخذه من صاحب التكملة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فقيهها، شيخ القميين و فقيههم، وجه الطائفة و كذا رئيسها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أمثال هذه الألفاظ عدّها 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المقدس في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مفيدة للتوثيق فضلا عن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عن صاحب العدّة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قال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نحو شيخ هذه الطائفة عمدتها و وجهها و رئيسها و نحو ذلك فقد استعمله أصحابنا فيمن يستغني عن التوثيق لشهرته إيماء إلى أن التوثيق دون مرتبته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فيه ما مرّ و جوابه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الاختلاف من جهة المعنى العرفي أو الاصطلاحي مع ملاحظة القرائن الحالية أو المقالية، و إلا فظاهر المعنى اللغوي التوثيق و لا أقلّ من المدح، فإن من لا عذاب له أي لا يستحقه و لا يكون في الغالب إلا عدلا، كما سيذكره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عن المولى الكني و فيه ما لا يخفى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نسختنا غير مرقمة و هو بعد فصل في كيفية توثيق المزكي للراوي و قبل قاعدة التسامح في أدلة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 الأخير من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النسخة المرقمة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ادعى غير واحد من أن العرف يستفاد منه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فيه من تأمل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 السالفة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 كذا في عدّه بشار بن يسار مثلا في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 عن بعض المحدثين من أنه إذا اعتبره فمراده الثقة، فذلك أمر مخصوص باصطلاحه لا يتعداه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 به المصنف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أنه يفيد المدح، و قيل بمنع إفادته المدح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الخلاصة عده من القسم الأول فعنده أنه يفيد مدحا معتدا به،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نظير ما قاله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بنصه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المولى ملا علي كني في كتابه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ناقصة الخبر، و الظاهر 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فبها مثلا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يظهر من التقي المجلسي أنه كالتوثيق بناء على أن المراد أنه روى عنه الشيوخ و اعتمدوا عليه، و كذا المحقق الأسترآبادي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منه السماع على وجه الاستناد و الاعتماد، و إلا فكثير ممن سمع عنه ليس ممن أسند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فيفيد المدح العظيم و إن لم يبلغ إلى حدّ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لم يسمع منه بل سمع عن أصحابه الموثقين عنه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عليه السيد الصدر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المرحوم الدربندي في القواميس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من ذكر علماء الرجال في ترجمته أنه ممن أسند عنه فهو بحكم التتبع التام و الاستقراء الكامل ليس إلا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لا يخفى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الأجلاء رووا عنه على وجه الاعتماد، و يكون مدحا لمن قيل في حقه و وصف به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ما نقل بتصرف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وافقه الكلباسي في 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 الخاقاني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 عليها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الحافظ ابن عقدة أحمد بن محمد بن سعيد الكوفي المتوفى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بمعنى أن ابن عقدة حينما ذكر الموصوف بهذه الصفة روى عنه رواية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المولى ملا علي كني في المصدر السابق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الرجال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بإضافات و تصرفات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القريب هو أسند له،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فتدبر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إحصاء لمن ذكرهم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ممن اتصف بهذه الصفة و ردا لهذا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عليه أيضا ما صرح به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وجها ثانيا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الشيخ صرح في ديباجة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عقدة لم يذكر غير أصحاب الصادق عليه السّلام، و الشيخ قد ذكر هذه الجملة في جمع من أصحاب الباقر و الكاظم و الرضا عليهم السّلام أيضا كحماد بن راشد الأزدي، و يزيد بن الحسن، و أحمد بن عامر بن سليمان و داود بن سليمان بن يوسف، و عبد اللّه بن علي، و محمد بن أسلم الطوسي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في مقدمة منهج المقال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 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حكاه في 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 نتيجة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بهجة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و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لا توجد في الطبعة الأولى</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 على المتتبع، من زيادات الطبعة الثانية للكتاب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أصحاب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رأيت الاختلاف في معنى هذه اللفظة و في هيئتها صار الجلّ ممن تعرض لها إلى عدم فائدتها و عدم بقاء لقائل قولا، كما نص عليه المولى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قال سيدنا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يكاد يظهر معنى محصّل خال من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فتلخص أنه لا يكاد يظهر معنى صحيح لهذه الجملة في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الموارد، و هو أعلم بمراده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فوائد الوحيد أضاف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أنّه يحوي كميّة من الرّوايات، أو مالك لمعناها و مغزاها أو غير ذلك، و الأول أظهر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عدّه غير واحد كما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الألفاظ الّتي لا تفيد مدحا و لا قدحا،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المدح المستفاد منه أقوى من غيره ممّا ذكر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 إحراز المراد و تعيّن الاصطلاح تأمّل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أيضا المولى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الألفاظ الّتي لا تفيد مدحا و لا قدحا،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أنّه أقوى من غيره،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حيث لم يثبت أحد التّفاسير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قريب الأمر و مضطلع بالرّواية و سليم الجنبة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البناء على حسن حال الرجل، ثمّ قال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استفادة مطلق المدح من ذلك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يظهر التهافت بين المقسّم و الأقسام،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أن يقال في سليم الجنبة لو ثبت كونه بمعنى سليم الحديث و الطريقة أنّه يدلّ بالالتزام على وثاقة راويه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استدركه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اتفق ذلك لهاشم بن شعيب الطالقاني كذا قيل، و لم أتثبت حاله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الخاصي، فمرجع وصفه إلى الدخول مع إمام معين أو مذهب معين، و شدّة التزامه به أعمّ من كونه ثقة في نفسه، كما يدل عليه العرف، و ظاهره كون الممدوح أعم،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إلى وصف الحسن أقرب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العامي، فلا يراد منه مقابل الخواص و إن ادعاه البعض، و قد قال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من تأمل، لاختلاف ذلك في الأزمنة و الأمكنة و السياق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زيادات الطبعة الثانية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عبد النبي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يخبر به، و هو الصحيح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متقن، ثبت، حافظ، ضابط، يحتج بحديثه،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في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بالخبرية أو الإضافة على التوسع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حديثه، ينظر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حديثه بمعنى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يطرح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فيه و يختبر حتى يعرف حاله فلعله يقبل،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أنه ليس بظاهر 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اتفق هذا الوصف لجماعة منهم أحمد بن أبي عوف البخاري و ابنه محمد، و ذكرهما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من يعتمد على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ثبت، أو يقيد بأن يقال ثبت في الحديث، لأن الثمرة في تثبته بالنسبة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الحسن و القوة،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حديثه، و واسع الرواية، روى عنه الناس، ورع بصير بالحديث و الرواة، مسكون إلى روايته، كذا قيل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كمحمد بن بدران بن عمران أبو جعفر الرازي انظر ترجمته في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قاله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فالأقوى في جميع هذه الأوصاف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جليل، صالح الحديث، مشكور، خير، فاضل، خاص، ممدوح، زاهد، علم، صالح، قريب الأمر، مسكون إلى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الاكتفاء بها في التعديل، و إن كان بعضها أقرب إليه من بعض لأنه أعم من المطلوب، فلا تدلّ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في 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اللفظة مما يشار بها إلى الرواية عن الثقات و الاجتناب عن الرواية عن الضعاف، 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سكون، أو 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الأصحاب إلى رواية الرجل لكونه إمارة خلوه عن الطعون و أحاديثه عن المناكير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تجد اللفظة كثيرا في كلام النجاشي، و نظير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يطعن عليه في شيء أو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في مذهبه أو طريقته أو مشيخته أو غير ذلك من وجوه الطعن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يعتمد على جميع رواياته، لأنه لا يكون كذلك إلا إذا كانت خالية من التخليط و الغلو و المناكير، و عدم الاعتماد على الضعاف، و من لا يبالي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في الحديث</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قيل بصير بالرواة، إلا أنه أدنى مرتبة من صاحبه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ترجمتهما مفصلا في موسوعة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مستقيم و ممدوح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أعلى درجات الجلالة و الوثاقة، لإطلاقه على الأركان و العظماء مثل سلمان و أبي ذر و ميثم التمار و نظائرهم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 المثال الممثل، و الكلام في اللفظة بما هي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الحسن بن علي بن فضال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تعليقة المولى الوحيد عليها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النقص و النقيصة، و الإفضال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ضد النقص، و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524/11</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 كنز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ذيله و مقلوبا،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الأديان و علم الأبدان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ذكرى أني رأيت تصريح الشيخ البهائي من ذلك و بحثت و لم أظفر بمحله، و قد صرح العجلوني في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موضوع و نسبه إلى الخلاصة، و نقل السيوطي في أوائل خطبة كتابه الطب النبوي أنه من كلام الشافعي، و صرّح بوضعه في الأسرار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فقيه أصحابنا و وجههم، و عارضهم بالحديث، و المسموع قوله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عدّ السيد المقدس في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السيد الصدر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هذا في التوثيق فضلا عن المدح المعتد به، و كأنه اكتفى بحسن الظاهر و لو في تعرّفها فهان عليه الخطب، و لا يخفى كون هذه اللفظة من المراتب العالية في المدح، و لا وجه لعطف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على المحدث و القارئ، فتأمل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أفاده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فقهائنا، و هو يفيد الجلالة بلا شبهة و يشير إلى الوثاقة،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بل الأكثر لا يعدّه من أماراتها أما لعدم الدلالة عنده، أو لعدم نفع مثل تلك الدلالة، و كلاهما ليس بشيء، بل ربما يكون أنفع في بعض توثيقاتهم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بالتأمل،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النجاشي في إسماعيل بن عبد الخالق تشير إلى ما ذكرناه فلاحظ و تأمل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الورع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بمطلق التحرج، و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انظر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1296/3</w:t>
      </w:r>
      <w:r>
        <w:rPr>
          <w:rFonts w:ascii="IRNazanin" w:hAnsi="IRNazanin" w:eastAsia="IRNazanin"/>
          <w:b w:val="false"/>
          <w:b w:val="false"/>
          <w:bCs w:val="false"/>
          <w:i w:val="false"/>
          <w:i w:val="false"/>
          <w:iCs w:val="false"/>
          <w:color w:val="333333"/>
          <w:sz w:val="20"/>
          <w:sz w:val="20"/>
          <w:szCs w:val="20"/>
          <w:rtl w:val="true"/>
        </w:rPr>
        <w:t>، و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الوصف في جماعة كإبراهيم بن محمد الختلي، و أحمد بن عابد، و شهاب بن عبد ربه و أخويه عبد الخالق و وهب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حسن المعرفة و الدين، حسن العبادة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حق إبراهيم بن علي الكوفي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في حق الزهاد الثمانية و غيرهم لاحظ فوائد التنقيح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ترجمتهم و كلمات الأصحاب فيهم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البهائي صاحب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قولهم قريب الأمر فغريب، لأن الظاهر منه أنه على خلاف الطريقة، لكنه ليس بذلك البعيد، بل هو قريب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المولى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 في ألفاظ المدح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أخذه أهل الدراية مدحا و يحتاج إلى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أجاد المولى 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 ما 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ذيل رجال أبي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الألفاظ التي لا تفيد مدحا و لا قدحا في نفسها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أنه قريب العهد إلى التشيع، أو يقرب أمر قبول روايته، أو قريب المذهب إلينا، أو غير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شيئا مما ذكر لا يوجب مدحا معتبرا و إن أخذه أهل الدراية مدحا، فلعلهم أرادوا مطلقه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حفص بن غياث، و تأمل، الفوائد المطبوع في 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بدل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99/18</w:t>
      </w:r>
      <w:r>
        <w:rPr>
          <w:rFonts w:ascii="IRNazanin" w:hAnsi="IRNazanin" w:eastAsia="IRNazanin"/>
          <w:b w:val="false"/>
          <w:b w:val="false"/>
          <w:bCs w:val="false"/>
          <w:i w:val="false"/>
          <w:i w:val="false"/>
          <w:iCs w:val="false"/>
          <w:color w:val="333333"/>
          <w:sz w:val="20"/>
          <w:sz w:val="20"/>
          <w:szCs w:val="20"/>
          <w:rtl w:val="true"/>
        </w:rPr>
        <w:t>، و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منازل الرجال منّا، و حكاه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108/18</w:t>
      </w:r>
      <w:r>
        <w:rPr>
          <w:rFonts w:ascii="IRNazanin" w:hAnsi="IRNazanin" w:eastAsia="IRNazanin"/>
          <w:b w:val="false"/>
          <w:b w:val="false"/>
          <w:bCs w:val="false"/>
          <w:i w:val="false"/>
          <w:i w:val="false"/>
          <w:iCs w:val="false"/>
          <w:color w:val="333333"/>
          <w:sz w:val="20"/>
          <w:sz w:val="20"/>
          <w:szCs w:val="20"/>
          <w:rtl w:val="true"/>
        </w:rPr>
        <w:t>، و بطريق آخر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سنذكر له مصادر أخر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صاحب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تأمل، بل الأمر أعمّ و لا يدلّ على الأخص بأحد الدلالات الثلاث،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يراد من الصحبة بمعنى الوصف التام دون اللقب، و الكلام في إحراز ذلك، و يكفي شاهدا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ذكر لأصحاب الائمة عليهم الصلاة و السّلام قريبا،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البحث عن لفظة مولى في المقام الخامس في الألفاظ التي لا تفيد مدحا و لا قدحا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و الرواية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انظر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مما يؤيد ما ذكره المصنف ما صرح به غير واحد في ترجمة إدريس بن يزيد و غيره في غيره، كما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تلخص مما ذكر أن كثيرا من هذه الأوصاف ليست بالصريحة في التعديل و الوثاقة، و إن كان بعضها قريبا منه، و لو أفاد اللفظ المدح الحق الحديث المتصف به بالحسن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رواية الممدوح من أصحابنا مدحا لا يبلغ التعديل يعدّ الحديث حسنا، أما لو لم يعلم كون الممدوح من أصحابنا الإمامية و صدر المدح منهم فلا يصح إطلاق الحسن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المدح إن جاء من أصحابنا أفاد الحديث حسنا و عدّ حسنا، و إن جاء من غيرهم أفاد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 ذيل كلامه أعلى اللّه مقامه، إذ قد يكون ذمهم لنا مدحا، و يكون الحديث حسنا، إن لم يكن صحيحا، فتدبر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مراتب التعديل عند العامة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الضابط كل ما دلّ على المبالغة في التعديل بصيغة أفعل التفضيل و نحوه، و عدّ من هذه المرتبة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له نظيرا و لا أحد أثبت منه، و لا يسأل عنه، و من مثل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الأول الشافعي في ابن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أصدق من أدركت من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في ابن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عدّ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الصحبة أعلى المراتب، و يثبت بها التوثيق و أنه ثقة حافظ، و هذا لا يتلاءم حتى على مباينهم، فإن ضعف الحفظ أو الضبط لا ينافي الصحبة، و نستجير باللّه من اعوجاج المذهب و السليقة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الضابط له هو ما تأكد توثيقه بصفة من الصفات الدّالة على العدالة و التوثيق سواء كان باللفظ أو المعنى،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أو ثقة مأمون، عدل 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نظائرهما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هنا كل ما دل على العدالة بلفظ يشعر بالضبط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متقن حجة إمام، و ما شاكلها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فرّق البعض بين صدوق و محله الصدق، حيث جعل الأولى مقدمة لأنه مبالغة في الصدق، أما محله الصدق فإنه دالّ على أن صاحبها محله و مرتبته مطلق الصدق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الأخيرة أضافها العراقي في 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كل ما دل على التعديل و التوثيق بما لا يشعر بالضبط و الإتقان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الملاك فيها ما دلّ على صدق الراوي و عدم ضبطه كما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الصدق، صالح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يكتب حديثه و ينظر فيه عبارة لا تشعر بالضبط، فيعتبر حديثه بموافقة الضابطين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و المناط فيها هو كل لفظ أشعر بقربه من التجريح، كقرن صفة المرتبة بالمشيئة مثل صويلح صدوق إن شاء اللّه ليس ببعيد عن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شاكلها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بعض الوجوه في المستدرك، و حيث إن غالب جمهور العامة لا يعتبر العدالة في تحققها ظاهرا، و يكتفي بظاهر الإسلام ما لم يظهر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 إلى شاذ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تجدهم يكتفون بكثير من هذه الألفاظ على التعديل خصوصا مثل العالم و المتقن و الصالح و الضابط و الفاضل و الثبت و نظائرها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عنها اليوم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التوثيقات العامة، 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أنه قد استوفى المقال في ذلك في التعليقة اقتصرت غالبا على نقل كلامه، و كلما قلت في هذا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الفاعل فهو المراد به، و ربما عقبته بقولي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عقبته بما ينبغي أن يقال، و ربما لخّصت عبارته أو غيرتها للتوضيح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غير واحد منهم رضوان اللّه عليهم، كما في منتقى الجمان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الطبعة الثانية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بألفاظ متقاربة في تعليقة الوحيد رحمه اللّه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النبي الجزائري في 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النسخة الخطية الموجودة في مكتبة الحاج حسين ملك في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أيضا أن مجرد توكيل بعض المعصومين للرجل لا يثبت عدالة ذلك الرجل ما لم تكن للوكالة جهة شروط بها، فلا يتوهم من قولهم فلانا وكيل الاكتفاء بذلك تعديله كما تشعر به عبارة الخلاصة في كثير من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معين النبيه في بيان رجال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يفيد التوكيل التعديل خلافا لبعض قليل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من الإضافات على الطبعة الثانية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آخر رجال الخاقاني 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يؤتى بروايته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دون ذلك</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الوحيد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العبارة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جهته، فتدبر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المسالك، قاله في الحكم بن مسكين لما كان كثير الرواية و لم يرد فيه طعن فأنا أعمل بروايته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صاحب البحار أن ذلك من شواهد الوثاقة، و ذهب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هاشم القمي القسم الاول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أسباب قبول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كلام الميرزا النوري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w:t>
      </w:r>
      <w:r>
        <w:rPr>
          <w:rFonts w:ascii="IRNazanin" w:hAnsi="IRNazanin" w:eastAsia="IRNazanin"/>
          <w:b w:val="false"/>
          <w:b w:val="false"/>
          <w:bCs w:val="false"/>
          <w:i w:val="false"/>
          <w:i w:val="false"/>
          <w:iCs w:val="false"/>
          <w:color w:val="333333"/>
          <w:sz w:val="20"/>
          <w:sz w:val="20"/>
          <w:szCs w:val="20"/>
          <w:rtl w:val="true"/>
        </w:rPr>
        <w:t xml:space="preserve">، و قد مر بعضه في الفوائد من 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يستشهد له بقول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منازل الرجال على قدر روايتهم عنّا، كما 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منازل شيعتنا بقدر ما يحسنون من رواياتهم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لا نعدّ الفقيه منهم فقيها حتى يكون محدثا، و بهذا المضمون روايات راجع المجلد الثامن عشر من وسائل الشيعة و مقدمة رجال الكشي و غيرها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هنا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علم من حاله أو قيل في حقه أنه لا يروي إلا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القيد يخرج عن الامارات العامة، فتدبر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يدع أحد أن العدالة شرط ينتفي الحديث بانتفائه، بل نقل شيخ الطائفة إجماع الطائفة على العمل بأخبار الثقات من الفطحية و الناووسية و نحوهما من الفرق الفاسدة، إلا أن يؤخذ بلازم كلام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بأنا الى الآن لم نعلم عملهم باخبار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روايتهم، و هو الظاهر، أو يكون بدلا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رجال الخاقاني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ترجمة عبد اللّه عن النجاشي أنه كان كذلك، فتأمل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النيلي الأحول، و قد عدّ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الجد قدس سره في آخر ترجمته 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تضعيف النجاشي لا معدل عنه لشدة الوثوق به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من الخارج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المولى الوحيد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المولى البهبهاني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ذيل رجال الخاقاني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الوحيد البهبهاني 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هذه الدعوى ما ذكره الشيخ في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بحثه عن الخبر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أحد الراويين مسندا و الآخر مرسلا، نظر في حال المرسل فإن كان ممن يعلم أنه لا يرسل إلا عن ثقة موثوق به فلا ترجيح لخبر غيره على خبره، و لأجل ذلك سوت الطائفة بين ما يرويه محمد بن أبي عمير و صفوان بن يحيى و أحمد بن محمد بن أبي نصر و غيرهم من الثقات الذين عرفوا بأنهم لا يروون و لا يرسلون الا ممن يوثق به و بين ما أسنده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عملوا بمرسلهم إذا انفرد عن رواية غيرهم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بن محمد بن أبي نصر له ترجمة ضافية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بشير البجلي الوشاء من أصحاب الرضا عليه السّلام انظر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الوحيد في التعليقة، و علّق على ترجمتهما في منهج المقال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لمحمد بن إسماعيل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لا تدل على الحصر، أي أنهما لا يرويان إلا عن ثقة، و يؤكد ذلك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رووا عنه، حيث لا يحتمل أنهما لم يرويا عنهما غير الثقات، مع أن الضعفاء يروون عن كل أحد، و في مقام التمييز في ترجمتهما تجد أنهما يرويان عن الضعفاء و يروون عنهما، و غاية ما توجّه به عبارة النجاشي إن رواياتهما عن الثقات و رواية الثقات عنهما كثيرة، فتدبر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تعليقات المولى البهبهاني هناك، و كذا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زيادات المصنف في الطبعة الثانية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التوقيعات في حديث عن أبي محمد الحسن ابن علي صلوات اللّه عليه أنه سئل عن كتب بني فضال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بما رووا، و ذروا ما رأوا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التزم بها و أرسلها إرسال المسلمات الشيخ الأنصاري في أول صلاته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التعرض لرواية داود بن فرقد الواردة في أوقات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و إن كانت مرسلة إلا أن سندها الى الحسن بن فضال صحيح و بنو فضال ممن أمرنا بالأخذ بكتبهم و رواياتهم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عليه ينزّلون بمنزلة أصحاب الإجماع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الوحيد في تعليقته على منهج المقال في ترجمة إسماعيل بن أبي زياد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قد قاله المحقق في نكت النهاية في مسألة انعتاق الحمل بعتق امه، و كذا قالها في المسائل العزية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يطهّر و لا يطهر، فراجع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رواية الثقة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الطبعة الأولى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الرواية 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كذا القهبائي في أول مجمع الرجال، و آخر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أخره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الرواية 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الكشي ابن فريد، و هو الظاهر،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كما في المصدر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لا توجد في المصدر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باب فضل الرواية 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قريب منه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هذه الرواية، ما ذكرناه في صدر الكتاب عن الباقر عليه السّلام التي رواها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بابا في أن الأئمة عليهم السّلام محدثون مفهمون، فراجع روايات الباب، و مستدركنا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 و ثانيا لو صح الإشكال لسقط الاعتماد على هذه الرواية من رأسها، لا أنها تخصص بمن روى بلا واسطة، فتدبر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كلام صاحب الرواشح و مناقشته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رجال الخاقاني 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 القميين و رئيسهم أحمد بن محمد بن عيسى الذي أخرج جمعا كالبرقي أحمد بن محمد بن خالد من قم لرواياتهم عن الضعفاء و اعتمادهم المراسيل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عنونة المسألة بما فعله السيد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رواية الثقة الثبت عن رجل سماه تعديل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 شرح العضدي، و نقل فيه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لأن الظاهر أنه لا يروي إلا عن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أعم، و كثرة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أن من عادته أنه لا يروي إلا عن عدل فهو تعديل، و إلا فلا،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المختار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حبّذا تعميم العنوان باعتماد من لا يعتمد إلا على ثقة و معتمد، أو رواية من يطعن على الرّجال في روايتهم عن المجاهيل غير الثّقات 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من تداخل كثير من هذه الوجوه لو عمّم العنوان فيها، و قد جعل شيخنا الوحيد دلالة هذا على الوثاقة في غاية الظّهور، و لا يخفى ما فيه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الدّور و المسامحة،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إثبات الوثاقة من قبولهم لرواياته، و تظهر الثمرة عند التعارض، أو أنّه كشف أنّي، فتأمل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حكم باعتبار كل ما روى عنه محمد بن أحمد بن يحيى و لم يستثن من رواياته إلاّ ما استثناه ابن الوليد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تعليقة الوحيد على منهج المقال في ترجمة محمد بن إسماعيل البندقي فهي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الشّهيد الثّاني رحمه اللّه إطباق أصحابنا على الحكم بصحّة حديثه إلاّ ابن داود، و له كلام طويل لا محصّل في ذكره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لا يخفى ما فيه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قد مرّ قريبا نقل كلامه أعلى اللّه مقامه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التّأمل أن من لاحظ كتب القوم من المتقدّمين و المتأخّرين حتّى شيخنا الكليني علم أنّهم لا يتحاشون عن الرواية عن الضّعفاء و المجاهيل فيما لا يتعلق بالحلال و الحرام بل فيه أيضا، نعم مثل هذا و أشباهه يفيد قوة في الرواية لا دخل لها في الحسن فضلا عن الصحّة، فتدبر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شرحه لقول المحقق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 الطهارة 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الاستبصار للشيخ محمد سبط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حيث في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نثبته في ترجمته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ارتضاه، حيث نجد الكليني و الصدوق و الشيخ و غيرهم من مشايخنا كثير ما يترحمون على البعض و يترضّون عنهم، مما يكشف عن وجود خصوصية و مكانة و جلالة لهم و ثمّت عناية خاصة بالمترحم عليه، ا لا تراهم كثيرا ما يذكرون الأجلاء و الثقات ساكنين عنهم، و إن كانت الخصوصية تنشأ غالبا من الشيخوخة و غيرها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بالتأمل بعد ذلك، فلاحظ</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فرق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أجملنا البحث في حجية الظنون الرجالية في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علي بن الحسن بن علي بن فضال و أخواه أحمد و محمد و أبوهم الحسن بن علي، قال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بين الثلاثة في الآخر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إطلاق ابن فضال على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كتابنا معجم الرموز و الإشارات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الطاطريون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بطاءين مهملتين بينهما ألف ثم راء و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بيع الثياب الطاطرية المنسوبة الى طاطري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تكررت بعض هذه الأسماء بعناوين مختلفة ضمن عدّة من الأمارات، و كان الأولى جمعها في مورد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صفوان و ابن أبي عمير و أحمد بن محمد بن أبي نصر لما ستعرف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 ما قيل من أنهم لا يرويان أو لا يرون إلا عن ثقة، و قد حكي الإجماع على هؤلاء الثلاثة، كما نص عليه مولانا الوحيد في التعليقة و غيره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أسلفنا نقل عبارة الشيخ في عدة الأصول في بحث المرسل، فلاحظ</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كذا الذي قبله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رواية هؤلاء تقتضي قوة الحديث في نفسه لا الحسن بالمعنى المصطلح بين المتأخرين، لما مرّ منّا كرارا، فلاحظ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مخالفي المذهب الثقات، و هو الصحيح</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كلام المولى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أبي الحسن محمد بن إسماعيل البندقي حيث قال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وصف جماعة من الأصحاب أولهم العلامة أحاديث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طرقها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و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أن التوثيق من باب الشهادة و التصحيح ربما كان مبنيا على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لا يخفى على المطلع بأحوال التوثيقات، مع أنهم قالوا بالاكتفاء بالظن و البناء عليه، فتأمل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عبارة الوحيد البهبهاني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 تصرف كثير و اختصار أحيانا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سيد أساتذتنا ناقش في توثيقات و تصحيحات أمثال العلامة في أكثر من مكان في كتبه منها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غير ذلك كما في توثيقات ابن طاوس و العلامة و ابن داود و من تأخر عنهم كالمجلسي لمن كان بعيدا عن عصرهم فلا عبرة بها، فإنها مبنية على الحدس و الاجتهاد جزما، و ذلك فإن السلسلة قد انقطعت بعد الشيخ فأصبح عامة الناس إلا قليلا منهم مقلدين يعملون بفتاوي الشيخ و يستدلون بها كما يستدل بالرواية على ما صرح به الحلي في السرائر و غيره في غيره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فيه من عدم الاعتبار و الحجية في ضعيف الحديث بالحديث الضعيف، و لعل الحجية في نقل الرواية و عدم تأمل الناقل فيها، فتدبر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الفوائد، و لا يخفى ما فيه من دور مضمر، و قد حكم ثاني الشهيدين و غيره بوثاقة عمر بن حنظلة لقول الصادق عليه السّلام في حديث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لا يكذب علينا، كما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مع ما في سنده من الضعف لمكان يزيد بن خليفة و ما ذلك إلا لرواية الأجلاء كالشيخ و الكليني له و عمل كثيرين به، فتأمّل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رحمه اللّه في الطبعة الأولى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جلالة البيت و كبره أعم من مدح رجاله، فتأمّل، و نعم ما قال بلا تأمّل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الرحمن بن نعيم الغامدي أبو محمد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يذكره النّجاشي أو مثله، و لعلّه اشتبه عليه الرّمز فراجع، و كذا لاحظ منهج المقال في ترجمة الحكم بن مسكين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تعليقة الوحيد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يظهر من عدّة من أصحابنا وثاقة مشايخ النّجاشي كأحمد بن عليّ المتوفّى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غيره، و صرّح بذلك غير واحد من أعاظم المتأخّرين، و لذا تجدهم اعتمدوا على رواية جماعة ممّن لم يصرح بتوثيقه من مشايخه، و مستندهم أنه رحمه اللّه لا يروي إلاّ عن الثّقات، و تلك أمارة على التّوثيق فيما لو ظهر التزامه بعدم الرواية عن غير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فصّل البحث فيه في 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الشرط الثاني في صلاة الجمعة و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في المختلف في طريق رواية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ذكره الكشي و لم يتعرض له بذم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الوحيد 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المعارج للمحقّق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العبارة للأخير، و قد نقلت عبارته هنا و في التّعليقة مشوّشا، و لم يظهر 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نضطر لنقل عبارة المحقّق قدّس سره، قال رحمه اللّه ما نصّه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استدراك ما هناك من أمارات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الوحيد البهبهاني رحمه اللّه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و تصرف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اختصار قاله في الفوائد البهبهانية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بالتأمل،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كان في مقام أمارة مشيرة الى توهم منهم فالتوقف فيه كما هو الحال في غيرها، و قصرهم توثيقهم في توثيقات القدماء غير ظاهر، بل ربما يكون الظاهر خلافه، كما يظهر من غير واحد من التراجم، مع أن ضرر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ظاهر، فتدبر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 التعليل من نظر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المسألة السيد الداماد كبرويا في رواشحه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الحادية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ناقشها، فراجع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 أعمّ من الجرح في العدالة، و القدح و الجرح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الألفاظ تختلف جرحا و قدحا، و كان الأولى ترتيبها نظما و سلكها رتبا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رجلا ممن قيل فيه أنه يضع الحديث</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يستعقب التوبة و الندم، لا مطلقا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غيره من الألفاظ على تفصيل في بعضها، لاحظ المستدرك</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كقولهم ليس بثقة، ليس بمأمون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فاسد المذهب، إن صدرت منّا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وردت فيه اللعنة من الرواة عدّ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أكثر من ذلك</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صرف كونه متهما لا يفيد جرحا ما لم يعلق بكذب أو غلو أو نحوهما من الأوصاف القادحة أو ينصرف أو يتبادر من حاق اللفظ مدلول الجرح، و ليس من السهل قبول صرف الاتهام ما لم يتثبت منه، لاختلافهم في المسائل الأصولية كالفرعية، فتدبر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 لغة، مأخوذ من العصبية، و العصب و الأعصاب هي أطناب المفاصل، و يأتي بمعنى اشتد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يلزم التفريق بين ما لو أريد بالسقوط في نفسه أو في خصوص حديثه، و إن أطلق البعض كالمصنف رحمه اللّه،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نظيره 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جرح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ذاهب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أحدهم عمن يترك حديثه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يتهم بالكذب، و من يكثر الغلط، و من يخطئ في حديث يجمع عليه فلا يتهم نفسه و يقيّم غلطه، و رجل روى عن المعروفين ما لا يعرفه المعروفون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ملا علي كني الطهراني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ذيل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لم أجد نص العبارة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نسبة الضعف عند بعض القدماء خاصة القميين منهم و ابن الغضائري من غيرهم كانت هينة، بل تراهم يضعّفون بما ليس بموجب للفسق كالرواية عن الضعفاء أو الحكاية عن المجاهيل أو اعتماد المراسيل، بل قال الوحيد رحمه اللّه في التعليقة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ربما كانت مثل الرواية بالمعنى و نظائره سببا، و لعل من أسباب الضعف عندهم قلّه الحافظة و سوء الضبط، و الرواية من غير إجازة، و الرواية عمن لم يلقه، و اضطراب ألفاظ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نسبة الغلو عندهم حتى تراهم ان نفي السهو عنهم عليهم السّلام غلوّا، بل ربما جعلوا نسبة مطلق التفويض إليهم أو المختلف فيه أو الإغراق في تعظيمهم و رواية المعجزات عنهم و خوارق العادات لهم أو المبالغة في تنزيههم من النقائص و إظهار سعة قدرتهم و إحاطة العلم بمكنونات الغيوب في السماء و الأرض ارتفاعا موجبا للتهمة، على حد تعبير صاحب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 التأمل في جرح القدماء بأمثال هذه الأمور، و من لحظ موقع قدحهم في كثير من المشاهير كيونس بن عبد الرحمن و محمد بن سنان و المفضل بن عمر و معلى بن خنيس و سهل بن زياد و نصر ابن الصباح عرف أنهم قشريون كما ذكرنا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من كلامهم أو ينبغي إرادتهم مطلق القدح في نفس الرجل لا خصوص الفسق، و عليه فيشمل ما لو كان التضعيف لسوء ضبطه أو قلّة حفظه أو عدم المبالاة في الرواية في أخذها و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تصحيحهم غير مقصور على العدالة فكذا تضعيفهم غير مقصور على الفسق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يراد منه أن حديثه تارة يصلح و تارة يفسد كما قال ابن الغضائري في إسماعيل ابن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ليس بالنقي، يضطرب تارة و يصلح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كلمة كثيرا ما تتردد على لسان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من دون إضافة، و يراد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يستقيم تارة و ينحرف أخرى</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خلط أو اختلط بعد استقامة بخرق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فسكون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الحمق و ضعف العقل و فسق، كالواقفة بعد استقامتهم في زمن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الفطحية في زمن الصادق عليه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ابن 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قلت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فلا تحل الرواية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البداية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المولى 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آخر منهج المقال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كل أسباب المدح و القدح كذلك، فلاحظ و تدبّر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بعض نسخ البداية الخطية ليست معنونة بألفاظ الجرح، و لعل العنوان من زيادات الشراح، فتدبر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تبعه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يبعد دلالة ذلك على نوع مدح يعني ليس بحيث يوثّق به وثوقا تامّا و إن كان فيه وثوق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لذا أو غيره لم يذهب ذاهب هنا الى افادتها القدح في العدالة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بذلك النّقي، فإنه أضعف في ذم الحديث من ليس بنقي الحديث، أما أن هذه الألفاظ هل هي قادحة في العدالة؟ فلا، كما هو واضح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قيل على الإطلاق فيراد منه مخلّط في نفسه و اعتقاده كمختلط الأمر، و إن قيل فيما يرويه كما قال ابن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حكي عنه في محمد بن جعفر بن 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مخلّط فيما يسنده، فالظاهر منه أنه ليس بمخلّط في اعتقاده، و كثيرا ما يضاف في مقام الذّم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مخلّط الحديث أو مضطرب الحديث أو ليس بنقي الحديث و أشباه ذلك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يجمع، و كذا في توضيح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أبو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فراجع، و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و كتب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و كلاهما بدون واو</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يقول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مخلط مع، و قد كتب في الحاشية، و لا معنى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 هو الصّحيح و كذا في رجال النّجاشي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بنصّه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أورمة، و كذا في رجال النّجاشي، و قال الشّيخ في الفهرست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أورمة، و ضبطه العلاّمة في الخلاصة هكذا، أي بضم الهمزة و إسكان الواو و فتح الراء المهملة و الميم و الهاء،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الراء على الواو، فراجع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كلام صاحب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نقله عبارة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استشهد على مختاره بما لا يشهد له، إذ غايته إطلاق ذلك على غير فاسد العقيدة، و لا مجال لإنكاره، و أين هذا من ظهور الإطلاق؟ كما أن كون المبدأ الخلط الّذي هو المزج لا يقتضي ما ذكره، فإن استعمال التّخليط في فساد العقيدة أمر عرفي لا ينكر، و لا ينافيه كون أصل وضع اللغة على خلافه، مع أنه لا مخالفة أن فساد العقيدة ربما يكون بتخليط صحيحها بسقيمها، بل الغالب في المرتدين عن الدين أو المذهب كذلك، لبعد الرّجوع عن جميع العقائد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مذهبه ارتفاع كمرتفع القول، أو من أهل الارتفاع، و كان من الطيارة، يريدون بذلك كله التّجاوز بالأئمّة عليهم السّلام الى ما لا يسوغ، و كونه غاليا، لاحظ بحث الغلو</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الذم و الجرح عند العامة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قولهم لا يبالي عمن أخذ، أو يعتمد المراسيل و أشباه ذلك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منافاة بين الوثاقة و الرواية عن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رمى القميون كثيرا و طردوا البعض لذلك مثل أحمد بن محمد البرقي، و الحسن بن محمد بن جمهور القمي، و حاتم ابن أبي حاتم القزويني، و محمد بن عبد اللّه، و علي بن أبي سهل و غيرهم مع أن أكثرهم ثقات بلا شبهة و ريب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هذه الطريقة شائعة بين الطائفة تبركا بأسمائهم سلام اللّه عليهم فلا يحكم بمجرد ذلك بقدحه، و إن كان في النفس شيء على من يطالبهم سلام اللّه عليهم بإسناد أقوالهم و إثبات دعاويهم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منصور بن كثير بن سلمة الخزاعي أبو محمد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أبو جعفر أحمد بن عبد اللّه بن مهران المعروف بابن خانبة، ذكره الشيخ في رجاله في باب من لم يرو عنهم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غلمان يونس بن عبد الرحمن، و له مكاتبة مع الإمام الرضا عليه السّلام ذكرها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ولده محمد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اللّه بن مهران،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 النص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له ترجمة ضافية مع كل ما روى فيه و عنه في رجال المامقاني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التثنية في كلامه أعلى اللّه مقامه راجع الى 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الخليفة و كاتب الوالي، و لعله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فساد العقيدة من زيادات الطبعة الثانية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سبيتك و لا سبيت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هو غلط، و الصحيح ما أثبتناه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كذا في الاحتجاج</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مروان، كذا في الأصل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بذا خاطبت عائشة مروان 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أباك و أنت في صلبه، فأنت بعض من لعنه اللّه،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اَلرُّؤْيَا اَلَّتِي أَرَيْناكَ إِلاّ فِتْنَةً لِلنّاسِ وَ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الآلوسي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الشوكاني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العلامة الأميني رحمه اللّه في غديره أكثر من خمسة عشر مصدرا غير ما ذكرناه، لاحظ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أما عن طريق الخاصة فأجدني في غنى عن عدّ المصادر لتسالمهم عليها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الرواية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أصفهان لا يكون فيهم خمس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السخاوة، و الشجاعة، و الأمانة، و الغيرة، و حبنا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للعلامة المجلسي هنا بيان جدير بالملاحظة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بنو أبي العاص ثلاثين رجلا اتخذوا مال اللّه دولا، و عباد اللّه خولا، و دين اللّه دغلا، كما أخرجه الحاكم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من كنز العمال عن علي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أمة آفة و آفة هذه الأمة 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لبني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طريق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أبغض الأحياء أو الناس الى رسول اللّه بنو أمية، كما ذكره في هامش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لا يخفى ما في العبارة من تشويش</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بحاله، و هو الصحيح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أموي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ما سقط عن قلم الشيخ الجد قدس سره في سائر أسباب الذم أو تخيل كونه منه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في بحار الأنوار المجلد السابع و الثلاثون من الطبعة الجديدة بابا مستقلا في ذكر مذاهب الذين خالفوا الفرقة المحقة في القول بالأئمة الاثني عشر صلوات اللّه عليهم، و ذكر أكثر ما ذهب له المصنف رحمه اللّه من المذاهب و تاريخ اختلافها و منشأ ذلك و رجالاتها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حكى عن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هؤلاء الفرق التي ذكرناها فرقة موجودة في زماننا هذا و هو من سنة ثلاث و سبعين و ثلاثمائة إلا الإمامية الاثنا عشرية 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أكثر فرق الشيعة عددا و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طبعا لا يريد الزيدية و فرقها و لا الطوائف التي أحدثتها السياسات المتأخرة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تجد تفصيل هذه المذاهب في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كتب الملل و النحل و الفرق و الأديان، و لم نبسط الكلام فيها لخروجها موضوعا عما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لكل فرقة جملة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عقيدتنا في كل واحد من هذه المذاهب و الفرق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 حكاه السيد المرتضى عن الفصول للشيخ المفيد قدس اللّه سرهما كما ذكره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بتفصيل، فراجعه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ليس في الطبعة الأولى</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لقبه كان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حكاه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الكيسانية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الروافض، و هم أصحاب المختار بن عبيدة، يقال أن لقبه كان كيسان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لا يوجد في الطبعة الأولى و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رضوى بين المدينة و مكة، و هذا ما ذكره في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رحمه اللّه في التنقيح و تحفة العالم في شرح خطبة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بمضامين متعددة و اسانيد مستفيضة بل متواترة في كتب الفريقين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من مورد، و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دلائل الإمامة و كفاية الأثر و بحار الأنوار و الغيبة للشيخ و للنعماني و التوحيد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عنه و عن الإكمال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 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منهم الى بني العباس، و عن فرقة 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فرقة 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بيان الأديان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نفايس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دائرة المعارف لفريد و 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لقد عدّ في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عدة فرق منهم،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كيسان مولى أمير المؤمنين علي عليه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للسيد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فيه اعتقادا بالغا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فرقة قالت إن محمد بن الحنفية حي لم يمت و مقيم بجبل رضوى بين مكة و المدينة تغذوه الآرام، تغدو عليه و تروح، فيشرب من ألبانها و يأكل من لحومها، و عن يمينه أسد و عن يساره أسد يحفظانه الى أوان خروجه و مجيئه و 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الاسماعيلية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 الاسماعيلية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مقدمة دعائم الإسلام و 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فرهنگ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منبثة في أقاليم متفرقة من البلاد الإسلامية، و بعضها في جنوب إفريقية و وسطها، و بعضهم في بلاد الشام، و كثير منها في الهند، و بعضها في پاكستان، و قد كانت لها في الإسلام دولة، فالفاطميون في مصر و الشام كانوا منهم، و القرامطة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سيطروا وقتا على عدة أقاليم 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منهم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الى و منها الفطحية، من زيادات المصنف رحمه اللّه على الطبعة الثانية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نفايس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عدّهم فيه من فرقة الكيسانية،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الريحانة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هم من فرق الكيسانيّة أو المختاريّة، فراجع هناك</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الرزاميّة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بيان الأديان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ذيل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قاموس 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مقالات 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نفايس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فرهنگ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أفطحيّة، و لعلّهما اثنان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الأولى من الكتاب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أفطح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قد أسقطت في الطّبعة الثّانية و هو سهو، لأنّها موجودة في الاختيار و غيره، إلاّ أن القول بأنه أفطح الرّجلين جاء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معين النّبيه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روايات الباب في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الإمامة في الأعقاب، و غيره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ما ذكره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متقاربة، و نقله عنه في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الكبير للأسترآبادي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غيره ممن مرّ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في المنتهى خلافا لما ذكره الشّهيد الثّاني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القول في ردّهم العلاّمة المجلسي في بحاره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من هنا قال في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السّابعة، حيث ذهب الى أن صرف وجود رجال من الفطحيّة لا يضر في السّند و لا يوجب الطعن فيه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لا يوجد في الطّبعة الأولى من الكتاب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دون أخيه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يدعون أن أباه نص عليه بالإمامة دون سائر أخوته، و قد خرج هذا بالسيف و تسمى بأمير المؤمنين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التعليقة للوحيد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 المفيد في كتاب الفصول كما حكاه السيد المرتضى و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الناووسية ثاني افتراق حصل عند الإمامية بعد الكيسانية، و كان مبدأ كثير من المذاهب بعد رحلة الإمام الصادق عليه السّلام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عنبسة بن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الناووسية برئيس كان لهم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 الناووسي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يؤيد الوجه الأول الذي ذكره المصنف رحمه اللّه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زيادات الطبعة الثانية و هو مكرر لما سيذكره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حكى كلا الوجهين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و حكاه عنه عدّة مصادر منها معين النبيه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زيادات الطبعة الثانية، و ما قبله مكرر لما ألحقه قدس سره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هما فرقتان، و لعله يظهر ذلك من بعض الروايات المروية في الكشي و غيره، و سيتعرض المصنف لذلك</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زيادات الطبعة الثانية، و هنا في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الأخبار أنه كان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عقدا العقود، بدلا من عقارا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اشتريا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نغنيك</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اللّه عز و جل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باختلاف يسير، و انظر 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من منهج المقال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 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مسهبا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هذا الصنف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مشتاقين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يملأ الدنيا قسطا و عدلا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ما علقه الوحيد البهبهاني عليها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مصلحة لهم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جابر من الصادق عليه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بتصرف، و الآية في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بيده على أبي عبد 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من إضافات المصنف رحمه اللّه على الطبعة الأولى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البراثي، و كل ما هنا من لفظ البراني فكذلك</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بحر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و هو الظاهر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يعيشون شكاكا، و يموتون زنادقة،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بعضنا أما الشكاك فقد علمناه، فكيف يموتون زنادقة؟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رجلا منهم و قد احتضر فسمعته يقول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 و ذيل الحديث</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لعل هنا سقط، و الظاهر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محمد عن موسى بن سلام عن الحكم بن مسكين عن عيص بن القاسم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خالد على أبي عبد 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يعرف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 باللّه، و هو الظاهر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عرضهم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 و هو الظاهر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النخاس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ليس يتحلّون حبكم و يتولونكم و يتبرون من عدوكم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أموالهم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انتهى</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و لعل الضمير يرجع الى الخبر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قد مرّ ذكره من المصنف رحمه اللّه أول البحث</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علي الفارسي، و كل الروايات في رجال الكشي كذلك، كما مرّ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محمد بن علي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صلاتي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صلواتك، و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صلاتك، و المعنى واحد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الجبار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سقطت رواية، و لعلها اسقطت من قبل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في الرواية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أحمد بن محمد البرقي عن جعفر بن محمد بن يونس، قال جاءني جماعة من أصحابنا معهم رقاع فيها جوابات المسائل إلا رقعة الواقف قد رجعت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حالها لم يوقّع فيها شيء</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هذه المكاتبة قريبا بإسناد آخر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و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قال حدثنا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أنهم قوم لا خلاق لهم في الآخرة و لا يكلمهم اللّه يوم القيامة و لا يزكيهم و لهم عذاب أليم،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أزغت قلبي عن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شيعتنا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قد مرّ سابقا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و اختلاف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قوامه، و كذا في الغيبة و العيون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جهودهم، و هو غلط، و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جحدهم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تكلمت، و هو الظاهر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الصادقين عليهما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اختصار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من المصنف رحمه اللّه ذكره، و هو من زياداته على الطبعة الثانية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يسير، و 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يوجد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يجحد الإمام بعد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يجحد الإمامة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إمامته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موته و يجحد الإمامة بعد إمامته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جملة من هذه الروايات أيضا الوحيد البهبهاني في آخر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منها في ذيل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الجارودية و السليمانية و البترية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ما ذكر أولى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زيادات الطبعة الثانية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فرق الشيعة للنوبختي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رجال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فرهنگ 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كشاف الاصطلاحات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دائرة المعارف فريد و 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789/4</w:t>
      </w:r>
      <w:r>
        <w:rPr>
          <w:rFonts w:ascii="IRNazanin" w:hAnsi="IRNazanin" w:eastAsia="IRNazanin"/>
          <w:b w:val="false"/>
          <w:b w:val="false"/>
          <w:bCs w:val="false"/>
          <w:i w:val="false"/>
          <w:i w:val="false"/>
          <w:iCs w:val="false"/>
          <w:color w:val="333333"/>
          <w:sz w:val="20"/>
          <w:sz w:val="20"/>
          <w:szCs w:val="20"/>
          <w:rtl w:val="true"/>
        </w:rPr>
        <w:t>، 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نفايس الفنون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القاموس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و عقد لهم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في ذكر جماعة منهم و ذكر سبعة و عشرين رجلا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أبترية،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هما و المغيرية واحد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يقتضي الفتح، لأنه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 و الحق التثليث فيه، فتدبر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بضم التاء، كما في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نص عليه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الاختيار و كذا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أخذه من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اخرى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الصحيح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قيل لهم الصالحية، كذا قال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البترية يسمون بالصالحية أيضا، لأن من رؤسائهم الحسن بن صالح</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منهج المقال و كذا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المقدام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زيادات المصنف على الطبعة الثانية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بتصرف في المصادر السابقة، و كذا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الآتية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الجارودية، من زيادات المصنف رحمه اللّه على الطبعة الثانية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كما مرّ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أبتر اليد كما نص عليه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العلامة المجلسي في بحاره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178/72</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واو في البحار و لا التكملة و هو الظاهر، لأن كنية ثابت الحداد أبو المقدام، فلاحظ</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تتبرءون، و كذا 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تتبرون و المعنى واحد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صباح</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الجلاب، و الظاهر أن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سعد الجلاب فلاحظ</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البترية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حكاه المجلسي في بحاره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زيادات الطبعة الثانية من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الشيخ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الذم و حكاها عنه و غيرها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ترجمه مفصلا الشيخ الجد قدس سره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أكثر من واحد كما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جرد، 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يدخلون في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بدلا من زياد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 زياد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كتاب 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بالنص من النبي صلّى اللّه عليه و آله في الإمامة على أمير المؤمنين عليه السّلام وصفا لا 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الصحابة كفروا بمخالفته و تركهم الاقتداء به بعد النبي صلّى اللّه عليه و آله و سلّم و الإمامة بعد الحسن و الحسين عليهما السّلام سوي في أولادهما، فمن خرج بالسيف و هو عالم شجاع فهو إمام، و اختلفوا في الإمام المنتظر 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يظهر من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السرحوبية من الزيدية خاصة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 واحد كما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إلا أن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 سليمان بن حريز</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زيادات الطبعة الثانية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عقائدهم أنه تصح إمامة المفضول مع وجود الأفضل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بكر و عمر إمامان و إن أخطأت الامة في البيعة لهما مع وجود علي عليه السّلام، لكنه خطأ لم ينته الى درجة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عقائدهم السخيفة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فرهنگ 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كشاف الاصطلاحات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نفائس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 من فرق الزيدية، و في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 من الخوارج، إلا أنه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المجلد عدّها من فرق المرجئة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انظر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و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المصنف رحمه اللّه في الطبعة الثانية للكتاب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تستبين النجوم، و مثله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المجمع في آخر كلامه، و هو محمد بن المقلاص المكنى بأبي زينب، و ام الخطاب كانت أمة لزيد بن عبد المطلب فسطر بها نفيل فأحبلها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به غير واحد كما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 الناس الى وقت، و إنما لبس تلك الصورة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الكلام و لما وقف عيسى بن موسى صاحب المنصور على خبث هذه المقالة قتله بالكوفة، و افترقوا بعده فرقا، فمنهم من قال إن الإمام بعده بزيع، و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البزيعية، و يقولون كل مؤمن يوحى إليه، و إن الإنسان إذا بلغ من الكمال لا يقال له مات بل رفع الى الملكوت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كلام هل هم البزيعية أو البزيغية، و مرجع البحث الى أن رأسهم هل هو بزيع أو بزيغ</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حكى عنه غيره، و لم أجد التاريخ</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البهبهاني ذيل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المصنف رحمه اللّه عن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كيف عدّوها من فرق الشيعة و هم ليسوا من فرق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الحرورية، لا توجد في الطبعة الأولى للكتاب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فرقتان على جناس واحد،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البنانية و البيانية، و قد تعرض لهما في كتب الأديان و المذاهب، و قيل بالتصحيف و وحدتهما، و الظاهر تعددهما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عدّهم في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الخوارج</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حماد بن عثمان عن أبي مسروق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من زيادات المصنّف رحمه اللّه على الطّبعة الأولى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ممدودا أو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 سكون الواو، و راء اخرى و ألف ممدودة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بظاهر الكوفة،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ميلين منها، اجتمع فيها الخوارج الذين خالفوا عليّ ابن أبي طالب رضي اللّه عنه فنسبوا إليها، و انظر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أحد الخوارج الّذين قاتلهم عليّ عليه السّلام، فيكونوا من فرق الخوارج لا الشيعة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لا يوجد في الطبعة الاولى من الكتاب</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الحرورية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قاموس 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المقالات و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خطط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علي الرب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المخمسة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الآتية في بحث الغلاة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واحد، إلا أنهما غير العليانية، و إن قيل بوحدتهما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يظهر من حاشية رجال الكشي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العلباوية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بألفاظ متقاربة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 انظر حديث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بين المعقوفين فهو من زيادات الطبعة الثانية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كاذبون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 انظر في ذمهم من رجال الكشي صفحة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هذا على القول بوحدة العلياوية و العليائية، فراجع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معين النبيه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غيره من المصادر الآتية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يقولون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و هي بالفاظ مختلفه في الروايات منها القائلين بالقدرة، و لا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شيخنا الصدوق عليه الرحمة هذه الرواية و تسع روايات اخر في ذمهم في كتاب 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و هو غير مناسب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قال المولى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سبق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الى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و كذا بين المعقوفتين السابقتين من إضافات المصنف رحمه اللّه على الطبعة الأولى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 او الغرال، انظر عنهم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مزدارية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الجاحظية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الخياطية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الجبائية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كلام هل المعتزلة جنس فرده القدرية أم بالعكس، انظر عنهما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و ما بعده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ابن قتيبة كما صرح به الشيخ يس في معين النبيه في رجال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نص عليه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أرجئوا</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بألفاظ متقاربة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الطائفة 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المخففة لا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العبارة، ثم تعرض لتحقيق رشيق، و قارن به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عن هذا في المعارف لابن قتيبة فلم نجده، و لعله في مصنفاته الاخر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تعليقة 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اختاره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بالعكس، و إنما سميت المجبرة 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كلام صاحب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بتصرف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القيلات الثلاثة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في صنوف أهل الخلاف و ذكر القدرية و الخوارج و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 نصّ عليه كل من ترجم الرجل في المجاميع الرجالية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عقبه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أراد أن يخلق الخلق تكلم بالاسم الأعظم فطار فوقع تاجا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ترهاتهم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إضافات المصنف قدس سره على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استظهر المولى</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حرفتك؟</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عدّهم من غلاة فرق الشيعة في مقالات 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هم من التبرية الزيدية، كما تقدمت الإشارة الى ذلك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صرّح بذلك في نفائس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ترجمة الشّلمغاني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تعليقة الوحيد البهبهاني عليه، و منتهى المقال لأبي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الفهري، و كذا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و انظر الحديث الّذي قبله، و عن ابن الغضائري اليه تنسب النّصيريّة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النّصيريّة و إليه ينتسبون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ملاّ عليّ الكني في كتابه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كشاف الاصطلاحات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1385/2</w:t>
      </w:r>
      <w:r>
        <w:rPr>
          <w:rFonts w:ascii="IRNazanin" w:hAnsi="IRNazanin" w:eastAsia="IRNazanin"/>
          <w:b w:val="false"/>
          <w:b w:val="false"/>
          <w:bCs w:val="false"/>
          <w:i w:val="false"/>
          <w:i w:val="false"/>
          <w:iCs w:val="false"/>
          <w:color w:val="333333"/>
          <w:sz w:val="20"/>
          <w:sz w:val="20"/>
          <w:szCs w:val="20"/>
          <w:rtl w:val="true"/>
        </w:rPr>
        <w:t>، دائرة معارف فريد و 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فرهنگ 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الشّريعيّة الى المفوّضة من زيادات الطبعة الثّانية من المصنّف رحمه اللّه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أحمد بن محمد، لا محمد بن محمد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ترجمتهم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و انظر عن الشّريعيّة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فصل في بيان التفويض و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ثقة الإسلام في الكافي الشريف في باب الحجة من أصوله بابا في التفويض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عليهم السّلام في أمر الدين، و انظر شرحه للمولى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شرح أصول الكافي للمولى ملا صالح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التعليقة للوحيد المطبوع في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عند ذكر الفرق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بنصّه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غيره عنه، و الأصل للمجلسي قدّس سرّه ظاهرا لاتحاد اللفظ و سبق التّاريخ</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كلام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انظر ترجمة محمد بن سنان في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زعم أن اللّه عزّ و جل فوّض أمر الخلق و الرّزق الى حججه عليهم السّلام فقد قال بالتّفويض، و القائل بالجبر كافر و القائل بالتّفويض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المضمون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الكافي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الإمام الجواد عليه السّلام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الدّيانة الّتي من تقدّمها مرق و من تخلّف عنها محق و من لزمها لحق</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رَبِّكَ لا يُؤْمِنُونَ حَتّى يُحَكِّمُوكَ فِيما شَجَرَ بَيْنَهُمْ، ثُمَّ لا يَجِدُوا فِي أَنْفُسِهِمْ حَرَجاً مِمّا قَضَيْتَ وَ يُسَلِّمُوا تَسْلِيماً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المسألة و ليس علينا الجواب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روايات الباب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محل اشكال عندهم رحمهم اللّه لمنافاته 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للوحيد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مما يطلق عليه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الشيخ الكليني رحمه اللّه في أصوله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في الجبر و القدر و الأمر بين الأمرين، و ذكر جملة روايات، و كذا غيره من مشايخنا رضوان اللّه عليهم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المولى الوحيد البهبهاني قدس سره 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معنى عاشرا للتفويض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تفويض الإرادة، بأن يريد شيئا لحسنه، و لا يريد شيئا لقبحه كإرادة 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 فأوحى اللّه بما أراد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غير واحد، 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الذي يظهر بإطلاق المفوضة أن المراد منها من قال بأحد الوجهين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تفويض الخلق و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و الغالب أنهم يذكرون ذلك في مقام الذم، و اختصاص الرجل باعتقاد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اختصاص للاعتقاد بأكثر المعاني المزبورة ببعض طوائف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أفاد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و سبقه في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القدرية على ما في الصراح، و 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اشتهر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غلط، و أما لجهة مناسبة بالقدرية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معنى التفويض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اللّه تعالى فوض إليهم أفعالهم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نسختنا من المجمع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ما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توضيح</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المصنف رحمه اللّه في الطبعة الثانية للكتاب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الغلاة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الجهمية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النجارية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الضرارية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الجبرية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الأزارقة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البيهسية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العجاردة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الصلتية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الحمزية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الشعيبية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الميمونية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فرهنگ 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1550/2</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نفايس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و عدهم في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عجاردة الخوارج، إلا أن في نفايس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عدهم من غلاة الشيعة و لكن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ميمنية، و لعلهما اثنان و إن قيل بوحدتهما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الأطرافية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الحازمية و الخازمية واحدة، و قيل فرقتان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الثعالبة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الرشيدية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الشيبانية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المكرمية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الإباضية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الحفصية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الحارثية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اليزيدية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حول الصفرية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الزيادية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غير اليونسية الغلاة و سيأتي ذكرهم، انظر عن هؤلاء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العبيدية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الغسانية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فرهنگ 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كشاف الاصطلاحات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1098/2</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فرهنگ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للثوبائية الثوبانية أيضا، انظر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الصالحية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في ذمهم في رجال الكشي و اسماء بعض الرواة منهم في رجال الشيخ الطوسي رحمهما اللّه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في اللغة هو التجاوز عن الحد و الخروج عن القصد، قال الزبيدي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في الأمر غلوا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كسمو من باب 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 في الدين 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تشدد و تصلب حتى 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قال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مواطن الأشياء و الكشف عن عللها و غوامض متعبداتها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إضافات المصنف رحمه اللّه على الطبعة الأولى</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ملا علي الكني الطهراني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صحة نسبة الفرقة الى العالمين العلمين و في المراد من كلامهم خلاف بين الأعلام، خصوصا مع تضارب الروايات في المقام، فراجعها في محلها، و خير ما ينير الدرب هنا ما رواه الكشي في رجاله في ترجمة هشام بن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اليونسية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السبئية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و حكاه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غيره عنه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روايات كثيرة في 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كذا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الطيارية، انظر عنهم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ترجمة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من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الجناحية أصحاب عبد اللّه بن معاوية بن عبد اللّه بن جعفر ذي الجناحين، كما في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و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البزيعية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الألوهية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النصيرية ما ذكرناه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العلياوية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تجدها مع مصادرها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ليسوا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لروايته، و هو الأصح</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في مقدمة و هامش منهج المقال للأسترابادي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ثم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كان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أحمد بن محمد بن عيسى و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كذلك، ثم أمر بالتأمل، و لعل وجهه أنه لم يعرف من غيرهما ذلك، و أنّي لنا إحرازه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سبط الشهيد بن الشيخ حسن جملة مصنفات، كشرح التهذيب و شرح الاستبصار و روضة الخواطر، و غيرها، كما و له جملة حواشي على بعض 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نعرف المطبوع منها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المعراج أن الشيخ رحمه اللّه حكى في الخلاصة أنه كان يذهب الوعيدية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الأسدي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بإدراك، و هو الصّحيح</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فساد الأعمال أو الأعمال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بأحوال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الرّباني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الوليد رحمه اللّه 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 عليه صلّى اللّه عليه و آله الى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مطموسة في التّعليقة و ساقطة هنا، و الظاهر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الغلو و فساد المذهب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البهبهاني على منهج المقال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أحمد بن محمد بن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باختلاف كثير أشرنا الى بعضه، و نظيره عن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المقام الخامس ممّا أضافه المصنّف قدّس سرّه على الطبعة الثّانية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للغالية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297/25</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متقارب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الحلبي 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هو الصحيح</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خفي بعدها عن المطلوب، أو عمومها المطلق عن المقصود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و هو الظاهر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ابن أبي حمزة، مكرر في المصدر و غير موجود في المتن و هو من غلط النساخ</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حماد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 لا يخفى ما فيهما سندا و دلالة، و العمدة في تفسير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يؤول، لا تؤول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يأوون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المتلون، و كذا التي بعدها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 عكس 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الصغيرة على الكبيرة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إماما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 لعنهم اللّه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سترا، و هو الظاهر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 لا يخفى ما فيها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بأننا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بنانا، و منه يظهر غلط ما قبله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يكذب على أبي، أشهد أن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كعدد</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السماوات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فيهما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 و هو الصواب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المغيرية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سقط، حيث في رجال الكشي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أشكيب عن ابن أورمة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العلامة المجلسي في البحار و حاشية رجال الكشي وجود سقط هنا، فلاحظ</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برء،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بريء</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يجمعني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وجه الاستدلال على كونهم سلام اللّه عليهم رسلا بالآية في المجلد المذكور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قريب منه في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أجنبية عن المقام كما هو ظاهر، إلا أن يكون المراد من السفلة هم الغلاة كما سيأتي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الأشعري عن محمد بن الحسين عن موسى بن سلام عن حبيب الخثعمي عن ابن أبي يعفور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تقارت، من القور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أجوف من التفعيل، و قلب الواو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المشي و التفرق،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تقارت بي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المغرا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ينتحل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 لا يخفى التكلف في الاستدلال بأمثال هذه الروايات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طبع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البراني،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يسار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أدخلهم عليّ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ترزقنا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يقلعوا، و هو الظاهر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ترزقنا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عند الكشي، و هو الصواب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أو الجراب أو الوعاء، و الجمع الزبل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 و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المستطيلة في الأرض</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توبوا و ارجعوا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فابوا و قالوا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فقذف علي عليه السّلام بعضهم ثم قذف بقيتهم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من مزيدات الطبعة الثانية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47344</Words>
  <Characters>190831</Characters>
  <CharactersWithSpaces>236487</CharactersWithSpaces>
  <Paragraphs>1886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2026-08-24T20:29:48Z</dcterms:created>
  <dc:creator>ghaemiyeh.com</dc:creator>
  <dc:description/>
  <dc:language>en-US</dc:language>
  <cp:lastModifiedBy/>
  <dcterms:modified xsi:type="dcterms:W3CDTF">2026-08-25T00:00:01Z</dcterms:modified>
  <cp:revision>1</cp:revision>
  <dc:subject/>
  <dc:title>مقباس الهدایة فی علم الدرایة جلد 2</dc:title>
</cp:coreProperties>
</file>

<file path=docProps/custom.xml><?xml version="1.0" encoding="utf-8"?>
<Properties xmlns="http://schemas.openxmlformats.org/officeDocument/2006/custom-properties" xmlns:vt="http://schemas.openxmlformats.org/officeDocument/2006/docPropsVTypes"/>
</file>