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4664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234666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234668_3224264995">
            <w:r>
              <w:rPr>
                <w:webHidden/>
                <w:rStyle w:val="IndexLink"/>
                <w:rtl w:val="true"/>
              </w:rPr>
              <w:t>الاستصحاب</w:t>
            </w:r>
            <w:r>
              <w:rPr>
                <w:rStyle w:val="IndexLink"/>
                <w:rtl w:val="true"/>
              </w:rPr>
              <w:tab/>
            </w:r>
            <w:r>
              <w:rPr>
                <w:rStyle w:val="IndexLink"/>
              </w:rPr>
              <w:t>12</w:t>
            </w:r>
          </w:hyperlink>
        </w:p>
        <w:p>
          <w:pPr>
            <w:pStyle w:val="Contents3"/>
            <w:tabs>
              <w:tab w:val="clear" w:pos="8459"/>
              <w:tab w:val="right" w:pos="9026" w:leader="dot"/>
            </w:tabs>
            <w:rPr/>
          </w:pPr>
          <w:hyperlink w:anchor="__RefHeading___Toc3234670_322426499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234672_3224264995">
            <w:r>
              <w:rPr>
                <w:webHidden/>
                <w:rStyle w:val="IndexLink"/>
                <w:rtl w:val="true"/>
              </w:rPr>
              <w:t>فصل فی تعریف الاستصحاب</w:t>
            </w:r>
            <w:r>
              <w:rPr>
                <w:rStyle w:val="IndexLink"/>
                <w:rtl w:val="true"/>
              </w:rPr>
              <w:tab/>
            </w:r>
            <w:r>
              <w:rPr>
                <w:rStyle w:val="IndexLink"/>
              </w:rPr>
              <w:t>13</w:t>
            </w:r>
          </w:hyperlink>
        </w:p>
        <w:p>
          <w:pPr>
            <w:pStyle w:val="Contents4"/>
            <w:tabs>
              <w:tab w:val="clear" w:pos="8176"/>
              <w:tab w:val="right" w:pos="9026" w:leader="dot"/>
            </w:tabs>
            <w:rPr/>
          </w:pPr>
          <w:hyperlink w:anchor="__RefHeading___Toc3234674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3234676_3224264995">
            <w:r>
              <w:rPr>
                <w:webHidden/>
                <w:rStyle w:val="IndexLink"/>
                <w:rtl w:val="true"/>
              </w:rPr>
              <w:t>الاحتمالات التی فی الباب</w:t>
            </w:r>
            <w:r>
              <w:rPr>
                <w:rStyle w:val="IndexLink"/>
                <w:rtl w:val="true"/>
              </w:rPr>
              <w:tab/>
            </w:r>
            <w:r>
              <w:rPr>
                <w:rStyle w:val="IndexLink"/>
              </w:rPr>
              <w:t>13</w:t>
            </w:r>
          </w:hyperlink>
        </w:p>
        <w:p>
          <w:pPr>
            <w:pStyle w:val="Contents4"/>
            <w:tabs>
              <w:tab w:val="clear" w:pos="8176"/>
              <w:tab w:val="right" w:pos="9026" w:leader="dot"/>
            </w:tabs>
            <w:rPr/>
          </w:pPr>
          <w:hyperlink w:anchor="__RefHeading___Toc3234678_3224264995">
            <w:r>
              <w:rPr>
                <w:webHidden/>
                <w:rStyle w:val="IndexLink"/>
                <w:rtl w:val="true"/>
              </w:rPr>
              <w:t>الاستصحاب لیس من الأدلّة الأربعة</w:t>
            </w:r>
            <w:r>
              <w:rPr>
                <w:rStyle w:val="IndexLink"/>
                <w:rtl w:val="true"/>
              </w:rPr>
              <w:tab/>
            </w:r>
            <w:r>
              <w:rPr>
                <w:rStyle w:val="IndexLink"/>
              </w:rPr>
              <w:t>16</w:t>
            </w:r>
          </w:hyperlink>
        </w:p>
        <w:p>
          <w:pPr>
            <w:pStyle w:val="Contents4"/>
            <w:tabs>
              <w:tab w:val="clear" w:pos="8176"/>
              <w:tab w:val="right" w:pos="9026" w:leader="dot"/>
            </w:tabs>
            <w:rPr/>
          </w:pPr>
          <w:hyperlink w:anchor="__RefHeading___Toc3234680_3224264995">
            <w:r>
              <w:rPr>
                <w:webHidden/>
                <w:rStyle w:val="IndexLink"/>
                <w:rtl w:val="true"/>
              </w:rPr>
              <w:t>ضابط المسألة الاصولیّة فی کلام الشیخ الأعظم قدس سره و نقدها</w:t>
            </w:r>
            <w:r>
              <w:rPr>
                <w:rStyle w:val="IndexLink"/>
                <w:rtl w:val="true"/>
              </w:rPr>
              <w:tab/>
            </w:r>
            <w:r>
              <w:rPr>
                <w:rStyle w:val="IndexLink"/>
              </w:rPr>
              <w:t>18</w:t>
            </w:r>
          </w:hyperlink>
        </w:p>
        <w:p>
          <w:pPr>
            <w:pStyle w:val="Contents3"/>
            <w:tabs>
              <w:tab w:val="clear" w:pos="8459"/>
              <w:tab w:val="right" w:pos="9026" w:leader="dot"/>
            </w:tabs>
            <w:rPr/>
          </w:pPr>
          <w:hyperlink w:anchor="__RefHeading___Toc3234682_3224264995">
            <w:r>
              <w:rPr>
                <w:webHidden/>
                <w:rStyle w:val="IndexLink"/>
                <w:rtl w:val="true"/>
              </w:rPr>
              <w:t>فصل التفصیل بین الحکم الثابت بالدلیل الشرعی و العقلی</w:t>
            </w:r>
            <w:r>
              <w:rPr>
                <w:rStyle w:val="IndexLink"/>
                <w:rtl w:val="true"/>
              </w:rPr>
              <w:tab/>
            </w:r>
            <w:r>
              <w:rPr>
                <w:rStyle w:val="IndexLink"/>
              </w:rPr>
              <w:t>19</w:t>
            </w:r>
          </w:hyperlink>
        </w:p>
        <w:p>
          <w:pPr>
            <w:pStyle w:val="Contents4"/>
            <w:tabs>
              <w:tab w:val="clear" w:pos="8176"/>
              <w:tab w:val="right" w:pos="9026" w:leader="dot"/>
            </w:tabs>
            <w:rPr/>
          </w:pPr>
          <w:hyperlink w:anchor="__RefHeading___Toc3234684_3224264995">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234686_3224264995">
            <w:r>
              <w:rPr>
                <w:webHidden/>
                <w:rStyle w:val="IndexLink"/>
                <w:rtl w:val="true"/>
              </w:rPr>
              <w:t>الإشکالات الواردة علی الشیخ الأنصاری و جوابها</w:t>
            </w:r>
            <w:r>
              <w:rPr>
                <w:rStyle w:val="IndexLink"/>
                <w:rtl w:val="true"/>
              </w:rPr>
              <w:tab/>
            </w:r>
            <w:r>
              <w:rPr>
                <w:rStyle w:val="IndexLink"/>
              </w:rPr>
              <w:t>20</w:t>
            </w:r>
          </w:hyperlink>
        </w:p>
        <w:p>
          <w:pPr>
            <w:pStyle w:val="Contents4"/>
            <w:tabs>
              <w:tab w:val="clear" w:pos="8176"/>
              <w:tab w:val="right" w:pos="9026" w:leader="dot"/>
            </w:tabs>
            <w:rPr/>
          </w:pPr>
          <w:hyperlink w:anchor="__RefHeading___Toc3234688_3224264995">
            <w:r>
              <w:rPr>
                <w:webHidden/>
                <w:rStyle w:val="IndexLink"/>
                <w:rtl w:val="true"/>
              </w:rPr>
              <w:t>تحقیق الحال فی المقام</w:t>
            </w:r>
            <w:r>
              <w:rPr>
                <w:rStyle w:val="IndexLink"/>
                <w:rtl w:val="true"/>
              </w:rPr>
              <w:tab/>
            </w:r>
            <w:r>
              <w:rPr>
                <w:rStyle w:val="IndexLink"/>
              </w:rPr>
              <w:t>23</w:t>
            </w:r>
          </w:hyperlink>
        </w:p>
        <w:p>
          <w:pPr>
            <w:pStyle w:val="Contents3"/>
            <w:tabs>
              <w:tab w:val="clear" w:pos="8459"/>
              <w:tab w:val="right" w:pos="9026" w:leader="dot"/>
            </w:tabs>
            <w:rPr/>
          </w:pPr>
          <w:hyperlink w:anchor="__RefHeading___Toc3234690_3224264995">
            <w:r>
              <w:rPr>
                <w:webHidden/>
                <w:rStyle w:val="IndexLink"/>
                <w:rtl w:val="true"/>
              </w:rPr>
              <w:t>فصل حول التفصیل بین الشکّ فی الرافع و المقتضی</w:t>
            </w:r>
            <w:r>
              <w:rPr>
                <w:rStyle w:val="IndexLink"/>
                <w:rtl w:val="true"/>
              </w:rPr>
              <w:tab/>
            </w:r>
            <w:r>
              <w:rPr>
                <w:rStyle w:val="IndexLink"/>
              </w:rPr>
              <w:t>26</w:t>
            </w:r>
          </w:hyperlink>
        </w:p>
        <w:p>
          <w:pPr>
            <w:pStyle w:val="Contents4"/>
            <w:tabs>
              <w:tab w:val="clear" w:pos="8176"/>
              <w:tab w:val="right" w:pos="9026" w:leader="dot"/>
            </w:tabs>
            <w:rPr/>
          </w:pPr>
          <w:hyperlink w:anchor="__RefHeading___Toc3234692_3224264995">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234694_3224264995">
            <w:r>
              <w:rPr>
                <w:webHidden/>
                <w:rStyle w:val="IndexLink"/>
                <w:rtl w:val="true"/>
              </w:rPr>
              <w:t>ذکر أخبار الاستصحاب</w:t>
            </w:r>
            <w:r>
              <w:rPr>
                <w:rStyle w:val="IndexLink"/>
                <w:rtl w:val="true"/>
              </w:rPr>
              <w:tab/>
            </w:r>
            <w:r>
              <w:rPr>
                <w:rStyle w:val="IndexLink"/>
              </w:rPr>
              <w:t>27</w:t>
            </w:r>
          </w:hyperlink>
        </w:p>
        <w:p>
          <w:pPr>
            <w:pStyle w:val="Contents5"/>
            <w:tabs>
              <w:tab w:val="clear" w:pos="7892"/>
              <w:tab w:val="right" w:pos="9026" w:leader="dot"/>
            </w:tabs>
            <w:rPr/>
          </w:pPr>
          <w:hyperlink w:anchor="__RefHeading___Toc3234696_3224264995">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3234698_3224264995">
            <w:r>
              <w:rPr>
                <w:webHidden/>
                <w:rStyle w:val="IndexLink"/>
                <w:rtl w:val="true"/>
              </w:rPr>
              <w:t>فمنها</w:t>
            </w:r>
            <w:r>
              <w:rPr>
                <w:rStyle w:val="IndexLink"/>
                <w:rtl w:val="true"/>
              </w:rPr>
              <w:t xml:space="preserve">: </w:t>
            </w:r>
            <w:r>
              <w:rPr>
                <w:rStyle w:val="IndexLink"/>
                <w:rtl w:val="true"/>
              </w:rPr>
              <w:t>الصحیحة الاولی لزرارة</w:t>
            </w:r>
            <w:r>
              <w:rPr>
                <w:rStyle w:val="IndexLink"/>
                <w:rtl w:val="true"/>
              </w:rPr>
              <w:tab/>
            </w:r>
            <w:r>
              <w:rPr>
                <w:rStyle w:val="IndexLink"/>
              </w:rPr>
              <w:t>28</w:t>
            </w:r>
          </w:hyperlink>
        </w:p>
        <w:p>
          <w:pPr>
            <w:pStyle w:val="Contents6"/>
            <w:tabs>
              <w:tab w:val="clear" w:pos="7609"/>
              <w:tab w:val="right" w:pos="9026" w:leader="dot"/>
            </w:tabs>
            <w:rPr/>
          </w:pPr>
          <w:hyperlink w:anchor="__RefHeading___Toc3234700_3224264995">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234702_3224264995">
            <w:r>
              <w:rPr>
                <w:webHidden/>
                <w:rStyle w:val="IndexLink"/>
                <w:rtl w:val="true"/>
              </w:rPr>
              <w:t>بیان الاحتمالات التی فی الروایة</w:t>
            </w:r>
            <w:r>
              <w:rPr>
                <w:rStyle w:val="IndexLink"/>
                <w:rtl w:val="true"/>
              </w:rPr>
              <w:tab/>
            </w:r>
            <w:r>
              <w:rPr>
                <w:rStyle w:val="IndexLink"/>
              </w:rPr>
              <w:t>29</w:t>
            </w:r>
          </w:hyperlink>
        </w:p>
        <w:p>
          <w:pPr>
            <w:pStyle w:val="Contents6"/>
            <w:tabs>
              <w:tab w:val="clear" w:pos="7609"/>
              <w:tab w:val="right" w:pos="9026" w:leader="dot"/>
            </w:tabs>
            <w:rPr/>
          </w:pPr>
          <w:hyperlink w:anchor="__RefHeading___Toc3234704_3224264995">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3234706_3224264995">
            <w:r>
              <w:rPr>
                <w:webHidden/>
                <w:rStyle w:val="IndexLink"/>
                <w:rtl w:val="true"/>
              </w:rPr>
              <w:t>و یمکن الذبّ عنه بوجهین</w:t>
            </w:r>
            <w:r>
              <w:rPr>
                <w:rStyle w:val="IndexLink"/>
                <w:rtl w:val="true"/>
              </w:rPr>
              <w:t>:</w:t>
              <w:tab/>
            </w:r>
            <w:r>
              <w:rPr>
                <w:rStyle w:val="IndexLink"/>
              </w:rPr>
              <w:t>30</w:t>
            </w:r>
          </w:hyperlink>
        </w:p>
        <w:p>
          <w:pPr>
            <w:pStyle w:val="Contents6"/>
            <w:tabs>
              <w:tab w:val="clear" w:pos="7609"/>
              <w:tab w:val="right" w:pos="9026" w:leader="dot"/>
            </w:tabs>
            <w:rPr/>
          </w:pPr>
          <w:hyperlink w:anchor="__RefHeading___Toc3234708_3224264995">
            <w:r>
              <w:rPr>
                <w:webHidden/>
                <w:rStyle w:val="IndexLink"/>
                <w:rtl w:val="true"/>
              </w:rPr>
              <w:t>تقریبات الأعلام فی اختصاص حجیّة الاستصحاب بالشکّ فی الرافع</w:t>
            </w:r>
            <w:r>
              <w:rPr>
                <w:rStyle w:val="IndexLink"/>
                <w:rtl w:val="true"/>
              </w:rPr>
              <w:tab/>
            </w:r>
            <w:r>
              <w:rPr>
                <w:rStyle w:val="IndexLink"/>
              </w:rPr>
              <w:t>34</w:t>
            </w:r>
          </w:hyperlink>
        </w:p>
        <w:p>
          <w:pPr>
            <w:pStyle w:val="Contents6"/>
            <w:tabs>
              <w:tab w:val="clear" w:pos="7609"/>
              <w:tab w:val="right" w:pos="9026" w:leader="dot"/>
            </w:tabs>
            <w:rPr/>
          </w:pPr>
          <w:hyperlink w:anchor="__RefHeading___Toc3234710_3224264995">
            <w:r>
              <w:rPr>
                <w:webHidden/>
                <w:rStyle w:val="IndexLink"/>
                <w:rtl w:val="true"/>
              </w:rPr>
              <w:t>هل الاستصحاب أمارة شرعیة أم أصل عملیّ؟</w:t>
            </w:r>
            <w:r>
              <w:rPr>
                <w:rStyle w:val="IndexLink"/>
                <w:rtl w:val="true"/>
              </w:rPr>
              <w:tab/>
            </w:r>
            <w:r>
              <w:rPr>
                <w:rStyle w:val="IndexLink"/>
              </w:rPr>
              <w:t>44</w:t>
            </w:r>
          </w:hyperlink>
        </w:p>
        <w:p>
          <w:pPr>
            <w:pStyle w:val="Contents5"/>
            <w:tabs>
              <w:tab w:val="clear" w:pos="7892"/>
              <w:tab w:val="right" w:pos="9026" w:leader="dot"/>
            </w:tabs>
            <w:rPr/>
          </w:pPr>
          <w:hyperlink w:anchor="__RefHeading___Toc3234712_3224264995">
            <w:r>
              <w:rPr>
                <w:webHidden/>
                <w:rStyle w:val="IndexLink"/>
                <w:rtl w:val="true"/>
              </w:rPr>
              <w:t>و منها</w:t>
            </w:r>
            <w:r>
              <w:rPr>
                <w:rStyle w:val="IndexLink"/>
                <w:rtl w:val="true"/>
              </w:rPr>
              <w:t xml:space="preserve">: </w:t>
            </w:r>
            <w:r>
              <w:rPr>
                <w:rStyle w:val="IndexLink"/>
                <w:rtl w:val="true"/>
              </w:rPr>
              <w:t>الصحیحة الثانیة لزرارة</w:t>
            </w:r>
            <w:r>
              <w:rPr>
                <w:rStyle w:val="IndexLink"/>
                <w:rtl w:val="true"/>
              </w:rPr>
              <w:tab/>
            </w:r>
            <w:r>
              <w:rPr>
                <w:rStyle w:val="IndexLink"/>
              </w:rPr>
              <w:t>47</w:t>
            </w:r>
          </w:hyperlink>
        </w:p>
        <w:p>
          <w:pPr>
            <w:pStyle w:val="Contents6"/>
            <w:tabs>
              <w:tab w:val="clear" w:pos="7609"/>
              <w:tab w:val="right" w:pos="9026" w:leader="dot"/>
            </w:tabs>
            <w:rPr/>
          </w:pPr>
          <w:hyperlink w:anchor="__RefHeading___Toc3234714_3224264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234716_3224264995">
            <w:r>
              <w:rPr>
                <w:webHidden/>
                <w:rStyle w:val="IndexLink"/>
                <w:rtl w:val="true"/>
              </w:rPr>
              <w:t>مورد الاستدلال بالروایة و احتمالاته</w:t>
            </w:r>
            <w:r>
              <w:rPr>
                <w:rStyle w:val="IndexLink"/>
                <w:rtl w:val="true"/>
              </w:rPr>
              <w:tab/>
            </w:r>
            <w:r>
              <w:rPr>
                <w:rStyle w:val="IndexLink"/>
              </w:rPr>
              <w:t>49</w:t>
            </w:r>
          </w:hyperlink>
        </w:p>
        <w:p>
          <w:pPr>
            <w:pStyle w:val="Contents6"/>
            <w:tabs>
              <w:tab w:val="clear" w:pos="7609"/>
              <w:tab w:val="right" w:pos="9026" w:leader="dot"/>
            </w:tabs>
            <w:rPr/>
          </w:pPr>
          <w:hyperlink w:anchor="__RefHeading___Toc3234718_3224264995">
            <w:r>
              <w:rPr>
                <w:webHidden/>
                <w:rStyle w:val="IndexLink"/>
                <w:rtl w:val="true"/>
              </w:rPr>
              <w:t>الاستدلال بالجملة الواقعة فی ذیل الروایة</w:t>
            </w:r>
            <w:r>
              <w:rPr>
                <w:rStyle w:val="IndexLink"/>
                <w:rtl w:val="true"/>
              </w:rPr>
              <w:tab/>
            </w:r>
            <w:r>
              <w:rPr>
                <w:rStyle w:val="IndexLink"/>
              </w:rPr>
              <w:t>55</w:t>
            </w:r>
          </w:hyperlink>
        </w:p>
        <w:p>
          <w:pPr>
            <w:pStyle w:val="Contents5"/>
            <w:tabs>
              <w:tab w:val="clear" w:pos="7892"/>
              <w:tab w:val="right" w:pos="9026" w:leader="dot"/>
            </w:tabs>
            <w:rPr/>
          </w:pPr>
          <w:hyperlink w:anchor="__RefHeading___Toc3234720_3224264995">
            <w:r>
              <w:rPr>
                <w:webHidden/>
                <w:rStyle w:val="IndexLink"/>
                <w:rtl w:val="true"/>
              </w:rPr>
              <w:t>و منها</w:t>
            </w:r>
            <w:r>
              <w:rPr>
                <w:rStyle w:val="IndexLink"/>
                <w:rtl w:val="true"/>
              </w:rPr>
              <w:t xml:space="preserve">: </w:t>
            </w:r>
            <w:r>
              <w:rPr>
                <w:rStyle w:val="IndexLink"/>
                <w:rtl w:val="true"/>
              </w:rPr>
              <w:t>الصحیحة الثالثة لزرارة</w:t>
            </w:r>
            <w:r>
              <w:rPr>
                <w:rStyle w:val="IndexLink"/>
                <w:rtl w:val="true"/>
              </w:rPr>
              <w:tab/>
            </w:r>
            <w:r>
              <w:rPr>
                <w:rStyle w:val="IndexLink"/>
              </w:rPr>
              <w:t>59</w:t>
            </w:r>
          </w:hyperlink>
        </w:p>
        <w:p>
          <w:pPr>
            <w:pStyle w:val="Contents6"/>
            <w:tabs>
              <w:tab w:val="clear" w:pos="7609"/>
              <w:tab w:val="right" w:pos="9026" w:leader="dot"/>
            </w:tabs>
            <w:rPr/>
          </w:pPr>
          <w:hyperlink w:anchor="__RefHeading___Toc3234722_3224264995">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234724_3224264995">
            <w:r>
              <w:rPr>
                <w:webHidden/>
                <w:rStyle w:val="IndexLink"/>
                <w:rtl w:val="true"/>
              </w:rPr>
              <w:t>الاحتمالات التی فی مفاد الروایة</w:t>
            </w:r>
            <w:r>
              <w:rPr>
                <w:rStyle w:val="IndexLink"/>
                <w:rtl w:val="true"/>
              </w:rPr>
              <w:tab/>
            </w:r>
            <w:r>
              <w:rPr>
                <w:rStyle w:val="IndexLink"/>
              </w:rPr>
              <w:t>61</w:t>
            </w:r>
          </w:hyperlink>
        </w:p>
        <w:p>
          <w:pPr>
            <w:pStyle w:val="Contents5"/>
            <w:tabs>
              <w:tab w:val="clear" w:pos="7892"/>
              <w:tab w:val="right" w:pos="9026" w:leader="dot"/>
            </w:tabs>
            <w:rPr/>
          </w:pPr>
          <w:hyperlink w:anchor="__RefHeading___Toc3234726_3224264995">
            <w:r>
              <w:rPr>
                <w:webHidden/>
                <w:rStyle w:val="IndexLink"/>
                <w:rtl w:val="true"/>
              </w:rPr>
              <w:t>و منها</w:t>
            </w:r>
            <w:r>
              <w:rPr>
                <w:rStyle w:val="IndexLink"/>
                <w:rtl w:val="true"/>
              </w:rPr>
              <w:t xml:space="preserve">: </w:t>
            </w:r>
            <w:r>
              <w:rPr>
                <w:rStyle w:val="IndexLink"/>
                <w:rtl w:val="true"/>
              </w:rPr>
              <w:t>روایة إسحاق بن عمّار</w:t>
            </w:r>
            <w:r>
              <w:rPr>
                <w:rStyle w:val="IndexLink"/>
                <w:rtl w:val="true"/>
              </w:rPr>
              <w:tab/>
            </w:r>
            <w:r>
              <w:rPr>
                <w:rStyle w:val="IndexLink"/>
              </w:rPr>
              <w:t>65</w:t>
            </w:r>
          </w:hyperlink>
        </w:p>
        <w:p>
          <w:pPr>
            <w:pStyle w:val="Contents5"/>
            <w:tabs>
              <w:tab w:val="clear" w:pos="7892"/>
              <w:tab w:val="right" w:pos="9026" w:leader="dot"/>
            </w:tabs>
            <w:rPr/>
          </w:pPr>
          <w:hyperlink w:anchor="__RefHeading___Toc3234728_3224264995">
            <w:r>
              <w:rPr>
                <w:webHidden/>
                <w:rStyle w:val="IndexLink"/>
                <w:rtl w:val="true"/>
              </w:rPr>
              <w:t>و منها</w:t>
            </w:r>
            <w:r>
              <w:rPr>
                <w:rStyle w:val="IndexLink"/>
                <w:rtl w:val="true"/>
              </w:rPr>
              <w:t xml:space="preserve">: </w:t>
            </w:r>
            <w:r>
              <w:rPr>
                <w:rStyle w:val="IndexLink"/>
                <w:rtl w:val="true"/>
              </w:rPr>
              <w:t>روایة محمّد بن مسلم</w:t>
            </w:r>
            <w:r>
              <w:rPr>
                <w:rStyle w:val="IndexLink"/>
                <w:rtl w:val="true"/>
              </w:rPr>
              <w:tab/>
            </w:r>
            <w:r>
              <w:rPr>
                <w:rStyle w:val="IndexLink"/>
              </w:rPr>
              <w:t>68</w:t>
            </w:r>
          </w:hyperlink>
        </w:p>
        <w:p>
          <w:pPr>
            <w:pStyle w:val="Contents5"/>
            <w:tabs>
              <w:tab w:val="clear" w:pos="7892"/>
              <w:tab w:val="right" w:pos="9026" w:leader="dot"/>
            </w:tabs>
            <w:rPr/>
          </w:pPr>
          <w:hyperlink w:anchor="__RefHeading___Toc3234730_3224264995">
            <w:r>
              <w:rPr>
                <w:webHidden/>
                <w:rStyle w:val="IndexLink"/>
                <w:rtl w:val="true"/>
              </w:rPr>
              <w:t>و منها</w:t>
            </w:r>
            <w:r>
              <w:rPr>
                <w:rStyle w:val="IndexLink"/>
                <w:rtl w:val="true"/>
              </w:rPr>
              <w:t xml:space="preserve">: </w:t>
            </w:r>
            <w:r>
              <w:rPr>
                <w:rStyle w:val="IndexLink"/>
                <w:rtl w:val="true"/>
              </w:rPr>
              <w:t>مکاتبة علی بن محمّد القاسانی</w:t>
            </w:r>
            <w:r>
              <w:rPr>
                <w:rStyle w:val="IndexLink"/>
                <w:rtl w:val="true"/>
              </w:rPr>
              <w:tab/>
            </w:r>
            <w:r>
              <w:rPr>
                <w:rStyle w:val="IndexLink"/>
              </w:rPr>
              <w:t>69</w:t>
            </w:r>
          </w:hyperlink>
        </w:p>
        <w:p>
          <w:pPr>
            <w:pStyle w:val="Contents5"/>
            <w:tabs>
              <w:tab w:val="clear" w:pos="7892"/>
              <w:tab w:val="right" w:pos="9026" w:leader="dot"/>
            </w:tabs>
            <w:rPr/>
          </w:pPr>
          <w:hyperlink w:anchor="__RefHeading___Toc3234732_3224264995">
            <w:r>
              <w:rPr>
                <w:webHidden/>
                <w:rStyle w:val="IndexLink"/>
                <w:rtl w:val="true"/>
              </w:rPr>
              <w:t>و منها</w:t>
            </w:r>
            <w:r>
              <w:rPr>
                <w:rStyle w:val="IndexLink"/>
                <w:rtl w:val="true"/>
              </w:rPr>
              <w:t xml:space="preserve">: </w:t>
            </w:r>
            <w:r>
              <w:rPr>
                <w:rStyle w:val="IndexLink"/>
                <w:rtl w:val="true"/>
              </w:rPr>
              <w:t>صحیحة عبد اللَّه بن سنان</w:t>
            </w:r>
            <w:r>
              <w:rPr>
                <w:rStyle w:val="IndexLink"/>
                <w:rtl w:val="true"/>
              </w:rPr>
              <w:tab/>
            </w:r>
            <w:r>
              <w:rPr>
                <w:rStyle w:val="IndexLink"/>
              </w:rPr>
              <w:t>71</w:t>
            </w:r>
          </w:hyperlink>
        </w:p>
        <w:p>
          <w:pPr>
            <w:pStyle w:val="Contents5"/>
            <w:tabs>
              <w:tab w:val="clear" w:pos="7892"/>
              <w:tab w:val="right" w:pos="9026" w:leader="dot"/>
            </w:tabs>
            <w:rPr/>
          </w:pPr>
          <w:hyperlink w:anchor="__RefHeading___Toc3234734_3224264995">
            <w:r>
              <w:rPr>
                <w:webHidden/>
                <w:rStyle w:val="IndexLink"/>
                <w:rtl w:val="true"/>
              </w:rPr>
              <w:t>و منها</w:t>
            </w:r>
            <w:r>
              <w:rPr>
                <w:rStyle w:val="IndexLink"/>
                <w:rtl w:val="true"/>
              </w:rPr>
              <w:t xml:space="preserve">: </w:t>
            </w:r>
            <w:r>
              <w:rPr>
                <w:rStyle w:val="IndexLink"/>
                <w:rtl w:val="true"/>
              </w:rPr>
              <w:t>روایات الحلّ و الطهارة</w:t>
            </w:r>
            <w:r>
              <w:rPr>
                <w:rStyle w:val="IndexLink"/>
                <w:rtl w:val="true"/>
              </w:rPr>
              <w:tab/>
            </w:r>
            <w:r>
              <w:rPr>
                <w:rStyle w:val="IndexLink"/>
              </w:rPr>
              <w:t>72</w:t>
            </w:r>
          </w:hyperlink>
        </w:p>
        <w:p>
          <w:pPr>
            <w:pStyle w:val="Contents3"/>
            <w:tabs>
              <w:tab w:val="clear" w:pos="8459"/>
              <w:tab w:val="right" w:pos="9026" w:leader="dot"/>
            </w:tabs>
            <w:rPr/>
          </w:pPr>
          <w:hyperlink w:anchor="__RefHeading___Toc3234736_3224264995">
            <w:r>
              <w:rPr>
                <w:webHidden/>
                <w:rStyle w:val="IndexLink"/>
                <w:rtl w:val="true"/>
              </w:rPr>
              <w:t>فصل الأحکام الوضعیة و تحقیق ماهیتها</w:t>
            </w:r>
            <w:r>
              <w:rPr>
                <w:rStyle w:val="IndexLink"/>
                <w:rtl w:val="true"/>
              </w:rPr>
              <w:tab/>
            </w:r>
            <w:r>
              <w:rPr>
                <w:rStyle w:val="IndexLink"/>
              </w:rPr>
              <w:t>78</w:t>
            </w:r>
          </w:hyperlink>
        </w:p>
        <w:p>
          <w:pPr>
            <w:pStyle w:val="Contents4"/>
            <w:tabs>
              <w:tab w:val="clear" w:pos="8176"/>
              <w:tab w:val="right" w:pos="9026" w:leader="dot"/>
            </w:tabs>
            <w:rPr/>
          </w:pPr>
          <w:hyperlink w:anchor="__RefHeading___Toc3234738_3224264995">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234740_3224264995">
            <w:r>
              <w:rPr>
                <w:webHidden/>
                <w:rStyle w:val="IndexLink"/>
                <w:rtl w:val="true"/>
              </w:rPr>
              <w:t>الأمر الأوّل</w:t>
            </w:r>
            <w:r>
              <w:rPr>
                <w:rStyle w:val="IndexLink"/>
                <w:rtl w:val="true"/>
              </w:rPr>
              <w:t xml:space="preserve">: </w:t>
            </w:r>
            <w:r>
              <w:rPr>
                <w:rStyle w:val="IndexLink"/>
                <w:rtl w:val="true"/>
              </w:rPr>
              <w:t>تقسم الحکم إلی التکلیفی و الوضعی</w:t>
            </w:r>
            <w:r>
              <w:rPr>
                <w:rStyle w:val="IndexLink"/>
                <w:rtl w:val="true"/>
              </w:rPr>
              <w:tab/>
            </w:r>
            <w:r>
              <w:rPr>
                <w:rStyle w:val="IndexLink"/>
              </w:rPr>
              <w:t>78</w:t>
            </w:r>
          </w:hyperlink>
        </w:p>
        <w:p>
          <w:pPr>
            <w:pStyle w:val="Contents4"/>
            <w:tabs>
              <w:tab w:val="clear" w:pos="8176"/>
              <w:tab w:val="right" w:pos="9026" w:leader="dot"/>
            </w:tabs>
            <w:rPr/>
          </w:pPr>
          <w:hyperlink w:anchor="__RefHeading___Toc3234742_3224264995">
            <w:r>
              <w:rPr>
                <w:webHidden/>
                <w:rStyle w:val="IndexLink"/>
                <w:rtl w:val="true"/>
              </w:rPr>
              <w:t>الأمر الثانی</w:t>
            </w:r>
            <w:r>
              <w:rPr>
                <w:rStyle w:val="IndexLink"/>
                <w:rtl w:val="true"/>
              </w:rPr>
              <w:t xml:space="preserve">: </w:t>
            </w:r>
            <w:r>
              <w:rPr>
                <w:rStyle w:val="IndexLink"/>
                <w:rtl w:val="true"/>
              </w:rPr>
              <w:t>أنّ وعاء وجود الأشیاء إمّا الخارج أو الذهن</w:t>
            </w:r>
            <w:r>
              <w:rPr>
                <w:rStyle w:val="IndexLink"/>
                <w:rtl w:val="true"/>
              </w:rPr>
              <w:tab/>
            </w:r>
            <w:r>
              <w:rPr>
                <w:rStyle w:val="IndexLink"/>
              </w:rPr>
              <w:t>80</w:t>
            </w:r>
          </w:hyperlink>
        </w:p>
        <w:p>
          <w:pPr>
            <w:pStyle w:val="Contents4"/>
            <w:tabs>
              <w:tab w:val="clear" w:pos="8176"/>
              <w:tab w:val="right" w:pos="9026" w:leader="dot"/>
            </w:tabs>
            <w:rPr/>
          </w:pPr>
          <w:hyperlink w:anchor="__RefHeading___Toc3234744_3224264995">
            <w:r>
              <w:rPr>
                <w:webHidden/>
                <w:rStyle w:val="IndexLink"/>
                <w:rtl w:val="true"/>
              </w:rPr>
              <w:t>الأمر الثالث</w:t>
            </w:r>
            <w:r>
              <w:rPr>
                <w:rStyle w:val="IndexLink"/>
                <w:rtl w:val="true"/>
              </w:rPr>
              <w:t xml:space="preserve">: </w:t>
            </w:r>
            <w:r>
              <w:rPr>
                <w:rStyle w:val="IndexLink"/>
                <w:rtl w:val="true"/>
              </w:rPr>
              <w:t>فی جعل الجزئیّة و الشرطیّة و السببیّة استقلالًا</w:t>
            </w:r>
            <w:r>
              <w:rPr>
                <w:rStyle w:val="IndexLink"/>
                <w:rtl w:val="true"/>
              </w:rPr>
              <w:tab/>
            </w:r>
            <w:r>
              <w:rPr>
                <w:rStyle w:val="IndexLink"/>
              </w:rPr>
              <w:t>82</w:t>
            </w:r>
          </w:hyperlink>
        </w:p>
        <w:p>
          <w:pPr>
            <w:pStyle w:val="Contents3"/>
            <w:tabs>
              <w:tab w:val="clear" w:pos="8459"/>
              <w:tab w:val="right" w:pos="9026" w:leader="dot"/>
            </w:tabs>
            <w:rPr/>
          </w:pPr>
          <w:hyperlink w:anchor="__RefHeading___Toc3234746_3224264995">
            <w:r>
              <w:rPr>
                <w:webHidden/>
                <w:rStyle w:val="IndexLink"/>
                <w:rtl w:val="true"/>
              </w:rPr>
              <w:t>تنبیهات</w:t>
            </w:r>
            <w:r>
              <w:rPr>
                <w:rStyle w:val="IndexLink"/>
                <w:rtl w:val="true"/>
              </w:rPr>
              <w:tab/>
            </w:r>
            <w:r>
              <w:rPr>
                <w:rStyle w:val="IndexLink"/>
              </w:rPr>
              <w:t>90</w:t>
            </w:r>
          </w:hyperlink>
        </w:p>
        <w:p>
          <w:pPr>
            <w:pStyle w:val="Contents4"/>
            <w:tabs>
              <w:tab w:val="clear" w:pos="8176"/>
              <w:tab w:val="right" w:pos="9026" w:leader="dot"/>
            </w:tabs>
            <w:rPr/>
          </w:pPr>
          <w:hyperlink w:anchor="__RefHeading___Toc3234748_3224264995">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234750_3224264995">
            <w:r>
              <w:rPr>
                <w:webHidden/>
                <w:rStyle w:val="IndexLink"/>
                <w:rtl w:val="true"/>
              </w:rPr>
              <w:t>التنبیه الأوّل اعتبار فعلیّة الیقین و الشکّ و أخذهما بنحو الموضوعیّة</w:t>
            </w:r>
            <w:r>
              <w:rPr>
                <w:rStyle w:val="IndexLink"/>
                <w:rtl w:val="true"/>
              </w:rPr>
              <w:tab/>
            </w:r>
            <w:r>
              <w:rPr>
                <w:rStyle w:val="IndexLink"/>
              </w:rPr>
              <w:t>90</w:t>
            </w:r>
          </w:hyperlink>
        </w:p>
        <w:p>
          <w:pPr>
            <w:pStyle w:val="Contents4"/>
            <w:tabs>
              <w:tab w:val="clear" w:pos="8176"/>
              <w:tab w:val="right" w:pos="9026" w:leader="dot"/>
            </w:tabs>
            <w:rPr/>
          </w:pPr>
          <w:hyperlink w:anchor="__RefHeading___Toc3234752_3224264995">
            <w:r>
              <w:rPr>
                <w:webHidden/>
                <w:rStyle w:val="IndexLink"/>
                <w:rtl w:val="true"/>
              </w:rPr>
              <w:t>التنبیه الثانی حول جریان الاستصحاب فی مؤدّی الأمارات</w:t>
            </w:r>
            <w:r>
              <w:rPr>
                <w:rStyle w:val="IndexLink"/>
                <w:rtl w:val="true"/>
              </w:rPr>
              <w:tab/>
            </w:r>
            <w:r>
              <w:rPr>
                <w:rStyle w:val="IndexLink"/>
              </w:rPr>
              <w:t>95</w:t>
            </w:r>
          </w:hyperlink>
        </w:p>
        <w:p>
          <w:pPr>
            <w:pStyle w:val="Contents4"/>
            <w:tabs>
              <w:tab w:val="clear" w:pos="8176"/>
              <w:tab w:val="right" w:pos="9026" w:leader="dot"/>
            </w:tabs>
            <w:rPr/>
          </w:pPr>
          <w:hyperlink w:anchor="__RefHeading___Toc3234754_3224264995">
            <w:r>
              <w:rPr>
                <w:webHidden/>
                <w:rStyle w:val="IndexLink"/>
                <w:rtl w:val="true"/>
              </w:rPr>
              <w:t>التنبیه الثالث فی أقسام استصحاب الکلی</w:t>
            </w:r>
            <w:r>
              <w:rPr>
                <w:rStyle w:val="IndexLink"/>
                <w:rtl w:val="true"/>
              </w:rPr>
              <w:tab/>
            </w:r>
            <w:r>
              <w:rPr>
                <w:rStyle w:val="IndexLink"/>
              </w:rPr>
              <w:t>99</w:t>
            </w:r>
          </w:hyperlink>
        </w:p>
        <w:p>
          <w:pPr>
            <w:pStyle w:val="Contents5"/>
            <w:tabs>
              <w:tab w:val="clear" w:pos="7892"/>
              <w:tab w:val="right" w:pos="9026" w:leader="dot"/>
            </w:tabs>
            <w:rPr/>
          </w:pPr>
          <w:hyperlink w:anchor="__RefHeading___Toc3234756_3224264995">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234758_3224264995">
            <w:r>
              <w:rPr>
                <w:webHidden/>
                <w:rStyle w:val="IndexLink"/>
                <w:rtl w:val="true"/>
              </w:rPr>
              <w:t>القسم الأوّل</w:t>
            </w:r>
            <w:r>
              <w:rPr>
                <w:rStyle w:val="IndexLink"/>
                <w:rtl w:val="true"/>
              </w:rPr>
              <w:t xml:space="preserve">: </w:t>
            </w:r>
            <w:r>
              <w:rPr>
                <w:rStyle w:val="IndexLink"/>
                <w:rtl w:val="true"/>
              </w:rPr>
              <w:t>من استصحاب الکلّی</w:t>
            </w:r>
            <w:r>
              <w:rPr>
                <w:rStyle w:val="IndexLink"/>
                <w:rtl w:val="true"/>
              </w:rPr>
              <w:tab/>
            </w:r>
            <w:r>
              <w:rPr>
                <w:rStyle w:val="IndexLink"/>
              </w:rPr>
              <w:t>101</w:t>
            </w:r>
          </w:hyperlink>
        </w:p>
        <w:p>
          <w:pPr>
            <w:pStyle w:val="Contents5"/>
            <w:tabs>
              <w:tab w:val="clear" w:pos="7892"/>
              <w:tab w:val="right" w:pos="9026" w:leader="dot"/>
            </w:tabs>
            <w:rPr/>
          </w:pPr>
          <w:hyperlink w:anchor="__RefHeading___Toc3234760_3224264995">
            <w:r>
              <w:rPr>
                <w:webHidden/>
                <w:rStyle w:val="IndexLink"/>
                <w:rtl w:val="true"/>
              </w:rPr>
              <w:t>القسم الثانی</w:t>
            </w:r>
            <w:r>
              <w:rPr>
                <w:rStyle w:val="IndexLink"/>
                <w:rtl w:val="true"/>
              </w:rPr>
              <w:t xml:space="preserve">: </w:t>
            </w:r>
            <w:r>
              <w:rPr>
                <w:rStyle w:val="IndexLink"/>
                <w:rtl w:val="true"/>
              </w:rPr>
              <w:t>من استصحاب الکلّی</w:t>
            </w:r>
            <w:r>
              <w:rPr>
                <w:rStyle w:val="IndexLink"/>
                <w:rtl w:val="true"/>
              </w:rPr>
              <w:tab/>
            </w:r>
            <w:r>
              <w:rPr>
                <w:rStyle w:val="IndexLink"/>
              </w:rPr>
              <w:t>104</w:t>
            </w:r>
          </w:hyperlink>
        </w:p>
        <w:p>
          <w:pPr>
            <w:pStyle w:val="Contents6"/>
            <w:tabs>
              <w:tab w:val="clear" w:pos="7609"/>
              <w:tab w:val="right" w:pos="9026" w:leader="dot"/>
            </w:tabs>
            <w:rPr/>
          </w:pPr>
          <w:hyperlink w:anchor="__RefHeading___Toc3234762_3224264995">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234764_3224264995">
            <w:r>
              <w:rPr>
                <w:webHidden/>
                <w:rStyle w:val="IndexLink"/>
                <w:rtl w:val="true"/>
              </w:rPr>
              <w:t>اعتراضات و أجوبة</w:t>
            </w:r>
            <w:r>
              <w:rPr>
                <w:rStyle w:val="IndexLink"/>
                <w:rtl w:val="true"/>
              </w:rPr>
              <w:tab/>
            </w:r>
            <w:r>
              <w:rPr>
                <w:rStyle w:val="IndexLink"/>
              </w:rPr>
              <w:t>105</w:t>
            </w:r>
          </w:hyperlink>
        </w:p>
        <w:p>
          <w:pPr>
            <w:pStyle w:val="Contents5"/>
            <w:tabs>
              <w:tab w:val="clear" w:pos="7892"/>
              <w:tab w:val="right" w:pos="9026" w:leader="dot"/>
            </w:tabs>
            <w:rPr/>
          </w:pPr>
          <w:hyperlink w:anchor="__RefHeading___Toc3234766_3224264995">
            <w:r>
              <w:rPr>
                <w:webHidden/>
                <w:rStyle w:val="IndexLink"/>
                <w:rtl w:val="true"/>
              </w:rPr>
              <w:t>القسم الثالث</w:t>
            </w:r>
            <w:r>
              <w:rPr>
                <w:rStyle w:val="IndexLink"/>
                <w:rtl w:val="true"/>
              </w:rPr>
              <w:t xml:space="preserve">: </w:t>
            </w:r>
            <w:r>
              <w:rPr>
                <w:rStyle w:val="IndexLink"/>
                <w:rtl w:val="true"/>
              </w:rPr>
              <w:t>من استصحاب الکلّی</w:t>
            </w:r>
            <w:r>
              <w:rPr>
                <w:rStyle w:val="IndexLink"/>
                <w:rtl w:val="true"/>
              </w:rPr>
              <w:tab/>
            </w:r>
            <w:r>
              <w:rPr>
                <w:rStyle w:val="IndexLink"/>
              </w:rPr>
              <w:t>116</w:t>
            </w:r>
          </w:hyperlink>
        </w:p>
        <w:p>
          <w:pPr>
            <w:pStyle w:val="Contents6"/>
            <w:tabs>
              <w:tab w:val="clear" w:pos="7609"/>
              <w:tab w:val="right" w:pos="9026" w:leader="dot"/>
            </w:tabs>
            <w:rPr/>
          </w:pPr>
          <w:hyperlink w:anchor="__RefHeading___Toc3234768_3224264995">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234770_3224264995">
            <w:r>
              <w:rPr>
                <w:webHidden/>
                <w:rStyle w:val="IndexLink"/>
                <w:rtl w:val="true"/>
              </w:rPr>
              <w:t>نقل کلمات بعض الأعاظم قدس سرهم و ما فیها</w:t>
            </w:r>
            <w:r>
              <w:rPr>
                <w:rStyle w:val="IndexLink"/>
                <w:rtl w:val="true"/>
              </w:rPr>
              <w:tab/>
            </w:r>
            <w:r>
              <w:rPr>
                <w:rStyle w:val="IndexLink"/>
              </w:rPr>
              <w:t>117</w:t>
            </w:r>
          </w:hyperlink>
        </w:p>
        <w:p>
          <w:pPr>
            <w:pStyle w:val="Contents5"/>
            <w:tabs>
              <w:tab w:val="clear" w:pos="7892"/>
              <w:tab w:val="right" w:pos="9026" w:leader="dot"/>
            </w:tabs>
            <w:rPr/>
          </w:pPr>
          <w:hyperlink w:anchor="__RefHeading___Toc3234772_3224264995">
            <w:r>
              <w:rPr>
                <w:webHidden/>
                <w:rStyle w:val="IndexLink"/>
                <w:rtl w:val="true"/>
              </w:rPr>
              <w:t>تذییل</w:t>
            </w:r>
            <w:r>
              <w:rPr>
                <w:rStyle w:val="IndexLink"/>
                <w:rtl w:val="true"/>
              </w:rPr>
              <w:t xml:space="preserve">: </w:t>
            </w:r>
            <w:r>
              <w:rPr>
                <w:rStyle w:val="IndexLink"/>
                <w:rtl w:val="true"/>
              </w:rPr>
              <w:t>حول أصالة عدم التذکیة</w:t>
            </w:r>
            <w:r>
              <w:rPr>
                <w:rStyle w:val="IndexLink"/>
                <w:rtl w:val="true"/>
              </w:rPr>
              <w:tab/>
            </w:r>
            <w:r>
              <w:rPr>
                <w:rStyle w:val="IndexLink"/>
              </w:rPr>
              <w:t>125</w:t>
            </w:r>
          </w:hyperlink>
        </w:p>
        <w:p>
          <w:pPr>
            <w:pStyle w:val="Contents6"/>
            <w:tabs>
              <w:tab w:val="clear" w:pos="7609"/>
              <w:tab w:val="right" w:pos="9026" w:leader="dot"/>
            </w:tabs>
            <w:rPr/>
          </w:pPr>
          <w:hyperlink w:anchor="__RefHeading___Toc3234774_3224264995">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3234776_3224264995">
            <w:r>
              <w:rPr>
                <w:webHidden/>
                <w:rStyle w:val="IndexLink"/>
                <w:rtl w:val="true"/>
              </w:rPr>
              <w:t>بیان أنحاء الشبهة فی المقام</w:t>
            </w:r>
            <w:r>
              <w:rPr>
                <w:rStyle w:val="IndexLink"/>
                <w:rtl w:val="true"/>
              </w:rPr>
              <w:tab/>
            </w:r>
            <w:r>
              <w:rPr>
                <w:rStyle w:val="IndexLink"/>
              </w:rPr>
              <w:t>126</w:t>
            </w:r>
          </w:hyperlink>
        </w:p>
        <w:p>
          <w:pPr>
            <w:pStyle w:val="Contents6"/>
            <w:tabs>
              <w:tab w:val="clear" w:pos="7609"/>
              <w:tab w:val="right" w:pos="9026" w:leader="dot"/>
            </w:tabs>
            <w:rPr/>
          </w:pPr>
          <w:hyperlink w:anchor="__RefHeading___Toc3234778_3224264995">
            <w:r>
              <w:rPr>
                <w:webHidden/>
                <w:rStyle w:val="IndexLink"/>
                <w:rtl w:val="true"/>
              </w:rPr>
              <w:t>بحث</w:t>
            </w:r>
            <w:r>
              <w:rPr>
                <w:rStyle w:val="IndexLink"/>
                <w:rtl w:val="true"/>
              </w:rPr>
              <w:t xml:space="preserve">: </w:t>
            </w:r>
            <w:r>
              <w:rPr>
                <w:rStyle w:val="IndexLink"/>
                <w:rtl w:val="true"/>
              </w:rPr>
              <w:t>حول استصحاب العدم الأزلی</w:t>
            </w:r>
            <w:r>
              <w:rPr>
                <w:rStyle w:val="IndexLink"/>
                <w:rtl w:val="true"/>
              </w:rPr>
              <w:tab/>
            </w:r>
            <w:r>
              <w:rPr>
                <w:rStyle w:val="IndexLink"/>
              </w:rPr>
              <w:t>129</w:t>
            </w:r>
          </w:hyperlink>
        </w:p>
        <w:p>
          <w:pPr>
            <w:pStyle w:val="Contents6"/>
            <w:tabs>
              <w:tab w:val="clear" w:pos="7609"/>
              <w:tab w:val="right" w:pos="9026" w:leader="dot"/>
            </w:tabs>
            <w:rPr/>
          </w:pPr>
          <w:hyperlink w:anchor="__RefHeading___Toc3234780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234782_3224264995">
            <w:r>
              <w:rPr>
                <w:webHidden/>
                <w:rStyle w:val="IndexLink"/>
                <w:rtl w:val="true"/>
              </w:rPr>
              <w:t>الأمر الأوّل</w:t>
            </w:r>
            <w:r>
              <w:rPr>
                <w:rStyle w:val="IndexLink"/>
                <w:rtl w:val="true"/>
              </w:rPr>
              <w:t xml:space="preserve">: </w:t>
            </w:r>
            <w:r>
              <w:rPr>
                <w:rStyle w:val="IndexLink"/>
                <w:rtl w:val="true"/>
              </w:rPr>
              <w:t>النسبة فی القضایا</w:t>
            </w:r>
            <w:r>
              <w:rPr>
                <w:rStyle w:val="IndexLink"/>
                <w:rtl w:val="true"/>
              </w:rPr>
              <w:tab/>
            </w:r>
            <w:r>
              <w:rPr>
                <w:rStyle w:val="IndexLink"/>
              </w:rPr>
              <w:t>129</w:t>
            </w:r>
          </w:hyperlink>
        </w:p>
        <w:p>
          <w:pPr>
            <w:pStyle w:val="Contents6"/>
            <w:tabs>
              <w:tab w:val="clear" w:pos="7609"/>
              <w:tab w:val="right" w:pos="9026" w:leader="dot"/>
            </w:tabs>
            <w:rPr/>
          </w:pPr>
          <w:hyperlink w:anchor="__RefHeading___Toc3234784_3224264995">
            <w:r>
              <w:rPr>
                <w:webHidden/>
                <w:rStyle w:val="IndexLink"/>
                <w:rtl w:val="true"/>
              </w:rPr>
              <w:t>الأمر الثانی</w:t>
            </w:r>
            <w:r>
              <w:rPr>
                <w:rStyle w:val="IndexLink"/>
                <w:rtl w:val="true"/>
              </w:rPr>
              <w:t xml:space="preserve">: </w:t>
            </w:r>
            <w:r>
              <w:rPr>
                <w:rStyle w:val="IndexLink"/>
                <w:rtl w:val="true"/>
              </w:rPr>
              <w:t>مناط الصدق و الکذب فی القضایا</w:t>
            </w:r>
            <w:r>
              <w:rPr>
                <w:rStyle w:val="IndexLink"/>
                <w:rtl w:val="true"/>
              </w:rPr>
              <w:tab/>
            </w:r>
            <w:r>
              <w:rPr>
                <w:rStyle w:val="IndexLink"/>
              </w:rPr>
              <w:t>131</w:t>
            </w:r>
          </w:hyperlink>
        </w:p>
        <w:p>
          <w:pPr>
            <w:pStyle w:val="Contents6"/>
            <w:tabs>
              <w:tab w:val="clear" w:pos="7609"/>
              <w:tab w:val="right" w:pos="9026" w:leader="dot"/>
            </w:tabs>
            <w:rPr/>
          </w:pPr>
          <w:hyperlink w:anchor="__RefHeading___Toc3234786_3224264995">
            <w:r>
              <w:rPr>
                <w:webHidden/>
                <w:rStyle w:val="IndexLink"/>
                <w:rtl w:val="true"/>
              </w:rPr>
              <w:t>الأمر الثالث</w:t>
            </w:r>
            <w:r>
              <w:rPr>
                <w:rStyle w:val="IndexLink"/>
                <w:rtl w:val="true"/>
              </w:rPr>
              <w:t xml:space="preserve">: </w:t>
            </w:r>
            <w:r>
              <w:rPr>
                <w:rStyle w:val="IndexLink"/>
                <w:rtl w:val="true"/>
              </w:rPr>
              <w:t>وجود الموضوع فی القضایا</w:t>
            </w:r>
            <w:r>
              <w:rPr>
                <w:rStyle w:val="IndexLink"/>
                <w:rtl w:val="true"/>
              </w:rPr>
              <w:tab/>
            </w:r>
            <w:r>
              <w:rPr>
                <w:rStyle w:val="IndexLink"/>
              </w:rPr>
              <w:t>132</w:t>
            </w:r>
          </w:hyperlink>
        </w:p>
        <w:p>
          <w:pPr>
            <w:pStyle w:val="Contents6"/>
            <w:tabs>
              <w:tab w:val="clear" w:pos="7609"/>
              <w:tab w:val="right" w:pos="9026" w:leader="dot"/>
            </w:tabs>
            <w:rPr/>
          </w:pPr>
          <w:hyperlink w:anchor="__RefHeading___Toc3234788_3224264995">
            <w:r>
              <w:rPr>
                <w:webHidden/>
                <w:rStyle w:val="IndexLink"/>
                <w:rtl w:val="true"/>
              </w:rPr>
              <w:t>الأمر الرابع</w:t>
            </w:r>
            <w:r>
              <w:rPr>
                <w:rStyle w:val="IndexLink"/>
                <w:rtl w:val="true"/>
              </w:rPr>
              <w:t xml:space="preserve">: </w:t>
            </w:r>
            <w:r>
              <w:rPr>
                <w:rStyle w:val="IndexLink"/>
                <w:rtl w:val="true"/>
              </w:rPr>
              <w:t>عدم رجوع السالبة إلی المعدولة</w:t>
            </w:r>
            <w:r>
              <w:rPr>
                <w:rStyle w:val="IndexLink"/>
                <w:rtl w:val="true"/>
              </w:rPr>
              <w:tab/>
            </w:r>
            <w:r>
              <w:rPr>
                <w:rStyle w:val="IndexLink"/>
              </w:rPr>
              <w:t>133</w:t>
            </w:r>
          </w:hyperlink>
        </w:p>
        <w:p>
          <w:pPr>
            <w:pStyle w:val="Contents6"/>
            <w:tabs>
              <w:tab w:val="clear" w:pos="7609"/>
              <w:tab w:val="right" w:pos="9026" w:leader="dot"/>
            </w:tabs>
            <w:rPr/>
          </w:pPr>
          <w:hyperlink w:anchor="__RefHeading___Toc3234790_3224264995">
            <w:r>
              <w:rPr>
                <w:webHidden/>
                <w:rStyle w:val="IndexLink"/>
                <w:rtl w:val="true"/>
              </w:rPr>
              <w:t>تحقیق المقام</w:t>
            </w:r>
            <w:r>
              <w:rPr>
                <w:rStyle w:val="IndexLink"/>
                <w:rtl w:val="true"/>
              </w:rPr>
              <w:tab/>
            </w:r>
            <w:r>
              <w:rPr>
                <w:rStyle w:val="IndexLink"/>
              </w:rPr>
              <w:t>135</w:t>
            </w:r>
          </w:hyperlink>
        </w:p>
        <w:p>
          <w:pPr>
            <w:pStyle w:val="Contents6"/>
            <w:tabs>
              <w:tab w:val="clear" w:pos="7609"/>
              <w:tab w:val="right" w:pos="9026" w:leader="dot"/>
            </w:tabs>
            <w:rPr/>
          </w:pPr>
          <w:hyperlink w:anchor="__RefHeading___Toc3234792_3224264995">
            <w:r>
              <w:rPr>
                <w:webHidden/>
                <w:rStyle w:val="IndexLink"/>
                <w:rtl w:val="true"/>
              </w:rPr>
              <w:t>المختار فی أصالة عدم التذکیة</w:t>
            </w:r>
            <w:r>
              <w:rPr>
                <w:rStyle w:val="IndexLink"/>
                <w:rtl w:val="true"/>
              </w:rPr>
              <w:tab/>
            </w:r>
            <w:r>
              <w:rPr>
                <w:rStyle w:val="IndexLink"/>
              </w:rPr>
              <w:t>138</w:t>
            </w:r>
          </w:hyperlink>
        </w:p>
        <w:p>
          <w:pPr>
            <w:pStyle w:val="Contents6"/>
            <w:tabs>
              <w:tab w:val="clear" w:pos="7609"/>
              <w:tab w:val="right" w:pos="9026" w:leader="dot"/>
            </w:tabs>
            <w:rPr/>
          </w:pPr>
          <w:hyperlink w:anchor="__RefHeading___Toc3234794_3224264995">
            <w:r>
              <w:rPr>
                <w:webHidden/>
                <w:rStyle w:val="IndexLink"/>
                <w:rtl w:val="true"/>
              </w:rPr>
              <w:t>نقل کلمات الأعلام قدس سرهم و ما فیها</w:t>
            </w:r>
            <w:r>
              <w:rPr>
                <w:rStyle w:val="IndexLink"/>
                <w:rtl w:val="true"/>
              </w:rPr>
              <w:tab/>
            </w:r>
            <w:r>
              <w:rPr>
                <w:rStyle w:val="IndexLink"/>
              </w:rPr>
              <w:t>140</w:t>
            </w:r>
          </w:hyperlink>
        </w:p>
        <w:p>
          <w:pPr>
            <w:pStyle w:val="Contents4"/>
            <w:tabs>
              <w:tab w:val="clear" w:pos="8176"/>
              <w:tab w:val="right" w:pos="9026" w:leader="dot"/>
            </w:tabs>
            <w:rPr/>
          </w:pPr>
          <w:hyperlink w:anchor="__RefHeading___Toc3234796_3224264995">
            <w:r>
              <w:rPr>
                <w:webHidden/>
                <w:rStyle w:val="IndexLink"/>
                <w:rtl w:val="true"/>
              </w:rPr>
              <w:t>التنبیه الرابع جریان الاستصحاب فی الامور التدریجیّة</w:t>
            </w:r>
            <w:r>
              <w:rPr>
                <w:rStyle w:val="IndexLink"/>
                <w:rtl w:val="true"/>
              </w:rPr>
              <w:tab/>
            </w:r>
            <w:r>
              <w:rPr>
                <w:rStyle w:val="IndexLink"/>
              </w:rPr>
              <w:t>147</w:t>
            </w:r>
          </w:hyperlink>
        </w:p>
        <w:p>
          <w:pPr>
            <w:pStyle w:val="Contents5"/>
            <w:tabs>
              <w:tab w:val="clear" w:pos="7892"/>
              <w:tab w:val="right" w:pos="9026" w:leader="dot"/>
            </w:tabs>
            <w:rPr/>
          </w:pPr>
          <w:hyperlink w:anchor="__RefHeading___Toc3234798_3224264995">
            <w:r>
              <w:rPr>
                <w:webHidden/>
                <w:rStyle w:val="IndexLink"/>
                <w:rtl w:val="true"/>
              </w:rPr>
              <w:t>استصحاب الزمان و الحرکة</w:t>
            </w:r>
            <w:r>
              <w:rPr>
                <w:rStyle w:val="IndexLink"/>
                <w:rtl w:val="true"/>
              </w:rPr>
              <w:tab/>
            </w:r>
            <w:r>
              <w:rPr>
                <w:rStyle w:val="IndexLink"/>
              </w:rPr>
              <w:t>147</w:t>
            </w:r>
          </w:hyperlink>
        </w:p>
        <w:p>
          <w:pPr>
            <w:pStyle w:val="Contents5"/>
            <w:tabs>
              <w:tab w:val="clear" w:pos="7892"/>
              <w:tab w:val="right" w:pos="9026" w:leader="dot"/>
            </w:tabs>
            <w:rPr/>
          </w:pPr>
          <w:hyperlink w:anchor="__RefHeading___Toc3234800_3224264995">
            <w:r>
              <w:rPr>
                <w:webHidden/>
                <w:rStyle w:val="IndexLink"/>
                <w:rtl w:val="true"/>
              </w:rPr>
              <w:t>استصحاب الزمانیّات</w:t>
            </w:r>
            <w:r>
              <w:rPr>
                <w:rStyle w:val="IndexLink"/>
                <w:rtl w:val="true"/>
              </w:rPr>
              <w:tab/>
            </w:r>
            <w:r>
              <w:rPr>
                <w:rStyle w:val="IndexLink"/>
              </w:rPr>
              <w:t>152</w:t>
            </w:r>
          </w:hyperlink>
        </w:p>
        <w:p>
          <w:pPr>
            <w:pStyle w:val="Contents5"/>
            <w:tabs>
              <w:tab w:val="clear" w:pos="7892"/>
              <w:tab w:val="right" w:pos="9026" w:leader="dot"/>
            </w:tabs>
            <w:rPr/>
          </w:pPr>
          <w:hyperlink w:anchor="__RefHeading___Toc3234802_3224264995">
            <w:r>
              <w:rPr>
                <w:webHidden/>
                <w:rStyle w:val="IndexLink"/>
                <w:rtl w:val="true"/>
              </w:rPr>
              <w:t>شهبة المحقّق النراقی رحمه الله</w:t>
            </w:r>
            <w:r>
              <w:rPr>
                <w:rStyle w:val="IndexLink"/>
                <w:rtl w:val="true"/>
              </w:rPr>
              <w:tab/>
            </w:r>
            <w:r>
              <w:rPr>
                <w:rStyle w:val="IndexLink"/>
              </w:rPr>
              <w:t>156</w:t>
            </w:r>
          </w:hyperlink>
        </w:p>
        <w:p>
          <w:pPr>
            <w:pStyle w:val="Contents6"/>
            <w:tabs>
              <w:tab w:val="clear" w:pos="7609"/>
              <w:tab w:val="right" w:pos="9026" w:leader="dot"/>
            </w:tabs>
            <w:rPr/>
          </w:pPr>
          <w:hyperlink w:anchor="__RefHeading___Toc3234804_3224264995">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234806_3224264995">
            <w:r>
              <w:rPr>
                <w:webHidden/>
                <w:rStyle w:val="IndexLink"/>
                <w:rtl w:val="true"/>
              </w:rPr>
              <w:t>أجوبة الأعلام عن شبهة المحقّق النراقی</w:t>
            </w:r>
            <w:r>
              <w:rPr>
                <w:rStyle w:val="IndexLink"/>
                <w:rtl w:val="true"/>
              </w:rPr>
              <w:tab/>
            </w:r>
            <w:r>
              <w:rPr>
                <w:rStyle w:val="IndexLink"/>
              </w:rPr>
              <w:t>158</w:t>
            </w:r>
          </w:hyperlink>
        </w:p>
        <w:p>
          <w:pPr>
            <w:pStyle w:val="Contents6"/>
            <w:tabs>
              <w:tab w:val="clear" w:pos="7609"/>
              <w:tab w:val="right" w:pos="9026" w:leader="dot"/>
            </w:tabs>
            <w:rPr/>
          </w:pPr>
          <w:hyperlink w:anchor="__RefHeading___Toc3234808_3224264995">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3234810_3224264995">
            <w:r>
              <w:rPr>
                <w:webHidden/>
                <w:rStyle w:val="IndexLink"/>
                <w:rtl w:val="true"/>
              </w:rPr>
              <w:t>و فی کلامه قدس سره مواقع للنظر و الإشکال</w:t>
            </w:r>
            <w:r>
              <w:rPr>
                <w:rStyle w:val="IndexLink"/>
                <w:rtl w:val="true"/>
              </w:rPr>
              <w:t>:</w:t>
              <w:tab/>
            </w:r>
            <w:r>
              <w:rPr>
                <w:rStyle w:val="IndexLink"/>
              </w:rPr>
              <w:t>163</w:t>
            </w:r>
          </w:hyperlink>
        </w:p>
        <w:p>
          <w:pPr>
            <w:pStyle w:val="Contents4"/>
            <w:tabs>
              <w:tab w:val="clear" w:pos="8176"/>
              <w:tab w:val="right" w:pos="9026" w:leader="dot"/>
            </w:tabs>
            <w:rPr/>
          </w:pPr>
          <w:hyperlink w:anchor="__RefHeading___Toc3234812_3224264995">
            <w:r>
              <w:rPr>
                <w:webHidden/>
                <w:rStyle w:val="IndexLink"/>
                <w:rtl w:val="true"/>
              </w:rPr>
              <w:t>التنبیه الخامس الاستصحاب التعلیقی</w:t>
            </w:r>
            <w:r>
              <w:rPr>
                <w:rStyle w:val="IndexLink"/>
                <w:rtl w:val="true"/>
              </w:rPr>
              <w:tab/>
            </w:r>
            <w:r>
              <w:rPr>
                <w:rStyle w:val="IndexLink"/>
              </w:rPr>
              <w:t>166</w:t>
            </w:r>
          </w:hyperlink>
        </w:p>
        <w:p>
          <w:pPr>
            <w:pStyle w:val="Contents5"/>
            <w:tabs>
              <w:tab w:val="clear" w:pos="7892"/>
              <w:tab w:val="right" w:pos="9026" w:leader="dot"/>
            </w:tabs>
            <w:rPr/>
          </w:pPr>
          <w:hyperlink w:anchor="__RefHeading___Toc3234814_3224264995">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234816_3224264995">
            <w:r>
              <w:rPr>
                <w:webHidden/>
                <w:rStyle w:val="IndexLink"/>
                <w:rtl w:val="true"/>
              </w:rPr>
              <w:t>تحقیق المقام</w:t>
            </w:r>
            <w:r>
              <w:rPr>
                <w:rStyle w:val="IndexLink"/>
                <w:rtl w:val="true"/>
              </w:rPr>
              <w:tab/>
            </w:r>
            <w:r>
              <w:rPr>
                <w:rStyle w:val="IndexLink"/>
              </w:rPr>
              <w:t>168</w:t>
            </w:r>
          </w:hyperlink>
        </w:p>
        <w:p>
          <w:pPr>
            <w:pStyle w:val="Contents5"/>
            <w:tabs>
              <w:tab w:val="clear" w:pos="7892"/>
              <w:tab w:val="right" w:pos="9026" w:leader="dot"/>
            </w:tabs>
            <w:rPr/>
          </w:pPr>
          <w:hyperlink w:anchor="__RefHeading___Toc3234818_3224264995">
            <w:r>
              <w:rPr>
                <w:webHidden/>
                <w:rStyle w:val="IndexLink"/>
                <w:rtl w:val="true"/>
              </w:rPr>
              <w:t>کلام بعض الأعاظم و ما یرد علیه</w:t>
            </w:r>
            <w:r>
              <w:rPr>
                <w:rStyle w:val="IndexLink"/>
                <w:rtl w:val="true"/>
              </w:rPr>
              <w:tab/>
            </w:r>
            <w:r>
              <w:rPr>
                <w:rStyle w:val="IndexLink"/>
              </w:rPr>
              <w:t>169</w:t>
            </w:r>
          </w:hyperlink>
        </w:p>
        <w:p>
          <w:pPr>
            <w:pStyle w:val="Contents5"/>
            <w:tabs>
              <w:tab w:val="clear" w:pos="7892"/>
              <w:tab w:val="right" w:pos="9026" w:leader="dot"/>
            </w:tabs>
            <w:rPr/>
          </w:pPr>
          <w:hyperlink w:anchor="__RefHeading___Toc3234820_3224264995">
            <w:r>
              <w:rPr>
                <w:webHidden/>
                <w:rStyle w:val="IndexLink"/>
                <w:rtl w:val="true"/>
              </w:rPr>
              <w:t>تذنیب</w:t>
            </w:r>
            <w:r>
              <w:rPr>
                <w:rStyle w:val="IndexLink"/>
                <w:rtl w:val="true"/>
              </w:rPr>
              <w:t xml:space="preserve">: </w:t>
            </w:r>
            <w:r>
              <w:rPr>
                <w:rStyle w:val="IndexLink"/>
                <w:rtl w:val="true"/>
              </w:rPr>
              <w:t>فی معارضة الاستصحاب التعلیقی مع التنجیزی</w:t>
            </w:r>
            <w:r>
              <w:rPr>
                <w:rStyle w:val="IndexLink"/>
                <w:rtl w:val="true"/>
              </w:rPr>
              <w:tab/>
            </w:r>
            <w:r>
              <w:rPr>
                <w:rStyle w:val="IndexLink"/>
              </w:rPr>
              <w:t>175</w:t>
            </w:r>
          </w:hyperlink>
        </w:p>
        <w:p>
          <w:pPr>
            <w:pStyle w:val="Contents6"/>
            <w:tabs>
              <w:tab w:val="clear" w:pos="7609"/>
              <w:tab w:val="right" w:pos="9026" w:leader="dot"/>
            </w:tabs>
            <w:rPr/>
          </w:pPr>
          <w:hyperlink w:anchor="__RefHeading___Toc3234822_3224264995">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3234824_3224264995">
            <w:r>
              <w:rPr>
                <w:webHidden/>
                <w:rStyle w:val="IndexLink"/>
                <w:rtl w:val="true"/>
              </w:rPr>
              <w:t>حکومة الاستصحاب التعلیقی علی التنجیزی</w:t>
            </w:r>
            <w:r>
              <w:rPr>
                <w:rStyle w:val="IndexLink"/>
                <w:rtl w:val="true"/>
              </w:rPr>
              <w:tab/>
            </w:r>
            <w:r>
              <w:rPr>
                <w:rStyle w:val="IndexLink"/>
              </w:rPr>
              <w:t>178</w:t>
            </w:r>
          </w:hyperlink>
        </w:p>
        <w:p>
          <w:pPr>
            <w:pStyle w:val="Contents4"/>
            <w:tabs>
              <w:tab w:val="clear" w:pos="8176"/>
              <w:tab w:val="right" w:pos="9026" w:leader="dot"/>
            </w:tabs>
            <w:rPr/>
          </w:pPr>
          <w:hyperlink w:anchor="__RefHeading___Toc3234826_3224264995">
            <w:r>
              <w:rPr>
                <w:webHidden/>
                <w:rStyle w:val="IndexLink"/>
                <w:rtl w:val="true"/>
              </w:rPr>
              <w:t>التنبیه السادس استصحاب أحکام الشرائع السابقة</w:t>
            </w:r>
            <w:r>
              <w:rPr>
                <w:rStyle w:val="IndexLink"/>
                <w:rtl w:val="true"/>
              </w:rPr>
              <w:tab/>
            </w:r>
            <w:r>
              <w:rPr>
                <w:rStyle w:val="IndexLink"/>
              </w:rPr>
              <w:t>180</w:t>
            </w:r>
          </w:hyperlink>
        </w:p>
        <w:p>
          <w:pPr>
            <w:pStyle w:val="Contents4"/>
            <w:tabs>
              <w:tab w:val="clear" w:pos="8176"/>
              <w:tab w:val="right" w:pos="9026" w:leader="dot"/>
            </w:tabs>
            <w:rPr/>
          </w:pPr>
          <w:hyperlink w:anchor="__RefHeading___Toc3234828_3224264995">
            <w:r>
              <w:rPr>
                <w:webHidden/>
                <w:rStyle w:val="IndexLink"/>
                <w:rtl w:val="true"/>
              </w:rPr>
              <w:t>التنبیه السابع فی الاصول المثبتة</w:t>
            </w:r>
            <w:r>
              <w:rPr>
                <w:rStyle w:val="IndexLink"/>
                <w:rtl w:val="true"/>
              </w:rPr>
              <w:tab/>
            </w:r>
            <w:r>
              <w:rPr>
                <w:rStyle w:val="IndexLink"/>
              </w:rPr>
              <w:t>182</w:t>
            </w:r>
          </w:hyperlink>
        </w:p>
        <w:p>
          <w:pPr>
            <w:pStyle w:val="Contents5"/>
            <w:tabs>
              <w:tab w:val="clear" w:pos="7892"/>
              <w:tab w:val="right" w:pos="9026" w:leader="dot"/>
            </w:tabs>
            <w:rPr/>
          </w:pPr>
          <w:hyperlink w:anchor="__RefHeading___Toc3234830_3224264995">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234832_3224264995">
            <w:r>
              <w:rPr>
                <w:webHidden/>
                <w:rStyle w:val="IndexLink"/>
                <w:rtl w:val="true"/>
              </w:rPr>
              <w:t>حول مثبتات الأمارات</w:t>
            </w:r>
            <w:r>
              <w:rPr>
                <w:rStyle w:val="IndexLink"/>
                <w:rtl w:val="true"/>
              </w:rPr>
              <w:tab/>
            </w:r>
            <w:r>
              <w:rPr>
                <w:rStyle w:val="IndexLink"/>
              </w:rPr>
              <w:t>183</w:t>
            </w:r>
          </w:hyperlink>
        </w:p>
        <w:p>
          <w:pPr>
            <w:pStyle w:val="Contents5"/>
            <w:tabs>
              <w:tab w:val="clear" w:pos="7892"/>
              <w:tab w:val="right" w:pos="9026" w:leader="dot"/>
            </w:tabs>
            <w:rPr/>
          </w:pPr>
          <w:hyperlink w:anchor="__RefHeading___Toc3234834_3224264995">
            <w:r>
              <w:rPr>
                <w:webHidden/>
                <w:rStyle w:val="IndexLink"/>
                <w:rtl w:val="true"/>
              </w:rPr>
              <w:t>حال مثبتات الاصول</w:t>
            </w:r>
            <w:r>
              <w:rPr>
                <w:rStyle w:val="IndexLink"/>
                <w:rtl w:val="true"/>
              </w:rPr>
              <w:tab/>
            </w:r>
            <w:r>
              <w:rPr>
                <w:rStyle w:val="IndexLink"/>
              </w:rPr>
              <w:t>184</w:t>
            </w:r>
          </w:hyperlink>
        </w:p>
        <w:p>
          <w:pPr>
            <w:pStyle w:val="Contents5"/>
            <w:tabs>
              <w:tab w:val="clear" w:pos="7892"/>
              <w:tab w:val="right" w:pos="9026" w:leader="dot"/>
            </w:tabs>
            <w:rPr/>
          </w:pPr>
          <w:hyperlink w:anchor="__RefHeading___Toc3234836_3224264995">
            <w:r>
              <w:rPr>
                <w:webHidden/>
                <w:rStyle w:val="IndexLink"/>
                <w:rtl w:val="true"/>
              </w:rPr>
              <w:t>تذییل</w:t>
            </w:r>
            <w:r>
              <w:rPr>
                <w:rStyle w:val="IndexLink"/>
                <w:rtl w:val="true"/>
              </w:rPr>
              <w:t xml:space="preserve">: </w:t>
            </w:r>
            <w:r>
              <w:rPr>
                <w:rStyle w:val="IndexLink"/>
                <w:rtl w:val="true"/>
              </w:rPr>
              <w:t>حول الوسائط الخفیّة</w:t>
            </w:r>
            <w:r>
              <w:rPr>
                <w:rStyle w:val="IndexLink"/>
                <w:rtl w:val="true"/>
              </w:rPr>
              <w:tab/>
            </w:r>
            <w:r>
              <w:rPr>
                <w:rStyle w:val="IndexLink"/>
              </w:rPr>
              <w:t>189</w:t>
            </w:r>
          </w:hyperlink>
        </w:p>
        <w:p>
          <w:pPr>
            <w:pStyle w:val="Contents6"/>
            <w:tabs>
              <w:tab w:val="clear" w:pos="7609"/>
              <w:tab w:val="right" w:pos="9026" w:leader="dot"/>
            </w:tabs>
            <w:rPr/>
          </w:pPr>
          <w:hyperlink w:anchor="__RefHeading___Toc3234838_3224264995">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3234840_3224264995">
            <w:r>
              <w:rPr>
                <w:webHidden/>
                <w:rStyle w:val="IndexLink"/>
                <w:rtl w:val="true"/>
              </w:rPr>
              <w:t>حال الأمثلة التی ذکرها الشیخ الأعظم قدس سره</w:t>
            </w:r>
            <w:r>
              <w:rPr>
                <w:rStyle w:val="IndexLink"/>
                <w:rtl w:val="true"/>
              </w:rPr>
              <w:tab/>
            </w:r>
            <w:r>
              <w:rPr>
                <w:rStyle w:val="IndexLink"/>
              </w:rPr>
              <w:t>191</w:t>
            </w:r>
          </w:hyperlink>
        </w:p>
        <w:p>
          <w:pPr>
            <w:pStyle w:val="Contents5"/>
            <w:tabs>
              <w:tab w:val="clear" w:pos="7892"/>
              <w:tab w:val="right" w:pos="9026" w:leader="dot"/>
            </w:tabs>
            <w:rPr/>
          </w:pPr>
          <w:hyperlink w:anchor="__RefHeading___Toc3234842_3224264995">
            <w:r>
              <w:rPr>
                <w:webHidden/>
                <w:rStyle w:val="IndexLink"/>
                <w:rtl w:val="true"/>
              </w:rPr>
              <w:t>تذنیب حول ما أفاده صاحب الکفایة فی تنبیهه الثامن یذکر فیه امور</w:t>
            </w:r>
            <w:r>
              <w:rPr>
                <w:rStyle w:val="IndexLink"/>
                <w:rtl w:val="true"/>
              </w:rPr>
              <w:t>:</w:t>
              <w:tab/>
            </w:r>
            <w:r>
              <w:rPr>
                <w:rStyle w:val="IndexLink"/>
              </w:rPr>
              <w:t>194</w:t>
            </w:r>
          </w:hyperlink>
        </w:p>
        <w:p>
          <w:pPr>
            <w:pStyle w:val="Contents6"/>
            <w:tabs>
              <w:tab w:val="clear" w:pos="7609"/>
              <w:tab w:val="right" w:pos="9026" w:leader="dot"/>
            </w:tabs>
            <w:rPr/>
          </w:pPr>
          <w:hyperlink w:anchor="__RefHeading___Toc3234844_3224264995">
            <w:r>
              <w:rPr>
                <w:webHidden/>
                <w:rStyle w:val="IndexLink"/>
                <w:rtl w:val="true"/>
              </w:rPr>
              <w:t>الأمر الأوّل</w:t>
            </w:r>
            <w:r>
              <w:rPr>
                <w:rStyle w:val="IndexLink"/>
                <w:rtl w:val="true"/>
              </w:rPr>
              <w:t xml:space="preserve">: </w:t>
            </w:r>
            <w:r>
              <w:rPr>
                <w:rStyle w:val="IndexLink"/>
                <w:rtl w:val="true"/>
              </w:rPr>
              <w:t>إن استصحاب العنوان المنطبق علی الخارج لیس بمثبت</w:t>
            </w:r>
            <w:r>
              <w:rPr>
                <w:rStyle w:val="IndexLink"/>
                <w:rtl w:val="true"/>
              </w:rPr>
              <w:tab/>
            </w:r>
            <w:r>
              <w:rPr>
                <w:rStyle w:val="IndexLink"/>
              </w:rPr>
              <w:t>194</w:t>
            </w:r>
          </w:hyperlink>
        </w:p>
        <w:p>
          <w:pPr>
            <w:pStyle w:val="Contents6"/>
            <w:tabs>
              <w:tab w:val="clear" w:pos="7609"/>
              <w:tab w:val="right" w:pos="9026" w:leader="dot"/>
            </w:tabs>
            <w:rPr/>
          </w:pPr>
          <w:hyperlink w:anchor="__RefHeading___Toc3234846_3224264995">
            <w:r>
              <w:rPr>
                <w:webHidden/>
                <w:rStyle w:val="IndexLink"/>
                <w:rtl w:val="true"/>
              </w:rPr>
              <w:t>الأمر الثانی</w:t>
            </w:r>
            <w:r>
              <w:rPr>
                <w:rStyle w:val="IndexLink"/>
                <w:rtl w:val="true"/>
              </w:rPr>
              <w:t xml:space="preserve">: </w:t>
            </w:r>
            <w:r>
              <w:rPr>
                <w:rStyle w:val="IndexLink"/>
                <w:rtl w:val="true"/>
              </w:rPr>
              <w:t>استصحاب الأحکام الوضعیّة</w:t>
            </w:r>
            <w:r>
              <w:rPr>
                <w:rStyle w:val="IndexLink"/>
                <w:rtl w:val="true"/>
              </w:rPr>
              <w:tab/>
            </w:r>
            <w:r>
              <w:rPr>
                <w:rStyle w:val="IndexLink"/>
              </w:rPr>
              <w:t>196</w:t>
            </w:r>
          </w:hyperlink>
        </w:p>
        <w:p>
          <w:pPr>
            <w:pStyle w:val="Contents6"/>
            <w:tabs>
              <w:tab w:val="clear" w:pos="7609"/>
              <w:tab w:val="right" w:pos="9026" w:leader="dot"/>
            </w:tabs>
            <w:rPr/>
          </w:pPr>
          <w:hyperlink w:anchor="__RefHeading___Toc3234848_3224264995">
            <w:r>
              <w:rPr>
                <w:webHidden/>
                <w:rStyle w:val="IndexLink"/>
                <w:rtl w:val="true"/>
              </w:rPr>
              <w:t>الأمر الثالث</w:t>
            </w:r>
            <w:r>
              <w:rPr>
                <w:rStyle w:val="IndexLink"/>
                <w:rtl w:val="true"/>
              </w:rPr>
              <w:t xml:space="preserve">: </w:t>
            </w:r>
            <w:r>
              <w:rPr>
                <w:rStyle w:val="IndexLink"/>
                <w:rtl w:val="true"/>
              </w:rPr>
              <w:t>فی الأثر المترتب علی الأعمّ من الوجود الواقعی و الظاهری</w:t>
            </w:r>
            <w:r>
              <w:rPr>
                <w:rStyle w:val="IndexLink"/>
                <w:rtl w:val="true"/>
              </w:rPr>
              <w:tab/>
            </w:r>
            <w:r>
              <w:rPr>
                <w:rStyle w:val="IndexLink"/>
              </w:rPr>
              <w:t>201</w:t>
            </w:r>
          </w:hyperlink>
        </w:p>
        <w:p>
          <w:pPr>
            <w:pStyle w:val="Contents4"/>
            <w:tabs>
              <w:tab w:val="clear" w:pos="8176"/>
              <w:tab w:val="right" w:pos="9026" w:leader="dot"/>
            </w:tabs>
            <w:rPr/>
          </w:pPr>
          <w:hyperlink w:anchor="__RefHeading___Toc3234850_3224264995">
            <w:r>
              <w:rPr>
                <w:webHidden/>
                <w:rStyle w:val="IndexLink"/>
                <w:rtl w:val="true"/>
              </w:rPr>
              <w:t>التنبیه الثامن فی أصالة تأخّر الحادث</w:t>
            </w:r>
            <w:r>
              <w:rPr>
                <w:rStyle w:val="IndexLink"/>
                <w:rtl w:val="true"/>
              </w:rPr>
              <w:tab/>
            </w:r>
            <w:r>
              <w:rPr>
                <w:rStyle w:val="IndexLink"/>
              </w:rPr>
              <w:t>203</w:t>
            </w:r>
          </w:hyperlink>
        </w:p>
        <w:p>
          <w:pPr>
            <w:pStyle w:val="Contents5"/>
            <w:tabs>
              <w:tab w:val="clear" w:pos="7892"/>
              <w:tab w:val="right" w:pos="9026" w:leader="dot"/>
            </w:tabs>
            <w:rPr/>
          </w:pPr>
          <w:hyperlink w:anchor="__RefHeading___Toc3234852_3224264995">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3234854_3224264995">
            <w:r>
              <w:rPr>
                <w:webHidden/>
                <w:rStyle w:val="IndexLink"/>
                <w:rtl w:val="true"/>
              </w:rPr>
              <w:t>ضابط اتصال زمان الشکّ بالیقین</w:t>
            </w:r>
            <w:r>
              <w:rPr>
                <w:rStyle w:val="IndexLink"/>
                <w:rtl w:val="true"/>
              </w:rPr>
              <w:tab/>
            </w:r>
            <w:r>
              <w:rPr>
                <w:rStyle w:val="IndexLink"/>
              </w:rPr>
              <w:t>205</w:t>
            </w:r>
          </w:hyperlink>
        </w:p>
        <w:p>
          <w:pPr>
            <w:pStyle w:val="Contents5"/>
            <w:tabs>
              <w:tab w:val="clear" w:pos="7892"/>
              <w:tab w:val="right" w:pos="9026" w:leader="dot"/>
            </w:tabs>
            <w:rPr/>
          </w:pPr>
          <w:hyperlink w:anchor="__RefHeading___Toc3234856_3224264995">
            <w:r>
              <w:rPr>
                <w:webHidden/>
                <w:rStyle w:val="IndexLink"/>
                <w:rtl w:val="true"/>
              </w:rPr>
              <w:t>إشکال المحقّق الخراسانی فی مجهولی التأریخ و جوابه</w:t>
            </w:r>
            <w:r>
              <w:rPr>
                <w:rStyle w:val="IndexLink"/>
                <w:rtl w:val="true"/>
              </w:rPr>
              <w:tab/>
            </w:r>
            <w:r>
              <w:rPr>
                <w:rStyle w:val="IndexLink"/>
              </w:rPr>
              <w:t>208</w:t>
            </w:r>
          </w:hyperlink>
        </w:p>
        <w:p>
          <w:pPr>
            <w:pStyle w:val="Contents5"/>
            <w:tabs>
              <w:tab w:val="clear" w:pos="7892"/>
              <w:tab w:val="right" w:pos="9026" w:leader="dot"/>
            </w:tabs>
            <w:rPr/>
          </w:pPr>
          <w:hyperlink w:anchor="__RefHeading___Toc3234858_3224264995">
            <w:r>
              <w:rPr>
                <w:webHidden/>
                <w:rStyle w:val="IndexLink"/>
                <w:rtl w:val="true"/>
              </w:rPr>
              <w:t>حول ما کان أحدهما معلوم التأریخ</w:t>
            </w:r>
            <w:r>
              <w:rPr>
                <w:rStyle w:val="IndexLink"/>
                <w:rtl w:val="true"/>
              </w:rPr>
              <w:tab/>
            </w:r>
            <w:r>
              <w:rPr>
                <w:rStyle w:val="IndexLink"/>
              </w:rPr>
              <w:t>213</w:t>
            </w:r>
          </w:hyperlink>
        </w:p>
        <w:p>
          <w:pPr>
            <w:pStyle w:val="Contents6"/>
            <w:tabs>
              <w:tab w:val="clear" w:pos="7609"/>
              <w:tab w:val="right" w:pos="9026" w:leader="dot"/>
            </w:tabs>
            <w:rPr/>
          </w:pPr>
          <w:hyperlink w:anchor="__RefHeading___Toc3234860_3224264995">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3234862_3224264995">
            <w:r>
              <w:rPr>
                <w:webHidden/>
                <w:rStyle w:val="IndexLink"/>
                <w:rtl w:val="true"/>
              </w:rPr>
              <w:t>الفرع الأوّل</w:t>
            </w:r>
            <w:r>
              <w:rPr>
                <w:rStyle w:val="IndexLink"/>
                <w:rtl w:val="true"/>
              </w:rPr>
              <w:t xml:space="preserve">: </w:t>
            </w:r>
            <w:r>
              <w:rPr>
                <w:rStyle w:val="IndexLink"/>
                <w:rtl w:val="true"/>
              </w:rPr>
              <w:t>فی تعاقب النجاسة و الطهارة</w:t>
            </w:r>
            <w:r>
              <w:rPr>
                <w:rStyle w:val="IndexLink"/>
                <w:rtl w:val="true"/>
              </w:rPr>
              <w:tab/>
            </w:r>
            <w:r>
              <w:rPr>
                <w:rStyle w:val="IndexLink"/>
              </w:rPr>
              <w:t>214</w:t>
            </w:r>
          </w:hyperlink>
        </w:p>
        <w:p>
          <w:pPr>
            <w:pStyle w:val="Contents6"/>
            <w:tabs>
              <w:tab w:val="clear" w:pos="7609"/>
              <w:tab w:val="right" w:pos="9026" w:leader="dot"/>
            </w:tabs>
            <w:rPr/>
          </w:pPr>
          <w:hyperlink w:anchor="__RefHeading___Toc3234864_3224264995">
            <w:r>
              <w:rPr>
                <w:webHidden/>
                <w:rStyle w:val="IndexLink"/>
                <w:rtl w:val="true"/>
              </w:rPr>
              <w:t>الفرع الثانی</w:t>
            </w:r>
            <w:r>
              <w:rPr>
                <w:rStyle w:val="IndexLink"/>
                <w:rtl w:val="true"/>
              </w:rPr>
              <w:t xml:space="preserve">: </w:t>
            </w:r>
            <w:r>
              <w:rPr>
                <w:rStyle w:val="IndexLink"/>
                <w:rtl w:val="true"/>
              </w:rPr>
              <w:t>فی تعاقب الکریّة و الملاقاة</w:t>
            </w:r>
            <w:r>
              <w:rPr>
                <w:rStyle w:val="IndexLink"/>
                <w:rtl w:val="true"/>
              </w:rPr>
              <w:tab/>
            </w:r>
            <w:r>
              <w:rPr>
                <w:rStyle w:val="IndexLink"/>
              </w:rPr>
              <w:t>222</w:t>
            </w:r>
          </w:hyperlink>
        </w:p>
        <w:p>
          <w:pPr>
            <w:pStyle w:val="Contents4"/>
            <w:tabs>
              <w:tab w:val="clear" w:pos="8176"/>
              <w:tab w:val="right" w:pos="9026" w:leader="dot"/>
            </w:tabs>
            <w:rPr/>
          </w:pPr>
          <w:hyperlink w:anchor="__RefHeading___Toc3234866_3224264995">
            <w:r>
              <w:rPr>
                <w:webHidden/>
                <w:rStyle w:val="IndexLink"/>
                <w:rtl w:val="true"/>
              </w:rPr>
              <w:t>التنبیه التاسع فی موارد التمسّک بالعموم و استصحاب حکم المخصّص</w:t>
            </w:r>
            <w:r>
              <w:rPr>
                <w:rStyle w:val="IndexLink"/>
                <w:rtl w:val="true"/>
              </w:rPr>
              <w:tab/>
            </w:r>
            <w:r>
              <w:rPr>
                <w:rStyle w:val="IndexLink"/>
              </w:rPr>
              <w:t>225</w:t>
            </w:r>
          </w:hyperlink>
        </w:p>
        <w:p>
          <w:pPr>
            <w:pStyle w:val="Contents5"/>
            <w:tabs>
              <w:tab w:val="clear" w:pos="7892"/>
              <w:tab w:val="right" w:pos="9026" w:leader="dot"/>
            </w:tabs>
            <w:rPr/>
          </w:pPr>
          <w:hyperlink w:anchor="__RefHeading___Toc3234868_3224264995">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234870_3224264995">
            <w:r>
              <w:rPr>
                <w:webHidden/>
                <w:rStyle w:val="IndexLink"/>
                <w:rtl w:val="true"/>
              </w:rPr>
              <w:t>تحقیق فی المقام</w:t>
            </w:r>
            <w:r>
              <w:rPr>
                <w:rStyle w:val="IndexLink"/>
                <w:rtl w:val="true"/>
              </w:rPr>
              <w:tab/>
            </w:r>
            <w:r>
              <w:rPr>
                <w:rStyle w:val="IndexLink"/>
              </w:rPr>
              <w:t>228</w:t>
            </w:r>
          </w:hyperlink>
        </w:p>
        <w:p>
          <w:pPr>
            <w:pStyle w:val="Contents5"/>
            <w:tabs>
              <w:tab w:val="clear" w:pos="7892"/>
              <w:tab w:val="right" w:pos="9026" w:leader="dot"/>
            </w:tabs>
            <w:rPr/>
          </w:pPr>
          <w:hyperlink w:anchor="__RefHeading___Toc3234872_3224264995">
            <w:r>
              <w:rPr>
                <w:webHidden/>
                <w:rStyle w:val="IndexLink"/>
                <w:rtl w:val="true"/>
              </w:rPr>
              <w:t>حول کلمات بعض الأعلام و ما فیها</w:t>
            </w:r>
            <w:r>
              <w:rPr>
                <w:rStyle w:val="IndexLink"/>
                <w:rtl w:val="true"/>
              </w:rPr>
              <w:tab/>
            </w:r>
            <w:r>
              <w:rPr>
                <w:rStyle w:val="IndexLink"/>
              </w:rPr>
              <w:t>230</w:t>
            </w:r>
          </w:hyperlink>
        </w:p>
        <w:p>
          <w:pPr>
            <w:pStyle w:val="Contents5"/>
            <w:tabs>
              <w:tab w:val="clear" w:pos="7892"/>
              <w:tab w:val="right" w:pos="9026" w:leader="dot"/>
            </w:tabs>
            <w:rPr/>
          </w:pPr>
          <w:hyperlink w:anchor="__RefHeading___Toc3234874_3224264995">
            <w:r>
              <w:rPr>
                <w:webHidden/>
                <w:rStyle w:val="IndexLink"/>
                <w:rtl w:val="true"/>
              </w:rPr>
              <w:t>إشکال و تفصّیات</w:t>
            </w:r>
            <w:r>
              <w:rPr>
                <w:rStyle w:val="IndexLink"/>
                <w:rtl w:val="true"/>
              </w:rPr>
              <w:tab/>
            </w:r>
            <w:r>
              <w:rPr>
                <w:rStyle w:val="IndexLink"/>
              </w:rPr>
              <w:t>236</w:t>
            </w:r>
          </w:hyperlink>
        </w:p>
        <w:p>
          <w:pPr>
            <w:pStyle w:val="Contents5"/>
            <w:tabs>
              <w:tab w:val="clear" w:pos="7892"/>
              <w:tab w:val="right" w:pos="9026" w:leader="dot"/>
            </w:tabs>
            <w:rPr/>
          </w:pPr>
          <w:hyperlink w:anchor="__RefHeading___Toc3234876_3224264995">
            <w:r>
              <w:rPr>
                <w:webHidden/>
                <w:rStyle w:val="IndexLink"/>
                <w:rtl w:val="true"/>
              </w:rPr>
              <w:t>تذنیب</w:t>
            </w:r>
            <w:r>
              <w:rPr>
                <w:rStyle w:val="IndexLink"/>
                <w:rtl w:val="true"/>
              </w:rPr>
              <w:t xml:space="preserve">: </w:t>
            </w:r>
            <w:r>
              <w:rPr>
                <w:rStyle w:val="IndexLink"/>
                <w:rtl w:val="true"/>
              </w:rPr>
              <w:t>فی أخذ الزمان بنحو الاستغراق أو الاستمرار</w:t>
            </w:r>
            <w:r>
              <w:rPr>
                <w:rStyle w:val="IndexLink"/>
                <w:rtl w:val="true"/>
              </w:rPr>
              <w:tab/>
            </w:r>
            <w:r>
              <w:rPr>
                <w:rStyle w:val="IndexLink"/>
              </w:rPr>
              <w:t>241</w:t>
            </w:r>
          </w:hyperlink>
        </w:p>
        <w:p>
          <w:pPr>
            <w:pStyle w:val="Contents4"/>
            <w:tabs>
              <w:tab w:val="clear" w:pos="8176"/>
              <w:tab w:val="right" w:pos="9026" w:leader="dot"/>
            </w:tabs>
            <w:rPr/>
          </w:pPr>
          <w:hyperlink w:anchor="__RefHeading___Toc3234878_3224264995">
            <w:r>
              <w:rPr>
                <w:webHidden/>
                <w:rStyle w:val="IndexLink"/>
                <w:rtl w:val="true"/>
              </w:rPr>
              <w:t>التنبیه العاشر حول المراد من الشکّ فی الأدلّة</w:t>
            </w:r>
            <w:r>
              <w:rPr>
                <w:rStyle w:val="IndexLink"/>
                <w:rtl w:val="true"/>
              </w:rPr>
              <w:tab/>
            </w:r>
            <w:r>
              <w:rPr>
                <w:rStyle w:val="IndexLink"/>
              </w:rPr>
              <w:t>242</w:t>
            </w:r>
          </w:hyperlink>
        </w:p>
        <w:p>
          <w:pPr>
            <w:pStyle w:val="Contents3"/>
            <w:tabs>
              <w:tab w:val="clear" w:pos="8459"/>
              <w:tab w:val="right" w:pos="9026" w:leader="dot"/>
            </w:tabs>
            <w:rPr/>
          </w:pPr>
          <w:hyperlink w:anchor="__RefHeading___Toc3234880_3224264995">
            <w:r>
              <w:rPr>
                <w:webHidden/>
                <w:rStyle w:val="IndexLink"/>
                <w:rtl w:val="true"/>
              </w:rPr>
              <w:t>خاتمة</w:t>
            </w:r>
            <w:r>
              <w:rPr>
                <w:rStyle w:val="IndexLink"/>
                <w:rtl w:val="true"/>
              </w:rPr>
              <w:tab/>
            </w:r>
            <w:r>
              <w:rPr>
                <w:rStyle w:val="IndexLink"/>
              </w:rPr>
              <w:t>244</w:t>
            </w:r>
          </w:hyperlink>
        </w:p>
        <w:p>
          <w:pPr>
            <w:pStyle w:val="Contents4"/>
            <w:tabs>
              <w:tab w:val="clear" w:pos="8176"/>
              <w:tab w:val="right" w:pos="9026" w:leader="dot"/>
            </w:tabs>
            <w:rPr/>
          </w:pPr>
          <w:hyperlink w:anchor="__RefHeading___Toc3234882_3224264995">
            <w:r>
              <w:rPr>
                <w:webHidden/>
                <w:rStyle w:val="IndexLink"/>
                <w:rtl w:val="true"/>
              </w:rPr>
              <w:t>یعتبر فی جریان الاستصحاب امور</w:t>
            </w:r>
            <w:r>
              <w:rPr>
                <w:rStyle w:val="IndexLink"/>
                <w:rtl w:val="true"/>
              </w:rPr>
              <w:t>:</w:t>
              <w:tab/>
            </w:r>
            <w:r>
              <w:rPr>
                <w:rStyle w:val="IndexLink"/>
              </w:rPr>
              <w:t>244</w:t>
            </w:r>
          </w:hyperlink>
        </w:p>
        <w:p>
          <w:pPr>
            <w:pStyle w:val="Contents5"/>
            <w:tabs>
              <w:tab w:val="clear" w:pos="7892"/>
              <w:tab w:val="right" w:pos="9026" w:leader="dot"/>
            </w:tabs>
            <w:rPr/>
          </w:pPr>
          <w:hyperlink w:anchor="__RefHeading___Toc3234884_3224264995">
            <w:r>
              <w:rPr>
                <w:webHidden/>
                <w:rStyle w:val="IndexLink"/>
                <w:rtl w:val="true"/>
              </w:rPr>
              <w:t>الأمر الأوّل وحدة القضیّة المتیقّنة و المشکوکة</w:t>
            </w:r>
            <w:r>
              <w:rPr>
                <w:rStyle w:val="IndexLink"/>
                <w:rtl w:val="true"/>
              </w:rPr>
              <w:tab/>
            </w:r>
            <w:r>
              <w:rPr>
                <w:rStyle w:val="IndexLink"/>
              </w:rPr>
              <w:t>244</w:t>
            </w:r>
          </w:hyperlink>
        </w:p>
        <w:p>
          <w:pPr>
            <w:pStyle w:val="Contents6"/>
            <w:tabs>
              <w:tab w:val="clear" w:pos="7609"/>
              <w:tab w:val="right" w:pos="9026" w:leader="dot"/>
            </w:tabs>
            <w:rPr/>
          </w:pPr>
          <w:hyperlink w:anchor="__RefHeading___Toc3234886_3224264995">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3234888_3224264995">
            <w:r>
              <w:rPr>
                <w:webHidden/>
                <w:rStyle w:val="IndexLink"/>
                <w:rtl w:val="true"/>
              </w:rPr>
              <w:t>حول اعتبار بقاء الموضوع</w:t>
            </w:r>
            <w:r>
              <w:rPr>
                <w:rStyle w:val="IndexLink"/>
                <w:rtl w:val="true"/>
              </w:rPr>
              <w:tab/>
            </w:r>
            <w:r>
              <w:rPr>
                <w:rStyle w:val="IndexLink"/>
              </w:rPr>
              <w:t>245</w:t>
            </w:r>
          </w:hyperlink>
        </w:p>
        <w:p>
          <w:pPr>
            <w:pStyle w:val="Contents6"/>
            <w:tabs>
              <w:tab w:val="clear" w:pos="7609"/>
              <w:tab w:val="right" w:pos="9026" w:leader="dot"/>
            </w:tabs>
            <w:rPr/>
          </w:pPr>
          <w:hyperlink w:anchor="__RefHeading___Toc3234890_3224264995">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3234892_3224264995">
            <w:r>
              <w:rPr>
                <w:webHidden/>
                <w:rStyle w:val="IndexLink"/>
                <w:rtl w:val="true"/>
              </w:rPr>
              <w:t>و أورد علیه المحقّق الخراسانی قدس سره بوجهین</w:t>
            </w:r>
            <w:r>
              <w:rPr>
                <w:rStyle w:val="IndexLink"/>
                <w:rtl w:val="true"/>
              </w:rPr>
              <w:t>:</w:t>
              <w:tab/>
            </w:r>
            <w:r>
              <w:rPr>
                <w:rStyle w:val="IndexLink"/>
              </w:rPr>
              <w:t>247</w:t>
            </w:r>
          </w:hyperlink>
        </w:p>
        <w:p>
          <w:pPr>
            <w:pStyle w:val="Contents6"/>
            <w:tabs>
              <w:tab w:val="clear" w:pos="7609"/>
              <w:tab w:val="right" w:pos="9026" w:leader="dot"/>
            </w:tabs>
            <w:rPr/>
          </w:pPr>
          <w:hyperlink w:anchor="__RefHeading___Toc3234894_3224264995">
            <w:r>
              <w:rPr>
                <w:webHidden/>
                <w:rStyle w:val="IndexLink"/>
                <w:rtl w:val="true"/>
              </w:rPr>
              <w:t>توجیه شیخنا الحائری قدس سره کلام الشیخ الأعظم قدس سره</w:t>
            </w:r>
            <w:r>
              <w:rPr>
                <w:rStyle w:val="IndexLink"/>
                <w:rtl w:val="true"/>
              </w:rPr>
              <w:tab/>
            </w:r>
            <w:r>
              <w:rPr>
                <w:rStyle w:val="IndexLink"/>
              </w:rPr>
              <w:t>248</w:t>
            </w:r>
          </w:hyperlink>
        </w:p>
        <w:p>
          <w:pPr>
            <w:pStyle w:val="Contents6"/>
            <w:tabs>
              <w:tab w:val="clear" w:pos="7609"/>
              <w:tab w:val="right" w:pos="9026" w:leader="dot"/>
            </w:tabs>
            <w:rPr/>
          </w:pPr>
          <w:hyperlink w:anchor="__RefHeading___Toc3234896_3224264995">
            <w:r>
              <w:rPr>
                <w:webHidden/>
                <w:rStyle w:val="IndexLink"/>
                <w:rtl w:val="true"/>
              </w:rPr>
              <w:t>عدم کفایة الاستصحاب فی إحراز موضوع القضیة المستصحبة</w:t>
            </w:r>
            <w:r>
              <w:rPr>
                <w:rStyle w:val="IndexLink"/>
                <w:rtl w:val="true"/>
              </w:rPr>
              <w:tab/>
            </w:r>
            <w:r>
              <w:rPr>
                <w:rStyle w:val="IndexLink"/>
              </w:rPr>
              <w:t>252</w:t>
            </w:r>
          </w:hyperlink>
        </w:p>
        <w:p>
          <w:pPr>
            <w:pStyle w:val="Contents6"/>
            <w:tabs>
              <w:tab w:val="clear" w:pos="7609"/>
              <w:tab w:val="right" w:pos="9026" w:leader="dot"/>
            </w:tabs>
            <w:rPr/>
          </w:pPr>
          <w:hyperlink w:anchor="__RefHeading___Toc3234898_3224264995">
            <w:r>
              <w:rPr>
                <w:webHidden/>
                <w:rStyle w:val="IndexLink"/>
                <w:rtl w:val="true"/>
              </w:rPr>
              <w:t>الخلط الواقع فی کلام بعض الأعاظم</w:t>
            </w:r>
            <w:r>
              <w:rPr>
                <w:rStyle w:val="IndexLink"/>
                <w:rtl w:val="true"/>
              </w:rPr>
              <w:tab/>
            </w:r>
            <w:r>
              <w:rPr>
                <w:rStyle w:val="IndexLink"/>
              </w:rPr>
              <w:t>253</w:t>
            </w:r>
          </w:hyperlink>
        </w:p>
        <w:p>
          <w:pPr>
            <w:pStyle w:val="Contents6"/>
            <w:tabs>
              <w:tab w:val="clear" w:pos="7609"/>
              <w:tab w:val="right" w:pos="9026" w:leader="dot"/>
            </w:tabs>
            <w:rPr/>
          </w:pPr>
          <w:hyperlink w:anchor="__RefHeading___Toc3234900_3224264995">
            <w:r>
              <w:rPr>
                <w:webHidden/>
                <w:rStyle w:val="IndexLink"/>
                <w:rtl w:val="true"/>
              </w:rPr>
              <w:t>المناط فی تشخیص وجود الموضوع</w:t>
            </w:r>
            <w:r>
              <w:rPr>
                <w:rStyle w:val="IndexLink"/>
                <w:rtl w:val="true"/>
              </w:rPr>
              <w:tab/>
            </w:r>
            <w:r>
              <w:rPr>
                <w:rStyle w:val="IndexLink"/>
              </w:rPr>
              <w:t>254</w:t>
            </w:r>
          </w:hyperlink>
        </w:p>
        <w:p>
          <w:pPr>
            <w:pStyle w:val="Contents6"/>
            <w:tabs>
              <w:tab w:val="clear" w:pos="7609"/>
              <w:tab w:val="right" w:pos="9026" w:leader="dot"/>
            </w:tabs>
            <w:rPr/>
          </w:pPr>
          <w:hyperlink w:anchor="__RefHeading___Toc3234902_3224264995">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234904_3224264995">
            <w:r>
              <w:rPr>
                <w:webHidden/>
                <w:rStyle w:val="IndexLink"/>
                <w:rtl w:val="true"/>
              </w:rPr>
              <w:t>کلام المحقّق الخراسانی و ما یرد علیه</w:t>
            </w:r>
            <w:r>
              <w:rPr>
                <w:rStyle w:val="IndexLink"/>
                <w:rtl w:val="true"/>
              </w:rPr>
              <w:tab/>
            </w:r>
            <w:r>
              <w:rPr>
                <w:rStyle w:val="IndexLink"/>
              </w:rPr>
              <w:t>257</w:t>
            </w:r>
          </w:hyperlink>
        </w:p>
        <w:p>
          <w:pPr>
            <w:pStyle w:val="Contents5"/>
            <w:tabs>
              <w:tab w:val="clear" w:pos="7892"/>
              <w:tab w:val="right" w:pos="9026" w:leader="dot"/>
            </w:tabs>
            <w:rPr/>
          </w:pPr>
          <w:hyperlink w:anchor="__RefHeading___Toc3234906_3224264995">
            <w:r>
              <w:rPr>
                <w:webHidden/>
                <w:rStyle w:val="IndexLink"/>
                <w:rtl w:val="true"/>
              </w:rPr>
              <w:t>الأمر الثانی فعلیّة الیقین و الشکّ فی الزمان اللّاحق</w:t>
            </w:r>
            <w:r>
              <w:rPr>
                <w:rStyle w:val="IndexLink"/>
                <w:rtl w:val="true"/>
              </w:rPr>
              <w:tab/>
            </w:r>
            <w:r>
              <w:rPr>
                <w:rStyle w:val="IndexLink"/>
              </w:rPr>
              <w:t>260</w:t>
            </w:r>
          </w:hyperlink>
        </w:p>
        <w:p>
          <w:pPr>
            <w:pStyle w:val="Contents6"/>
            <w:tabs>
              <w:tab w:val="clear" w:pos="7609"/>
              <w:tab w:val="right" w:pos="9026" w:leader="dot"/>
            </w:tabs>
            <w:rPr/>
          </w:pPr>
          <w:hyperlink w:anchor="__RefHeading___Toc3234908_3224264995">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3234910_3224264995">
            <w:r>
              <w:rPr>
                <w:webHidden/>
                <w:rStyle w:val="IndexLink"/>
                <w:rtl w:val="true"/>
              </w:rPr>
              <w:t>حول أنّ أخبار الباب هل تختصّ بالاستصحاب أو تعم غیره؟</w:t>
            </w:r>
            <w:r>
              <w:rPr>
                <w:rStyle w:val="IndexLink"/>
                <w:rtl w:val="true"/>
              </w:rPr>
              <w:tab/>
            </w:r>
            <w:r>
              <w:rPr>
                <w:rStyle w:val="IndexLink"/>
              </w:rPr>
              <w:t>261</w:t>
            </w:r>
          </w:hyperlink>
        </w:p>
        <w:p>
          <w:pPr>
            <w:pStyle w:val="Contents5"/>
            <w:tabs>
              <w:tab w:val="clear" w:pos="7892"/>
              <w:tab w:val="right" w:pos="9026" w:leader="dot"/>
            </w:tabs>
            <w:rPr/>
          </w:pPr>
          <w:hyperlink w:anchor="__RefHeading___Toc3234912_3224264995">
            <w:r>
              <w:rPr>
                <w:webHidden/>
                <w:rStyle w:val="IndexLink"/>
                <w:rtl w:val="true"/>
              </w:rPr>
              <w:t>الأمر الثالث الشکّ فی بقاء المتیقّن</w:t>
            </w:r>
            <w:r>
              <w:rPr>
                <w:rStyle w:val="IndexLink"/>
                <w:rtl w:val="true"/>
              </w:rPr>
              <w:tab/>
            </w:r>
            <w:r>
              <w:rPr>
                <w:rStyle w:val="IndexLink"/>
              </w:rPr>
              <w:t>269</w:t>
            </w:r>
          </w:hyperlink>
        </w:p>
        <w:p>
          <w:pPr>
            <w:pStyle w:val="Contents6"/>
            <w:tabs>
              <w:tab w:val="clear" w:pos="7609"/>
              <w:tab w:val="right" w:pos="9026" w:leader="dot"/>
            </w:tabs>
            <w:rPr/>
          </w:pPr>
          <w:hyperlink w:anchor="__RefHeading___Toc3234914_3224264995">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3234916_3224264995">
            <w:r>
              <w:rPr>
                <w:webHidden/>
                <w:rStyle w:val="IndexLink"/>
                <w:rtl w:val="true"/>
              </w:rPr>
              <w:t>المناط فی تقدیم أحد الدلیلین</w:t>
            </w:r>
            <w:r>
              <w:rPr>
                <w:rStyle w:val="IndexLink"/>
                <w:rtl w:val="true"/>
              </w:rPr>
              <w:tab/>
            </w:r>
            <w:r>
              <w:rPr>
                <w:rStyle w:val="IndexLink"/>
              </w:rPr>
              <w:t>269</w:t>
            </w:r>
          </w:hyperlink>
        </w:p>
        <w:p>
          <w:pPr>
            <w:pStyle w:val="Contents3"/>
            <w:tabs>
              <w:tab w:val="clear" w:pos="8459"/>
              <w:tab w:val="right" w:pos="9026" w:leader="dot"/>
            </w:tabs>
            <w:rPr/>
          </w:pPr>
          <w:hyperlink w:anchor="__RefHeading___Toc3234918_3224264995">
            <w:r>
              <w:rPr>
                <w:webHidden/>
                <w:rStyle w:val="IndexLink"/>
                <w:rtl w:val="true"/>
              </w:rPr>
              <w:t>نسبة أدلّة الاستصحاب إلی الأمارات و سائر القواعد و الاصول و یبحث فیها فی مقامات</w:t>
            </w:r>
            <w:r>
              <w:rPr>
                <w:rStyle w:val="IndexLink"/>
                <w:rtl w:val="true"/>
              </w:rPr>
              <w:t>:</w:t>
              <w:tab/>
            </w:r>
            <w:r>
              <w:rPr>
                <w:rStyle w:val="IndexLink"/>
              </w:rPr>
              <w:t>275</w:t>
            </w:r>
          </w:hyperlink>
        </w:p>
        <w:p>
          <w:pPr>
            <w:pStyle w:val="Contents4"/>
            <w:tabs>
              <w:tab w:val="clear" w:pos="8176"/>
              <w:tab w:val="right" w:pos="9026" w:leader="dot"/>
            </w:tabs>
            <w:rPr/>
          </w:pPr>
          <w:hyperlink w:anchor="__RefHeading___Toc3234920_3224264995">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3234922_3224264995">
            <w:r>
              <w:rPr>
                <w:webHidden/>
                <w:rStyle w:val="IndexLink"/>
                <w:rtl w:val="true"/>
              </w:rPr>
              <w:t>المقام الأوّل فی حال أدلّة الاستصحاب مع أدلّة الأمارات</w:t>
            </w:r>
            <w:r>
              <w:rPr>
                <w:rStyle w:val="IndexLink"/>
                <w:rtl w:val="true"/>
              </w:rPr>
              <w:tab/>
            </w:r>
            <w:r>
              <w:rPr>
                <w:rStyle w:val="IndexLink"/>
              </w:rPr>
              <w:t>276</w:t>
            </w:r>
          </w:hyperlink>
        </w:p>
        <w:p>
          <w:pPr>
            <w:pStyle w:val="Contents5"/>
            <w:tabs>
              <w:tab w:val="clear" w:pos="7892"/>
              <w:tab w:val="right" w:pos="9026" w:leader="dot"/>
            </w:tabs>
            <w:rPr/>
          </w:pPr>
          <w:hyperlink w:anchor="__RefHeading___Toc3234924_3224264995">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234926_3224264995">
            <w:r>
              <w:rPr>
                <w:webHidden/>
                <w:rStyle w:val="IndexLink"/>
                <w:rtl w:val="true"/>
              </w:rPr>
              <w:t>کلام شیخنا الحائری فی المقام</w:t>
            </w:r>
            <w:r>
              <w:rPr>
                <w:rStyle w:val="IndexLink"/>
                <w:rtl w:val="true"/>
              </w:rPr>
              <w:tab/>
            </w:r>
            <w:r>
              <w:rPr>
                <w:rStyle w:val="IndexLink"/>
              </w:rPr>
              <w:t>277</w:t>
            </w:r>
          </w:hyperlink>
        </w:p>
        <w:p>
          <w:pPr>
            <w:pStyle w:val="Contents4"/>
            <w:tabs>
              <w:tab w:val="clear" w:pos="8176"/>
              <w:tab w:val="right" w:pos="9026" w:leader="dot"/>
            </w:tabs>
            <w:rPr/>
          </w:pPr>
          <w:hyperlink w:anchor="__RefHeading___Toc3234928_3224264995">
            <w:r>
              <w:rPr>
                <w:webHidden/>
                <w:rStyle w:val="IndexLink"/>
                <w:rtl w:val="true"/>
              </w:rPr>
              <w:t>المقام الثانی وجه تقدیم الاستصحاب علی الاصول</w:t>
            </w:r>
            <w:r>
              <w:rPr>
                <w:rStyle w:val="IndexLink"/>
                <w:rtl w:val="true"/>
              </w:rPr>
              <w:tab/>
            </w:r>
            <w:r>
              <w:rPr>
                <w:rStyle w:val="IndexLink"/>
              </w:rPr>
              <w:t>281</w:t>
            </w:r>
          </w:hyperlink>
        </w:p>
        <w:p>
          <w:pPr>
            <w:pStyle w:val="Contents4"/>
            <w:tabs>
              <w:tab w:val="clear" w:pos="8176"/>
              <w:tab w:val="right" w:pos="9026" w:leader="dot"/>
            </w:tabs>
            <w:rPr/>
          </w:pPr>
          <w:hyperlink w:anchor="__RefHeading___Toc3234930_3224264995">
            <w:r>
              <w:rPr>
                <w:webHidden/>
                <w:rStyle w:val="IndexLink"/>
                <w:rtl w:val="true"/>
              </w:rPr>
              <w:t>المقام الثالث فی تعارض الاستصحابین</w:t>
            </w:r>
            <w:r>
              <w:rPr>
                <w:rStyle w:val="IndexLink"/>
                <w:rtl w:val="true"/>
              </w:rPr>
              <w:tab/>
            </w:r>
            <w:r>
              <w:rPr>
                <w:rStyle w:val="IndexLink"/>
              </w:rPr>
              <w:t>284</w:t>
            </w:r>
          </w:hyperlink>
        </w:p>
        <w:p>
          <w:pPr>
            <w:pStyle w:val="Contents5"/>
            <w:tabs>
              <w:tab w:val="clear" w:pos="7892"/>
              <w:tab w:val="right" w:pos="9026" w:leader="dot"/>
            </w:tabs>
            <w:rPr/>
          </w:pPr>
          <w:hyperlink w:anchor="__RefHeading___Toc3234932_3224264995">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234934_3224264995">
            <w:r>
              <w:rPr>
                <w:webHidden/>
                <w:rStyle w:val="IndexLink"/>
                <w:rtl w:val="true"/>
              </w:rPr>
              <w:t>حول ما کان الشکّ مسبّباً عن الشکّ فی الآخر</w:t>
            </w:r>
            <w:r>
              <w:rPr>
                <w:rStyle w:val="IndexLink"/>
                <w:rtl w:val="true"/>
              </w:rPr>
              <w:tab/>
            </w:r>
            <w:r>
              <w:rPr>
                <w:rStyle w:val="IndexLink"/>
              </w:rPr>
              <w:t>285</w:t>
            </w:r>
          </w:hyperlink>
        </w:p>
        <w:p>
          <w:pPr>
            <w:pStyle w:val="Contents6"/>
            <w:tabs>
              <w:tab w:val="clear" w:pos="7609"/>
              <w:tab w:val="right" w:pos="9026" w:leader="dot"/>
            </w:tabs>
            <w:rPr/>
          </w:pPr>
          <w:hyperlink w:anchor="__RefHeading___Toc3234936_3224264995">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3234938_3224264995">
            <w:r>
              <w:rPr>
                <w:webHidden/>
                <w:rStyle w:val="IndexLink"/>
                <w:rtl w:val="true"/>
              </w:rPr>
              <w:t>المناط فی تقدیم الأصل السببی علی المسبّبی</w:t>
            </w:r>
            <w:r>
              <w:rPr>
                <w:rStyle w:val="IndexLink"/>
                <w:rtl w:val="true"/>
              </w:rPr>
              <w:tab/>
            </w:r>
            <w:r>
              <w:rPr>
                <w:rStyle w:val="IndexLink"/>
              </w:rPr>
              <w:t>285</w:t>
            </w:r>
          </w:hyperlink>
        </w:p>
        <w:p>
          <w:pPr>
            <w:pStyle w:val="Contents6"/>
            <w:tabs>
              <w:tab w:val="clear" w:pos="7609"/>
              <w:tab w:val="right" w:pos="9026" w:leader="dot"/>
            </w:tabs>
            <w:rPr/>
          </w:pPr>
          <w:hyperlink w:anchor="__RefHeading___Toc3234940_3224264995">
            <w:r>
              <w:rPr>
                <w:webHidden/>
                <w:rStyle w:val="IndexLink"/>
                <w:rtl w:val="true"/>
              </w:rPr>
              <w:t>نقل کلام الشیخ الأعظم قدس سره و نقده</w:t>
            </w:r>
            <w:r>
              <w:rPr>
                <w:rStyle w:val="IndexLink"/>
                <w:rtl w:val="true"/>
              </w:rPr>
              <w:tab/>
            </w:r>
            <w:r>
              <w:rPr>
                <w:rStyle w:val="IndexLink"/>
              </w:rPr>
              <w:t>288</w:t>
            </w:r>
          </w:hyperlink>
        </w:p>
        <w:p>
          <w:pPr>
            <w:pStyle w:val="Contents5"/>
            <w:tabs>
              <w:tab w:val="clear" w:pos="7892"/>
              <w:tab w:val="right" w:pos="9026" w:leader="dot"/>
            </w:tabs>
            <w:rPr/>
          </w:pPr>
          <w:hyperlink w:anchor="__RefHeading___Toc3234942_3224264995">
            <w:r>
              <w:rPr>
                <w:webHidden/>
                <w:rStyle w:val="IndexLink"/>
                <w:rtl w:val="true"/>
              </w:rPr>
              <w:t>حول ما کان الشکّ فیهما ناشئاً عن ثالث</w:t>
            </w:r>
            <w:r>
              <w:rPr>
                <w:rStyle w:val="IndexLink"/>
                <w:rtl w:val="true"/>
              </w:rPr>
              <w:tab/>
            </w:r>
            <w:r>
              <w:rPr>
                <w:rStyle w:val="IndexLink"/>
              </w:rPr>
              <w:t>293</w:t>
            </w:r>
          </w:hyperlink>
        </w:p>
        <w:p>
          <w:pPr>
            <w:pStyle w:val="Contents6"/>
            <w:tabs>
              <w:tab w:val="clear" w:pos="7609"/>
              <w:tab w:val="right" w:pos="9026" w:leader="dot"/>
            </w:tabs>
            <w:rPr/>
          </w:pPr>
          <w:hyperlink w:anchor="__RefHeading___Toc3234944_3224264995">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3234946_3224264995">
            <w:r>
              <w:rPr>
                <w:webHidden/>
                <w:rStyle w:val="IndexLink"/>
                <w:rtl w:val="true"/>
              </w:rPr>
              <w:t>عدم جواز الترجیح لأحد الاستصحابین</w:t>
            </w:r>
            <w:r>
              <w:rPr>
                <w:rStyle w:val="IndexLink"/>
                <w:rtl w:val="true"/>
              </w:rPr>
              <w:tab/>
            </w:r>
            <w:r>
              <w:rPr>
                <w:rStyle w:val="IndexLink"/>
              </w:rPr>
              <w:t>295</w:t>
            </w:r>
          </w:hyperlink>
        </w:p>
        <w:p>
          <w:pPr>
            <w:pStyle w:val="Contents6"/>
            <w:tabs>
              <w:tab w:val="clear" w:pos="7609"/>
              <w:tab w:val="right" w:pos="9026" w:leader="dot"/>
            </w:tabs>
            <w:rPr/>
          </w:pPr>
          <w:hyperlink w:anchor="__RefHeading___Toc3234948_3224264995">
            <w:r>
              <w:rPr>
                <w:webHidden/>
                <w:rStyle w:val="IndexLink"/>
                <w:rtl w:val="true"/>
              </w:rPr>
              <w:t>بیان وجه تساقطهما</w:t>
            </w:r>
            <w:r>
              <w:rPr>
                <w:rStyle w:val="IndexLink"/>
                <w:rtl w:val="true"/>
              </w:rPr>
              <w:tab/>
            </w:r>
            <w:r>
              <w:rPr>
                <w:rStyle w:val="IndexLink"/>
              </w:rPr>
              <w:t>297</w:t>
            </w:r>
          </w:hyperlink>
        </w:p>
        <w:p>
          <w:pPr>
            <w:pStyle w:val="Contents6"/>
            <w:tabs>
              <w:tab w:val="clear" w:pos="7609"/>
              <w:tab w:val="right" w:pos="9026" w:leader="dot"/>
            </w:tabs>
            <w:rPr/>
          </w:pPr>
          <w:hyperlink w:anchor="__RefHeading___Toc3234950_3224264995">
            <w:r>
              <w:rPr>
                <w:webHidden/>
                <w:rStyle w:val="IndexLink"/>
                <w:rtl w:val="true"/>
              </w:rPr>
              <w:t>حول وجهی التخییر و الجواب عنهما</w:t>
            </w:r>
            <w:r>
              <w:rPr>
                <w:rStyle w:val="IndexLink"/>
                <w:rtl w:val="true"/>
              </w:rPr>
              <w:tab/>
            </w:r>
            <w:r>
              <w:rPr>
                <w:rStyle w:val="IndexLink"/>
              </w:rPr>
              <w:t>298</w:t>
            </w:r>
          </w:hyperlink>
        </w:p>
        <w:p>
          <w:pPr>
            <w:pStyle w:val="Contents4"/>
            <w:tabs>
              <w:tab w:val="clear" w:pos="8176"/>
              <w:tab w:val="right" w:pos="9026" w:leader="dot"/>
            </w:tabs>
            <w:rPr/>
          </w:pPr>
          <w:hyperlink w:anchor="__RefHeading___Toc3234952_3224264995">
            <w:r>
              <w:rPr>
                <w:webHidden/>
                <w:rStyle w:val="IndexLink"/>
                <w:rtl w:val="true"/>
              </w:rPr>
              <w:t>المقام الرابع فی تعارض الاستصحاب مع سائر القواعد</w:t>
            </w:r>
            <w:r>
              <w:rPr>
                <w:rStyle w:val="IndexLink"/>
                <w:rtl w:val="true"/>
              </w:rPr>
              <w:tab/>
            </w:r>
            <w:r>
              <w:rPr>
                <w:rStyle w:val="IndexLink"/>
              </w:rPr>
              <w:t>301</w:t>
            </w:r>
          </w:hyperlink>
        </w:p>
        <w:p>
          <w:pPr>
            <w:pStyle w:val="Contents5"/>
            <w:tabs>
              <w:tab w:val="clear" w:pos="7892"/>
              <w:tab w:val="right" w:pos="9026" w:leader="dot"/>
            </w:tabs>
            <w:rPr/>
          </w:pPr>
          <w:hyperlink w:anchor="__RefHeading___Toc3234954_3224264995">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3234956_3224264995">
            <w:r>
              <w:rPr>
                <w:webHidden/>
                <w:rStyle w:val="IndexLink"/>
                <w:rtl w:val="true"/>
              </w:rPr>
              <w:t>المبحث الأوّل فی قاعدة الید و الکلام فیها فی امور</w:t>
            </w:r>
            <w:r>
              <w:rPr>
                <w:rStyle w:val="IndexLink"/>
                <w:rtl w:val="true"/>
              </w:rPr>
              <w:t>:</w:t>
              <w:tab/>
            </w:r>
            <w:r>
              <w:rPr>
                <w:rStyle w:val="IndexLink"/>
              </w:rPr>
              <w:t>302</w:t>
            </w:r>
          </w:hyperlink>
        </w:p>
        <w:p>
          <w:pPr>
            <w:pStyle w:val="Contents6"/>
            <w:tabs>
              <w:tab w:val="clear" w:pos="7609"/>
              <w:tab w:val="right" w:pos="9026" w:leader="dot"/>
            </w:tabs>
            <w:rPr/>
          </w:pPr>
          <w:hyperlink w:anchor="__RefHeading___Toc3234958_3224264995">
            <w:r>
              <w:rPr>
                <w:webHidden/>
                <w:rStyle w:val="IndexLink"/>
                <w:rtl w:val="true"/>
              </w:rPr>
              <w:t>الأمر الأوّل</w:t>
            </w:r>
            <w:r>
              <w:rPr>
                <w:rStyle w:val="IndexLink"/>
                <w:rtl w:val="true"/>
              </w:rPr>
              <w:t xml:space="preserve">: </w:t>
            </w:r>
            <w:r>
              <w:rPr>
                <w:rStyle w:val="IndexLink"/>
                <w:rtl w:val="true"/>
              </w:rPr>
              <w:t>فی تحقیق معناها</w:t>
            </w:r>
            <w:r>
              <w:rPr>
                <w:rStyle w:val="IndexLink"/>
                <w:rtl w:val="true"/>
              </w:rPr>
              <w:tab/>
            </w:r>
            <w:r>
              <w:rPr>
                <w:rStyle w:val="IndexLink"/>
              </w:rPr>
              <w:t>302</w:t>
            </w:r>
          </w:hyperlink>
        </w:p>
        <w:p>
          <w:pPr>
            <w:pStyle w:val="Contents6"/>
            <w:tabs>
              <w:tab w:val="clear" w:pos="7609"/>
              <w:tab w:val="right" w:pos="9026" w:leader="dot"/>
            </w:tabs>
            <w:rPr/>
          </w:pPr>
          <w:hyperlink w:anchor="__RefHeading___Toc3234960_3224264995">
            <w:r>
              <w:rPr>
                <w:webHidden/>
                <w:rStyle w:val="IndexLink"/>
                <w:rtl w:val="true"/>
              </w:rPr>
              <w:t>الأمر الثانی</w:t>
            </w:r>
            <w:r>
              <w:rPr>
                <w:rStyle w:val="IndexLink"/>
                <w:rtl w:val="true"/>
              </w:rPr>
              <w:t xml:space="preserve">: </w:t>
            </w:r>
            <w:r>
              <w:rPr>
                <w:rStyle w:val="IndexLink"/>
                <w:rtl w:val="true"/>
              </w:rPr>
              <w:t>فی أنّ الید من الأمارات العقلائیّة</w:t>
            </w:r>
            <w:r>
              <w:rPr>
                <w:rStyle w:val="IndexLink"/>
                <w:rtl w:val="true"/>
              </w:rPr>
              <w:tab/>
            </w:r>
            <w:r>
              <w:rPr>
                <w:rStyle w:val="IndexLink"/>
              </w:rPr>
              <w:t>303</w:t>
            </w:r>
          </w:hyperlink>
        </w:p>
        <w:p>
          <w:pPr>
            <w:pStyle w:val="Contents6"/>
            <w:tabs>
              <w:tab w:val="clear" w:pos="7609"/>
              <w:tab w:val="right" w:pos="9026" w:leader="dot"/>
            </w:tabs>
            <w:rPr/>
          </w:pPr>
          <w:hyperlink w:anchor="__RefHeading___Toc3234962_3224264995">
            <w:r>
              <w:rPr>
                <w:webHidden/>
                <w:rStyle w:val="IndexLink"/>
                <w:rtl w:val="true"/>
              </w:rPr>
              <w:t>الأمر الثالث</w:t>
            </w:r>
            <w:r>
              <w:rPr>
                <w:rStyle w:val="IndexLink"/>
                <w:rtl w:val="true"/>
              </w:rPr>
              <w:t xml:space="preserve">: </w:t>
            </w:r>
            <w:r>
              <w:rPr>
                <w:rStyle w:val="IndexLink"/>
                <w:rtl w:val="true"/>
              </w:rPr>
              <w:t>فی الأخبار الواردة فیها</w:t>
            </w:r>
            <w:r>
              <w:rPr>
                <w:rStyle w:val="IndexLink"/>
                <w:rtl w:val="true"/>
              </w:rPr>
              <w:tab/>
            </w:r>
            <w:r>
              <w:rPr>
                <w:rStyle w:val="IndexLink"/>
              </w:rPr>
              <w:t>303</w:t>
            </w:r>
          </w:hyperlink>
        </w:p>
        <w:p>
          <w:pPr>
            <w:pStyle w:val="Contents6"/>
            <w:tabs>
              <w:tab w:val="clear" w:pos="7609"/>
              <w:tab w:val="right" w:pos="9026" w:leader="dot"/>
            </w:tabs>
            <w:rPr/>
          </w:pPr>
          <w:hyperlink w:anchor="__RefHeading___Toc3234964_3224264995">
            <w:r>
              <w:rPr>
                <w:webHidden/>
                <w:rStyle w:val="IndexLink"/>
                <w:rtl w:val="true"/>
              </w:rPr>
              <w:t>الأمر الرابع</w:t>
            </w:r>
            <w:r>
              <w:rPr>
                <w:rStyle w:val="IndexLink"/>
                <w:rtl w:val="true"/>
              </w:rPr>
              <w:t xml:space="preserve">: </w:t>
            </w:r>
            <w:r>
              <w:rPr>
                <w:rStyle w:val="IndexLink"/>
                <w:rtl w:val="true"/>
              </w:rPr>
              <w:t>حکم الید علی المنفعة</w:t>
            </w:r>
            <w:r>
              <w:rPr>
                <w:rStyle w:val="IndexLink"/>
                <w:rtl w:val="true"/>
              </w:rPr>
              <w:tab/>
            </w:r>
            <w:r>
              <w:rPr>
                <w:rStyle w:val="IndexLink"/>
              </w:rPr>
              <w:t>312</w:t>
            </w:r>
          </w:hyperlink>
        </w:p>
        <w:p>
          <w:pPr>
            <w:pStyle w:val="Contents6"/>
            <w:tabs>
              <w:tab w:val="clear" w:pos="7609"/>
              <w:tab w:val="right" w:pos="9026" w:leader="dot"/>
            </w:tabs>
            <w:rPr/>
          </w:pPr>
          <w:hyperlink w:anchor="__RefHeading___Toc3234966_3224264995">
            <w:r>
              <w:rPr>
                <w:webHidden/>
                <w:rStyle w:val="IndexLink"/>
                <w:rtl w:val="true"/>
              </w:rPr>
              <w:t>الأمر الخامس</w:t>
            </w:r>
            <w:r>
              <w:rPr>
                <w:rStyle w:val="IndexLink"/>
                <w:rtl w:val="true"/>
              </w:rPr>
              <w:t xml:space="preserve">: </w:t>
            </w:r>
            <w:r>
              <w:rPr>
                <w:rStyle w:val="IndexLink"/>
                <w:rtl w:val="true"/>
              </w:rPr>
              <w:t>حول کون ذی الید شاکّاً فی ملکیّته</w:t>
            </w:r>
            <w:r>
              <w:rPr>
                <w:rStyle w:val="IndexLink"/>
                <w:rtl w:val="true"/>
              </w:rPr>
              <w:tab/>
            </w:r>
            <w:r>
              <w:rPr>
                <w:rStyle w:val="IndexLink"/>
              </w:rPr>
              <w:t>315</w:t>
            </w:r>
          </w:hyperlink>
        </w:p>
        <w:p>
          <w:pPr>
            <w:pStyle w:val="Contents6"/>
            <w:tabs>
              <w:tab w:val="clear" w:pos="7609"/>
              <w:tab w:val="right" w:pos="9026" w:leader="dot"/>
            </w:tabs>
            <w:rPr/>
          </w:pPr>
          <w:hyperlink w:anchor="__RefHeading___Toc3234968_3224264995">
            <w:r>
              <w:rPr>
                <w:webHidden/>
                <w:rStyle w:val="IndexLink"/>
                <w:rtl w:val="true"/>
              </w:rPr>
              <w:t>الأمر السادس</w:t>
            </w:r>
            <w:r>
              <w:rPr>
                <w:rStyle w:val="IndexLink"/>
                <w:rtl w:val="true"/>
              </w:rPr>
              <w:t xml:space="preserve">: </w:t>
            </w:r>
            <w:r>
              <w:rPr>
                <w:rStyle w:val="IndexLink"/>
                <w:rtl w:val="true"/>
              </w:rPr>
              <w:t>حال الیدین علی شی‌ء واحد</w:t>
            </w:r>
            <w:r>
              <w:rPr>
                <w:rStyle w:val="IndexLink"/>
                <w:rtl w:val="true"/>
              </w:rPr>
              <w:tab/>
            </w:r>
            <w:r>
              <w:rPr>
                <w:rStyle w:val="IndexLink"/>
              </w:rPr>
              <w:t>317</w:t>
            </w:r>
          </w:hyperlink>
        </w:p>
        <w:p>
          <w:pPr>
            <w:pStyle w:val="Contents6"/>
            <w:tabs>
              <w:tab w:val="clear" w:pos="7609"/>
              <w:tab w:val="right" w:pos="9026" w:leader="dot"/>
            </w:tabs>
            <w:rPr/>
          </w:pPr>
          <w:hyperlink w:anchor="__RefHeading___Toc3234970_3224264995">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3234972_3224264995">
            <w:r>
              <w:rPr>
                <w:webHidden/>
                <w:rStyle w:val="IndexLink"/>
                <w:rtl w:val="true"/>
              </w:rPr>
              <w:t>حول کلام المحقّق السیّد الطباطبائی رحمه الله و ما یرد علیه</w:t>
            </w:r>
            <w:r>
              <w:rPr>
                <w:rStyle w:val="IndexLink"/>
                <w:rtl w:val="true"/>
              </w:rPr>
              <w:tab/>
            </w:r>
            <w:r>
              <w:rPr>
                <w:rStyle w:val="IndexLink"/>
              </w:rPr>
              <w:t>318</w:t>
            </w:r>
          </w:hyperlink>
        </w:p>
        <w:p>
          <w:pPr>
            <w:pStyle w:val="Contents6"/>
            <w:tabs>
              <w:tab w:val="clear" w:pos="7609"/>
              <w:tab w:val="right" w:pos="9026" w:leader="dot"/>
            </w:tabs>
            <w:rPr/>
          </w:pPr>
          <w:hyperlink w:anchor="__RefHeading___Toc3234974_3224264995">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3234976_3224264995">
            <w:r>
              <w:rPr>
                <w:webHidden/>
                <w:rStyle w:val="IndexLink"/>
                <w:rtl w:val="true"/>
              </w:rPr>
              <w:t>أقول</w:t>
            </w:r>
            <w:r>
              <w:rPr>
                <w:rStyle w:val="IndexLink"/>
                <w:rtl w:val="true"/>
              </w:rPr>
              <w:t xml:space="preserve">: </w:t>
            </w:r>
            <w:r>
              <w:rPr>
                <w:rStyle w:val="IndexLink"/>
                <w:rtl w:val="true"/>
              </w:rPr>
              <w:t>فی کلامه مواقع للنظر و الإشکال</w:t>
            </w:r>
            <w:r>
              <w:rPr>
                <w:rStyle w:val="IndexLink"/>
                <w:rtl w:val="true"/>
              </w:rPr>
              <w:t>:</w:t>
              <w:tab/>
            </w:r>
            <w:r>
              <w:rPr>
                <w:rStyle w:val="IndexLink"/>
              </w:rPr>
              <w:t>327</w:t>
            </w:r>
          </w:hyperlink>
        </w:p>
        <w:p>
          <w:pPr>
            <w:pStyle w:val="Contents6"/>
            <w:tabs>
              <w:tab w:val="clear" w:pos="7609"/>
              <w:tab w:val="right" w:pos="9026" w:leader="dot"/>
            </w:tabs>
            <w:rPr/>
          </w:pPr>
          <w:hyperlink w:anchor="__RefHeading___Toc3234978_3224264995">
            <w:r>
              <w:rPr>
                <w:webHidden/>
                <w:rStyle w:val="IndexLink"/>
                <w:rtl w:val="true"/>
              </w:rPr>
              <w:t>الأمر السابع</w:t>
            </w:r>
            <w:r>
              <w:rPr>
                <w:rStyle w:val="IndexLink"/>
                <w:rtl w:val="true"/>
              </w:rPr>
              <w:t xml:space="preserve">: </w:t>
            </w:r>
            <w:r>
              <w:rPr>
                <w:rStyle w:val="IndexLink"/>
                <w:rtl w:val="true"/>
              </w:rPr>
              <w:t>فی إقامة الدعوی علی ذی الید و فروعها</w:t>
            </w:r>
            <w:r>
              <w:rPr>
                <w:rStyle w:val="IndexLink"/>
                <w:rtl w:val="true"/>
              </w:rPr>
              <w:tab/>
            </w:r>
            <w:r>
              <w:rPr>
                <w:rStyle w:val="IndexLink"/>
              </w:rPr>
              <w:t>331</w:t>
            </w:r>
          </w:hyperlink>
        </w:p>
        <w:p>
          <w:pPr>
            <w:pStyle w:val="Contents6"/>
            <w:tabs>
              <w:tab w:val="clear" w:pos="7609"/>
              <w:tab w:val="right" w:pos="9026" w:leader="dot"/>
            </w:tabs>
            <w:rPr/>
          </w:pPr>
          <w:hyperlink w:anchor="__RefHeading___Toc3234980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3234982_3224264995">
            <w:r>
              <w:rPr>
                <w:webHidden/>
                <w:rStyle w:val="IndexLink"/>
                <w:rtl w:val="true"/>
              </w:rPr>
              <w:t>حول الاحتجاج فی أمر فدک</w:t>
            </w:r>
            <w:r>
              <w:rPr>
                <w:rStyle w:val="IndexLink"/>
                <w:rtl w:val="true"/>
              </w:rPr>
              <w:tab/>
            </w:r>
            <w:r>
              <w:rPr>
                <w:rStyle w:val="IndexLink"/>
              </w:rPr>
              <w:t>334</w:t>
            </w:r>
          </w:hyperlink>
        </w:p>
        <w:p>
          <w:pPr>
            <w:pStyle w:val="Contents6"/>
            <w:tabs>
              <w:tab w:val="clear" w:pos="7609"/>
              <w:tab w:val="right" w:pos="9026" w:leader="dot"/>
            </w:tabs>
            <w:rPr/>
          </w:pPr>
          <w:hyperlink w:anchor="__RefHeading___Toc3234984_3224264995">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234986_3224264995">
            <w:r>
              <w:rPr>
                <w:webHidden/>
                <w:rStyle w:val="IndexLink"/>
                <w:rtl w:val="true"/>
              </w:rPr>
              <w:t>و فی کلامه قدس سره مواقع للنظر و الإشکال</w:t>
            </w:r>
            <w:r>
              <w:rPr>
                <w:rStyle w:val="IndexLink"/>
                <w:rtl w:val="true"/>
              </w:rPr>
              <w:t>:</w:t>
              <w:tab/>
            </w:r>
            <w:r>
              <w:rPr>
                <w:rStyle w:val="IndexLink"/>
              </w:rPr>
              <w:t>337</w:t>
            </w:r>
          </w:hyperlink>
        </w:p>
        <w:p>
          <w:pPr>
            <w:pStyle w:val="Contents6"/>
            <w:tabs>
              <w:tab w:val="clear" w:pos="7609"/>
              <w:tab w:val="right" w:pos="9026" w:leader="dot"/>
            </w:tabs>
            <w:rPr/>
          </w:pPr>
          <w:hyperlink w:anchor="__RefHeading___Toc3234988_3224264995">
            <w:r>
              <w:rPr>
                <w:webHidden/>
                <w:rStyle w:val="IndexLink"/>
                <w:rtl w:val="true"/>
              </w:rPr>
              <w:t>الأمر الثامن</w:t>
            </w:r>
            <w:r>
              <w:rPr>
                <w:rStyle w:val="IndexLink"/>
                <w:rtl w:val="true"/>
              </w:rPr>
              <w:t xml:space="preserve">: </w:t>
            </w:r>
            <w:r>
              <w:rPr>
                <w:rStyle w:val="IndexLink"/>
                <w:rtl w:val="true"/>
              </w:rPr>
              <w:t>فی فروع العلم بسابقة الید</w:t>
            </w:r>
            <w:r>
              <w:rPr>
                <w:rStyle w:val="IndexLink"/>
                <w:rtl w:val="true"/>
              </w:rPr>
              <w:tab/>
            </w:r>
            <w:r>
              <w:rPr>
                <w:rStyle w:val="IndexLink"/>
              </w:rPr>
              <w:t>340</w:t>
            </w:r>
          </w:hyperlink>
        </w:p>
        <w:p>
          <w:pPr>
            <w:pStyle w:val="Contents6"/>
            <w:tabs>
              <w:tab w:val="clear" w:pos="7609"/>
              <w:tab w:val="right" w:pos="9026" w:leader="dot"/>
            </w:tabs>
            <w:rPr/>
          </w:pPr>
          <w:hyperlink w:anchor="__RefHeading___Toc3234990_3224264995">
            <w:r>
              <w:rPr>
                <w:webHidden/>
                <w:rStyle w:val="IndexLink"/>
                <w:rtl w:val="true"/>
              </w:rPr>
              <w:t>الأمر التاسع</w:t>
            </w:r>
            <w:r>
              <w:rPr>
                <w:rStyle w:val="IndexLink"/>
                <w:rtl w:val="true"/>
              </w:rPr>
              <w:t xml:space="preserve">: </w:t>
            </w:r>
            <w:r>
              <w:rPr>
                <w:rStyle w:val="IndexLink"/>
                <w:rtl w:val="true"/>
              </w:rPr>
              <w:t>الشهادة علی الملکیّة اعتماداً علی الید</w:t>
            </w:r>
            <w:r>
              <w:rPr>
                <w:rStyle w:val="IndexLink"/>
                <w:rtl w:val="true"/>
              </w:rPr>
              <w:tab/>
            </w:r>
            <w:r>
              <w:rPr>
                <w:rStyle w:val="IndexLink"/>
              </w:rPr>
              <w:t>348</w:t>
            </w:r>
          </w:hyperlink>
        </w:p>
        <w:p>
          <w:pPr>
            <w:pStyle w:val="Contents5"/>
            <w:tabs>
              <w:tab w:val="clear" w:pos="7892"/>
              <w:tab w:val="right" w:pos="9026" w:leader="dot"/>
            </w:tabs>
            <w:rPr/>
          </w:pPr>
          <w:hyperlink w:anchor="__RefHeading___Toc3234992_3224264995">
            <w:r>
              <w:rPr>
                <w:webHidden/>
                <w:rStyle w:val="IndexLink"/>
                <w:rtl w:val="true"/>
              </w:rPr>
              <w:t>المبحث الثانی حال الاستصحاب مع قاعدتی التجاوز و الفراغ</w:t>
            </w:r>
            <w:r>
              <w:rPr>
                <w:rStyle w:val="IndexLink"/>
                <w:rtl w:val="true"/>
              </w:rPr>
              <w:tab/>
            </w:r>
            <w:r>
              <w:rPr>
                <w:rStyle w:val="IndexLink"/>
              </w:rPr>
              <w:t>356</w:t>
            </w:r>
          </w:hyperlink>
        </w:p>
        <w:p>
          <w:pPr>
            <w:pStyle w:val="Contents6"/>
            <w:tabs>
              <w:tab w:val="clear" w:pos="7609"/>
              <w:tab w:val="right" w:pos="9026" w:leader="dot"/>
            </w:tabs>
            <w:rPr/>
          </w:pPr>
          <w:hyperlink w:anchor="__RefHeading___Toc3234994_3224264995">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3234996_3224264995">
            <w:r>
              <w:rPr>
                <w:webHidden/>
                <w:rStyle w:val="IndexLink"/>
                <w:rtl w:val="true"/>
              </w:rPr>
              <w:t>حول الأخبار التی تستفاد منها القاعدة الکلّیّة</w:t>
            </w:r>
            <w:r>
              <w:rPr>
                <w:rStyle w:val="IndexLink"/>
                <w:rtl w:val="true"/>
              </w:rPr>
              <w:tab/>
            </w:r>
            <w:r>
              <w:rPr>
                <w:rStyle w:val="IndexLink"/>
              </w:rPr>
              <w:t>356</w:t>
            </w:r>
          </w:hyperlink>
        </w:p>
        <w:p>
          <w:pPr>
            <w:pStyle w:val="Contents6"/>
            <w:tabs>
              <w:tab w:val="clear" w:pos="7609"/>
              <w:tab w:val="right" w:pos="9026" w:leader="dot"/>
            </w:tabs>
            <w:rPr/>
          </w:pPr>
          <w:hyperlink w:anchor="__RefHeading___Toc3234998_3224264995">
            <w:r>
              <w:rPr>
                <w:webHidden/>
                <w:rStyle w:val="IndexLink"/>
                <w:rtl w:val="true"/>
              </w:rPr>
              <w:t>الجهة الاولی</w:t>
            </w:r>
            <w:r>
              <w:rPr>
                <w:rStyle w:val="IndexLink"/>
                <w:rtl w:val="true"/>
              </w:rPr>
              <w:t xml:space="preserve">: </w:t>
            </w:r>
            <w:r>
              <w:rPr>
                <w:rStyle w:val="IndexLink"/>
                <w:rtl w:val="true"/>
              </w:rPr>
              <w:t>هل الکبری المجعولة فی القاعدتین واحدة أو متعددة؟</w:t>
            </w:r>
            <w:r>
              <w:rPr>
                <w:rStyle w:val="IndexLink"/>
                <w:rtl w:val="true"/>
              </w:rPr>
              <w:tab/>
            </w:r>
            <w:r>
              <w:rPr>
                <w:rStyle w:val="IndexLink"/>
              </w:rPr>
              <w:t>361</w:t>
            </w:r>
          </w:hyperlink>
        </w:p>
        <w:p>
          <w:pPr>
            <w:pStyle w:val="Contents6"/>
            <w:tabs>
              <w:tab w:val="clear" w:pos="7609"/>
              <w:tab w:val="right" w:pos="9026" w:leader="dot"/>
            </w:tabs>
            <w:rPr/>
          </w:pPr>
          <w:hyperlink w:anchor="__RefHeading___Toc3235000_3224264995">
            <w:r>
              <w:rPr>
                <w:webHidden/>
                <w:rStyle w:val="IndexLink"/>
                <w:rtl w:val="true"/>
              </w:rPr>
              <w:t>الجهة الثانیة</w:t>
            </w:r>
            <w:r>
              <w:rPr>
                <w:rStyle w:val="IndexLink"/>
                <w:rtl w:val="true"/>
              </w:rPr>
              <w:t xml:space="preserve">: </w:t>
            </w:r>
            <w:r>
              <w:rPr>
                <w:rStyle w:val="IndexLink"/>
                <w:rtl w:val="true"/>
              </w:rPr>
              <w:t>حول جریان القاعدة فی الطهارات الثلاث</w:t>
            </w:r>
            <w:r>
              <w:rPr>
                <w:rStyle w:val="IndexLink"/>
                <w:rtl w:val="true"/>
              </w:rPr>
              <w:tab/>
            </w:r>
            <w:r>
              <w:rPr>
                <w:rStyle w:val="IndexLink"/>
              </w:rPr>
              <w:t>368</w:t>
            </w:r>
          </w:hyperlink>
        </w:p>
        <w:p>
          <w:pPr>
            <w:pStyle w:val="Contents6"/>
            <w:tabs>
              <w:tab w:val="clear" w:pos="7609"/>
              <w:tab w:val="right" w:pos="9026" w:leader="dot"/>
            </w:tabs>
            <w:rPr/>
          </w:pPr>
          <w:hyperlink w:anchor="__RefHeading___Toc3235002_3224264995">
            <w:r>
              <w:rPr>
                <w:webHidden/>
                <w:rStyle w:val="IndexLink"/>
                <w:rtl w:val="true"/>
              </w:rPr>
              <w:t>الجهة الثالثة</w:t>
            </w:r>
            <w:r>
              <w:rPr>
                <w:rStyle w:val="IndexLink"/>
                <w:rtl w:val="true"/>
              </w:rPr>
              <w:t xml:space="preserve">: </w:t>
            </w:r>
            <w:r>
              <w:rPr>
                <w:rStyle w:val="IndexLink"/>
                <w:rtl w:val="true"/>
              </w:rPr>
              <w:t>أنّ المراد من المحلّ هو المحلّ الشرعی</w:t>
            </w:r>
            <w:r>
              <w:rPr>
                <w:rStyle w:val="IndexLink"/>
                <w:rtl w:val="true"/>
              </w:rPr>
              <w:tab/>
            </w:r>
            <w:r>
              <w:rPr>
                <w:rStyle w:val="IndexLink"/>
              </w:rPr>
              <w:t>373</w:t>
            </w:r>
          </w:hyperlink>
        </w:p>
        <w:p>
          <w:pPr>
            <w:pStyle w:val="Contents6"/>
            <w:tabs>
              <w:tab w:val="clear" w:pos="7609"/>
              <w:tab w:val="right" w:pos="9026" w:leader="dot"/>
            </w:tabs>
            <w:rPr/>
          </w:pPr>
          <w:hyperlink w:anchor="__RefHeading___Toc3235004_3224264995">
            <w:r>
              <w:rPr>
                <w:webHidden/>
                <w:rStyle w:val="IndexLink"/>
                <w:rtl w:val="true"/>
              </w:rPr>
              <w:t>الجهة الرابعة</w:t>
            </w:r>
            <w:r>
              <w:rPr>
                <w:rStyle w:val="IndexLink"/>
                <w:rtl w:val="true"/>
              </w:rPr>
              <w:t xml:space="preserve">: </w:t>
            </w:r>
            <w:r>
              <w:rPr>
                <w:rStyle w:val="IndexLink"/>
                <w:rtl w:val="true"/>
              </w:rPr>
              <w:t>عدم اعتبار الدخول فی الغیر</w:t>
            </w:r>
            <w:r>
              <w:rPr>
                <w:rStyle w:val="IndexLink"/>
                <w:rtl w:val="true"/>
              </w:rPr>
              <w:tab/>
            </w:r>
            <w:r>
              <w:rPr>
                <w:rStyle w:val="IndexLink"/>
              </w:rPr>
              <w:t>376</w:t>
            </w:r>
          </w:hyperlink>
        </w:p>
        <w:p>
          <w:pPr>
            <w:pStyle w:val="Contents6"/>
            <w:tabs>
              <w:tab w:val="clear" w:pos="7609"/>
              <w:tab w:val="right" w:pos="9026" w:leader="dot"/>
            </w:tabs>
            <w:rPr/>
          </w:pPr>
          <w:hyperlink w:anchor="__RefHeading___Toc3235006_3224264995">
            <w:r>
              <w:rPr>
                <w:webHidden/>
                <w:rStyle w:val="IndexLink"/>
                <w:rtl w:val="true"/>
              </w:rPr>
              <w:t>الجهة الخامسة</w:t>
            </w:r>
            <w:r>
              <w:rPr>
                <w:rStyle w:val="IndexLink"/>
                <w:rtl w:val="true"/>
              </w:rPr>
              <w:t xml:space="preserve">: </w:t>
            </w:r>
            <w:r>
              <w:rPr>
                <w:rStyle w:val="IndexLink"/>
                <w:rtl w:val="true"/>
              </w:rPr>
              <w:t>أنّ الحکم بالمضیّ هل هو رخصة أو عزیمة؟</w:t>
            </w:r>
            <w:r>
              <w:rPr>
                <w:rStyle w:val="IndexLink"/>
                <w:rtl w:val="true"/>
              </w:rPr>
              <w:tab/>
            </w:r>
            <w:r>
              <w:rPr>
                <w:rStyle w:val="IndexLink"/>
              </w:rPr>
              <w:t>382</w:t>
            </w:r>
          </w:hyperlink>
        </w:p>
        <w:p>
          <w:pPr>
            <w:pStyle w:val="Contents6"/>
            <w:tabs>
              <w:tab w:val="clear" w:pos="7609"/>
              <w:tab w:val="right" w:pos="9026" w:leader="dot"/>
            </w:tabs>
            <w:rPr/>
          </w:pPr>
          <w:hyperlink w:anchor="__RefHeading___Toc3235008_3224264995">
            <w:r>
              <w:rPr>
                <w:webHidden/>
                <w:rStyle w:val="IndexLink"/>
                <w:rtl w:val="true"/>
              </w:rPr>
              <w:t>الجهة السادسة</w:t>
            </w:r>
            <w:r>
              <w:rPr>
                <w:rStyle w:val="IndexLink"/>
                <w:rtl w:val="true"/>
              </w:rPr>
              <w:t xml:space="preserve">: </w:t>
            </w:r>
            <w:r>
              <w:rPr>
                <w:rStyle w:val="IndexLink"/>
                <w:rtl w:val="true"/>
              </w:rPr>
              <w:t>حول أنّ القاعدة من الأمارات أو الاصول؟</w:t>
            </w:r>
            <w:r>
              <w:rPr>
                <w:rStyle w:val="IndexLink"/>
                <w:rtl w:val="true"/>
              </w:rPr>
              <w:tab/>
            </w:r>
            <w:r>
              <w:rPr>
                <w:rStyle w:val="IndexLink"/>
              </w:rPr>
              <w:t>384</w:t>
            </w:r>
          </w:hyperlink>
        </w:p>
        <w:p>
          <w:pPr>
            <w:pStyle w:val="Contents6"/>
            <w:tabs>
              <w:tab w:val="clear" w:pos="7609"/>
              <w:tab w:val="right" w:pos="9026" w:leader="dot"/>
            </w:tabs>
            <w:rPr/>
          </w:pPr>
          <w:hyperlink w:anchor="__RefHeading___Toc3235010_3224264995">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3235012_3224264995">
            <w:r>
              <w:rPr>
                <w:webHidden/>
                <w:rStyle w:val="IndexLink"/>
                <w:rtl w:val="true"/>
              </w:rPr>
              <w:t>بیان أنّ القاعدة أصل محرز حیثیّ</w:t>
            </w:r>
            <w:r>
              <w:rPr>
                <w:rStyle w:val="IndexLink"/>
                <w:rtl w:val="true"/>
              </w:rPr>
              <w:tab/>
            </w:r>
            <w:r>
              <w:rPr>
                <w:rStyle w:val="IndexLink"/>
              </w:rPr>
              <w:t>390</w:t>
            </w:r>
          </w:hyperlink>
        </w:p>
        <w:p>
          <w:pPr>
            <w:pStyle w:val="Contents6"/>
            <w:tabs>
              <w:tab w:val="clear" w:pos="7609"/>
              <w:tab w:val="right" w:pos="9026" w:leader="dot"/>
            </w:tabs>
            <w:rPr/>
          </w:pPr>
          <w:hyperlink w:anchor="__RefHeading___Toc3235014_3224264995">
            <w:r>
              <w:rPr>
                <w:webHidden/>
                <w:rStyle w:val="IndexLink"/>
                <w:rtl w:val="true"/>
              </w:rPr>
              <w:t>الجهة السابعة</w:t>
            </w:r>
            <w:r>
              <w:rPr>
                <w:rStyle w:val="IndexLink"/>
                <w:rtl w:val="true"/>
              </w:rPr>
              <w:t xml:space="preserve">: </w:t>
            </w:r>
            <w:r>
              <w:rPr>
                <w:rStyle w:val="IndexLink"/>
                <w:rtl w:val="true"/>
              </w:rPr>
              <w:t>حول أنحاء الشکوک العارضة للمکلّف</w:t>
            </w:r>
            <w:r>
              <w:rPr>
                <w:rStyle w:val="IndexLink"/>
                <w:rtl w:val="true"/>
              </w:rPr>
              <w:tab/>
            </w:r>
            <w:r>
              <w:rPr>
                <w:rStyle w:val="IndexLink"/>
              </w:rPr>
              <w:t>391</w:t>
            </w:r>
          </w:hyperlink>
        </w:p>
        <w:p>
          <w:pPr>
            <w:pStyle w:val="Contents6"/>
            <w:tabs>
              <w:tab w:val="clear" w:pos="7609"/>
              <w:tab w:val="right" w:pos="9026" w:leader="dot"/>
            </w:tabs>
            <w:rPr/>
          </w:pPr>
          <w:hyperlink w:anchor="__RefHeading___Toc3235016_3224264995">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235018_3224264995">
            <w:r>
              <w:rPr>
                <w:webHidden/>
                <w:rStyle w:val="IndexLink"/>
                <w:rtl w:val="true"/>
              </w:rPr>
              <w:t>کلام بعض المحقّقین و ما یرد علیه</w:t>
            </w:r>
            <w:r>
              <w:rPr>
                <w:rStyle w:val="IndexLink"/>
                <w:rtl w:val="true"/>
              </w:rPr>
              <w:tab/>
            </w:r>
            <w:r>
              <w:rPr>
                <w:rStyle w:val="IndexLink"/>
              </w:rPr>
              <w:t>394</w:t>
            </w:r>
          </w:hyperlink>
        </w:p>
        <w:p>
          <w:pPr>
            <w:pStyle w:val="Contents6"/>
            <w:tabs>
              <w:tab w:val="clear" w:pos="7609"/>
              <w:tab w:val="right" w:pos="9026" w:leader="dot"/>
            </w:tabs>
            <w:rPr/>
          </w:pPr>
          <w:hyperlink w:anchor="__RefHeading___Toc3235020_3224264995">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235022_3224264995">
            <w:r>
              <w:rPr>
                <w:webHidden/>
                <w:rStyle w:val="IndexLink"/>
                <w:rtl w:val="true"/>
              </w:rPr>
              <w:t>حال الشکّ فی العبادات</w:t>
            </w:r>
            <w:r>
              <w:rPr>
                <w:rStyle w:val="IndexLink"/>
                <w:rtl w:val="true"/>
              </w:rPr>
              <w:tab/>
            </w:r>
            <w:r>
              <w:rPr>
                <w:rStyle w:val="IndexLink"/>
              </w:rPr>
              <w:t>395</w:t>
            </w:r>
          </w:hyperlink>
        </w:p>
        <w:p>
          <w:pPr>
            <w:pStyle w:val="Contents6"/>
            <w:tabs>
              <w:tab w:val="clear" w:pos="7609"/>
              <w:tab w:val="right" w:pos="9026" w:leader="dot"/>
            </w:tabs>
            <w:rPr/>
          </w:pPr>
          <w:hyperlink w:anchor="__RefHeading___Toc3235024_3224264995">
            <w:r>
              <w:rPr>
                <w:webHidden/>
                <w:rStyle w:val="IndexLink"/>
                <w:rtl w:val="true"/>
              </w:rPr>
              <w:t>حال الشکّ فی المعاملات</w:t>
            </w:r>
            <w:r>
              <w:rPr>
                <w:rStyle w:val="IndexLink"/>
                <w:rtl w:val="true"/>
              </w:rPr>
              <w:tab/>
            </w:r>
            <w:r>
              <w:rPr>
                <w:rStyle w:val="IndexLink"/>
              </w:rPr>
              <w:t>397</w:t>
            </w:r>
          </w:hyperlink>
        </w:p>
        <w:p>
          <w:pPr>
            <w:pStyle w:val="Contents6"/>
            <w:tabs>
              <w:tab w:val="clear" w:pos="7609"/>
              <w:tab w:val="right" w:pos="9026" w:leader="dot"/>
            </w:tabs>
            <w:rPr/>
          </w:pPr>
          <w:hyperlink w:anchor="__RefHeading___Toc3235026_3224264995">
            <w:r>
              <w:rPr>
                <w:webHidden/>
                <w:rStyle w:val="IndexLink"/>
                <w:rtl w:val="true"/>
              </w:rPr>
              <w:t xml:space="preserve">کلام شیخنا الحائری قدس سره فی </w:t>
            </w:r>
            <w:r>
              <w:rPr>
                <w:rStyle w:val="IndexLink"/>
                <w:rtl w:val="true"/>
              </w:rPr>
              <w:t>«</w:t>
            </w:r>
            <w:r>
              <w:rPr>
                <w:rStyle w:val="IndexLink"/>
                <w:rtl w:val="true"/>
              </w:rPr>
              <w:t>الدرر</w:t>
            </w:r>
            <w:r>
              <w:rPr>
                <w:rStyle w:val="IndexLink"/>
                <w:rtl w:val="true"/>
              </w:rPr>
              <w:t>»</w:t>
              <w:tab/>
            </w:r>
            <w:r>
              <w:rPr>
                <w:rStyle w:val="IndexLink"/>
              </w:rPr>
              <w:t>398</w:t>
            </w:r>
          </w:hyperlink>
        </w:p>
        <w:p>
          <w:pPr>
            <w:pStyle w:val="Contents6"/>
            <w:tabs>
              <w:tab w:val="clear" w:pos="7609"/>
              <w:tab w:val="right" w:pos="9026" w:leader="dot"/>
            </w:tabs>
            <w:rPr/>
          </w:pPr>
          <w:hyperlink w:anchor="__RefHeading___Toc3235028_3224264995">
            <w:r>
              <w:rPr>
                <w:webHidden/>
                <w:rStyle w:val="IndexLink"/>
                <w:rtl w:val="true"/>
              </w:rPr>
              <w:t>تنبیهان</w:t>
            </w:r>
            <w:r>
              <w:rPr>
                <w:rStyle w:val="IndexLink"/>
                <w:rtl w:val="true"/>
              </w:rPr>
              <w:tab/>
            </w:r>
            <w:r>
              <w:rPr>
                <w:rStyle w:val="IndexLink"/>
              </w:rPr>
              <w:t>400</w:t>
            </w:r>
          </w:hyperlink>
        </w:p>
        <w:p>
          <w:pPr>
            <w:pStyle w:val="Contents6"/>
            <w:tabs>
              <w:tab w:val="clear" w:pos="7609"/>
              <w:tab w:val="right" w:pos="9026" w:leader="dot"/>
            </w:tabs>
            <w:rPr/>
          </w:pPr>
          <w:hyperlink w:anchor="__RefHeading___Toc3235030_3224264995">
            <w:r>
              <w:rPr>
                <w:webHidden/>
                <w:rStyle w:val="IndexLink"/>
                <w:rtl w:val="true"/>
              </w:rPr>
              <w:t>التنبیه الأوّل</w:t>
            </w:r>
            <w:r>
              <w:rPr>
                <w:rStyle w:val="IndexLink"/>
                <w:rtl w:val="true"/>
              </w:rPr>
              <w:t xml:space="preserve">: </w:t>
            </w:r>
            <w:r>
              <w:rPr>
                <w:rStyle w:val="IndexLink"/>
                <w:rtl w:val="true"/>
              </w:rPr>
              <w:t>اختصاص القاعدة بالشکّ الحادث</w:t>
            </w:r>
            <w:r>
              <w:rPr>
                <w:rStyle w:val="IndexLink"/>
                <w:rtl w:val="true"/>
              </w:rPr>
              <w:tab/>
            </w:r>
            <w:r>
              <w:rPr>
                <w:rStyle w:val="IndexLink"/>
              </w:rPr>
              <w:t>400</w:t>
            </w:r>
          </w:hyperlink>
        </w:p>
        <w:p>
          <w:pPr>
            <w:pStyle w:val="Contents6"/>
            <w:tabs>
              <w:tab w:val="clear" w:pos="7609"/>
              <w:tab w:val="right" w:pos="9026" w:leader="dot"/>
            </w:tabs>
            <w:rPr/>
          </w:pPr>
          <w:hyperlink w:anchor="__RefHeading___Toc3235032_3224264995">
            <w:r>
              <w:rPr>
                <w:webHidden/>
                <w:rStyle w:val="IndexLink"/>
                <w:rtl w:val="true"/>
              </w:rPr>
              <w:t>التنبیه الثانی</w:t>
            </w:r>
            <w:r>
              <w:rPr>
                <w:rStyle w:val="IndexLink"/>
                <w:rtl w:val="true"/>
              </w:rPr>
              <w:t xml:space="preserve">: </w:t>
            </w:r>
            <w:r>
              <w:rPr>
                <w:rStyle w:val="IndexLink"/>
                <w:rtl w:val="true"/>
              </w:rPr>
              <w:t>وجه تقدّم قاعدة التجاوز علی الاستصحاب</w:t>
            </w:r>
            <w:r>
              <w:rPr>
                <w:rStyle w:val="IndexLink"/>
                <w:rtl w:val="true"/>
              </w:rPr>
              <w:tab/>
            </w:r>
            <w:r>
              <w:rPr>
                <w:rStyle w:val="IndexLink"/>
              </w:rPr>
              <w:t>402</w:t>
            </w:r>
          </w:hyperlink>
        </w:p>
        <w:p>
          <w:pPr>
            <w:pStyle w:val="Contents5"/>
            <w:tabs>
              <w:tab w:val="clear" w:pos="7892"/>
              <w:tab w:val="right" w:pos="9026" w:leader="dot"/>
            </w:tabs>
            <w:rPr/>
          </w:pPr>
          <w:hyperlink w:anchor="__RefHeading___Toc3235034_3224264995">
            <w:r>
              <w:rPr>
                <w:webHidden/>
                <w:rStyle w:val="IndexLink"/>
                <w:rtl w:val="true"/>
              </w:rPr>
              <w:t>المبحث الثالث حال الاستصحاب مع أصالة الصحّة فی فعل الغیر</w:t>
            </w:r>
            <w:r>
              <w:rPr>
                <w:rStyle w:val="IndexLink"/>
                <w:rtl w:val="true"/>
              </w:rPr>
              <w:tab/>
            </w:r>
            <w:r>
              <w:rPr>
                <w:rStyle w:val="IndexLink"/>
              </w:rPr>
              <w:t>403</w:t>
            </w:r>
          </w:hyperlink>
        </w:p>
        <w:p>
          <w:pPr>
            <w:pStyle w:val="Contents6"/>
            <w:tabs>
              <w:tab w:val="clear" w:pos="7609"/>
              <w:tab w:val="right" w:pos="9026" w:leader="dot"/>
            </w:tabs>
            <w:rPr/>
          </w:pPr>
          <w:hyperlink w:anchor="__RefHeading___Toc3235036_3224264995">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3235038_3224264995">
            <w:r>
              <w:rPr>
                <w:webHidden/>
                <w:rStyle w:val="IndexLink"/>
                <w:rtl w:val="true"/>
              </w:rPr>
              <w:t>الأمر الأوّل</w:t>
            </w:r>
            <w:r>
              <w:rPr>
                <w:rStyle w:val="IndexLink"/>
                <w:rtl w:val="true"/>
              </w:rPr>
              <w:t xml:space="preserve">: </w:t>
            </w:r>
            <w:r>
              <w:rPr>
                <w:rStyle w:val="IndexLink"/>
                <w:rtl w:val="true"/>
              </w:rPr>
              <w:t>فی دلیل اعتبارها</w:t>
            </w:r>
            <w:r>
              <w:rPr>
                <w:rStyle w:val="IndexLink"/>
                <w:rtl w:val="true"/>
              </w:rPr>
              <w:tab/>
            </w:r>
            <w:r>
              <w:rPr>
                <w:rStyle w:val="IndexLink"/>
              </w:rPr>
              <w:t>403</w:t>
            </w:r>
          </w:hyperlink>
        </w:p>
        <w:p>
          <w:pPr>
            <w:pStyle w:val="Contents6"/>
            <w:tabs>
              <w:tab w:val="clear" w:pos="7609"/>
              <w:tab w:val="right" w:pos="9026" w:leader="dot"/>
            </w:tabs>
            <w:rPr/>
          </w:pPr>
          <w:hyperlink w:anchor="__RefHeading___Toc3235040_3224264995">
            <w:r>
              <w:rPr>
                <w:webHidden/>
                <w:rStyle w:val="IndexLink"/>
                <w:rtl w:val="true"/>
              </w:rPr>
              <w:t>الأمر الثانی</w:t>
            </w:r>
            <w:r>
              <w:rPr>
                <w:rStyle w:val="IndexLink"/>
                <w:rtl w:val="true"/>
              </w:rPr>
              <w:t xml:space="preserve">: </w:t>
            </w:r>
            <w:r>
              <w:rPr>
                <w:rStyle w:val="IndexLink"/>
                <w:rtl w:val="true"/>
              </w:rPr>
              <w:t>حول المراد من الصحّة</w:t>
            </w:r>
            <w:r>
              <w:rPr>
                <w:rStyle w:val="IndexLink"/>
                <w:rtl w:val="true"/>
              </w:rPr>
              <w:tab/>
            </w:r>
            <w:r>
              <w:rPr>
                <w:rStyle w:val="IndexLink"/>
              </w:rPr>
              <w:t>405</w:t>
            </w:r>
          </w:hyperlink>
        </w:p>
        <w:p>
          <w:pPr>
            <w:pStyle w:val="Contents6"/>
            <w:tabs>
              <w:tab w:val="clear" w:pos="7609"/>
              <w:tab w:val="right" w:pos="9026" w:leader="dot"/>
            </w:tabs>
            <w:rPr/>
          </w:pPr>
          <w:hyperlink w:anchor="__RefHeading___Toc3235042_3224264995">
            <w:r>
              <w:rPr>
                <w:webHidden/>
                <w:rStyle w:val="IndexLink"/>
                <w:rtl w:val="true"/>
              </w:rPr>
              <w:t>الأمر الثالث</w:t>
            </w:r>
            <w:r>
              <w:rPr>
                <w:rStyle w:val="IndexLink"/>
                <w:rtl w:val="true"/>
              </w:rPr>
              <w:t xml:space="preserve">: </w:t>
            </w:r>
            <w:r>
              <w:rPr>
                <w:rStyle w:val="IndexLink"/>
                <w:rtl w:val="true"/>
              </w:rPr>
              <w:t>حول أقسام الشکّ فی العمل و أحکامها</w:t>
            </w:r>
            <w:r>
              <w:rPr>
                <w:rStyle w:val="IndexLink"/>
                <w:rtl w:val="true"/>
              </w:rPr>
              <w:tab/>
            </w:r>
            <w:r>
              <w:rPr>
                <w:rStyle w:val="IndexLink"/>
              </w:rPr>
              <w:t>407</w:t>
            </w:r>
          </w:hyperlink>
        </w:p>
        <w:p>
          <w:pPr>
            <w:pStyle w:val="Contents6"/>
            <w:tabs>
              <w:tab w:val="clear" w:pos="7609"/>
              <w:tab w:val="right" w:pos="9026" w:leader="dot"/>
            </w:tabs>
            <w:rPr/>
          </w:pPr>
          <w:hyperlink w:anchor="__RefHeading___Toc3235044_3224264995">
            <w:r>
              <w:rPr>
                <w:webHidden/>
                <w:rStyle w:val="IndexLink"/>
                <w:rtl w:val="true"/>
              </w:rPr>
              <w:t>الأمر الرابع</w:t>
            </w:r>
            <w:r>
              <w:rPr>
                <w:rStyle w:val="IndexLink"/>
                <w:rtl w:val="true"/>
              </w:rPr>
              <w:t xml:space="preserve">: </w:t>
            </w:r>
            <w:r>
              <w:rPr>
                <w:rStyle w:val="IndexLink"/>
                <w:rtl w:val="true"/>
              </w:rPr>
              <w:t>اختصاص القاعدة بما إذا شکّ فی تحقّق الشی‌ء صحیحاً</w:t>
            </w:r>
            <w:r>
              <w:rPr>
                <w:rStyle w:val="IndexLink"/>
                <w:rtl w:val="true"/>
              </w:rPr>
              <w:tab/>
            </w:r>
            <w:r>
              <w:rPr>
                <w:rStyle w:val="IndexLink"/>
              </w:rPr>
              <w:t>411</w:t>
            </w:r>
          </w:hyperlink>
        </w:p>
        <w:p>
          <w:pPr>
            <w:pStyle w:val="Contents6"/>
            <w:tabs>
              <w:tab w:val="clear" w:pos="7609"/>
              <w:tab w:val="right" w:pos="9026" w:leader="dot"/>
            </w:tabs>
            <w:rPr/>
          </w:pPr>
          <w:hyperlink w:anchor="__RefHeading___Toc3235046_3224264995">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3235048_3224264995">
            <w:r>
              <w:rPr>
                <w:webHidden/>
                <w:rStyle w:val="IndexLink"/>
                <w:rtl w:val="true"/>
              </w:rPr>
              <w:t>تذنیب</w:t>
            </w:r>
            <w:r>
              <w:rPr>
                <w:rStyle w:val="IndexLink"/>
                <w:rtl w:val="true"/>
              </w:rPr>
              <w:t xml:space="preserve">: </w:t>
            </w:r>
            <w:r>
              <w:rPr>
                <w:rStyle w:val="IndexLink"/>
                <w:rtl w:val="true"/>
              </w:rPr>
              <w:t>حول الشکّ فی صحّة بیع العین الموقوفة</w:t>
            </w:r>
            <w:r>
              <w:rPr>
                <w:rStyle w:val="IndexLink"/>
                <w:rtl w:val="true"/>
              </w:rPr>
              <w:tab/>
            </w:r>
            <w:r>
              <w:rPr>
                <w:rStyle w:val="IndexLink"/>
              </w:rPr>
              <w:t>413</w:t>
            </w:r>
          </w:hyperlink>
        </w:p>
        <w:p>
          <w:pPr>
            <w:pStyle w:val="Contents6"/>
            <w:tabs>
              <w:tab w:val="clear" w:pos="7609"/>
              <w:tab w:val="right" w:pos="9026" w:leader="dot"/>
            </w:tabs>
            <w:rPr/>
          </w:pPr>
          <w:hyperlink w:anchor="__RefHeading___Toc3235050_3224264995">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3235052_3224264995">
            <w:r>
              <w:rPr>
                <w:webHidden/>
                <w:rStyle w:val="IndexLink"/>
                <w:rtl w:val="true"/>
              </w:rPr>
              <w:t>نقل کلمات السیّد الطباطبائی قدس سره و ما فیها</w:t>
            </w:r>
            <w:r>
              <w:rPr>
                <w:rStyle w:val="IndexLink"/>
                <w:rtl w:val="true"/>
              </w:rPr>
              <w:tab/>
            </w:r>
            <w:r>
              <w:rPr>
                <w:rStyle w:val="IndexLink"/>
              </w:rPr>
              <w:t>415</w:t>
            </w:r>
          </w:hyperlink>
        </w:p>
        <w:p>
          <w:pPr>
            <w:pStyle w:val="Contents6"/>
            <w:tabs>
              <w:tab w:val="clear" w:pos="7609"/>
              <w:tab w:val="right" w:pos="9026" w:leader="dot"/>
            </w:tabs>
            <w:rPr/>
          </w:pPr>
          <w:hyperlink w:anchor="__RefHeading___Toc3235054_3224264995">
            <w:r>
              <w:rPr>
                <w:webHidden/>
                <w:rStyle w:val="IndexLink"/>
                <w:rtl w:val="true"/>
              </w:rPr>
              <w:t>الأمر الخامس</w:t>
            </w:r>
            <w:r>
              <w:rPr>
                <w:rStyle w:val="IndexLink"/>
                <w:rtl w:val="true"/>
              </w:rPr>
              <w:t xml:space="preserve">: </w:t>
            </w:r>
            <w:r>
              <w:rPr>
                <w:rStyle w:val="IndexLink"/>
                <w:rtl w:val="true"/>
              </w:rPr>
              <w:t>اعتبار إحراز اصل العمل فی جریان أصالة الصحّة</w:t>
            </w:r>
            <w:r>
              <w:rPr>
                <w:rStyle w:val="IndexLink"/>
                <w:rtl w:val="true"/>
              </w:rPr>
              <w:tab/>
            </w:r>
            <w:r>
              <w:rPr>
                <w:rStyle w:val="IndexLink"/>
              </w:rPr>
              <w:t>418</w:t>
            </w:r>
          </w:hyperlink>
        </w:p>
        <w:p>
          <w:pPr>
            <w:pStyle w:val="Contents6"/>
            <w:tabs>
              <w:tab w:val="clear" w:pos="7609"/>
              <w:tab w:val="right" w:pos="9026" w:leader="dot"/>
            </w:tabs>
            <w:rPr/>
          </w:pPr>
          <w:hyperlink w:anchor="__RefHeading___Toc3235056_3224264995">
            <w:r>
              <w:rPr>
                <w:webHidden/>
                <w:rStyle w:val="IndexLink"/>
                <w:rtl w:val="true"/>
              </w:rPr>
              <w:t>الأمر السادس</w:t>
            </w:r>
            <w:r>
              <w:rPr>
                <w:rStyle w:val="IndexLink"/>
                <w:rtl w:val="true"/>
              </w:rPr>
              <w:t xml:space="preserve">: </w:t>
            </w:r>
            <w:r>
              <w:rPr>
                <w:rStyle w:val="IndexLink"/>
                <w:rtl w:val="true"/>
              </w:rPr>
              <w:t>عدم حجیّة مثبتات أصالة الصحّة</w:t>
            </w:r>
            <w:r>
              <w:rPr>
                <w:rStyle w:val="IndexLink"/>
                <w:rtl w:val="true"/>
              </w:rPr>
              <w:tab/>
            </w:r>
            <w:r>
              <w:rPr>
                <w:rStyle w:val="IndexLink"/>
              </w:rPr>
              <w:t>421</w:t>
            </w:r>
          </w:hyperlink>
        </w:p>
        <w:p>
          <w:pPr>
            <w:pStyle w:val="Contents6"/>
            <w:tabs>
              <w:tab w:val="clear" w:pos="7609"/>
              <w:tab w:val="right" w:pos="9026" w:leader="dot"/>
            </w:tabs>
            <w:rPr/>
          </w:pPr>
          <w:hyperlink w:anchor="__RefHeading___Toc3235058_3224264995">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3235060_3224264995">
            <w:r>
              <w:rPr>
                <w:webHidden/>
                <w:rStyle w:val="IndexLink"/>
                <w:rtl w:val="true"/>
              </w:rPr>
              <w:t>و أورد علیه المیرزا النائینی قدس سره بوجهین</w:t>
            </w:r>
            <w:r>
              <w:rPr>
                <w:rStyle w:val="IndexLink"/>
                <w:rtl w:val="true"/>
              </w:rPr>
              <w:t>:</w:t>
              <w:tab/>
            </w:r>
            <w:r>
              <w:rPr>
                <w:rStyle w:val="IndexLink"/>
              </w:rPr>
              <w:t>421</w:t>
            </w:r>
          </w:hyperlink>
        </w:p>
        <w:p>
          <w:pPr>
            <w:pStyle w:val="Contents6"/>
            <w:tabs>
              <w:tab w:val="clear" w:pos="7609"/>
              <w:tab w:val="right" w:pos="9026" w:leader="dot"/>
            </w:tabs>
            <w:rPr/>
          </w:pPr>
          <w:hyperlink w:anchor="__RefHeading___Toc3235062_3224264995">
            <w:r>
              <w:rPr>
                <w:webHidden/>
                <w:rStyle w:val="IndexLink"/>
                <w:rtl w:val="true"/>
              </w:rPr>
              <w:t>الأمر السابع</w:t>
            </w:r>
            <w:r>
              <w:rPr>
                <w:rStyle w:val="IndexLink"/>
                <w:rtl w:val="true"/>
              </w:rPr>
              <w:t xml:space="preserve">: </w:t>
            </w:r>
            <w:r>
              <w:rPr>
                <w:rStyle w:val="IndexLink"/>
                <w:rtl w:val="true"/>
              </w:rPr>
              <w:t>حول تقدّم أصالة الصحّة علی الاستصحاب</w:t>
            </w:r>
            <w:r>
              <w:rPr>
                <w:rStyle w:val="IndexLink"/>
                <w:rtl w:val="true"/>
              </w:rPr>
              <w:tab/>
            </w:r>
            <w:r>
              <w:rPr>
                <w:rStyle w:val="IndexLink"/>
              </w:rPr>
              <w:t>423</w:t>
            </w:r>
          </w:hyperlink>
        </w:p>
        <w:p>
          <w:pPr>
            <w:pStyle w:val="Contents5"/>
            <w:tabs>
              <w:tab w:val="clear" w:pos="7892"/>
              <w:tab w:val="right" w:pos="9026" w:leader="dot"/>
            </w:tabs>
            <w:rPr/>
          </w:pPr>
          <w:hyperlink w:anchor="__RefHeading___Toc3235064_3224264995">
            <w:r>
              <w:rPr>
                <w:webHidden/>
                <w:rStyle w:val="IndexLink"/>
                <w:rtl w:val="true"/>
              </w:rPr>
              <w:t>المبحث الرابع حال الاستصحاب مع قاعدة القرعة</w:t>
            </w:r>
            <w:r>
              <w:rPr>
                <w:rStyle w:val="IndexLink"/>
                <w:rtl w:val="true"/>
              </w:rPr>
              <w:tab/>
            </w:r>
            <w:r>
              <w:rPr>
                <w:rStyle w:val="IndexLink"/>
              </w:rPr>
              <w:t>426</w:t>
            </w:r>
          </w:hyperlink>
        </w:p>
        <w:p>
          <w:pPr>
            <w:pStyle w:val="Contents6"/>
            <w:tabs>
              <w:tab w:val="clear" w:pos="7609"/>
              <w:tab w:val="right" w:pos="9026" w:leader="dot"/>
            </w:tabs>
            <w:rPr/>
          </w:pPr>
          <w:hyperlink w:anchor="__RefHeading___Toc3235066_3224264995">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3235068_3224264995">
            <w:r>
              <w:rPr>
                <w:webHidden/>
                <w:rStyle w:val="IndexLink"/>
                <w:rtl w:val="true"/>
              </w:rPr>
              <w:t>الأمر الأوّل</w:t>
            </w:r>
            <w:r>
              <w:rPr>
                <w:rStyle w:val="IndexLink"/>
                <w:rtl w:val="true"/>
              </w:rPr>
              <w:t xml:space="preserve">: </w:t>
            </w:r>
            <w:r>
              <w:rPr>
                <w:rStyle w:val="IndexLink"/>
                <w:rtl w:val="true"/>
              </w:rPr>
              <w:t>فی دلیل اعتبارها</w:t>
            </w:r>
            <w:r>
              <w:rPr>
                <w:rStyle w:val="IndexLink"/>
                <w:rtl w:val="true"/>
              </w:rPr>
              <w:tab/>
            </w:r>
            <w:r>
              <w:rPr>
                <w:rStyle w:val="IndexLink"/>
              </w:rPr>
              <w:t>426</w:t>
            </w:r>
          </w:hyperlink>
        </w:p>
        <w:p>
          <w:pPr>
            <w:pStyle w:val="Contents6"/>
            <w:tabs>
              <w:tab w:val="clear" w:pos="7609"/>
              <w:tab w:val="right" w:pos="9026" w:leader="dot"/>
            </w:tabs>
            <w:rPr/>
          </w:pPr>
          <w:hyperlink w:anchor="__RefHeading___Toc3235070_3224264995">
            <w:r>
              <w:rPr>
                <w:webHidden/>
                <w:rStyle w:val="IndexLink"/>
                <w:rtl w:val="true"/>
              </w:rPr>
              <w:t>الأمر الثانی</w:t>
            </w:r>
            <w:r>
              <w:rPr>
                <w:rStyle w:val="IndexLink"/>
                <w:rtl w:val="true"/>
              </w:rPr>
              <w:t xml:space="preserve">: </w:t>
            </w:r>
            <w:r>
              <w:rPr>
                <w:rStyle w:val="IndexLink"/>
                <w:rtl w:val="true"/>
              </w:rPr>
              <w:t>القول فی التخصیص المستهجن لعمومات القرعة</w:t>
            </w:r>
            <w:r>
              <w:rPr>
                <w:rStyle w:val="IndexLink"/>
                <w:rtl w:val="true"/>
              </w:rPr>
              <w:tab/>
            </w:r>
            <w:r>
              <w:rPr>
                <w:rStyle w:val="IndexLink"/>
              </w:rPr>
              <w:t>432</w:t>
            </w:r>
          </w:hyperlink>
        </w:p>
        <w:p>
          <w:pPr>
            <w:pStyle w:val="Contents6"/>
            <w:tabs>
              <w:tab w:val="clear" w:pos="7609"/>
              <w:tab w:val="right" w:pos="9026" w:leader="dot"/>
            </w:tabs>
            <w:rPr/>
          </w:pPr>
          <w:hyperlink w:anchor="__RefHeading___Toc3235072_3224264995">
            <w:r>
              <w:rPr>
                <w:webHidden/>
                <w:rStyle w:val="IndexLink"/>
                <w:rtl w:val="true"/>
              </w:rPr>
              <w:t>الأمر الثالث</w:t>
            </w:r>
            <w:r>
              <w:rPr>
                <w:rStyle w:val="IndexLink"/>
                <w:rtl w:val="true"/>
              </w:rPr>
              <w:t xml:space="preserve">: </w:t>
            </w:r>
            <w:r>
              <w:rPr>
                <w:rStyle w:val="IndexLink"/>
                <w:rtl w:val="true"/>
              </w:rPr>
              <w:t>هل القرعة أمارة علی الواقع أم أصل؟</w:t>
            </w:r>
            <w:r>
              <w:rPr>
                <w:rStyle w:val="IndexLink"/>
                <w:rtl w:val="true"/>
              </w:rPr>
              <w:tab/>
            </w:r>
            <w:r>
              <w:rPr>
                <w:rStyle w:val="IndexLink"/>
              </w:rPr>
              <w:t>437</w:t>
            </w:r>
          </w:hyperlink>
        </w:p>
        <w:p>
          <w:pPr>
            <w:pStyle w:val="Contents6"/>
            <w:tabs>
              <w:tab w:val="clear" w:pos="7609"/>
              <w:tab w:val="right" w:pos="9026" w:leader="dot"/>
            </w:tabs>
            <w:rPr/>
          </w:pPr>
          <w:hyperlink w:anchor="__RefHeading___Toc3235074_3224264995">
            <w:r>
              <w:rPr>
                <w:webHidden/>
                <w:rStyle w:val="IndexLink"/>
                <w:rtl w:val="true"/>
              </w:rPr>
              <w:t>الأمر الرابع</w:t>
            </w:r>
            <w:r>
              <w:rPr>
                <w:rStyle w:val="IndexLink"/>
                <w:rtl w:val="true"/>
              </w:rPr>
              <w:t xml:space="preserve">: </w:t>
            </w:r>
            <w:r>
              <w:rPr>
                <w:rStyle w:val="IndexLink"/>
                <w:rtl w:val="true"/>
              </w:rPr>
              <w:t>هل للأدلّة العامة للقرعة إطلاق من جمیع الجهات أم لا؟</w:t>
            </w:r>
            <w:r>
              <w:rPr>
                <w:rStyle w:val="IndexLink"/>
                <w:rtl w:val="true"/>
              </w:rPr>
              <w:tab/>
            </w:r>
            <w:r>
              <w:rPr>
                <w:rStyle w:val="IndexLink"/>
              </w:rPr>
              <w:t>442</w:t>
            </w:r>
          </w:hyperlink>
        </w:p>
        <w:p>
          <w:pPr>
            <w:pStyle w:val="Contents6"/>
            <w:tabs>
              <w:tab w:val="clear" w:pos="7609"/>
              <w:tab w:val="right" w:pos="9026" w:leader="dot"/>
            </w:tabs>
            <w:rPr/>
          </w:pPr>
          <w:hyperlink w:anchor="__RefHeading___Toc3235076_3224264995">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3235078_3224264995">
            <w:r>
              <w:rPr>
                <w:webHidden/>
                <w:rStyle w:val="IndexLink"/>
                <w:rtl w:val="true"/>
              </w:rPr>
              <w:t>تتمّة</w:t>
            </w:r>
            <w:r>
              <w:rPr>
                <w:rStyle w:val="IndexLink"/>
                <w:rtl w:val="true"/>
              </w:rPr>
              <w:tab/>
            </w:r>
            <w:r>
              <w:rPr>
                <w:rStyle w:val="IndexLink"/>
              </w:rPr>
              <w:t>445</w:t>
            </w:r>
          </w:hyperlink>
        </w:p>
        <w:p>
          <w:pPr>
            <w:pStyle w:val="Contents2"/>
            <w:tabs>
              <w:tab w:val="clear" w:pos="8743"/>
              <w:tab w:val="right" w:pos="9026" w:leader="dot"/>
            </w:tabs>
            <w:rPr/>
          </w:pPr>
          <w:hyperlink w:anchor="__RefHeading___Toc3235080_3224264995">
            <w:r>
              <w:rPr>
                <w:webHidden/>
                <w:rStyle w:val="IndexLink"/>
                <w:rtl w:val="true"/>
              </w:rPr>
              <w:t>مبحث التعارض و اختلاف الأدلّة</w:t>
            </w:r>
            <w:r>
              <w:rPr>
                <w:rStyle w:val="IndexLink"/>
                <w:rtl w:val="true"/>
              </w:rPr>
              <w:tab/>
            </w:r>
            <w:r>
              <w:rPr>
                <w:rStyle w:val="IndexLink"/>
              </w:rPr>
              <w:t>447</w:t>
            </w:r>
          </w:hyperlink>
        </w:p>
        <w:p>
          <w:pPr>
            <w:pStyle w:val="Contents3"/>
            <w:tabs>
              <w:tab w:val="clear" w:pos="8459"/>
              <w:tab w:val="right" w:pos="9026" w:leader="dot"/>
            </w:tabs>
            <w:rPr/>
          </w:pPr>
          <w:hyperlink w:anchor="__RefHeading___Toc3235082_3224264995">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3235084_3224264995">
            <w:r>
              <w:rPr>
                <w:webHidden/>
                <w:rStyle w:val="IndexLink"/>
                <w:rtl w:val="true"/>
              </w:rPr>
              <w:t>الأمر الأوّل عدم تعارض العامّ و الخاصّ</w:t>
            </w:r>
            <w:r>
              <w:rPr>
                <w:rStyle w:val="IndexLink"/>
                <w:rtl w:val="true"/>
              </w:rPr>
              <w:tab/>
            </w:r>
            <w:r>
              <w:rPr>
                <w:rStyle w:val="IndexLink"/>
              </w:rPr>
              <w:t>448</w:t>
            </w:r>
          </w:hyperlink>
        </w:p>
        <w:p>
          <w:pPr>
            <w:pStyle w:val="Contents4"/>
            <w:tabs>
              <w:tab w:val="clear" w:pos="8176"/>
              <w:tab w:val="right" w:pos="9026" w:leader="dot"/>
            </w:tabs>
            <w:rPr/>
          </w:pPr>
          <w:hyperlink w:anchor="__RefHeading___Toc3235086_3224264995">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3235088_3224264995">
            <w:r>
              <w:rPr>
                <w:webHidden/>
                <w:rStyle w:val="IndexLink"/>
                <w:rtl w:val="true"/>
              </w:rPr>
              <w:t>لزوم فرض التعارض فی محیط التشریع</w:t>
            </w:r>
            <w:r>
              <w:rPr>
                <w:rStyle w:val="IndexLink"/>
                <w:rtl w:val="true"/>
              </w:rPr>
              <w:tab/>
            </w:r>
            <w:r>
              <w:rPr>
                <w:rStyle w:val="IndexLink"/>
              </w:rPr>
              <w:t>449</w:t>
            </w:r>
          </w:hyperlink>
        </w:p>
        <w:p>
          <w:pPr>
            <w:pStyle w:val="Contents4"/>
            <w:tabs>
              <w:tab w:val="clear" w:pos="8176"/>
              <w:tab w:val="right" w:pos="9026" w:leader="dot"/>
            </w:tabs>
            <w:rPr/>
          </w:pPr>
          <w:hyperlink w:anchor="__RefHeading___Toc3235090_3224264995">
            <w:r>
              <w:rPr>
                <w:webHidden/>
                <w:rStyle w:val="IndexLink"/>
                <w:rtl w:val="true"/>
              </w:rPr>
              <w:t>کلام المحقّقین فی وجه تقدیم الخاصّ علی العامّ</w:t>
            </w:r>
            <w:r>
              <w:rPr>
                <w:rStyle w:val="IndexLink"/>
                <w:rtl w:val="true"/>
              </w:rPr>
              <w:tab/>
            </w:r>
            <w:r>
              <w:rPr>
                <w:rStyle w:val="IndexLink"/>
              </w:rPr>
              <w:t>451</w:t>
            </w:r>
          </w:hyperlink>
        </w:p>
        <w:p>
          <w:pPr>
            <w:pStyle w:val="Contents5"/>
            <w:tabs>
              <w:tab w:val="clear" w:pos="7892"/>
              <w:tab w:val="right" w:pos="9026" w:leader="dot"/>
            </w:tabs>
            <w:rPr/>
          </w:pPr>
          <w:hyperlink w:anchor="__RefHeading___Toc3235092_3224264995">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3235094_3224264995">
            <w:r>
              <w:rPr>
                <w:webHidden/>
                <w:rStyle w:val="IndexLink"/>
                <w:rtl w:val="true"/>
              </w:rPr>
              <w:t>کلام الشیخ الأعظم قدس سره و ما یرد علیه</w:t>
            </w:r>
            <w:r>
              <w:rPr>
                <w:rStyle w:val="IndexLink"/>
                <w:rtl w:val="true"/>
              </w:rPr>
              <w:tab/>
            </w:r>
            <w:r>
              <w:rPr>
                <w:rStyle w:val="IndexLink"/>
              </w:rPr>
              <w:t>451</w:t>
            </w:r>
          </w:hyperlink>
        </w:p>
        <w:p>
          <w:pPr>
            <w:pStyle w:val="Contents5"/>
            <w:tabs>
              <w:tab w:val="clear" w:pos="7892"/>
              <w:tab w:val="right" w:pos="9026" w:leader="dot"/>
            </w:tabs>
            <w:rPr/>
          </w:pPr>
          <w:hyperlink w:anchor="__RefHeading___Toc3235096_3224264995">
            <w:r>
              <w:rPr>
                <w:webHidden/>
                <w:rStyle w:val="IndexLink"/>
                <w:rtl w:val="true"/>
              </w:rPr>
              <w:t>کلام صاحب الکفایة و نقده</w:t>
            </w:r>
            <w:r>
              <w:rPr>
                <w:rStyle w:val="IndexLink"/>
                <w:rtl w:val="true"/>
              </w:rPr>
              <w:tab/>
            </w:r>
            <w:r>
              <w:rPr>
                <w:rStyle w:val="IndexLink"/>
              </w:rPr>
              <w:t>454</w:t>
            </w:r>
          </w:hyperlink>
        </w:p>
        <w:p>
          <w:pPr>
            <w:pStyle w:val="Contents5"/>
            <w:tabs>
              <w:tab w:val="clear" w:pos="7892"/>
              <w:tab w:val="right" w:pos="9026" w:leader="dot"/>
            </w:tabs>
            <w:rPr/>
          </w:pPr>
          <w:hyperlink w:anchor="__RefHeading___Toc3235098_3224264995">
            <w:r>
              <w:rPr>
                <w:webHidden/>
                <w:rStyle w:val="IndexLink"/>
                <w:rtl w:val="true"/>
              </w:rPr>
              <w:t>کلام شیخنا الحائری قدس سره و ما یرد علیه</w:t>
            </w:r>
            <w:r>
              <w:rPr>
                <w:rStyle w:val="IndexLink"/>
                <w:rtl w:val="true"/>
              </w:rPr>
              <w:tab/>
            </w:r>
            <w:r>
              <w:rPr>
                <w:rStyle w:val="IndexLink"/>
              </w:rPr>
              <w:t>456</w:t>
            </w:r>
          </w:hyperlink>
        </w:p>
        <w:p>
          <w:pPr>
            <w:pStyle w:val="Contents5"/>
            <w:tabs>
              <w:tab w:val="clear" w:pos="7892"/>
              <w:tab w:val="right" w:pos="9026" w:leader="dot"/>
            </w:tabs>
            <w:rPr/>
          </w:pPr>
          <w:hyperlink w:anchor="__RefHeading___Toc3235100_3224264995">
            <w:r>
              <w:rPr>
                <w:webHidden/>
                <w:rStyle w:val="IndexLink"/>
                <w:rtl w:val="true"/>
              </w:rPr>
              <w:t>کلام المیرزا النائینی قدس سره و نقده</w:t>
            </w:r>
            <w:r>
              <w:rPr>
                <w:rStyle w:val="IndexLink"/>
                <w:rtl w:val="true"/>
              </w:rPr>
              <w:tab/>
            </w:r>
            <w:r>
              <w:rPr>
                <w:rStyle w:val="IndexLink"/>
              </w:rPr>
              <w:t>458</w:t>
            </w:r>
          </w:hyperlink>
        </w:p>
        <w:p>
          <w:pPr>
            <w:pStyle w:val="Contents5"/>
            <w:tabs>
              <w:tab w:val="clear" w:pos="7892"/>
              <w:tab w:val="right" w:pos="9026" w:leader="dot"/>
            </w:tabs>
            <w:rPr/>
          </w:pPr>
          <w:hyperlink w:anchor="__RefHeading___Toc3235102_3224264995">
            <w:r>
              <w:rPr>
                <w:webHidden/>
                <w:rStyle w:val="IndexLink"/>
                <w:rtl w:val="true"/>
              </w:rPr>
              <w:t>بیان أصالتی الحقیقة و الجدّ</w:t>
            </w:r>
            <w:r>
              <w:rPr>
                <w:rStyle w:val="IndexLink"/>
                <w:rtl w:val="true"/>
              </w:rPr>
              <w:tab/>
            </w:r>
            <w:r>
              <w:rPr>
                <w:rStyle w:val="IndexLink"/>
              </w:rPr>
              <w:t>461</w:t>
            </w:r>
          </w:hyperlink>
        </w:p>
        <w:p>
          <w:pPr>
            <w:pStyle w:val="Contents3"/>
            <w:tabs>
              <w:tab w:val="clear" w:pos="8459"/>
              <w:tab w:val="right" w:pos="9026" w:leader="dot"/>
            </w:tabs>
            <w:rPr/>
          </w:pPr>
          <w:hyperlink w:anchor="__RefHeading___Toc3235104_3224264995">
            <w:r>
              <w:rPr>
                <w:webHidden/>
                <w:rStyle w:val="IndexLink"/>
                <w:rtl w:val="true"/>
              </w:rPr>
              <w:t>الأمر الثانی فی عدم شمول أخبار العلاج للعامّ و الخاصّ</w:t>
            </w:r>
            <w:r>
              <w:rPr>
                <w:rStyle w:val="IndexLink"/>
                <w:rtl w:val="true"/>
              </w:rPr>
              <w:tab/>
            </w:r>
            <w:r>
              <w:rPr>
                <w:rStyle w:val="IndexLink"/>
              </w:rPr>
              <w:t>462</w:t>
            </w:r>
          </w:hyperlink>
        </w:p>
        <w:p>
          <w:pPr>
            <w:pStyle w:val="Contents4"/>
            <w:tabs>
              <w:tab w:val="clear" w:pos="8176"/>
              <w:tab w:val="right" w:pos="9026" w:leader="dot"/>
            </w:tabs>
            <w:rPr/>
          </w:pPr>
          <w:hyperlink w:anchor="__RefHeading___Toc3235106_3224264995">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3235108_3224264995">
            <w:r>
              <w:rPr>
                <w:webHidden/>
                <w:rStyle w:val="IndexLink"/>
                <w:rtl w:val="true"/>
              </w:rPr>
              <w:t xml:space="preserve">کلام المحقّق الخراسانی و شیخنا العلّامة </w:t>
            </w:r>
            <w:r>
              <w:rPr>
                <w:rStyle w:val="IndexLink"/>
              </w:rPr>
              <w:t>0</w:t>
            </w:r>
            <w:r>
              <w:rPr>
                <w:rStyle w:val="IndexLink"/>
                <w:rtl w:val="true"/>
              </w:rPr>
              <w:tab/>
            </w:r>
            <w:r>
              <w:rPr>
                <w:rStyle w:val="IndexLink"/>
              </w:rPr>
              <w:t>462</w:t>
            </w:r>
          </w:hyperlink>
        </w:p>
        <w:p>
          <w:pPr>
            <w:pStyle w:val="Contents5"/>
            <w:tabs>
              <w:tab w:val="clear" w:pos="7892"/>
              <w:tab w:val="right" w:pos="9026" w:leader="dot"/>
            </w:tabs>
            <w:rPr/>
          </w:pPr>
          <w:hyperlink w:anchor="__RefHeading___Toc3235110_3224264995">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3235112_3224264995">
            <w:r>
              <w:rPr>
                <w:webHidden/>
                <w:rStyle w:val="IndexLink"/>
                <w:rtl w:val="true"/>
              </w:rPr>
              <w:t xml:space="preserve">الإشکال علی کلام العلمین </w:t>
            </w:r>
            <w:r>
              <w:rPr>
                <w:rStyle w:val="IndexLink"/>
              </w:rPr>
              <w:t>0</w:t>
            </w:r>
            <w:r>
              <w:rPr>
                <w:rStyle w:val="IndexLink"/>
                <w:rtl w:val="true"/>
              </w:rPr>
              <w:tab/>
            </w:r>
            <w:r>
              <w:rPr>
                <w:rStyle w:val="IndexLink"/>
              </w:rPr>
              <w:t>465</w:t>
            </w:r>
          </w:hyperlink>
        </w:p>
        <w:p>
          <w:pPr>
            <w:pStyle w:val="Contents3"/>
            <w:tabs>
              <w:tab w:val="clear" w:pos="8459"/>
              <w:tab w:val="right" w:pos="9026" w:leader="dot"/>
            </w:tabs>
            <w:rPr/>
          </w:pPr>
          <w:hyperlink w:anchor="__RefHeading___Toc3235114_3224264995">
            <w:r>
              <w:rPr>
                <w:webHidden/>
                <w:rStyle w:val="IndexLink"/>
                <w:rtl w:val="true"/>
              </w:rPr>
              <w:t>الأمر الثالث فی إبطال قاعدة الجمع مهما أمکن، أولی</w:t>
            </w:r>
            <w:r>
              <w:rPr>
                <w:rStyle w:val="IndexLink"/>
                <w:rtl w:val="true"/>
              </w:rPr>
              <w:tab/>
            </w:r>
            <w:r>
              <w:rPr>
                <w:rStyle w:val="IndexLink"/>
              </w:rPr>
              <w:t>469</w:t>
            </w:r>
          </w:hyperlink>
        </w:p>
        <w:p>
          <w:pPr>
            <w:pStyle w:val="Contents3"/>
            <w:tabs>
              <w:tab w:val="clear" w:pos="8459"/>
              <w:tab w:val="right" w:pos="9026" w:leader="dot"/>
            </w:tabs>
            <w:rPr/>
          </w:pPr>
          <w:hyperlink w:anchor="__RefHeading___Toc3235116_3224264995">
            <w:r>
              <w:rPr>
                <w:webHidden/>
                <w:rStyle w:val="IndexLink"/>
                <w:rtl w:val="true"/>
              </w:rPr>
              <w:t>الأمر الرابع کلام الشیخ فی موضوع الترجیح بحسب الدلالة و ما فیه</w:t>
            </w:r>
            <w:r>
              <w:rPr>
                <w:rStyle w:val="IndexLink"/>
                <w:rtl w:val="true"/>
              </w:rPr>
              <w:tab/>
            </w:r>
            <w:r>
              <w:rPr>
                <w:rStyle w:val="IndexLink"/>
              </w:rPr>
              <w:t>472</w:t>
            </w:r>
          </w:hyperlink>
        </w:p>
        <w:p>
          <w:pPr>
            <w:pStyle w:val="Contents3"/>
            <w:tabs>
              <w:tab w:val="clear" w:pos="8459"/>
              <w:tab w:val="right" w:pos="9026" w:leader="dot"/>
            </w:tabs>
            <w:rPr/>
          </w:pPr>
          <w:hyperlink w:anchor="__RefHeading___Toc3235118_3224264995">
            <w:r>
              <w:rPr>
                <w:webHidden/>
                <w:rStyle w:val="IndexLink"/>
                <w:rtl w:val="true"/>
              </w:rPr>
              <w:t>الأمر الخامس الموارد الخارجة عن أخبار العلاج</w:t>
            </w:r>
            <w:r>
              <w:rPr>
                <w:rStyle w:val="IndexLink"/>
                <w:rtl w:val="true"/>
              </w:rPr>
              <w:tab/>
            </w:r>
            <w:r>
              <w:rPr>
                <w:rStyle w:val="IndexLink"/>
              </w:rPr>
              <w:t>474</w:t>
            </w:r>
          </w:hyperlink>
        </w:p>
        <w:p>
          <w:pPr>
            <w:pStyle w:val="Contents4"/>
            <w:tabs>
              <w:tab w:val="clear" w:pos="8176"/>
              <w:tab w:val="right" w:pos="9026" w:leader="dot"/>
            </w:tabs>
            <w:rPr/>
          </w:pPr>
          <w:hyperlink w:anchor="__RefHeading___Toc3235120_3224264995">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3235122_3224264995">
            <w:r>
              <w:rPr>
                <w:webHidden/>
                <w:rStyle w:val="IndexLink"/>
                <w:rtl w:val="true"/>
              </w:rPr>
              <w:t>المبحث الأوّل فیما یکون من قبیل النصّ و الظاهر</w:t>
            </w:r>
            <w:r>
              <w:rPr>
                <w:rStyle w:val="IndexLink"/>
                <w:rtl w:val="true"/>
              </w:rPr>
              <w:tab/>
            </w:r>
            <w:r>
              <w:rPr>
                <w:rStyle w:val="IndexLink"/>
              </w:rPr>
              <w:t>474</w:t>
            </w:r>
          </w:hyperlink>
        </w:p>
        <w:p>
          <w:pPr>
            <w:pStyle w:val="Contents4"/>
            <w:tabs>
              <w:tab w:val="clear" w:pos="8176"/>
              <w:tab w:val="right" w:pos="9026" w:leader="dot"/>
            </w:tabs>
            <w:rPr/>
          </w:pPr>
          <w:hyperlink w:anchor="__RefHeading___Toc3235124_3224264995">
            <w:r>
              <w:rPr>
                <w:webHidden/>
                <w:rStyle w:val="IndexLink"/>
                <w:rtl w:val="true"/>
              </w:rPr>
              <w:t>المبحث الثانی فیما عدّ من المرجّحات النوعیّة الدلالیّة</w:t>
            </w:r>
            <w:r>
              <w:rPr>
                <w:rStyle w:val="IndexLink"/>
                <w:rtl w:val="true"/>
              </w:rPr>
              <w:tab/>
            </w:r>
            <w:r>
              <w:rPr>
                <w:rStyle w:val="IndexLink"/>
              </w:rPr>
              <w:t>479</w:t>
            </w:r>
          </w:hyperlink>
        </w:p>
        <w:p>
          <w:pPr>
            <w:pStyle w:val="Contents5"/>
            <w:tabs>
              <w:tab w:val="clear" w:pos="7892"/>
              <w:tab w:val="right" w:pos="9026" w:leader="dot"/>
            </w:tabs>
            <w:rPr/>
          </w:pPr>
          <w:hyperlink w:anchor="__RefHeading___Toc3235126_3224264995">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3235128_3224264995">
            <w:r>
              <w:rPr>
                <w:webHidden/>
                <w:rStyle w:val="IndexLink"/>
                <w:rtl w:val="true"/>
              </w:rPr>
              <w:t>تعارض العموم و الإطلاق</w:t>
            </w:r>
            <w:r>
              <w:rPr>
                <w:rStyle w:val="IndexLink"/>
                <w:rtl w:val="true"/>
              </w:rPr>
              <w:tab/>
            </w:r>
            <w:r>
              <w:rPr>
                <w:rStyle w:val="IndexLink"/>
              </w:rPr>
              <w:t>479</w:t>
            </w:r>
          </w:hyperlink>
        </w:p>
        <w:p>
          <w:pPr>
            <w:pStyle w:val="Contents5"/>
            <w:tabs>
              <w:tab w:val="clear" w:pos="7892"/>
              <w:tab w:val="right" w:pos="9026" w:leader="dot"/>
            </w:tabs>
            <w:rPr/>
          </w:pPr>
          <w:hyperlink w:anchor="__RefHeading___Toc3235130_3224264995">
            <w:r>
              <w:rPr>
                <w:webHidden/>
                <w:rStyle w:val="IndexLink"/>
                <w:rtl w:val="true"/>
              </w:rPr>
              <w:t>وجه تقدّم العامّ علی المطلق</w:t>
            </w:r>
            <w:r>
              <w:rPr>
                <w:rStyle w:val="IndexLink"/>
                <w:rtl w:val="true"/>
              </w:rPr>
              <w:tab/>
            </w:r>
            <w:r>
              <w:rPr>
                <w:rStyle w:val="IndexLink"/>
              </w:rPr>
              <w:t>482</w:t>
            </w:r>
          </w:hyperlink>
        </w:p>
        <w:p>
          <w:pPr>
            <w:pStyle w:val="Contents5"/>
            <w:tabs>
              <w:tab w:val="clear" w:pos="7892"/>
              <w:tab w:val="right" w:pos="9026" w:leader="dot"/>
            </w:tabs>
            <w:rPr/>
          </w:pPr>
          <w:hyperlink w:anchor="__RefHeading___Toc3235132_3224264995">
            <w:r>
              <w:rPr>
                <w:webHidden/>
                <w:rStyle w:val="IndexLink"/>
                <w:rtl w:val="true"/>
              </w:rPr>
              <w:t>دوران الأمر بین النسخ و التخصیص</w:t>
            </w:r>
            <w:r>
              <w:rPr>
                <w:rStyle w:val="IndexLink"/>
                <w:rtl w:val="true"/>
              </w:rPr>
              <w:tab/>
            </w:r>
            <w:r>
              <w:rPr>
                <w:rStyle w:val="IndexLink"/>
              </w:rPr>
              <w:t>483</w:t>
            </w:r>
          </w:hyperlink>
        </w:p>
        <w:p>
          <w:pPr>
            <w:pStyle w:val="Contents6"/>
            <w:tabs>
              <w:tab w:val="clear" w:pos="7609"/>
              <w:tab w:val="right" w:pos="9026" w:leader="dot"/>
            </w:tabs>
            <w:rPr/>
          </w:pPr>
          <w:hyperlink w:anchor="__RefHeading___Toc3235134_3224264995">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3235136_3224264995">
            <w:r>
              <w:rPr>
                <w:webHidden/>
                <w:rStyle w:val="IndexLink"/>
                <w:rtl w:val="true"/>
              </w:rPr>
              <w:t>وجوه دوران الأمر بین النسخ و التخصیص</w:t>
            </w:r>
            <w:r>
              <w:rPr>
                <w:rStyle w:val="IndexLink"/>
                <w:rtl w:val="true"/>
              </w:rPr>
              <w:tab/>
            </w:r>
            <w:r>
              <w:rPr>
                <w:rStyle w:val="IndexLink"/>
              </w:rPr>
              <w:t>487</w:t>
            </w:r>
          </w:hyperlink>
        </w:p>
        <w:p>
          <w:pPr>
            <w:pStyle w:val="Contents5"/>
            <w:tabs>
              <w:tab w:val="clear" w:pos="7892"/>
              <w:tab w:val="right" w:pos="9026" w:leader="dot"/>
            </w:tabs>
            <w:rPr/>
          </w:pPr>
          <w:hyperlink w:anchor="__RefHeading___Toc3235138_3224264995">
            <w:r>
              <w:rPr>
                <w:webHidden/>
                <w:rStyle w:val="IndexLink"/>
                <w:rtl w:val="true"/>
              </w:rPr>
              <w:t>دوران الأمر بین تقیید الإطلاق و حمل الأمر علی الاستحباب</w:t>
            </w:r>
            <w:r>
              <w:rPr>
                <w:rStyle w:val="IndexLink"/>
                <w:rtl w:val="true"/>
              </w:rPr>
              <w:tab/>
            </w:r>
            <w:r>
              <w:rPr>
                <w:rStyle w:val="IndexLink"/>
              </w:rPr>
              <w:t>495</w:t>
            </w:r>
          </w:hyperlink>
        </w:p>
        <w:p>
          <w:pPr>
            <w:pStyle w:val="Contents4"/>
            <w:tabs>
              <w:tab w:val="clear" w:pos="8176"/>
              <w:tab w:val="right" w:pos="9026" w:leader="dot"/>
            </w:tabs>
            <w:rPr/>
          </w:pPr>
          <w:hyperlink w:anchor="__RefHeading___Toc3235140_3224264995">
            <w:r>
              <w:rPr>
                <w:webHidden/>
                <w:rStyle w:val="IndexLink"/>
                <w:rtl w:val="true"/>
              </w:rPr>
              <w:t>المبحث الثالث إذا کان التعارض بین أکثر من دلیلین</w:t>
            </w:r>
            <w:r>
              <w:rPr>
                <w:rStyle w:val="IndexLink"/>
                <w:rtl w:val="true"/>
              </w:rPr>
              <w:tab/>
            </w:r>
            <w:r>
              <w:rPr>
                <w:rStyle w:val="IndexLink"/>
              </w:rPr>
              <w:t>496</w:t>
            </w:r>
          </w:hyperlink>
        </w:p>
        <w:p>
          <w:pPr>
            <w:pStyle w:val="Contents5"/>
            <w:tabs>
              <w:tab w:val="clear" w:pos="7892"/>
              <w:tab w:val="right" w:pos="9026" w:leader="dot"/>
            </w:tabs>
            <w:rPr/>
          </w:pPr>
          <w:hyperlink w:anchor="__RefHeading___Toc3235142_3224264995">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3235144_3224264995">
            <w:r>
              <w:rPr>
                <w:webHidden/>
                <w:rStyle w:val="IndexLink"/>
                <w:rtl w:val="true"/>
              </w:rPr>
              <w:t>الصورة الاولی</w:t>
            </w:r>
            <w:r>
              <w:rPr>
                <w:rStyle w:val="IndexLink"/>
                <w:rtl w:val="true"/>
              </w:rPr>
              <w:t xml:space="preserve">: </w:t>
            </w:r>
            <w:r>
              <w:rPr>
                <w:rStyle w:val="IndexLink"/>
                <w:rtl w:val="true"/>
              </w:rPr>
              <w:t>إذا ورد عامّ و خاصّان کلّ واحد منهما أخصّ من الأوّل</w:t>
            </w:r>
            <w:r>
              <w:rPr>
                <w:rStyle w:val="IndexLink"/>
                <w:rtl w:val="true"/>
              </w:rPr>
              <w:tab/>
            </w:r>
            <w:r>
              <w:rPr>
                <w:rStyle w:val="IndexLink"/>
              </w:rPr>
              <w:t>496</w:t>
            </w:r>
          </w:hyperlink>
        </w:p>
        <w:p>
          <w:pPr>
            <w:pStyle w:val="Contents5"/>
            <w:tabs>
              <w:tab w:val="clear" w:pos="7892"/>
              <w:tab w:val="right" w:pos="9026" w:leader="dot"/>
            </w:tabs>
            <w:rPr/>
          </w:pPr>
          <w:hyperlink w:anchor="__RefHeading___Toc3235146_3224264995">
            <w:r>
              <w:rPr>
                <w:webHidden/>
                <w:rStyle w:val="IndexLink"/>
                <w:rtl w:val="true"/>
              </w:rPr>
              <w:t>الصورة الثانیة</w:t>
            </w:r>
            <w:r>
              <w:rPr>
                <w:rStyle w:val="IndexLink"/>
                <w:rtl w:val="true"/>
              </w:rPr>
              <w:t xml:space="preserve">: </w:t>
            </w:r>
            <w:r>
              <w:rPr>
                <w:rStyle w:val="IndexLink"/>
                <w:rtl w:val="true"/>
              </w:rPr>
              <w:t>إذا ورد عامّ و خاصّان بینهما عموم و خصوص مطلق</w:t>
            </w:r>
            <w:r>
              <w:rPr>
                <w:rStyle w:val="IndexLink"/>
                <w:rtl w:val="true"/>
              </w:rPr>
              <w:tab/>
            </w:r>
            <w:r>
              <w:rPr>
                <w:rStyle w:val="IndexLink"/>
              </w:rPr>
              <w:t>500</w:t>
            </w:r>
          </w:hyperlink>
        </w:p>
        <w:p>
          <w:pPr>
            <w:pStyle w:val="Contents5"/>
            <w:tabs>
              <w:tab w:val="clear" w:pos="7892"/>
              <w:tab w:val="right" w:pos="9026" w:leader="dot"/>
            </w:tabs>
            <w:rPr/>
          </w:pPr>
          <w:hyperlink w:anchor="__RefHeading___Toc3235148_3224264995">
            <w:r>
              <w:rPr>
                <w:webHidden/>
                <w:rStyle w:val="IndexLink"/>
                <w:rtl w:val="true"/>
              </w:rPr>
              <w:t>الصورة الثالثة</w:t>
            </w:r>
            <w:r>
              <w:rPr>
                <w:rStyle w:val="IndexLink"/>
                <w:rtl w:val="true"/>
              </w:rPr>
              <w:t xml:space="preserve">: </w:t>
            </w:r>
            <w:r>
              <w:rPr>
                <w:rStyle w:val="IndexLink"/>
                <w:rtl w:val="true"/>
              </w:rPr>
              <w:t>إذا ورد عامّ و خاصّان بینهما عموم من وجه</w:t>
            </w:r>
            <w:r>
              <w:rPr>
                <w:rStyle w:val="IndexLink"/>
                <w:rtl w:val="true"/>
              </w:rPr>
              <w:tab/>
            </w:r>
            <w:r>
              <w:rPr>
                <w:rStyle w:val="IndexLink"/>
              </w:rPr>
              <w:t>502</w:t>
            </w:r>
          </w:hyperlink>
        </w:p>
        <w:p>
          <w:pPr>
            <w:pStyle w:val="Contents5"/>
            <w:tabs>
              <w:tab w:val="clear" w:pos="7892"/>
              <w:tab w:val="right" w:pos="9026" w:leader="dot"/>
            </w:tabs>
            <w:rPr/>
          </w:pPr>
          <w:hyperlink w:anchor="__RefHeading___Toc3235150_3224264995">
            <w:r>
              <w:rPr>
                <w:webHidden/>
                <w:rStyle w:val="IndexLink"/>
                <w:rtl w:val="true"/>
              </w:rPr>
              <w:t>الصورة الرابعة</w:t>
            </w:r>
            <w:r>
              <w:rPr>
                <w:rStyle w:val="IndexLink"/>
                <w:rtl w:val="true"/>
              </w:rPr>
              <w:t xml:space="preserve">: </w:t>
            </w:r>
            <w:r>
              <w:rPr>
                <w:rStyle w:val="IndexLink"/>
                <w:rtl w:val="true"/>
              </w:rPr>
              <w:t>إذا ورد عامّان بینهما عموم من وجه و خاصّ</w:t>
            </w:r>
            <w:r>
              <w:rPr>
                <w:rStyle w:val="IndexLink"/>
                <w:rtl w:val="true"/>
              </w:rPr>
              <w:tab/>
            </w:r>
            <w:r>
              <w:rPr>
                <w:rStyle w:val="IndexLink"/>
              </w:rPr>
              <w:t>503</w:t>
            </w:r>
          </w:hyperlink>
        </w:p>
        <w:p>
          <w:pPr>
            <w:pStyle w:val="Contents5"/>
            <w:tabs>
              <w:tab w:val="clear" w:pos="7892"/>
              <w:tab w:val="right" w:pos="9026" w:leader="dot"/>
            </w:tabs>
            <w:rPr/>
          </w:pPr>
          <w:hyperlink w:anchor="__RefHeading___Toc3235152_3224264995">
            <w:r>
              <w:rPr>
                <w:webHidden/>
                <w:rStyle w:val="IndexLink"/>
                <w:rtl w:val="true"/>
              </w:rPr>
              <w:t>الصورة الخامسة</w:t>
            </w:r>
            <w:r>
              <w:rPr>
                <w:rStyle w:val="IndexLink"/>
                <w:rtl w:val="true"/>
              </w:rPr>
              <w:t xml:space="preserve">: </w:t>
            </w:r>
            <w:r>
              <w:rPr>
                <w:rStyle w:val="IndexLink"/>
                <w:rtl w:val="true"/>
              </w:rPr>
              <w:t>إذا ورد عامّان متباینان و خاصّ</w:t>
            </w:r>
            <w:r>
              <w:rPr>
                <w:rStyle w:val="IndexLink"/>
                <w:rtl w:val="true"/>
              </w:rPr>
              <w:tab/>
            </w:r>
            <w:r>
              <w:rPr>
                <w:rStyle w:val="IndexLink"/>
              </w:rPr>
              <w:t>504</w:t>
            </w:r>
          </w:hyperlink>
        </w:p>
        <w:p>
          <w:pPr>
            <w:pStyle w:val="Contents3"/>
            <w:tabs>
              <w:tab w:val="clear" w:pos="8459"/>
              <w:tab w:val="right" w:pos="9026" w:leader="dot"/>
            </w:tabs>
            <w:rPr/>
          </w:pPr>
          <w:hyperlink w:anchor="__RefHeading___Toc3235154_3224264995">
            <w:r>
              <w:rPr>
                <w:webHidden/>
                <w:rStyle w:val="IndexLink"/>
                <w:rtl w:val="true"/>
              </w:rPr>
              <w:t>تذنیب</w:t>
            </w:r>
            <w:r>
              <w:rPr>
                <w:rStyle w:val="IndexLink"/>
                <w:rtl w:val="true"/>
              </w:rPr>
              <w:t xml:space="preserve">: </w:t>
            </w:r>
            <w:r>
              <w:rPr>
                <w:rStyle w:val="IndexLink"/>
                <w:rtl w:val="true"/>
              </w:rPr>
              <w:t>هل تعمّ أخبار التعارض و العلاج العامّین من وجه أم لا؟</w:t>
            </w:r>
            <w:r>
              <w:rPr>
                <w:rStyle w:val="IndexLink"/>
                <w:rtl w:val="true"/>
              </w:rPr>
              <w:tab/>
            </w:r>
            <w:r>
              <w:rPr>
                <w:rStyle w:val="IndexLink"/>
              </w:rPr>
              <w:t>504</w:t>
            </w:r>
          </w:hyperlink>
        </w:p>
        <w:p>
          <w:pPr>
            <w:pStyle w:val="Contents4"/>
            <w:tabs>
              <w:tab w:val="clear" w:pos="8176"/>
              <w:tab w:val="right" w:pos="9026" w:leader="dot"/>
            </w:tabs>
            <w:rPr/>
          </w:pPr>
          <w:hyperlink w:anchor="__RefHeading___Toc3235156_3224264995">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3235158_3224264995">
            <w:r>
              <w:rPr>
                <w:webHidden/>
                <w:rStyle w:val="IndexLink"/>
                <w:rtl w:val="true"/>
              </w:rPr>
              <w:t>هل المرجّحات السندیّة جاریة فی العامّین من وجه أم لا؟</w:t>
            </w:r>
            <w:r>
              <w:rPr>
                <w:rStyle w:val="IndexLink"/>
                <w:rtl w:val="true"/>
              </w:rPr>
              <w:tab/>
            </w:r>
            <w:r>
              <w:rPr>
                <w:rStyle w:val="IndexLink"/>
              </w:rPr>
              <w:t>507</w:t>
            </w:r>
          </w:hyperlink>
        </w:p>
        <w:p>
          <w:pPr>
            <w:pStyle w:val="Contents3"/>
            <w:tabs>
              <w:tab w:val="clear" w:pos="8459"/>
              <w:tab w:val="right" w:pos="9026" w:leader="dot"/>
            </w:tabs>
            <w:rPr/>
          </w:pPr>
          <w:hyperlink w:anchor="__RefHeading___Toc3235160_3224264995">
            <w:r>
              <w:rPr>
                <w:webHidden/>
                <w:rStyle w:val="IndexLink"/>
                <w:rtl w:val="true"/>
              </w:rPr>
              <w:t>المقام الأوّل فی المتکافئین</w:t>
            </w:r>
            <w:r>
              <w:rPr>
                <w:rStyle w:val="IndexLink"/>
                <w:rtl w:val="true"/>
              </w:rPr>
              <w:tab/>
            </w:r>
            <w:r>
              <w:rPr>
                <w:rStyle w:val="IndexLink"/>
              </w:rPr>
              <w:t>510</w:t>
            </w:r>
          </w:hyperlink>
        </w:p>
        <w:p>
          <w:pPr>
            <w:pStyle w:val="Contents4"/>
            <w:tabs>
              <w:tab w:val="clear" w:pos="8176"/>
              <w:tab w:val="right" w:pos="9026" w:leader="dot"/>
            </w:tabs>
            <w:rPr/>
          </w:pPr>
          <w:hyperlink w:anchor="__RefHeading___Toc3235162_3224264995">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3235164_3224264995">
            <w:r>
              <w:rPr>
                <w:webHidden/>
                <w:rStyle w:val="IndexLink"/>
                <w:rtl w:val="true"/>
              </w:rPr>
              <w:t>مقتضی الأصل علی الطریقیّة</w:t>
            </w:r>
            <w:r>
              <w:rPr>
                <w:rStyle w:val="IndexLink"/>
                <w:rtl w:val="true"/>
              </w:rPr>
              <w:tab/>
            </w:r>
            <w:r>
              <w:rPr>
                <w:rStyle w:val="IndexLink"/>
              </w:rPr>
              <w:t>510</w:t>
            </w:r>
          </w:hyperlink>
        </w:p>
        <w:p>
          <w:pPr>
            <w:pStyle w:val="Contents4"/>
            <w:tabs>
              <w:tab w:val="clear" w:pos="8176"/>
              <w:tab w:val="right" w:pos="9026" w:leader="dot"/>
            </w:tabs>
            <w:rPr/>
          </w:pPr>
          <w:hyperlink w:anchor="__RefHeading___Toc3235166_3224264995">
            <w:r>
              <w:rPr>
                <w:webHidden/>
                <w:rStyle w:val="IndexLink"/>
                <w:rtl w:val="true"/>
              </w:rPr>
              <w:t>مقتضی الأصل علی السببیّة</w:t>
            </w:r>
            <w:r>
              <w:rPr>
                <w:rStyle w:val="IndexLink"/>
                <w:rtl w:val="true"/>
              </w:rPr>
              <w:tab/>
            </w:r>
            <w:r>
              <w:rPr>
                <w:rStyle w:val="IndexLink"/>
              </w:rPr>
              <w:t>516</w:t>
            </w:r>
          </w:hyperlink>
        </w:p>
        <w:p>
          <w:pPr>
            <w:pStyle w:val="Contents4"/>
            <w:tabs>
              <w:tab w:val="clear" w:pos="8176"/>
              <w:tab w:val="right" w:pos="9026" w:leader="dot"/>
            </w:tabs>
            <w:rPr/>
          </w:pPr>
          <w:hyperlink w:anchor="__RefHeading___Toc3235168_3224264995">
            <w:r>
              <w:rPr>
                <w:webHidden/>
                <w:rStyle w:val="IndexLink"/>
                <w:rtl w:val="true"/>
              </w:rPr>
              <w:t>مقتضی الأخبار الواردة فی المقام</w:t>
            </w:r>
            <w:r>
              <w:rPr>
                <w:rStyle w:val="IndexLink"/>
                <w:rtl w:val="true"/>
              </w:rPr>
              <w:tab/>
            </w:r>
            <w:r>
              <w:rPr>
                <w:rStyle w:val="IndexLink"/>
              </w:rPr>
              <w:t>517</w:t>
            </w:r>
          </w:hyperlink>
        </w:p>
        <w:p>
          <w:pPr>
            <w:pStyle w:val="Contents5"/>
            <w:tabs>
              <w:tab w:val="clear" w:pos="7892"/>
              <w:tab w:val="right" w:pos="9026" w:leader="dot"/>
            </w:tabs>
            <w:rPr/>
          </w:pPr>
          <w:hyperlink w:anchor="__RefHeading___Toc3235170_3224264995">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3235172_3224264995">
            <w:r>
              <w:rPr>
                <w:webHidden/>
                <w:rStyle w:val="IndexLink"/>
                <w:rtl w:val="true"/>
              </w:rPr>
              <w:t>نقل أخبار التخییر</w:t>
            </w:r>
            <w:r>
              <w:rPr>
                <w:rStyle w:val="IndexLink"/>
                <w:rtl w:val="true"/>
              </w:rPr>
              <w:tab/>
            </w:r>
            <w:r>
              <w:rPr>
                <w:rStyle w:val="IndexLink"/>
              </w:rPr>
              <w:t>517</w:t>
            </w:r>
          </w:hyperlink>
        </w:p>
        <w:p>
          <w:pPr>
            <w:pStyle w:val="Contents5"/>
            <w:tabs>
              <w:tab w:val="clear" w:pos="7892"/>
              <w:tab w:val="right" w:pos="9026" w:leader="dot"/>
            </w:tabs>
            <w:rPr/>
          </w:pPr>
          <w:hyperlink w:anchor="__RefHeading___Toc3235174_3224264995">
            <w:r>
              <w:rPr>
                <w:webHidden/>
                <w:rStyle w:val="IndexLink"/>
                <w:rtl w:val="true"/>
              </w:rPr>
              <w:t>نقل أخبار التوقّف</w:t>
            </w:r>
            <w:r>
              <w:rPr>
                <w:rStyle w:val="IndexLink"/>
                <w:rtl w:val="true"/>
              </w:rPr>
              <w:tab/>
            </w:r>
            <w:r>
              <w:rPr>
                <w:rStyle w:val="IndexLink"/>
              </w:rPr>
              <w:t>522</w:t>
            </w:r>
          </w:hyperlink>
        </w:p>
        <w:p>
          <w:pPr>
            <w:pStyle w:val="Contents5"/>
            <w:tabs>
              <w:tab w:val="clear" w:pos="7892"/>
              <w:tab w:val="right" w:pos="9026" w:leader="dot"/>
            </w:tabs>
            <w:rPr/>
          </w:pPr>
          <w:hyperlink w:anchor="__RefHeading___Toc3235176_3224264995">
            <w:r>
              <w:rPr>
                <w:webHidden/>
                <w:rStyle w:val="IndexLink"/>
                <w:rtl w:val="true"/>
              </w:rPr>
              <w:t>جمع الشیخ الأعظم و المحقّق النائینی و ما فیه</w:t>
            </w:r>
            <w:r>
              <w:rPr>
                <w:rStyle w:val="IndexLink"/>
                <w:rtl w:val="true"/>
              </w:rPr>
              <w:tab/>
            </w:r>
            <w:r>
              <w:rPr>
                <w:rStyle w:val="IndexLink"/>
              </w:rPr>
              <w:t>524</w:t>
            </w:r>
          </w:hyperlink>
        </w:p>
        <w:p>
          <w:pPr>
            <w:pStyle w:val="Contents5"/>
            <w:tabs>
              <w:tab w:val="clear" w:pos="7892"/>
              <w:tab w:val="right" w:pos="9026" w:leader="dot"/>
            </w:tabs>
            <w:rPr/>
          </w:pPr>
          <w:hyperlink w:anchor="__RefHeading___Toc3235178_3224264995">
            <w:r>
              <w:rPr>
                <w:webHidden/>
                <w:rStyle w:val="IndexLink"/>
                <w:rtl w:val="true"/>
              </w:rPr>
              <w:t>جمع العلّامة الحائری قدس سره و ما یرد علیه</w:t>
            </w:r>
            <w:r>
              <w:rPr>
                <w:rStyle w:val="IndexLink"/>
                <w:rtl w:val="true"/>
              </w:rPr>
              <w:tab/>
            </w:r>
            <w:r>
              <w:rPr>
                <w:rStyle w:val="IndexLink"/>
              </w:rPr>
              <w:t>527</w:t>
            </w:r>
          </w:hyperlink>
        </w:p>
        <w:p>
          <w:pPr>
            <w:pStyle w:val="Contents5"/>
            <w:tabs>
              <w:tab w:val="clear" w:pos="7892"/>
              <w:tab w:val="right" w:pos="9026" w:leader="dot"/>
            </w:tabs>
            <w:rPr/>
          </w:pPr>
          <w:hyperlink w:anchor="__RefHeading___Toc3235180_3224264995">
            <w:r>
              <w:rPr>
                <w:webHidden/>
                <w:rStyle w:val="IndexLink"/>
                <w:rtl w:val="true"/>
              </w:rPr>
              <w:t>وجه الجمع بین الأخبار</w:t>
            </w:r>
            <w:r>
              <w:rPr>
                <w:rStyle w:val="IndexLink"/>
                <w:rtl w:val="true"/>
              </w:rPr>
              <w:tab/>
            </w:r>
            <w:r>
              <w:rPr>
                <w:rStyle w:val="IndexLink"/>
              </w:rPr>
              <w:t>528</w:t>
            </w:r>
          </w:hyperlink>
        </w:p>
        <w:p>
          <w:pPr>
            <w:pStyle w:val="Contents4"/>
            <w:tabs>
              <w:tab w:val="clear" w:pos="8176"/>
              <w:tab w:val="right" w:pos="9026" w:leader="dot"/>
            </w:tabs>
            <w:rPr/>
          </w:pPr>
          <w:hyperlink w:anchor="__RefHeading___Toc3235182_3224264995">
            <w:r>
              <w:rPr>
                <w:webHidden/>
                <w:rStyle w:val="IndexLink"/>
                <w:rtl w:val="true"/>
              </w:rPr>
              <w:t>تنبیهات</w:t>
            </w:r>
            <w:r>
              <w:rPr>
                <w:rStyle w:val="IndexLink"/>
                <w:rtl w:val="true"/>
              </w:rPr>
              <w:tab/>
            </w:r>
            <w:r>
              <w:rPr>
                <w:rStyle w:val="IndexLink"/>
              </w:rPr>
              <w:t>531</w:t>
            </w:r>
          </w:hyperlink>
        </w:p>
        <w:p>
          <w:pPr>
            <w:pStyle w:val="Contents5"/>
            <w:tabs>
              <w:tab w:val="clear" w:pos="7892"/>
              <w:tab w:val="right" w:pos="9026" w:leader="dot"/>
            </w:tabs>
            <w:rPr/>
          </w:pPr>
          <w:hyperlink w:anchor="__RefHeading___Toc3235184_3224264995">
            <w:r>
              <w:rPr>
                <w:webHidden/>
                <w:rStyle w:val="IndexLink"/>
                <w:rtl w:val="true"/>
              </w:rPr>
              <w:t>التنبیه الأوّل</w:t>
            </w:r>
            <w:r>
              <w:rPr>
                <w:rStyle w:val="IndexLink"/>
                <w:rtl w:val="true"/>
              </w:rPr>
              <w:t xml:space="preserve">: </w:t>
            </w:r>
            <w:r>
              <w:rPr>
                <w:rStyle w:val="IndexLink"/>
                <w:rtl w:val="true"/>
              </w:rPr>
              <w:t>فی معنی التخییر فی المسألة الاصولیّة</w:t>
            </w:r>
            <w:r>
              <w:rPr>
                <w:rStyle w:val="IndexLink"/>
                <w:rtl w:val="true"/>
              </w:rPr>
              <w:tab/>
            </w:r>
            <w:r>
              <w:rPr>
                <w:rStyle w:val="IndexLink"/>
              </w:rPr>
              <w:t>531</w:t>
            </w:r>
          </w:hyperlink>
        </w:p>
        <w:p>
          <w:pPr>
            <w:pStyle w:val="Contents5"/>
            <w:tabs>
              <w:tab w:val="clear" w:pos="7892"/>
              <w:tab w:val="right" w:pos="9026" w:leader="dot"/>
            </w:tabs>
            <w:rPr/>
          </w:pPr>
          <w:hyperlink w:anchor="__RefHeading___Toc3235186_3224264995">
            <w:r>
              <w:rPr>
                <w:webHidden/>
                <w:rStyle w:val="IndexLink"/>
                <w:rtl w:val="true"/>
              </w:rPr>
              <w:t>التنبیه الثانی</w:t>
            </w:r>
            <w:r>
              <w:rPr>
                <w:rStyle w:val="IndexLink"/>
                <w:rtl w:val="true"/>
              </w:rPr>
              <w:t xml:space="preserve">: </w:t>
            </w:r>
            <w:r>
              <w:rPr>
                <w:rStyle w:val="IndexLink"/>
                <w:rtl w:val="true"/>
              </w:rPr>
              <w:t>فی حکم تخییر القاضی و المفتی فی عمله و عمل مقلّدیه</w:t>
            </w:r>
            <w:r>
              <w:rPr>
                <w:rStyle w:val="IndexLink"/>
                <w:rtl w:val="true"/>
              </w:rPr>
              <w:tab/>
            </w:r>
            <w:r>
              <w:rPr>
                <w:rStyle w:val="IndexLink"/>
              </w:rPr>
              <w:t>533</w:t>
            </w:r>
          </w:hyperlink>
        </w:p>
        <w:p>
          <w:pPr>
            <w:pStyle w:val="Contents5"/>
            <w:tabs>
              <w:tab w:val="clear" w:pos="7892"/>
              <w:tab w:val="right" w:pos="9026" w:leader="dot"/>
            </w:tabs>
            <w:rPr/>
          </w:pPr>
          <w:hyperlink w:anchor="__RefHeading___Toc3235188_3224264995">
            <w:r>
              <w:rPr>
                <w:webHidden/>
                <w:rStyle w:val="IndexLink"/>
                <w:rtl w:val="true"/>
              </w:rPr>
              <w:t>التنبه الثالث</w:t>
            </w:r>
            <w:r>
              <w:rPr>
                <w:rStyle w:val="IndexLink"/>
                <w:rtl w:val="true"/>
              </w:rPr>
              <w:t xml:space="preserve">: </w:t>
            </w:r>
            <w:r>
              <w:rPr>
                <w:rStyle w:val="IndexLink"/>
                <w:rtl w:val="true"/>
              </w:rPr>
              <w:t>فی أنّ التخییر بدویّ أو استمراریّ</w:t>
            </w:r>
            <w:r>
              <w:rPr>
                <w:rStyle w:val="IndexLink"/>
                <w:rtl w:val="true"/>
              </w:rPr>
              <w:tab/>
            </w:r>
            <w:r>
              <w:rPr>
                <w:rStyle w:val="IndexLink"/>
              </w:rPr>
              <w:t>534</w:t>
            </w:r>
          </w:hyperlink>
        </w:p>
        <w:p>
          <w:pPr>
            <w:pStyle w:val="Contents5"/>
            <w:tabs>
              <w:tab w:val="clear" w:pos="7892"/>
              <w:tab w:val="right" w:pos="9026" w:leader="dot"/>
            </w:tabs>
            <w:rPr/>
          </w:pPr>
          <w:hyperlink w:anchor="__RefHeading___Toc3235190_3224264995">
            <w:r>
              <w:rPr>
                <w:webHidden/>
                <w:rStyle w:val="IndexLink"/>
                <w:rtl w:val="true"/>
              </w:rPr>
              <w:t>التنبیه الرابع</w:t>
            </w:r>
            <w:r>
              <w:rPr>
                <w:rStyle w:val="IndexLink"/>
                <w:rtl w:val="true"/>
              </w:rPr>
              <w:t xml:space="preserve">: </w:t>
            </w:r>
            <w:r>
              <w:rPr>
                <w:rStyle w:val="IndexLink"/>
                <w:rtl w:val="true"/>
              </w:rPr>
              <w:t>فی صور مجی‌ء الخبرین المختلفین فی الإخبار مع الواسطة</w:t>
            </w:r>
            <w:r>
              <w:rPr>
                <w:rStyle w:val="IndexLink"/>
                <w:rtl w:val="true"/>
              </w:rPr>
              <w:tab/>
            </w:r>
            <w:r>
              <w:rPr>
                <w:rStyle w:val="IndexLink"/>
              </w:rPr>
              <w:t>538</w:t>
            </w:r>
          </w:hyperlink>
        </w:p>
        <w:p>
          <w:pPr>
            <w:pStyle w:val="Contents3"/>
            <w:tabs>
              <w:tab w:val="clear" w:pos="8459"/>
              <w:tab w:val="right" w:pos="9026" w:leader="dot"/>
            </w:tabs>
            <w:rPr/>
          </w:pPr>
          <w:hyperlink w:anchor="__RefHeading___Toc3235192_3224264995">
            <w:r>
              <w:rPr>
                <w:webHidden/>
                <w:rStyle w:val="IndexLink"/>
                <w:rtl w:val="true"/>
              </w:rPr>
              <w:t>المقام الثانی فی الترجیح بمزیّة من المزایا</w:t>
            </w:r>
            <w:r>
              <w:rPr>
                <w:rStyle w:val="IndexLink"/>
                <w:rtl w:val="true"/>
              </w:rPr>
              <w:tab/>
            </w:r>
            <w:r>
              <w:rPr>
                <w:rStyle w:val="IndexLink"/>
              </w:rPr>
              <w:t>541</w:t>
            </w:r>
          </w:hyperlink>
        </w:p>
        <w:p>
          <w:pPr>
            <w:pStyle w:val="Contents4"/>
            <w:tabs>
              <w:tab w:val="clear" w:pos="8176"/>
              <w:tab w:val="right" w:pos="9026" w:leader="dot"/>
            </w:tabs>
            <w:rPr/>
          </w:pPr>
          <w:hyperlink w:anchor="__RefHeading___Toc3235194_3224264995">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3235196_3224264995">
            <w:r>
              <w:rPr>
                <w:webHidden/>
                <w:rStyle w:val="IndexLink"/>
                <w:rtl w:val="true"/>
              </w:rPr>
              <w:t>الأمر الأوّل فی اقتضاء الأصل للتعیین</w:t>
            </w:r>
            <w:r>
              <w:rPr>
                <w:rStyle w:val="IndexLink"/>
                <w:rtl w:val="true"/>
              </w:rPr>
              <w:tab/>
            </w:r>
            <w:r>
              <w:rPr>
                <w:rStyle w:val="IndexLink"/>
              </w:rPr>
              <w:t>541</w:t>
            </w:r>
          </w:hyperlink>
        </w:p>
        <w:p>
          <w:pPr>
            <w:pStyle w:val="Contents4"/>
            <w:tabs>
              <w:tab w:val="clear" w:pos="8176"/>
              <w:tab w:val="right" w:pos="9026" w:leader="dot"/>
            </w:tabs>
            <w:rPr/>
          </w:pPr>
          <w:hyperlink w:anchor="__RefHeading___Toc3235198_3224264995">
            <w:r>
              <w:rPr>
                <w:webHidden/>
                <w:rStyle w:val="IndexLink"/>
                <w:rtl w:val="true"/>
              </w:rPr>
              <w:t>الأمر الثانی فی حال أخبار العلاج</w:t>
            </w:r>
            <w:r>
              <w:rPr>
                <w:rStyle w:val="IndexLink"/>
                <w:rtl w:val="true"/>
              </w:rPr>
              <w:tab/>
            </w:r>
            <w:r>
              <w:rPr>
                <w:rStyle w:val="IndexLink"/>
              </w:rPr>
              <w:t>544</w:t>
            </w:r>
          </w:hyperlink>
        </w:p>
        <w:p>
          <w:pPr>
            <w:pStyle w:val="Contents5"/>
            <w:tabs>
              <w:tab w:val="clear" w:pos="7892"/>
              <w:tab w:val="right" w:pos="9026" w:leader="dot"/>
            </w:tabs>
            <w:rPr/>
          </w:pPr>
          <w:hyperlink w:anchor="__RefHeading___Toc3235200_3224264995">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3235202_3224264995">
            <w:r>
              <w:rPr>
                <w:webHidden/>
                <w:rStyle w:val="IndexLink"/>
                <w:rtl w:val="true"/>
              </w:rPr>
              <w:t>حول إشکالی العلّامة الحائری قدس سره</w:t>
            </w:r>
            <w:r>
              <w:rPr>
                <w:rStyle w:val="IndexLink"/>
                <w:rtl w:val="true"/>
              </w:rPr>
              <w:tab/>
            </w:r>
            <w:r>
              <w:rPr>
                <w:rStyle w:val="IndexLink"/>
              </w:rPr>
              <w:t>544</w:t>
            </w:r>
          </w:hyperlink>
        </w:p>
        <w:p>
          <w:pPr>
            <w:pStyle w:val="Contents5"/>
            <w:tabs>
              <w:tab w:val="clear" w:pos="7892"/>
              <w:tab w:val="right" w:pos="9026" w:leader="dot"/>
            </w:tabs>
            <w:rPr/>
          </w:pPr>
          <w:hyperlink w:anchor="__RefHeading___Toc3235204_3224264995">
            <w:r>
              <w:rPr>
                <w:webHidden/>
                <w:rStyle w:val="IndexLink"/>
                <w:rtl w:val="true"/>
              </w:rPr>
              <w:t>الکلام حول المقبولة</w:t>
            </w:r>
            <w:r>
              <w:rPr>
                <w:rStyle w:val="IndexLink"/>
                <w:rtl w:val="true"/>
              </w:rPr>
              <w:tab/>
            </w:r>
            <w:r>
              <w:rPr>
                <w:rStyle w:val="IndexLink"/>
              </w:rPr>
              <w:t>546</w:t>
            </w:r>
          </w:hyperlink>
        </w:p>
        <w:p>
          <w:pPr>
            <w:pStyle w:val="Contents5"/>
            <w:tabs>
              <w:tab w:val="clear" w:pos="7892"/>
              <w:tab w:val="right" w:pos="9026" w:leader="dot"/>
            </w:tabs>
            <w:rPr/>
          </w:pPr>
          <w:hyperlink w:anchor="__RefHeading___Toc3235206_3224264995">
            <w:r>
              <w:rPr>
                <w:webHidden/>
                <w:rStyle w:val="IndexLink"/>
                <w:rtl w:val="true"/>
              </w:rPr>
              <w:t>الموضع الأوّل</w:t>
            </w:r>
            <w:r>
              <w:rPr>
                <w:rStyle w:val="IndexLink"/>
                <w:rtl w:val="true"/>
              </w:rPr>
              <w:t xml:space="preserve">: </w:t>
            </w:r>
            <w:r>
              <w:rPr>
                <w:rStyle w:val="IndexLink"/>
                <w:rtl w:val="true"/>
              </w:rPr>
              <w:t>فی حال الأخبار الواردة فی موافقة الکتاب و مخالفته</w:t>
            </w:r>
            <w:r>
              <w:rPr>
                <w:rStyle w:val="IndexLink"/>
                <w:rtl w:val="true"/>
              </w:rPr>
              <w:tab/>
            </w:r>
            <w:r>
              <w:rPr>
                <w:rStyle w:val="IndexLink"/>
              </w:rPr>
              <w:t>551</w:t>
            </w:r>
          </w:hyperlink>
        </w:p>
        <w:p>
          <w:pPr>
            <w:pStyle w:val="Contents6"/>
            <w:tabs>
              <w:tab w:val="clear" w:pos="7609"/>
              <w:tab w:val="right" w:pos="9026" w:leader="dot"/>
            </w:tabs>
            <w:rPr/>
          </w:pPr>
          <w:hyperlink w:anchor="__RefHeading___Toc3235208_3224264995">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3235210_3224264995">
            <w:r>
              <w:rPr>
                <w:webHidden/>
                <w:rStyle w:val="IndexLink"/>
                <w:rtl w:val="true"/>
              </w:rPr>
              <w:t>التوفیق بین الأخبار</w:t>
            </w:r>
            <w:r>
              <w:rPr>
                <w:rStyle w:val="IndexLink"/>
                <w:rtl w:val="true"/>
              </w:rPr>
              <w:tab/>
            </w:r>
            <w:r>
              <w:rPr>
                <w:rStyle w:val="IndexLink"/>
              </w:rPr>
              <w:t>554</w:t>
            </w:r>
          </w:hyperlink>
        </w:p>
        <w:p>
          <w:pPr>
            <w:pStyle w:val="Contents6"/>
            <w:tabs>
              <w:tab w:val="clear" w:pos="7609"/>
              <w:tab w:val="right" w:pos="9026" w:leader="dot"/>
            </w:tabs>
            <w:rPr/>
          </w:pPr>
          <w:hyperlink w:anchor="__RefHeading___Toc3235212_3224264995">
            <w:r>
              <w:rPr>
                <w:webHidden/>
                <w:rStyle w:val="IndexLink"/>
                <w:rtl w:val="true"/>
              </w:rPr>
              <w:t>تحقیق المقام</w:t>
            </w:r>
            <w:r>
              <w:rPr>
                <w:rStyle w:val="IndexLink"/>
                <w:rtl w:val="true"/>
              </w:rPr>
              <w:tab/>
            </w:r>
            <w:r>
              <w:rPr>
                <w:rStyle w:val="IndexLink"/>
              </w:rPr>
              <w:t>555</w:t>
            </w:r>
          </w:hyperlink>
        </w:p>
        <w:p>
          <w:pPr>
            <w:pStyle w:val="Contents6"/>
            <w:tabs>
              <w:tab w:val="clear" w:pos="7609"/>
              <w:tab w:val="right" w:pos="9026" w:leader="dot"/>
            </w:tabs>
            <w:rPr/>
          </w:pPr>
          <w:hyperlink w:anchor="__RefHeading___Toc3235214_3224264995">
            <w:r>
              <w:rPr>
                <w:webHidden/>
                <w:rStyle w:val="IndexLink"/>
                <w:rtl w:val="true"/>
              </w:rPr>
              <w:t>مرجحیّة موافقة الکتاب و الثمرة بین المرجعیّة و المرجحیّة</w:t>
            </w:r>
            <w:r>
              <w:rPr>
                <w:rStyle w:val="IndexLink"/>
                <w:rtl w:val="true"/>
              </w:rPr>
              <w:tab/>
            </w:r>
            <w:r>
              <w:rPr>
                <w:rStyle w:val="IndexLink"/>
              </w:rPr>
              <w:t>556</w:t>
            </w:r>
          </w:hyperlink>
        </w:p>
        <w:p>
          <w:pPr>
            <w:pStyle w:val="Contents5"/>
            <w:tabs>
              <w:tab w:val="clear" w:pos="7892"/>
              <w:tab w:val="right" w:pos="9026" w:leader="dot"/>
            </w:tabs>
            <w:rPr/>
          </w:pPr>
          <w:hyperlink w:anchor="__RefHeading___Toc3235216_3224264995">
            <w:r>
              <w:rPr>
                <w:webHidden/>
                <w:rStyle w:val="IndexLink"/>
                <w:rtl w:val="true"/>
              </w:rPr>
              <w:t>الموضع الثانی فی حال الأخبار الواردة فی مخالفة العامّة</w:t>
            </w:r>
            <w:r>
              <w:rPr>
                <w:rStyle w:val="IndexLink"/>
                <w:rtl w:val="true"/>
              </w:rPr>
              <w:tab/>
            </w:r>
            <w:r>
              <w:rPr>
                <w:rStyle w:val="IndexLink"/>
              </w:rPr>
              <w:t>558</w:t>
            </w:r>
          </w:hyperlink>
        </w:p>
        <w:p>
          <w:pPr>
            <w:pStyle w:val="Contents4"/>
            <w:tabs>
              <w:tab w:val="clear" w:pos="8176"/>
              <w:tab w:val="right" w:pos="9026" w:leader="dot"/>
            </w:tabs>
            <w:rPr/>
          </w:pPr>
          <w:hyperlink w:anchor="__RefHeading___Toc3235218_3224264995">
            <w:r>
              <w:rPr>
                <w:webHidden/>
                <w:rStyle w:val="IndexLink"/>
                <w:rtl w:val="true"/>
              </w:rPr>
              <w:t>الأمر الثالث هل یتعدّی من المرجّح المنصوص إلی غیره أم لا؟</w:t>
            </w:r>
            <w:r>
              <w:rPr>
                <w:rStyle w:val="IndexLink"/>
                <w:rtl w:val="true"/>
              </w:rPr>
              <w:tab/>
            </w:r>
            <w:r>
              <w:rPr>
                <w:rStyle w:val="IndexLink"/>
              </w:rPr>
              <w:t>562</w:t>
            </w:r>
          </w:hyperlink>
        </w:p>
        <w:p>
          <w:pPr>
            <w:pStyle w:val="Contents5"/>
            <w:tabs>
              <w:tab w:val="clear" w:pos="7892"/>
              <w:tab w:val="right" w:pos="9026" w:leader="dot"/>
            </w:tabs>
            <w:rPr/>
          </w:pPr>
          <w:hyperlink w:anchor="__RefHeading___Toc3235220_3224264995">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3235222_3224264995">
            <w:r>
              <w:rPr>
                <w:webHidden/>
                <w:rStyle w:val="IndexLink"/>
                <w:rtl w:val="true"/>
              </w:rPr>
              <w:t>الوجوه التی استدلّ بها الشیخ قدس سره علی التعدّی من المنصوص و نقدها</w:t>
            </w:r>
            <w:r>
              <w:rPr>
                <w:rStyle w:val="IndexLink"/>
                <w:rtl w:val="true"/>
              </w:rPr>
              <w:tab/>
            </w:r>
            <w:r>
              <w:rPr>
                <w:rStyle w:val="IndexLink"/>
              </w:rPr>
              <w:t>563</w:t>
            </w:r>
          </w:hyperlink>
        </w:p>
        <w:p>
          <w:pPr>
            <w:pStyle w:val="Contents4"/>
            <w:tabs>
              <w:tab w:val="clear" w:pos="8176"/>
              <w:tab w:val="right" w:pos="9026" w:leader="dot"/>
            </w:tabs>
            <w:rPr/>
          </w:pPr>
          <w:hyperlink w:anchor="__RefHeading___Toc3235224_3224264995">
            <w:r>
              <w:rPr>
                <w:webHidden/>
                <w:rStyle w:val="IndexLink"/>
                <w:rtl w:val="true"/>
              </w:rPr>
              <w:t>خاتمة</w:t>
            </w:r>
            <w:r>
              <w:rPr>
                <w:rStyle w:val="IndexLink"/>
                <w:rtl w:val="true"/>
              </w:rPr>
              <w:t xml:space="preserve">: </w:t>
            </w:r>
            <w:r>
              <w:rPr>
                <w:rStyle w:val="IndexLink"/>
                <w:rtl w:val="true"/>
              </w:rPr>
              <w:t>فی احتمالات موافقة الکتاب و مخالفة العامّة</w:t>
            </w:r>
            <w:r>
              <w:rPr>
                <w:rStyle w:val="IndexLink"/>
                <w:rtl w:val="true"/>
              </w:rPr>
              <w:tab/>
            </w:r>
            <w:r>
              <w:rPr>
                <w:rStyle w:val="IndexLink"/>
              </w:rPr>
              <w:t>570</w:t>
            </w:r>
          </w:hyperlink>
        </w:p>
        <w:p>
          <w:pPr>
            <w:pStyle w:val="Contents2"/>
            <w:tabs>
              <w:tab w:val="clear" w:pos="8743"/>
              <w:tab w:val="right" w:pos="9026" w:leader="dot"/>
            </w:tabs>
            <w:rPr/>
          </w:pPr>
          <w:hyperlink w:anchor="__RefHeading___Toc3235226_3224264995">
            <w:r>
              <w:rPr>
                <w:webHidden/>
                <w:rStyle w:val="IndexLink"/>
                <w:rtl w:val="true"/>
              </w:rPr>
              <w:t>الخاتمة فی الاجتهاد و التقلید</w:t>
            </w:r>
            <w:r>
              <w:rPr>
                <w:rStyle w:val="IndexLink"/>
                <w:rtl w:val="true"/>
              </w:rPr>
              <w:tab/>
            </w:r>
            <w:r>
              <w:rPr>
                <w:rStyle w:val="IndexLink"/>
              </w:rPr>
              <w:t>574</w:t>
            </w:r>
          </w:hyperlink>
        </w:p>
        <w:p>
          <w:pPr>
            <w:pStyle w:val="Contents3"/>
            <w:tabs>
              <w:tab w:val="clear" w:pos="8459"/>
              <w:tab w:val="right" w:pos="9026" w:leader="dot"/>
            </w:tabs>
            <w:rPr/>
          </w:pPr>
          <w:hyperlink w:anchor="__RefHeading___Toc3235228_3224264995">
            <w:r>
              <w:rPr>
                <w:webHidden/>
                <w:rStyle w:val="IndexLink"/>
                <w:rtl w:val="true"/>
              </w:rPr>
              <w:t>اشارة</w:t>
            </w:r>
            <w:r>
              <w:rPr>
                <w:rStyle w:val="IndexLink"/>
                <w:rtl w:val="true"/>
              </w:rPr>
              <w:tab/>
            </w:r>
            <w:r>
              <w:rPr>
                <w:rStyle w:val="IndexLink"/>
              </w:rPr>
              <w:t>574</w:t>
            </w:r>
          </w:hyperlink>
        </w:p>
        <w:p>
          <w:pPr>
            <w:pStyle w:val="Contents3"/>
            <w:tabs>
              <w:tab w:val="clear" w:pos="8459"/>
              <w:tab w:val="right" w:pos="9026" w:leader="dot"/>
            </w:tabs>
            <w:rPr/>
          </w:pPr>
          <w:hyperlink w:anchor="__RefHeading___Toc3235230_3224264995">
            <w:r>
              <w:rPr>
                <w:webHidden/>
                <w:rStyle w:val="IndexLink"/>
                <w:rtl w:val="true"/>
              </w:rPr>
              <w:t>الفصل الأوّل ذکر شئون الفقیه</w:t>
            </w:r>
            <w:r>
              <w:rPr>
                <w:rStyle w:val="IndexLink"/>
                <w:rtl w:val="true"/>
              </w:rPr>
              <w:tab/>
            </w:r>
            <w:r>
              <w:rPr>
                <w:rStyle w:val="IndexLink"/>
              </w:rPr>
              <w:t>575</w:t>
            </w:r>
          </w:hyperlink>
        </w:p>
        <w:p>
          <w:pPr>
            <w:pStyle w:val="Contents4"/>
            <w:tabs>
              <w:tab w:val="clear" w:pos="8176"/>
              <w:tab w:val="right" w:pos="9026" w:leader="dot"/>
            </w:tabs>
            <w:rPr/>
          </w:pPr>
          <w:hyperlink w:anchor="__RefHeading___Toc3235232_3224264995">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3235234_3224264995">
            <w:r>
              <w:rPr>
                <w:webHidden/>
                <w:rStyle w:val="IndexLink"/>
                <w:rtl w:val="true"/>
              </w:rPr>
              <w:t>الأمر الأوّل حکم مَن له قوّة الاستنباط فعلًا</w:t>
            </w:r>
            <w:r>
              <w:rPr>
                <w:rStyle w:val="IndexLink"/>
                <w:rtl w:val="true"/>
              </w:rPr>
              <w:tab/>
            </w:r>
            <w:r>
              <w:rPr>
                <w:rStyle w:val="IndexLink"/>
              </w:rPr>
              <w:t>576</w:t>
            </w:r>
          </w:hyperlink>
        </w:p>
        <w:p>
          <w:pPr>
            <w:pStyle w:val="Contents4"/>
            <w:tabs>
              <w:tab w:val="clear" w:pos="8176"/>
              <w:tab w:val="right" w:pos="9026" w:leader="dot"/>
            </w:tabs>
            <w:rPr/>
          </w:pPr>
          <w:hyperlink w:anchor="__RefHeading___Toc3235236_3224264995">
            <w:r>
              <w:rPr>
                <w:webHidden/>
                <w:rStyle w:val="IndexLink"/>
                <w:rtl w:val="true"/>
              </w:rPr>
              <w:t>الأمر الثانی بیان مقدّمات الاجتهاد</w:t>
            </w:r>
            <w:r>
              <w:rPr>
                <w:rStyle w:val="IndexLink"/>
                <w:rtl w:val="true"/>
              </w:rPr>
              <w:tab/>
            </w:r>
            <w:r>
              <w:rPr>
                <w:rStyle w:val="IndexLink"/>
              </w:rPr>
              <w:t>579</w:t>
            </w:r>
          </w:hyperlink>
        </w:p>
        <w:p>
          <w:pPr>
            <w:pStyle w:val="Contents4"/>
            <w:tabs>
              <w:tab w:val="clear" w:pos="8176"/>
              <w:tab w:val="right" w:pos="9026" w:leader="dot"/>
            </w:tabs>
            <w:rPr/>
          </w:pPr>
          <w:hyperlink w:anchor="__RefHeading___Toc3235238_3224264995">
            <w:r>
              <w:rPr>
                <w:webHidden/>
                <w:rStyle w:val="IndexLink"/>
                <w:rtl w:val="true"/>
              </w:rPr>
              <w:t>الأمر الثالث البحث حول منصب القضاء و الحکومة</w:t>
            </w:r>
            <w:r>
              <w:rPr>
                <w:rStyle w:val="IndexLink"/>
                <w:rtl w:val="true"/>
              </w:rPr>
              <w:tab/>
            </w:r>
            <w:r>
              <w:rPr>
                <w:rStyle w:val="IndexLink"/>
              </w:rPr>
              <w:t>582</w:t>
            </w:r>
          </w:hyperlink>
        </w:p>
        <w:p>
          <w:pPr>
            <w:pStyle w:val="Contents5"/>
            <w:tabs>
              <w:tab w:val="clear" w:pos="7892"/>
              <w:tab w:val="right" w:pos="9026" w:leader="dot"/>
            </w:tabs>
            <w:rPr/>
          </w:pPr>
          <w:hyperlink w:anchor="__RefHeading___Toc3235240_3224264995">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3235242_3224264995">
            <w:r>
              <w:rPr>
                <w:webHidden/>
                <w:rStyle w:val="IndexLink"/>
                <w:rtl w:val="true"/>
              </w:rPr>
              <w:t>القضاء و الحکومة فی زمان الغیبة</w:t>
            </w:r>
            <w:r>
              <w:rPr>
                <w:rStyle w:val="IndexLink"/>
                <w:rtl w:val="true"/>
              </w:rPr>
              <w:tab/>
            </w:r>
            <w:r>
              <w:rPr>
                <w:rStyle w:val="IndexLink"/>
              </w:rPr>
              <w:t>583</w:t>
            </w:r>
          </w:hyperlink>
        </w:p>
        <w:p>
          <w:pPr>
            <w:pStyle w:val="Contents5"/>
            <w:tabs>
              <w:tab w:val="clear" w:pos="7892"/>
              <w:tab w:val="right" w:pos="9026" w:leader="dot"/>
            </w:tabs>
            <w:rPr/>
          </w:pPr>
          <w:hyperlink w:anchor="__RefHeading___Toc3235244_3224264995">
            <w:r>
              <w:rPr>
                <w:webHidden/>
                <w:rStyle w:val="IndexLink"/>
                <w:rtl w:val="true"/>
              </w:rPr>
              <w:t>الأخبار الدالّة علی ثبوت منصب الحکومة و القضاء للفقیه</w:t>
            </w:r>
            <w:r>
              <w:rPr>
                <w:rStyle w:val="IndexLink"/>
                <w:rtl w:val="true"/>
              </w:rPr>
              <w:tab/>
            </w:r>
            <w:r>
              <w:rPr>
                <w:rStyle w:val="IndexLink"/>
              </w:rPr>
              <w:t>584</w:t>
            </w:r>
          </w:hyperlink>
        </w:p>
        <w:p>
          <w:pPr>
            <w:pStyle w:val="Contents6"/>
            <w:tabs>
              <w:tab w:val="clear" w:pos="7609"/>
              <w:tab w:val="right" w:pos="9026" w:leader="dot"/>
            </w:tabs>
            <w:rPr/>
          </w:pPr>
          <w:hyperlink w:anchor="__RefHeading___Toc3235246_3224264995">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3235248_3224264995">
            <w:r>
              <w:rPr>
                <w:webHidden/>
                <w:rStyle w:val="IndexLink"/>
                <w:rtl w:val="true"/>
              </w:rPr>
              <w:t>هل الاجتهاد المطلق شرط أم لا؟</w:t>
            </w:r>
            <w:r>
              <w:rPr>
                <w:rStyle w:val="IndexLink"/>
                <w:rtl w:val="true"/>
              </w:rPr>
              <w:tab/>
            </w:r>
            <w:r>
              <w:rPr>
                <w:rStyle w:val="IndexLink"/>
              </w:rPr>
              <w:t>593</w:t>
            </w:r>
          </w:hyperlink>
        </w:p>
        <w:p>
          <w:pPr>
            <w:pStyle w:val="Contents5"/>
            <w:tabs>
              <w:tab w:val="clear" w:pos="7892"/>
              <w:tab w:val="right" w:pos="9026" w:leader="dot"/>
            </w:tabs>
            <w:rPr/>
          </w:pPr>
          <w:hyperlink w:anchor="__RefHeading___Toc3235250_3224264995">
            <w:r>
              <w:rPr>
                <w:webHidden/>
                <w:rStyle w:val="IndexLink"/>
                <w:rtl w:val="true"/>
              </w:rPr>
              <w:t>جواز تولّی العامّی القضاء و عدمه</w:t>
            </w:r>
            <w:r>
              <w:rPr>
                <w:rStyle w:val="IndexLink"/>
                <w:rtl w:val="true"/>
              </w:rPr>
              <w:tab/>
            </w:r>
            <w:r>
              <w:rPr>
                <w:rStyle w:val="IndexLink"/>
              </w:rPr>
              <w:t>594</w:t>
            </w:r>
          </w:hyperlink>
        </w:p>
        <w:p>
          <w:pPr>
            <w:pStyle w:val="Contents6"/>
            <w:tabs>
              <w:tab w:val="clear" w:pos="7609"/>
              <w:tab w:val="right" w:pos="9026" w:leader="dot"/>
            </w:tabs>
            <w:rPr/>
          </w:pPr>
          <w:hyperlink w:anchor="__RefHeading___Toc3235252_3224264995">
            <w:r>
              <w:rPr>
                <w:webHidden/>
                <w:rStyle w:val="IndexLink"/>
                <w:rtl w:val="true"/>
              </w:rPr>
              <w:t>اشارة</w:t>
            </w:r>
            <w:r>
              <w:rPr>
                <w:rStyle w:val="IndexLink"/>
                <w:rtl w:val="true"/>
              </w:rPr>
              <w:tab/>
            </w:r>
            <w:r>
              <w:rPr>
                <w:rStyle w:val="IndexLink"/>
              </w:rPr>
              <w:t>594</w:t>
            </w:r>
          </w:hyperlink>
        </w:p>
        <w:p>
          <w:pPr>
            <w:pStyle w:val="Contents6"/>
            <w:tabs>
              <w:tab w:val="clear" w:pos="7609"/>
              <w:tab w:val="right" w:pos="9026" w:leader="dot"/>
            </w:tabs>
            <w:rPr/>
          </w:pPr>
          <w:hyperlink w:anchor="__RefHeading___Toc3235254_3224264995">
            <w:r>
              <w:rPr>
                <w:webHidden/>
                <w:rStyle w:val="IndexLink"/>
                <w:rtl w:val="true"/>
              </w:rPr>
              <w:t>و یمکن تقریب الاستدلال فی موضعین منها علی المطلوب</w:t>
            </w:r>
            <w:r>
              <w:rPr>
                <w:rStyle w:val="IndexLink"/>
                <w:rtl w:val="true"/>
              </w:rPr>
              <w:tab/>
            </w:r>
            <w:r>
              <w:rPr>
                <w:rStyle w:val="IndexLink"/>
              </w:rPr>
              <w:t>597</w:t>
            </w:r>
          </w:hyperlink>
        </w:p>
        <w:p>
          <w:pPr>
            <w:pStyle w:val="Contents5"/>
            <w:tabs>
              <w:tab w:val="clear" w:pos="7892"/>
              <w:tab w:val="right" w:pos="9026" w:leader="dot"/>
            </w:tabs>
            <w:rPr/>
          </w:pPr>
          <w:hyperlink w:anchor="__RefHeading___Toc3235256_3224264995">
            <w:r>
              <w:rPr>
                <w:webHidden/>
                <w:rStyle w:val="IndexLink"/>
                <w:rtl w:val="true"/>
              </w:rPr>
              <w:t>هل یجوز للفقیه نصب العامّی للقضاء أم لا؟</w:t>
            </w:r>
            <w:r>
              <w:rPr>
                <w:rStyle w:val="IndexLink"/>
                <w:rtl w:val="true"/>
              </w:rPr>
              <w:tab/>
            </w:r>
            <w:r>
              <w:rPr>
                <w:rStyle w:val="IndexLink"/>
              </w:rPr>
              <w:t>599</w:t>
            </w:r>
          </w:hyperlink>
        </w:p>
        <w:p>
          <w:pPr>
            <w:pStyle w:val="Contents5"/>
            <w:tabs>
              <w:tab w:val="clear" w:pos="7892"/>
              <w:tab w:val="right" w:pos="9026" w:leader="dot"/>
            </w:tabs>
            <w:rPr/>
          </w:pPr>
          <w:hyperlink w:anchor="__RefHeading___Toc3235258_3224264995">
            <w:r>
              <w:rPr>
                <w:webHidden/>
                <w:rStyle w:val="IndexLink"/>
                <w:rtl w:val="true"/>
              </w:rPr>
              <w:t>هل یجوز توکیل العامّی للقضاء؟</w:t>
            </w:r>
            <w:r>
              <w:rPr>
                <w:rStyle w:val="IndexLink"/>
                <w:rtl w:val="true"/>
              </w:rPr>
              <w:tab/>
            </w:r>
            <w:r>
              <w:rPr>
                <w:rStyle w:val="IndexLink"/>
              </w:rPr>
              <w:t>601</w:t>
            </w:r>
          </w:hyperlink>
        </w:p>
        <w:p>
          <w:pPr>
            <w:pStyle w:val="Contents4"/>
            <w:tabs>
              <w:tab w:val="clear" w:pos="8176"/>
              <w:tab w:val="right" w:pos="9026" w:leader="dot"/>
            </w:tabs>
            <w:rPr/>
          </w:pPr>
          <w:hyperlink w:anchor="__RefHeading___Toc3235260_3224264995">
            <w:r>
              <w:rPr>
                <w:webHidden/>
                <w:rStyle w:val="IndexLink"/>
                <w:rtl w:val="true"/>
              </w:rPr>
              <w:t>الأمر الرابع تشخیص مرجع التقلید و الفتوی</w:t>
            </w:r>
            <w:r>
              <w:rPr>
                <w:rStyle w:val="IndexLink"/>
                <w:rtl w:val="true"/>
              </w:rPr>
              <w:tab/>
            </w:r>
            <w:r>
              <w:rPr>
                <w:rStyle w:val="IndexLink"/>
              </w:rPr>
              <w:t>603</w:t>
            </w:r>
          </w:hyperlink>
        </w:p>
        <w:p>
          <w:pPr>
            <w:pStyle w:val="Contents5"/>
            <w:tabs>
              <w:tab w:val="clear" w:pos="7892"/>
              <w:tab w:val="right" w:pos="9026" w:leader="dot"/>
            </w:tabs>
            <w:rPr/>
          </w:pPr>
          <w:hyperlink w:anchor="__RefHeading___Toc3235262_3224264995">
            <w:r>
              <w:rPr>
                <w:webHidden/>
                <w:rStyle w:val="IndexLink"/>
                <w:rtl w:val="true"/>
              </w:rPr>
              <w:t>اشارة</w:t>
            </w:r>
            <w:r>
              <w:rPr>
                <w:rStyle w:val="IndexLink"/>
                <w:rtl w:val="true"/>
              </w:rPr>
              <w:tab/>
            </w:r>
            <w:r>
              <w:rPr>
                <w:rStyle w:val="IndexLink"/>
              </w:rPr>
              <w:t>603</w:t>
            </w:r>
          </w:hyperlink>
        </w:p>
        <w:p>
          <w:pPr>
            <w:pStyle w:val="Contents5"/>
            <w:tabs>
              <w:tab w:val="clear" w:pos="7892"/>
              <w:tab w:val="right" w:pos="9026" w:leader="dot"/>
            </w:tabs>
            <w:rPr/>
          </w:pPr>
          <w:hyperlink w:anchor="__RefHeading___Toc3235264_3224264995">
            <w:r>
              <w:rPr>
                <w:webHidden/>
                <w:rStyle w:val="IndexLink"/>
                <w:rtl w:val="true"/>
              </w:rPr>
              <w:t>مقتضی الأصل</w:t>
            </w:r>
            <w:r>
              <w:rPr>
                <w:rStyle w:val="IndexLink"/>
                <w:rtl w:val="true"/>
              </w:rPr>
              <w:t xml:space="preserve">: </w:t>
            </w:r>
            <w:r>
              <w:rPr>
                <w:rStyle w:val="IndexLink"/>
                <w:rtl w:val="true"/>
              </w:rPr>
              <w:t>وجوب تقلید الأعلم</w:t>
            </w:r>
            <w:r>
              <w:rPr>
                <w:rStyle w:val="IndexLink"/>
                <w:rtl w:val="true"/>
              </w:rPr>
              <w:tab/>
            </w:r>
            <w:r>
              <w:rPr>
                <w:rStyle w:val="IndexLink"/>
              </w:rPr>
              <w:t>603</w:t>
            </w:r>
          </w:hyperlink>
        </w:p>
        <w:p>
          <w:pPr>
            <w:pStyle w:val="Contents5"/>
            <w:tabs>
              <w:tab w:val="clear" w:pos="7892"/>
              <w:tab w:val="right" w:pos="9026" w:leader="dot"/>
            </w:tabs>
            <w:rPr/>
          </w:pPr>
          <w:hyperlink w:anchor="__RefHeading___Toc3235266_3224264995">
            <w:r>
              <w:rPr>
                <w:webHidden/>
                <w:rStyle w:val="IndexLink"/>
                <w:rtl w:val="true"/>
              </w:rPr>
              <w:t>حول الاستدلال ببناء العقلاء فی التقلید</w:t>
            </w:r>
            <w:r>
              <w:rPr>
                <w:rStyle w:val="IndexLink"/>
                <w:rtl w:val="true"/>
              </w:rPr>
              <w:tab/>
            </w:r>
            <w:r>
              <w:rPr>
                <w:rStyle w:val="IndexLink"/>
              </w:rPr>
              <w:t>607</w:t>
            </w:r>
          </w:hyperlink>
        </w:p>
        <w:p>
          <w:pPr>
            <w:pStyle w:val="Contents6"/>
            <w:tabs>
              <w:tab w:val="clear" w:pos="7609"/>
              <w:tab w:val="right" w:pos="9026" w:leader="dot"/>
            </w:tabs>
            <w:rPr/>
          </w:pPr>
          <w:hyperlink w:anchor="__RefHeading___Toc3235268_3224264995">
            <w:r>
              <w:rPr>
                <w:webHidden/>
                <w:rStyle w:val="IndexLink"/>
                <w:rtl w:val="true"/>
              </w:rPr>
              <w:t>اشارة</w:t>
            </w:r>
            <w:r>
              <w:rPr>
                <w:rStyle w:val="IndexLink"/>
                <w:rtl w:val="true"/>
              </w:rPr>
              <w:tab/>
            </w:r>
            <w:r>
              <w:rPr>
                <w:rStyle w:val="IndexLink"/>
              </w:rPr>
              <w:t>607</w:t>
            </w:r>
          </w:hyperlink>
        </w:p>
        <w:p>
          <w:pPr>
            <w:pStyle w:val="Contents6"/>
            <w:tabs>
              <w:tab w:val="clear" w:pos="7609"/>
              <w:tab w:val="right" w:pos="9026" w:leader="dot"/>
            </w:tabs>
            <w:rPr/>
          </w:pPr>
          <w:hyperlink w:anchor="__RefHeading___Toc3235270_3224264995">
            <w:r>
              <w:rPr>
                <w:webHidden/>
                <w:rStyle w:val="IndexLink"/>
                <w:rtl w:val="true"/>
              </w:rPr>
              <w:t>الشبهة فی الاستدلال ببناء العقلاء و جوابها</w:t>
            </w:r>
            <w:r>
              <w:rPr>
                <w:rStyle w:val="IndexLink"/>
                <w:rtl w:val="true"/>
              </w:rPr>
              <w:tab/>
            </w:r>
            <w:r>
              <w:rPr>
                <w:rStyle w:val="IndexLink"/>
              </w:rPr>
              <w:t>608</w:t>
            </w:r>
          </w:hyperlink>
        </w:p>
        <w:p>
          <w:pPr>
            <w:pStyle w:val="Contents6"/>
            <w:tabs>
              <w:tab w:val="clear" w:pos="7609"/>
              <w:tab w:val="right" w:pos="9026" w:leader="dot"/>
            </w:tabs>
            <w:rPr/>
          </w:pPr>
          <w:hyperlink w:anchor="__RefHeading___Toc3235272_3224264995">
            <w:r>
              <w:rPr>
                <w:webHidden/>
                <w:rStyle w:val="IndexLink"/>
                <w:rtl w:val="true"/>
              </w:rPr>
              <w:t>تحقّق الاجتهاد المتعارف فی عصرنا فی زمان الأئمة علیهم السلام</w:t>
            </w:r>
            <w:r>
              <w:rPr>
                <w:rStyle w:val="IndexLink"/>
                <w:rtl w:val="true"/>
              </w:rPr>
              <w:tab/>
            </w:r>
            <w:r>
              <w:rPr>
                <w:rStyle w:val="IndexLink"/>
              </w:rPr>
              <w:t>609</w:t>
            </w:r>
          </w:hyperlink>
        </w:p>
        <w:p>
          <w:pPr>
            <w:pStyle w:val="Contents6"/>
            <w:tabs>
              <w:tab w:val="clear" w:pos="7609"/>
              <w:tab w:val="right" w:pos="9026" w:leader="dot"/>
            </w:tabs>
            <w:rPr/>
          </w:pPr>
          <w:hyperlink w:anchor="__RefHeading___Toc3235274_3224264995">
            <w:r>
              <w:rPr>
                <w:webHidden/>
                <w:rStyle w:val="IndexLink"/>
                <w:rtl w:val="true"/>
              </w:rPr>
              <w:t>شبهة اخری فی الاستدلال علی بناء العقلاء</w:t>
            </w:r>
            <w:r>
              <w:rPr>
                <w:rStyle w:val="IndexLink"/>
                <w:rtl w:val="true"/>
              </w:rPr>
              <w:tab/>
            </w:r>
            <w:r>
              <w:rPr>
                <w:rStyle w:val="IndexLink"/>
              </w:rPr>
              <w:t>615</w:t>
            </w:r>
          </w:hyperlink>
        </w:p>
        <w:p>
          <w:pPr>
            <w:pStyle w:val="Contents5"/>
            <w:tabs>
              <w:tab w:val="clear" w:pos="7892"/>
              <w:tab w:val="right" w:pos="9026" w:leader="dot"/>
            </w:tabs>
            <w:rPr/>
          </w:pPr>
          <w:hyperlink w:anchor="__RefHeading___Toc3235276_3224264995">
            <w:r>
              <w:rPr>
                <w:webHidden/>
                <w:rStyle w:val="IndexLink"/>
                <w:rtl w:val="true"/>
              </w:rPr>
              <w:t>کیفیّة السیرة العقلائیّة فی حجیّة قول المفضول</w:t>
            </w:r>
            <w:r>
              <w:rPr>
                <w:rStyle w:val="IndexLink"/>
                <w:rtl w:val="true"/>
              </w:rPr>
              <w:tab/>
            </w:r>
            <w:r>
              <w:rPr>
                <w:rStyle w:val="IndexLink"/>
              </w:rPr>
              <w:t>618</w:t>
            </w:r>
          </w:hyperlink>
        </w:p>
        <w:p>
          <w:pPr>
            <w:pStyle w:val="Contents6"/>
            <w:tabs>
              <w:tab w:val="clear" w:pos="7609"/>
              <w:tab w:val="right" w:pos="9026" w:leader="dot"/>
            </w:tabs>
            <w:rPr/>
          </w:pPr>
          <w:hyperlink w:anchor="__RefHeading___Toc3235278_3224264995">
            <w:r>
              <w:rPr>
                <w:webHidden/>
                <w:rStyle w:val="IndexLink"/>
                <w:rtl w:val="true"/>
              </w:rPr>
              <w:t>اشارة</w:t>
            </w:r>
            <w:r>
              <w:rPr>
                <w:rStyle w:val="IndexLink"/>
                <w:rtl w:val="true"/>
              </w:rPr>
              <w:tab/>
            </w:r>
            <w:r>
              <w:rPr>
                <w:rStyle w:val="IndexLink"/>
              </w:rPr>
              <w:t>618</w:t>
            </w:r>
          </w:hyperlink>
        </w:p>
        <w:p>
          <w:pPr>
            <w:pStyle w:val="Contents6"/>
            <w:tabs>
              <w:tab w:val="clear" w:pos="7609"/>
              <w:tab w:val="right" w:pos="9026" w:leader="dot"/>
            </w:tabs>
            <w:rPr/>
          </w:pPr>
          <w:hyperlink w:anchor="__RefHeading___Toc3235280_3224264995">
            <w:r>
              <w:rPr>
                <w:webHidden/>
                <w:rStyle w:val="IndexLink"/>
                <w:rtl w:val="true"/>
              </w:rPr>
              <w:t>هل ترجیح قول الأفضل لزومیّ أم لا؟</w:t>
            </w:r>
            <w:r>
              <w:rPr>
                <w:rStyle w:val="IndexLink"/>
                <w:rtl w:val="true"/>
              </w:rPr>
              <w:tab/>
            </w:r>
            <w:r>
              <w:rPr>
                <w:rStyle w:val="IndexLink"/>
              </w:rPr>
              <w:t>618</w:t>
            </w:r>
          </w:hyperlink>
        </w:p>
        <w:p>
          <w:pPr>
            <w:pStyle w:val="Contents6"/>
            <w:tabs>
              <w:tab w:val="clear" w:pos="7609"/>
              <w:tab w:val="right" w:pos="9026" w:leader="dot"/>
            </w:tabs>
            <w:rPr/>
          </w:pPr>
          <w:hyperlink w:anchor="__RefHeading___Toc3235282_3224264995">
            <w:r>
              <w:rPr>
                <w:webHidden/>
                <w:rStyle w:val="IndexLink"/>
                <w:rtl w:val="true"/>
              </w:rPr>
              <w:t>أدلّة جواز الرجوع إلی المفضول</w:t>
            </w:r>
            <w:r>
              <w:rPr>
                <w:rStyle w:val="IndexLink"/>
                <w:rtl w:val="true"/>
              </w:rPr>
              <w:tab/>
            </w:r>
            <w:r>
              <w:rPr>
                <w:rStyle w:val="IndexLink"/>
              </w:rPr>
              <w:t>620</w:t>
            </w:r>
          </w:hyperlink>
        </w:p>
        <w:p>
          <w:pPr>
            <w:pStyle w:val="Contents6"/>
            <w:tabs>
              <w:tab w:val="clear" w:pos="7609"/>
              <w:tab w:val="right" w:pos="9026" w:leader="dot"/>
            </w:tabs>
            <w:rPr/>
          </w:pPr>
          <w:hyperlink w:anchor="__RefHeading___Toc3235284_3224264995">
            <w:r>
              <w:rPr>
                <w:webHidden/>
                <w:rStyle w:val="IndexLink"/>
                <w:rtl w:val="true"/>
              </w:rPr>
              <w:t>اشارة</w:t>
            </w:r>
            <w:r>
              <w:rPr>
                <w:rStyle w:val="IndexLink"/>
                <w:rtl w:val="true"/>
              </w:rPr>
              <w:tab/>
            </w:r>
            <w:r>
              <w:rPr>
                <w:rStyle w:val="IndexLink"/>
              </w:rPr>
              <w:t>620</w:t>
            </w:r>
          </w:hyperlink>
        </w:p>
        <w:p>
          <w:pPr>
            <w:pStyle w:val="Contents6"/>
            <w:tabs>
              <w:tab w:val="clear" w:pos="7609"/>
              <w:tab w:val="right" w:pos="9026" w:leader="dot"/>
            </w:tabs>
            <w:rPr/>
          </w:pPr>
          <w:hyperlink w:anchor="__RefHeading___Toc3235286_3224264995">
            <w:r>
              <w:rPr>
                <w:webHidden/>
                <w:rStyle w:val="IndexLink"/>
                <w:rtl w:val="true"/>
              </w:rPr>
              <w:t>الآیات التی استدلّ بها</w:t>
            </w:r>
            <w:r>
              <w:rPr>
                <w:rStyle w:val="IndexLink"/>
                <w:rtl w:val="true"/>
              </w:rPr>
              <w:tab/>
            </w:r>
            <w:r>
              <w:rPr>
                <w:rStyle w:val="IndexLink"/>
              </w:rPr>
              <w:t>620</w:t>
            </w:r>
          </w:hyperlink>
        </w:p>
        <w:p>
          <w:pPr>
            <w:pStyle w:val="Contents6"/>
            <w:tabs>
              <w:tab w:val="clear" w:pos="7609"/>
              <w:tab w:val="right" w:pos="9026" w:leader="dot"/>
            </w:tabs>
            <w:rPr/>
          </w:pPr>
          <w:hyperlink w:anchor="__RefHeading___Toc3235288_3224264995">
            <w:r>
              <w:rPr>
                <w:webHidden/>
                <w:rStyle w:val="IndexLink"/>
                <w:rtl w:val="true"/>
              </w:rPr>
              <w:t>الروایات التی استدلّ بها لجواز تقلید غیر الأعلم</w:t>
            </w:r>
            <w:r>
              <w:rPr>
                <w:rStyle w:val="IndexLink"/>
                <w:rtl w:val="true"/>
              </w:rPr>
              <w:tab/>
            </w:r>
            <w:r>
              <w:rPr>
                <w:rStyle w:val="IndexLink"/>
              </w:rPr>
              <w:t>624</w:t>
            </w:r>
          </w:hyperlink>
        </w:p>
        <w:p>
          <w:pPr>
            <w:pStyle w:val="Contents6"/>
            <w:tabs>
              <w:tab w:val="clear" w:pos="7609"/>
              <w:tab w:val="right" w:pos="9026" w:leader="dot"/>
            </w:tabs>
            <w:rPr/>
          </w:pPr>
          <w:hyperlink w:anchor="__RefHeading___Toc3235290_3224264995">
            <w:r>
              <w:rPr>
                <w:webHidden/>
                <w:rStyle w:val="IndexLink"/>
                <w:rtl w:val="true"/>
              </w:rPr>
              <w:t>أدلّة وجوب الرجوع إلی الأفضل</w:t>
            </w:r>
            <w:r>
              <w:rPr>
                <w:rStyle w:val="IndexLink"/>
                <w:rtl w:val="true"/>
              </w:rPr>
              <w:tab/>
            </w:r>
            <w:r>
              <w:rPr>
                <w:rStyle w:val="IndexLink"/>
              </w:rPr>
              <w:t>630</w:t>
            </w:r>
          </w:hyperlink>
        </w:p>
        <w:p>
          <w:pPr>
            <w:pStyle w:val="Contents6"/>
            <w:tabs>
              <w:tab w:val="clear" w:pos="7609"/>
              <w:tab w:val="right" w:pos="9026" w:leader="dot"/>
            </w:tabs>
            <w:rPr/>
          </w:pPr>
          <w:hyperlink w:anchor="__RefHeading___Toc3235292_3224264995">
            <w:r>
              <w:rPr>
                <w:webHidden/>
                <w:rStyle w:val="IndexLink"/>
                <w:rtl w:val="true"/>
              </w:rPr>
              <w:t>اشارة</w:t>
            </w:r>
            <w:r>
              <w:rPr>
                <w:rStyle w:val="IndexLink"/>
                <w:rtl w:val="true"/>
              </w:rPr>
              <w:tab/>
            </w:r>
            <w:r>
              <w:rPr>
                <w:rStyle w:val="IndexLink"/>
              </w:rPr>
              <w:t>630</w:t>
            </w:r>
          </w:hyperlink>
        </w:p>
        <w:p>
          <w:pPr>
            <w:pStyle w:val="Contents6"/>
            <w:tabs>
              <w:tab w:val="clear" w:pos="7609"/>
              <w:tab w:val="right" w:pos="9026" w:leader="dot"/>
            </w:tabs>
            <w:rPr/>
          </w:pPr>
          <w:hyperlink w:anchor="__RefHeading___Toc3235294_3224264995">
            <w:r>
              <w:rPr>
                <w:webHidden/>
                <w:rStyle w:val="IndexLink"/>
                <w:rtl w:val="true"/>
              </w:rPr>
              <w:t>إشکال المحقّق الخراسانی قدس سره صغرویاً</w:t>
            </w:r>
            <w:r>
              <w:rPr>
                <w:rStyle w:val="IndexLink"/>
                <w:rtl w:val="true"/>
              </w:rPr>
              <w:tab/>
            </w:r>
            <w:r>
              <w:rPr>
                <w:rStyle w:val="IndexLink"/>
              </w:rPr>
              <w:t>631</w:t>
            </w:r>
          </w:hyperlink>
        </w:p>
        <w:p>
          <w:pPr>
            <w:pStyle w:val="Contents6"/>
            <w:tabs>
              <w:tab w:val="clear" w:pos="7609"/>
              <w:tab w:val="right" w:pos="9026" w:leader="dot"/>
            </w:tabs>
            <w:rPr/>
          </w:pPr>
          <w:hyperlink w:anchor="__RefHeading___Toc3235296_3224264995">
            <w:r>
              <w:rPr>
                <w:webHidden/>
                <w:rStyle w:val="IndexLink"/>
                <w:rtl w:val="true"/>
              </w:rPr>
              <w:t>إشکال المحقّق الخراسانی قدس سره کبرویاً</w:t>
            </w:r>
            <w:r>
              <w:rPr>
                <w:rStyle w:val="IndexLink"/>
                <w:rtl w:val="true"/>
              </w:rPr>
              <w:tab/>
            </w:r>
            <w:r>
              <w:rPr>
                <w:rStyle w:val="IndexLink"/>
              </w:rPr>
              <w:t>632</w:t>
            </w:r>
          </w:hyperlink>
        </w:p>
        <w:p>
          <w:pPr>
            <w:pStyle w:val="Contents6"/>
            <w:tabs>
              <w:tab w:val="clear" w:pos="7609"/>
              <w:tab w:val="right" w:pos="9026" w:leader="dot"/>
            </w:tabs>
            <w:rPr/>
          </w:pPr>
          <w:hyperlink w:anchor="__RefHeading___Toc3235298_3224264995">
            <w:r>
              <w:rPr>
                <w:webHidden/>
                <w:rStyle w:val="IndexLink"/>
                <w:rtl w:val="true"/>
              </w:rPr>
              <w:t>فی حال المجتهدین المتساویین فی الفضل</w:t>
            </w:r>
            <w:r>
              <w:rPr>
                <w:rStyle w:val="IndexLink"/>
                <w:rtl w:val="true"/>
              </w:rPr>
              <w:tab/>
            </w:r>
            <w:r>
              <w:rPr>
                <w:rStyle w:val="IndexLink"/>
              </w:rPr>
              <w:t>637</w:t>
            </w:r>
          </w:hyperlink>
        </w:p>
        <w:p>
          <w:pPr>
            <w:pStyle w:val="Contents3"/>
            <w:tabs>
              <w:tab w:val="clear" w:pos="8459"/>
              <w:tab w:val="right" w:pos="9026" w:leader="dot"/>
            </w:tabs>
            <w:rPr/>
          </w:pPr>
          <w:hyperlink w:anchor="__RefHeading___Toc3235300_3224264995">
            <w:r>
              <w:rPr>
                <w:webHidden/>
                <w:rStyle w:val="IndexLink"/>
                <w:rtl w:val="true"/>
              </w:rPr>
              <w:t>الفصل الثانی حول شرط الحیاة لمرجع التقلید</w:t>
            </w:r>
            <w:r>
              <w:rPr>
                <w:rStyle w:val="IndexLink"/>
                <w:rtl w:val="true"/>
              </w:rPr>
              <w:tab/>
            </w:r>
            <w:r>
              <w:rPr>
                <w:rStyle w:val="IndexLink"/>
              </w:rPr>
              <w:t>644</w:t>
            </w:r>
          </w:hyperlink>
        </w:p>
        <w:p>
          <w:pPr>
            <w:pStyle w:val="Contents4"/>
            <w:tabs>
              <w:tab w:val="clear" w:pos="8176"/>
              <w:tab w:val="right" w:pos="9026" w:leader="dot"/>
            </w:tabs>
            <w:rPr/>
          </w:pPr>
          <w:hyperlink w:anchor="__RefHeading___Toc3235302_3224264995">
            <w:r>
              <w:rPr>
                <w:webHidden/>
                <w:rStyle w:val="IndexLink"/>
                <w:rtl w:val="true"/>
              </w:rPr>
              <w:t>اشارة</w:t>
            </w:r>
            <w:r>
              <w:rPr>
                <w:rStyle w:val="IndexLink"/>
                <w:rtl w:val="true"/>
              </w:rPr>
              <w:tab/>
            </w:r>
            <w:r>
              <w:rPr>
                <w:rStyle w:val="IndexLink"/>
              </w:rPr>
              <w:t>644</w:t>
            </w:r>
          </w:hyperlink>
        </w:p>
        <w:p>
          <w:pPr>
            <w:pStyle w:val="Contents4"/>
            <w:tabs>
              <w:tab w:val="clear" w:pos="8176"/>
              <w:tab w:val="right" w:pos="9026" w:leader="dot"/>
            </w:tabs>
            <w:rPr/>
          </w:pPr>
          <w:hyperlink w:anchor="__RefHeading___Toc3235304_3224264995">
            <w:r>
              <w:rPr>
                <w:webHidden/>
                <w:rStyle w:val="IndexLink"/>
                <w:rtl w:val="true"/>
              </w:rPr>
              <w:t>مقتضی الأصل فی جواز تقلید المیّت</w:t>
            </w:r>
            <w:r>
              <w:rPr>
                <w:rStyle w:val="IndexLink"/>
                <w:rtl w:val="true"/>
              </w:rPr>
              <w:tab/>
            </w:r>
            <w:r>
              <w:rPr>
                <w:rStyle w:val="IndexLink"/>
              </w:rPr>
              <w:t>645</w:t>
            </w:r>
          </w:hyperlink>
        </w:p>
        <w:p>
          <w:pPr>
            <w:pStyle w:val="Contents4"/>
            <w:tabs>
              <w:tab w:val="clear" w:pos="8176"/>
              <w:tab w:val="right" w:pos="9026" w:leader="dot"/>
            </w:tabs>
            <w:rPr/>
          </w:pPr>
          <w:hyperlink w:anchor="__RefHeading___Toc3235306_3224264995">
            <w:r>
              <w:rPr>
                <w:webHidden/>
                <w:rStyle w:val="IndexLink"/>
                <w:rtl w:val="true"/>
              </w:rPr>
              <w:t>التمسّک بالاستصحاب علی جواز تقلید المیّت</w:t>
            </w:r>
            <w:r>
              <w:rPr>
                <w:rStyle w:val="IndexLink"/>
                <w:rtl w:val="true"/>
              </w:rPr>
              <w:tab/>
            </w:r>
            <w:r>
              <w:rPr>
                <w:rStyle w:val="IndexLink"/>
              </w:rPr>
              <w:t>646</w:t>
            </w:r>
          </w:hyperlink>
        </w:p>
        <w:p>
          <w:pPr>
            <w:pStyle w:val="Contents5"/>
            <w:tabs>
              <w:tab w:val="clear" w:pos="7892"/>
              <w:tab w:val="right" w:pos="9026" w:leader="dot"/>
            </w:tabs>
            <w:rPr/>
          </w:pPr>
          <w:hyperlink w:anchor="__RefHeading___Toc3235308_3224264995">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3235310_3224264995">
            <w:r>
              <w:rPr>
                <w:webHidden/>
                <w:rStyle w:val="IndexLink"/>
                <w:rtl w:val="true"/>
              </w:rPr>
              <w:t>الإشکالات التی اورد علی الاستصحاب</w:t>
            </w:r>
            <w:r>
              <w:rPr>
                <w:rStyle w:val="IndexLink"/>
                <w:rtl w:val="true"/>
              </w:rPr>
              <w:tab/>
            </w:r>
            <w:r>
              <w:rPr>
                <w:rStyle w:val="IndexLink"/>
              </w:rPr>
              <w:t>647</w:t>
            </w:r>
          </w:hyperlink>
        </w:p>
        <w:p>
          <w:pPr>
            <w:pStyle w:val="Contents3"/>
            <w:tabs>
              <w:tab w:val="clear" w:pos="8459"/>
              <w:tab w:val="right" w:pos="9026" w:leader="dot"/>
            </w:tabs>
            <w:rPr/>
          </w:pPr>
          <w:hyperlink w:anchor="__RefHeading___Toc3235312_3224264995">
            <w:r>
              <w:rPr>
                <w:webHidden/>
                <w:rStyle w:val="IndexLink"/>
                <w:rtl w:val="true"/>
              </w:rPr>
              <w:t>الفصل الثالث فی جواز العدول من مجتهد إلی آخر</w:t>
            </w:r>
            <w:r>
              <w:rPr>
                <w:rStyle w:val="IndexLink"/>
                <w:rtl w:val="true"/>
              </w:rPr>
              <w:tab/>
            </w:r>
            <w:r>
              <w:rPr>
                <w:rStyle w:val="IndexLink"/>
              </w:rPr>
              <w:t>660</w:t>
            </w:r>
          </w:hyperlink>
        </w:p>
        <w:p>
          <w:pPr>
            <w:pStyle w:val="Contents3"/>
            <w:tabs>
              <w:tab w:val="clear" w:pos="8459"/>
              <w:tab w:val="right" w:pos="9026" w:leader="dot"/>
            </w:tabs>
            <w:rPr/>
          </w:pPr>
          <w:hyperlink w:anchor="__RefHeading___Toc3235314_3224264995">
            <w:r>
              <w:rPr>
                <w:webHidden/>
                <w:rStyle w:val="IndexLink"/>
                <w:rtl w:val="true"/>
              </w:rPr>
              <w:t>الفصل الرابع فی اختلاف الحیّ و المیّت فی مسألة البقاء</w:t>
            </w:r>
            <w:r>
              <w:rPr>
                <w:rStyle w:val="IndexLink"/>
                <w:rtl w:val="true"/>
              </w:rPr>
              <w:tab/>
            </w:r>
            <w:r>
              <w:rPr>
                <w:rStyle w:val="IndexLink"/>
              </w:rPr>
              <w:t>668</w:t>
            </w:r>
          </w:hyperlink>
        </w:p>
        <w:p>
          <w:pPr>
            <w:pStyle w:val="Contents4"/>
            <w:tabs>
              <w:tab w:val="clear" w:pos="8176"/>
              <w:tab w:val="right" w:pos="9026" w:leader="dot"/>
            </w:tabs>
            <w:rPr/>
          </w:pPr>
          <w:hyperlink w:anchor="__RefHeading___Toc3235316_3224264995">
            <w:r>
              <w:rPr>
                <w:webHidden/>
                <w:rStyle w:val="IndexLink"/>
                <w:rtl w:val="true"/>
              </w:rPr>
              <w:t>اشارة</w:t>
            </w:r>
            <w:r>
              <w:rPr>
                <w:rStyle w:val="IndexLink"/>
                <w:rtl w:val="true"/>
              </w:rPr>
              <w:tab/>
            </w:r>
            <w:r>
              <w:rPr>
                <w:rStyle w:val="IndexLink"/>
              </w:rPr>
              <w:t>668</w:t>
            </w:r>
          </w:hyperlink>
        </w:p>
        <w:p>
          <w:pPr>
            <w:pStyle w:val="Contents4"/>
            <w:tabs>
              <w:tab w:val="clear" w:pos="8176"/>
              <w:tab w:val="right" w:pos="9026" w:leader="dot"/>
            </w:tabs>
            <w:rPr/>
          </w:pPr>
          <w:hyperlink w:anchor="__RefHeading___Toc3235318_3224264995">
            <w:r>
              <w:rPr>
                <w:webHidden/>
                <w:rStyle w:val="IndexLink"/>
                <w:rtl w:val="true"/>
              </w:rPr>
              <w:t>کلام العلّامة الحائری قدس سره</w:t>
            </w:r>
            <w:r>
              <w:rPr>
                <w:rStyle w:val="IndexLink"/>
                <w:rtl w:val="true"/>
              </w:rPr>
              <w:tab/>
            </w:r>
            <w:r>
              <w:rPr>
                <w:rStyle w:val="IndexLink"/>
              </w:rPr>
              <w:t>669</w:t>
            </w:r>
          </w:hyperlink>
        </w:p>
        <w:p>
          <w:pPr>
            <w:pStyle w:val="Contents5"/>
            <w:tabs>
              <w:tab w:val="clear" w:pos="7892"/>
              <w:tab w:val="right" w:pos="9026" w:leader="dot"/>
            </w:tabs>
            <w:rPr/>
          </w:pPr>
          <w:hyperlink w:anchor="__RefHeading___Toc3235320_3224264995">
            <w:r>
              <w:rPr>
                <w:webHidden/>
                <w:rStyle w:val="IndexLink"/>
                <w:rtl w:val="true"/>
              </w:rPr>
              <w:t>اشارة</w:t>
            </w:r>
            <w:r>
              <w:rPr>
                <w:rStyle w:val="IndexLink"/>
                <w:rtl w:val="true"/>
              </w:rPr>
              <w:tab/>
            </w:r>
            <w:r>
              <w:rPr>
                <w:rStyle w:val="IndexLink"/>
              </w:rPr>
              <w:t>669</w:t>
            </w:r>
          </w:hyperlink>
        </w:p>
        <w:p>
          <w:pPr>
            <w:pStyle w:val="Contents5"/>
            <w:tabs>
              <w:tab w:val="clear" w:pos="7892"/>
              <w:tab w:val="right" w:pos="9026" w:leader="dot"/>
            </w:tabs>
            <w:rPr/>
          </w:pPr>
          <w:hyperlink w:anchor="__RefHeading___Toc3235322_3224264995">
            <w:r>
              <w:rPr>
                <w:webHidden/>
                <w:rStyle w:val="IndexLink"/>
                <w:rtl w:val="true"/>
              </w:rPr>
              <w:t>الإیراد علی مختار العلّامة الحائری قدس سره</w:t>
            </w:r>
            <w:r>
              <w:rPr>
                <w:rStyle w:val="IndexLink"/>
                <w:rtl w:val="true"/>
              </w:rPr>
              <w:tab/>
            </w:r>
            <w:r>
              <w:rPr>
                <w:rStyle w:val="IndexLink"/>
              </w:rPr>
              <w:t>672</w:t>
            </w:r>
          </w:hyperlink>
        </w:p>
        <w:p>
          <w:pPr>
            <w:pStyle w:val="Contents3"/>
            <w:tabs>
              <w:tab w:val="clear" w:pos="8459"/>
              <w:tab w:val="right" w:pos="9026" w:leader="dot"/>
            </w:tabs>
            <w:rPr/>
          </w:pPr>
          <w:hyperlink w:anchor="__RefHeading___Toc3235324_3224264995">
            <w:r>
              <w:rPr>
                <w:webHidden/>
                <w:rStyle w:val="IndexLink"/>
                <w:rtl w:val="true"/>
              </w:rPr>
              <w:t>الفصل الخامس فی تبدّل رأی المجتهد</w:t>
            </w:r>
            <w:r>
              <w:rPr>
                <w:rStyle w:val="IndexLink"/>
                <w:rtl w:val="true"/>
              </w:rPr>
              <w:tab/>
            </w:r>
            <w:r>
              <w:rPr>
                <w:rStyle w:val="IndexLink"/>
              </w:rPr>
              <w:t>678</w:t>
            </w:r>
          </w:hyperlink>
        </w:p>
        <w:p>
          <w:pPr>
            <w:pStyle w:val="Contents4"/>
            <w:tabs>
              <w:tab w:val="clear" w:pos="8176"/>
              <w:tab w:val="right" w:pos="9026" w:leader="dot"/>
            </w:tabs>
            <w:rPr/>
          </w:pPr>
          <w:hyperlink w:anchor="__RefHeading___Toc3235326_3224264995">
            <w:r>
              <w:rPr>
                <w:webHidden/>
                <w:rStyle w:val="IndexLink"/>
                <w:rtl w:val="true"/>
              </w:rPr>
              <w:t>اشارة</w:t>
            </w:r>
            <w:r>
              <w:rPr>
                <w:rStyle w:val="IndexLink"/>
                <w:rtl w:val="true"/>
              </w:rPr>
              <w:tab/>
            </w:r>
            <w:r>
              <w:rPr>
                <w:rStyle w:val="IndexLink"/>
              </w:rPr>
              <w:t>678</w:t>
            </w:r>
          </w:hyperlink>
        </w:p>
        <w:p>
          <w:pPr>
            <w:pStyle w:val="Contents4"/>
            <w:tabs>
              <w:tab w:val="clear" w:pos="8176"/>
              <w:tab w:val="right" w:pos="9026" w:leader="dot"/>
            </w:tabs>
            <w:rPr/>
          </w:pPr>
          <w:hyperlink w:anchor="__RefHeading___Toc3235328_3224264995">
            <w:r>
              <w:rPr>
                <w:webHidden/>
                <w:rStyle w:val="IndexLink"/>
                <w:rtl w:val="true"/>
              </w:rPr>
              <w:t>المقام الأوّل فی تکلیف المجتهد بالنسبة إلی نفسه</w:t>
            </w:r>
            <w:r>
              <w:rPr>
                <w:rStyle w:val="IndexLink"/>
                <w:rtl w:val="true"/>
              </w:rPr>
              <w:tab/>
            </w:r>
            <w:r>
              <w:rPr>
                <w:rStyle w:val="IndexLink"/>
              </w:rPr>
              <w:t>679</w:t>
            </w:r>
          </w:hyperlink>
        </w:p>
        <w:p>
          <w:pPr>
            <w:pStyle w:val="Contents5"/>
            <w:tabs>
              <w:tab w:val="clear" w:pos="7892"/>
              <w:tab w:val="right" w:pos="9026" w:leader="dot"/>
            </w:tabs>
            <w:rPr/>
          </w:pPr>
          <w:hyperlink w:anchor="__RefHeading___Toc3235330_3224264995">
            <w:r>
              <w:rPr>
                <w:webHidden/>
                <w:rStyle w:val="IndexLink"/>
                <w:rtl w:val="true"/>
              </w:rPr>
              <w:t>اشارة</w:t>
            </w:r>
            <w:r>
              <w:rPr>
                <w:rStyle w:val="IndexLink"/>
                <w:rtl w:val="true"/>
              </w:rPr>
              <w:tab/>
            </w:r>
            <w:r>
              <w:rPr>
                <w:rStyle w:val="IndexLink"/>
              </w:rPr>
              <w:t>679</w:t>
            </w:r>
          </w:hyperlink>
        </w:p>
        <w:p>
          <w:pPr>
            <w:pStyle w:val="Contents5"/>
            <w:tabs>
              <w:tab w:val="clear" w:pos="7892"/>
              <w:tab w:val="right" w:pos="9026" w:leader="dot"/>
            </w:tabs>
            <w:rPr/>
          </w:pPr>
          <w:hyperlink w:anchor="__RefHeading___Toc3235332_3224264995">
            <w:r>
              <w:rPr>
                <w:webHidden/>
                <w:rStyle w:val="IndexLink"/>
                <w:rtl w:val="true"/>
              </w:rPr>
              <w:t>حال الفتوی المستندة إلی القطع</w:t>
            </w:r>
            <w:r>
              <w:rPr>
                <w:rStyle w:val="IndexLink"/>
                <w:rtl w:val="true"/>
              </w:rPr>
              <w:tab/>
            </w:r>
            <w:r>
              <w:rPr>
                <w:rStyle w:val="IndexLink"/>
              </w:rPr>
              <w:t>680</w:t>
            </w:r>
          </w:hyperlink>
        </w:p>
        <w:p>
          <w:pPr>
            <w:pStyle w:val="Contents5"/>
            <w:tabs>
              <w:tab w:val="clear" w:pos="7892"/>
              <w:tab w:val="right" w:pos="9026" w:leader="dot"/>
            </w:tabs>
            <w:rPr/>
          </w:pPr>
          <w:hyperlink w:anchor="__RefHeading___Toc3235334_3224264995">
            <w:r>
              <w:rPr>
                <w:webHidden/>
                <w:rStyle w:val="IndexLink"/>
                <w:rtl w:val="true"/>
              </w:rPr>
              <w:t>حال الفتوی المستندة إلی الأمارات العقلائیّة</w:t>
            </w:r>
            <w:r>
              <w:rPr>
                <w:rStyle w:val="IndexLink"/>
                <w:rtl w:val="true"/>
              </w:rPr>
              <w:tab/>
            </w:r>
            <w:r>
              <w:rPr>
                <w:rStyle w:val="IndexLink"/>
              </w:rPr>
              <w:t>680</w:t>
            </w:r>
          </w:hyperlink>
        </w:p>
        <w:p>
          <w:pPr>
            <w:pStyle w:val="Contents5"/>
            <w:tabs>
              <w:tab w:val="clear" w:pos="7892"/>
              <w:tab w:val="right" w:pos="9026" w:leader="dot"/>
            </w:tabs>
            <w:rPr/>
          </w:pPr>
          <w:hyperlink w:anchor="__RefHeading___Toc3235336_3224264995">
            <w:r>
              <w:rPr>
                <w:webHidden/>
                <w:rStyle w:val="IndexLink"/>
                <w:rtl w:val="true"/>
              </w:rPr>
              <w:t>حال الفتوی المستندة إلی الأمارات الشرعیّة</w:t>
            </w:r>
            <w:r>
              <w:rPr>
                <w:rStyle w:val="IndexLink"/>
                <w:rtl w:val="true"/>
              </w:rPr>
              <w:tab/>
            </w:r>
            <w:r>
              <w:rPr>
                <w:rStyle w:val="IndexLink"/>
              </w:rPr>
              <w:t>680</w:t>
            </w:r>
          </w:hyperlink>
        </w:p>
        <w:p>
          <w:pPr>
            <w:pStyle w:val="Contents5"/>
            <w:tabs>
              <w:tab w:val="clear" w:pos="7892"/>
              <w:tab w:val="right" w:pos="9026" w:leader="dot"/>
            </w:tabs>
            <w:rPr/>
          </w:pPr>
          <w:hyperlink w:anchor="__RefHeading___Toc3235338_3224264995">
            <w:r>
              <w:rPr>
                <w:webHidden/>
                <w:rStyle w:val="IndexLink"/>
                <w:rtl w:val="true"/>
              </w:rPr>
              <w:t>حال الفتوی المستندة إلی الاصول</w:t>
            </w:r>
            <w:r>
              <w:rPr>
                <w:rStyle w:val="IndexLink"/>
                <w:rtl w:val="true"/>
              </w:rPr>
              <w:tab/>
            </w:r>
            <w:r>
              <w:rPr>
                <w:rStyle w:val="IndexLink"/>
              </w:rPr>
              <w:t>686</w:t>
            </w:r>
          </w:hyperlink>
        </w:p>
        <w:p>
          <w:pPr>
            <w:pStyle w:val="Contents4"/>
            <w:tabs>
              <w:tab w:val="clear" w:pos="8176"/>
              <w:tab w:val="right" w:pos="9026" w:leader="dot"/>
            </w:tabs>
            <w:rPr/>
          </w:pPr>
          <w:hyperlink w:anchor="__RefHeading___Toc3235340_3224264995">
            <w:r>
              <w:rPr>
                <w:webHidden/>
                <w:rStyle w:val="IndexLink"/>
                <w:rtl w:val="true"/>
              </w:rPr>
              <w:t>المقام الثانی فی تکلیف المقلِّد مع تبدل رأی مجتهده</w:t>
            </w:r>
            <w:r>
              <w:rPr>
                <w:rStyle w:val="IndexLink"/>
                <w:rtl w:val="true"/>
              </w:rPr>
              <w:tab/>
            </w:r>
            <w:r>
              <w:rPr>
                <w:rStyle w:val="IndexLink"/>
              </w:rPr>
              <w:t>689</w:t>
            </w:r>
          </w:hyperlink>
        </w:p>
        <w:p>
          <w:pPr>
            <w:pStyle w:val="Contents2"/>
            <w:tabs>
              <w:tab w:val="clear" w:pos="8743"/>
              <w:tab w:val="right" w:pos="9026" w:leader="dot"/>
            </w:tabs>
            <w:rPr/>
          </w:pPr>
          <w:hyperlink w:anchor="__RefHeading___Toc3235342_3224264995">
            <w:r>
              <w:rPr>
                <w:webHidden/>
                <w:rStyle w:val="IndexLink"/>
                <w:rtl w:val="true"/>
              </w:rPr>
              <w:t>فهرس الموضوعات</w:t>
            </w:r>
            <w:r>
              <w:rPr>
                <w:rStyle w:val="IndexLink"/>
                <w:rtl w:val="true"/>
              </w:rPr>
              <w:tab/>
            </w:r>
            <w:r>
              <w:rPr>
                <w:rStyle w:val="IndexLink"/>
              </w:rPr>
              <w:t>691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8_147755"/>
      <w:bookmarkStart w:id="1" w:name="pg12898_147755"/>
      <w:bookmarkEnd w:id="1"/>
    </w:p>
    <w:p>
      <w:pPr>
        <w:pStyle w:val="Heading2"/>
        <w:numPr>
          <w:ilvl w:val="1"/>
          <w:numId w:val="1"/>
        </w:numPr>
        <w:rPr/>
      </w:pPr>
      <w:bookmarkStart w:id="2" w:name="pg12898_147755"/>
      <w:bookmarkStart w:id="3" w:name="__RefHeading___Toc323466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اشتهاردی،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الاستاذ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التقوی الاشتهاردی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هر جلد متفاوت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۱۲۳۱۰</w:t>
      </w:r>
    </w:p>
    <w:p>
      <w:pPr>
        <w:pStyle w:val="Heading2"/>
        <w:numPr>
          <w:ilvl w:val="1"/>
          <w:numId w:val="1"/>
        </w:numPr>
        <w:rPr/>
      </w:pPr>
      <w:bookmarkStart w:id="5" w:name="__RefHeading___Toc3234666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تنقیح الاصول الجزء الثانی</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الموسوی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الشیخ حسین التقوی الاشتهاردی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تنظیم و نشر آثار الامام الخمینی قدس سره</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التقوی الإشتهاردی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bookmarkStart w:id="7" w:name="pg12898_147759"/>
    </w:p>
    <w:p>
      <w:pPr>
        <w:pStyle w:val="Heading2"/>
        <w:numPr>
          <w:ilvl w:val="1"/>
          <w:numId w:val="1"/>
        </w:numPr>
        <w:rPr/>
      </w:pPr>
      <w:bookmarkStart w:id="8" w:name="__RefHeading___Toc3234668_3224264995"/>
      <w:bookmarkStart w:id="9" w:name="_Toc3"/>
      <w:bookmarkEnd w:id="7"/>
      <w:bookmarkEnd w:id="8"/>
      <w:r>
        <w:rPr>
          <w:rtl w:val="true"/>
        </w:rPr>
        <w:t>الاستصحاب</w:t>
      </w:r>
      <w:bookmarkEnd w:id="9"/>
    </w:p>
    <w:p>
      <w:pPr>
        <w:pStyle w:val="Heading3"/>
        <w:numPr>
          <w:ilvl w:val="2"/>
          <w:numId w:val="1"/>
        </w:numPr>
        <w:rPr/>
      </w:pPr>
      <w:bookmarkStart w:id="10" w:name="__RefHeading___Toc3234670_3224264995"/>
      <w:bookmarkStart w:id="11" w:name="_Toc4"/>
      <w:bookmarkEnd w:id="10"/>
      <w:r>
        <w:rPr>
          <w:rtl w:val="true"/>
        </w:rPr>
        <w:t>اشارة</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تقریرات مباحث الاستاذ الأعظم آیة اللَّه العظمی الخمینی أدام اللَّه أیّام إفاضاته فی الاستصحاب، و هو من المباحث المهمّة فی الاصول؛ لترتّب فوائد خطیرة علیه فی مقام استنباط الأحکام الفرعیّة</w:t>
      </w:r>
      <w:r>
        <w:rPr>
          <w:rFonts w:eastAsia="IRNazanin" w:cs="IRNazanin"/>
          <w:color w:val="111111"/>
          <w:sz w:val="28"/>
          <w:szCs w:val="28"/>
          <w:rtl w:val="true"/>
          <w:lang w:bidi="fa-IR"/>
        </w:rPr>
        <w:t>.</w:t>
      </w:r>
      <w:bookmarkStart w:id="12" w:name="pg12898_147761"/>
    </w:p>
    <w:p>
      <w:pPr>
        <w:pStyle w:val="Heading3"/>
        <w:numPr>
          <w:ilvl w:val="2"/>
          <w:numId w:val="1"/>
        </w:numPr>
        <w:rPr/>
      </w:pPr>
      <w:bookmarkStart w:id="13" w:name="__RefHeading___Toc3234672_3224264995"/>
      <w:bookmarkStart w:id="14" w:name="_Toc5"/>
      <w:bookmarkEnd w:id="12"/>
      <w:bookmarkEnd w:id="13"/>
      <w:r>
        <w:rPr>
          <w:rtl w:val="true"/>
        </w:rPr>
        <w:t>فصل فی تعریف الاستصحاب</w:t>
      </w:r>
      <w:bookmarkEnd w:id="14"/>
    </w:p>
    <w:p>
      <w:pPr>
        <w:pStyle w:val="Heading4"/>
        <w:numPr>
          <w:ilvl w:val="3"/>
          <w:numId w:val="1"/>
        </w:numPr>
        <w:rPr/>
      </w:pPr>
      <w:bookmarkStart w:id="15" w:name="__RefHeading___Toc3234674_3224264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قد عُرِّف بتعاریف لا تخلو کلّها أو جلّها عن المناقشة و الإشکال، و لا تخلو کلماتهم فی هذا المقام عن المناقضة، کما سیظهر إن شاء اللَّه تعالی</w:t>
      </w:r>
      <w:r>
        <w:rPr>
          <w:rFonts w:eastAsia="IRNazanin" w:cs="IRNazanin"/>
          <w:color w:val="111111"/>
          <w:sz w:val="28"/>
          <w:szCs w:val="28"/>
          <w:rtl w:val="true"/>
          <w:lang w:bidi="fa-IR"/>
        </w:rPr>
        <w:t>.</w:t>
      </w:r>
    </w:p>
    <w:p>
      <w:pPr>
        <w:pStyle w:val="Heading4"/>
        <w:numPr>
          <w:ilvl w:val="3"/>
          <w:numId w:val="1"/>
        </w:numPr>
        <w:rPr/>
      </w:pPr>
      <w:bookmarkStart w:id="17" w:name="__RefHeading___Toc3234676_3224264995"/>
      <w:bookmarkStart w:id="18" w:name="_Toc7"/>
      <w:bookmarkEnd w:id="17"/>
      <w:r>
        <w:rPr>
          <w:rtl w:val="true"/>
        </w:rPr>
        <w:t>الاحتمالات التی فی الباب</w:t>
      </w:r>
      <w:bookmarkEnd w:id="18"/>
    </w:p>
    <w:p>
      <w:pPr>
        <w:pStyle w:val="BookText"/>
        <w:rPr/>
      </w:pPr>
      <w:r>
        <w:rPr>
          <w:rFonts w:ascii="IRNazanin" w:hAnsi="IRNazanin" w:eastAsia="IRNazanin"/>
          <w:color w:val="111111"/>
          <w:sz w:val="28"/>
          <w:sz w:val="28"/>
          <w:szCs w:val="28"/>
          <w:rtl w:val="true"/>
          <w:lang w:bidi="fa-IR"/>
        </w:rPr>
        <w:t>فاعلم أنّ فی الاستصحاب فی مقام التصوّر و الثبوت احتمالاتٍ ینبغی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الأمارات العقلائیّة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أمارة شرعیّة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أصل شرعیّ مجعول لحفظ الواقع، لا أنّه أمارة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أصل عملیّ عقلائیّ، نظیر أصالة الصحّة فی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الأحکام العقلیّة الغیر المستقلّة؛ لأنّ إحدی مقدّماته حکم شرعیّ مع دعوی الملازمة بین الکون السابق و اللاحق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الاحتمال الأوّل و الثالث و الخامس إطلاق الحجّة علیه صحیح، فهو حینئذٍ</w:t>
      </w:r>
    </w:p>
    <w:p>
      <w:pPr>
        <w:pStyle w:val="BookText"/>
        <w:rPr/>
      </w:pPr>
      <w:r>
        <w:rPr>
          <w:rFonts w:ascii="IRNazanin" w:hAnsi="IRNazanin" w:eastAsia="IRNazanin"/>
          <w:color w:val="111111"/>
          <w:sz w:val="28"/>
          <w:sz w:val="28"/>
          <w:szCs w:val="28"/>
          <w:rtl w:val="true"/>
          <w:lang w:bidi="fa-IR"/>
        </w:rPr>
        <w:t>من المسائل الاصولیّة، لکن لا یصحّ تعریفه بإبقاء ما کان؛ سواء ارید منه حکم الشارع بالإبقاء، کما علیه الشیخ الأعظم قدس سره</w:t>
      </w:r>
      <w:r>
        <w:rPr>
          <w:rStyle w:val="FootnoteAnchor"/>
          <w:rtl w:val="true"/>
        </w:rPr>
        <w:footnoteReference w:id="2"/>
      </w:r>
      <w:r>
        <w:rPr>
          <w:rFonts w:ascii="IRNazanin" w:hAnsi="IRNazanin" w:eastAsia="IRNazanin"/>
          <w:color w:val="111111"/>
          <w:sz w:val="28"/>
          <w:sz w:val="28"/>
          <w:szCs w:val="28"/>
          <w:rtl w:val="true"/>
          <w:lang w:bidi="fa-IR"/>
        </w:rPr>
        <w:t>، أم البناء العملی علیه، کما یظهر من شیخنا الحائری قدس سره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صحّة إطلاق الحجّة علیه فلأنّ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المنجِّز للواقع، و ما یصحّح العقوبة علی مخالفة الواقع الذی أدّی إلیه، و الاستصحاب بناء علی الوجوه الثلاثة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من المسائل الاصولیّة فلأنّ المناط فیها هو البحث عمّا هو کاشف عن الواقع، و البحث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صحّة تعریفه حینئذٍ بإبقاء ما کان، فلأنّ الأمارة بناء علی هذه الوجوه هی نفس الاستصحاب، و هو غیر إیجاب الشارعِ العملَ به، أو عمل المکلّف به، کما أنّ نفس خبر الواحد حجّة، و هو غیر إیجاب الشارع العمل به، و غیر عمل المکلّف به، فإنّ إیجاب الشارع العمل به، أو نفس عمل المکلّف، لیس حجّة و أمارة إلی الواقع، فلا یصحّ تعریف الاستصحاب الذی هو حجّة و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إیجاب الشارع للعمل به، أو البناء العملی من المکلّف علی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تعریفه بناء علی هذه الوجوه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الأمارة إمّا هو الکون السابق؛ حیث إنّه ملازم للبقاء نوعاً، و إنّ ما ثبت یدوم، و إمّا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یُعرّف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الکون السابق الملحوق بالشکّ فی البقاء، الکاشف عن الکون فی الزمان اللّاحق؛ أی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الیقین السابق الکاشف عن الواقع فی زمان الشکّ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أنّه مثل إیجاب الاحتیاط لحفظ الواقع لا بدّ أن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الیقین</w:t>
      </w:r>
    </w:p>
    <w:p>
      <w:pPr>
        <w:pStyle w:val="BookText"/>
        <w:rPr/>
      </w:pPr>
      <w:r>
        <w:rPr>
          <w:rFonts w:ascii="IRNazanin" w:hAnsi="IRNazanin" w:eastAsia="IRNazanin"/>
          <w:color w:val="111111"/>
          <w:sz w:val="28"/>
          <w:sz w:val="28"/>
          <w:szCs w:val="28"/>
          <w:rtl w:val="true"/>
          <w:lang w:bidi="fa-IR"/>
        </w:rPr>
        <w:t>السابق الغیر الکاشف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جعله الشیخ الأعظم قدس سره</w:t>
      </w:r>
      <w:r>
        <w:rPr>
          <w:rStyle w:val="FootnoteAnchor"/>
          <w:rtl w:val="true"/>
        </w:rPr>
        <w:footnoteReference w:id="4"/>
      </w:r>
      <w:r>
        <w:rPr>
          <w:rFonts w:ascii="IRNazanin" w:hAnsi="IRNazanin" w:eastAsia="IRNazanin"/>
          <w:color w:val="111111"/>
          <w:sz w:val="28"/>
          <w:sz w:val="28"/>
          <w:szCs w:val="28"/>
          <w:rtl w:val="true"/>
          <w:lang w:bidi="fa-IR"/>
        </w:rPr>
        <w:t>أسدّ التعاریف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اختاره من أنّ الاستصحاب أمارة</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أزیف التعاریف، و ما جعله أزیف التعاریف هو أسدّها؛ سواء ارید من الإبقاء الحکمُ الشرعی بالبقاء، کما صنعه الشیخ قدس سره، أم ارید منه الإبقاء العملی، کما صنعه شیخنا الحائری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أنّه أمارة عقلائیّة، و أمّا بناء علی أنّه أمارة شرعیّة فکذلک، لکن باعتبار أنّ الملازمةَ بین الکون السابق و اللاحق شرعیّةٌ بتتمیم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أنّه لیس أمارة مطلقاً، و لا مثل إیجاب الاحتیاط، بل مجرّد وظیفة عملیّة شرعیّة أو عقلائیّة فی صورة الشکّ مع الیقین السابق، لا للتحفّظ عن الواقع، فتعریفُهُ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لکن لا یصحّ إطلاق الحجّة علیه؛ لأنّ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عمّا هو أمارة علی الواقع و منجِّز له، أو المجعول للتحفّظ علی الواقع، کاحتمال التکلیف فی مورد وجوب الاحتیاط، فإنّ الاحتمال المذکور فیه منجِّز للواقع المحتمل، و معنی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للشارع أن یحتجّ به علی العبد علی مخالفته عند قیام الحجّة علیه، و الاصول العملیّة لیست کذلک، بل مجرّد وظیفة عملیّة و ترتیب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بناء علی ذلک فهو من المسائل الفرعیّة حتّی فی مورد استصحاب الأحکام، لا من المسائل الاصولیّة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الجمع بین جمیع الاحتمالات فی تعریف الاستصحاب، و لیس فی الأخبار و غیرها من الأدلّة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یبحث عن معناه اللغوی، و یستظهر من سائر مشتقّاته أنّه فعل المکلّف،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6"/>
      </w:r>
      <w:bookmarkStart w:id="19" w:name="pg12898_147764"/>
    </w:p>
    <w:p>
      <w:pPr>
        <w:pStyle w:val="BookText"/>
        <w:rPr/>
      </w:pPr>
      <w:bookmarkEnd w:id="19"/>
      <w:r>
        <w:rPr>
          <w:rFonts w:ascii="IRNazanin" w:hAnsi="IRNazanin" w:eastAsia="IRNazanin"/>
          <w:color w:val="111111"/>
          <w:sz w:val="28"/>
          <w:sz w:val="28"/>
          <w:szCs w:val="28"/>
          <w:rtl w:val="true"/>
          <w:lang w:bidi="fa-IR"/>
        </w:rPr>
        <w:t>و غیره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بأماریّة الاستصحاب یمکن أن یتمسّک لذلک بالأخبار، کما یمکنه التشبّث له ببناء العقلاء أو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بأنّه أصل عملیّ یمکنه الاستناد لإثباته إلی بناء العقلاء، کما یمکنه الاستناد له إلی الأخبار؛ سواء کان لحفظ الواقع، مثل وجوب الاحتیاط، أم لا مثل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خلال کلام الشیخ الأعظم قدس سره من أنّه إن کان أصلًا لا بدّ أن یستند فیه إلی الأخبار، و إن کان أمارة فمستنده بناء العقلاء أو العقل لیس إلّا</w:t>
      </w:r>
      <w:r>
        <w:rPr>
          <w:rStyle w:val="FootnoteAnchor"/>
          <w:rtl w:val="true"/>
        </w:rPr>
        <w:footnoteReference w:id="8"/>
      </w:r>
      <w:r>
        <w:rPr>
          <w:rFonts w:ascii="IRNazanin" w:hAnsi="IRNazanin" w:eastAsia="IRNazanin"/>
          <w:color w:val="111111"/>
          <w:sz w:val="28"/>
          <w:sz w:val="28"/>
          <w:szCs w:val="28"/>
          <w:rtl w:val="true"/>
          <w:lang w:bidi="fa-IR"/>
        </w:rPr>
        <w:t>، لا وجه له</w:t>
      </w:r>
      <w:r>
        <w:rPr>
          <w:rFonts w:eastAsia="IRNazanin" w:cs="IRNazanin"/>
          <w:color w:val="111111"/>
          <w:sz w:val="28"/>
          <w:szCs w:val="28"/>
          <w:rtl w:val="true"/>
          <w:lang w:bidi="fa-IR"/>
        </w:rPr>
        <w:t>.</w:t>
      </w:r>
    </w:p>
    <w:p>
      <w:pPr>
        <w:pStyle w:val="Heading4"/>
        <w:numPr>
          <w:ilvl w:val="3"/>
          <w:numId w:val="1"/>
        </w:numPr>
        <w:rPr/>
      </w:pPr>
      <w:bookmarkStart w:id="20" w:name="__RefHeading___Toc3234678_3224264995"/>
      <w:bookmarkStart w:id="21" w:name="_Toc8"/>
      <w:bookmarkEnd w:id="20"/>
      <w:r>
        <w:rPr>
          <w:rtl w:val="true"/>
        </w:rPr>
        <w:t>الاستصحاب لیس من الأدلّة الأربعة</w:t>
      </w:r>
      <w:bookmarkEnd w:id="21"/>
    </w:p>
    <w:p>
      <w:pPr>
        <w:pStyle w:val="BookText"/>
        <w:rPr/>
      </w:pPr>
      <w:r>
        <w:rPr>
          <w:rFonts w:ascii="IRNazanin" w:hAnsi="IRNazanin" w:eastAsia="IRNazanin"/>
          <w:color w:val="111111"/>
          <w:sz w:val="28"/>
          <w:sz w:val="28"/>
          <w:szCs w:val="28"/>
          <w:rtl w:val="true"/>
          <w:lang w:bidi="fa-IR"/>
        </w:rPr>
        <w:t>نعم بناءً علی أنّه مستفاد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عن حجّیّته لیس من المسائل الاصولیة؛ سواء قلنا باستفادة أماریّته منها أم لا، نظیر إیجاب الاحتیاط لحفظ الواقع؛ لأنّه یبحث فی الاصول عن الأدلّة التی یُستفاد منها الحکم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الأدلّة التی یُبحث عنها فی الاصول هی التی یستدلّ بها علی الفروع، مثل خبر الواحد القائم علی حکم من الأحکام، و هو من السُّنّة، و أمّا الدلیل علی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الأدلّة الأربعة؛ لعدم استفادة حکم فرعیّ منه، بل الدلیل علی الحکم الفرعی هو نفس خبر الواحد، و آیة النبأ دلیل علی الدلیل، و کذلک الاستصحاب، فإنّ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علی الدلیل، و هو الاستصحاب، و لا یستفاد من الحدیث نفس الحکم</w:t>
      </w:r>
    </w:p>
    <w:p>
      <w:pPr>
        <w:pStyle w:val="BookText"/>
        <w:rPr/>
      </w:pPr>
      <w:r>
        <w:rPr>
          <w:rFonts w:ascii="IRNazanin" w:hAnsi="IRNazanin" w:eastAsia="IRNazanin"/>
          <w:color w:val="111111"/>
          <w:sz w:val="28"/>
          <w:sz w:val="28"/>
          <w:szCs w:val="28"/>
          <w:rtl w:val="true"/>
          <w:lang w:bidi="fa-IR"/>
        </w:rPr>
        <w:t>الشرعی، بل المستفاد منه هو نفس الاستصحاب الذی هو دلیل علی الحکم الفرعی، و حینئذٍ فالبحث عن حجّیّة الاستصحاب لیس من المسائل الاصولیّة؛ بناء علی أنّ موضوع علم الاصول هی الأدلّة الأربعة بذاتها، أو بوصف دلیلیّتها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ما فی ردّ الشیخ الأعظم قدس سره علی ما نقل عن بعض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بحر العلوم 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الاستصحاب دلیل علی الحکم الفرعی الشرعی، و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علی الدلیل</w:t>
      </w:r>
      <w:r>
        <w:rPr>
          <w:rStyle w:val="FootnoteAnchor"/>
          <w:rtl w:val="true"/>
        </w:rPr>
        <w:footnoteReference w:id="9"/>
      </w:r>
      <w:r>
        <w:rPr>
          <w:rFonts w:ascii="IRNazanin" w:hAnsi="IRNazanin" w:eastAsia="IRNazanin"/>
          <w:color w:val="111111"/>
          <w:sz w:val="28"/>
          <w:sz w:val="28"/>
          <w:szCs w:val="28"/>
          <w:rtl w:val="true"/>
          <w:lang w:bidi="fa-IR"/>
        </w:rPr>
        <w:t>حیث ذکر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الاستصحاب الجزئی فی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نجاسة الماء المتغیّر بعد زوال التغیّر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الحکم ببقاء نجاسته، و هل هذا إلّا نفس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الدلیل علیه إلّا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جعل المتقدّمین الاستصحابَ من الأدلّة الأربعة، هو توهّمهم أنّه من الأحکام العقلیّة</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کالقیاس و الاستحسانات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والد الشیخ البهائی قدس سره، و لم یستندوا فیه إلی الأخبار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 المتأخّرین إیّاه مع تشبُّثهم له بالأخبار</w:t>
      </w:r>
      <w:r>
        <w:rPr>
          <w:rStyle w:val="FootnoteAnchor"/>
          <w:rtl w:val="true"/>
        </w:rPr>
        <w:footnoteReference w:id="12"/>
      </w:r>
      <w:r>
        <w:rPr>
          <w:rFonts w:ascii="IRNazanin" w:hAnsi="IRNazanin" w:eastAsia="IRNazanin"/>
          <w:color w:val="111111"/>
          <w:sz w:val="28"/>
          <w:sz w:val="28"/>
          <w:szCs w:val="28"/>
          <w:rtl w:val="true"/>
          <w:lang w:bidi="fa-IR"/>
        </w:rPr>
        <w:t>، فلعلّه لأجل عدم کون موضوع علم الاصول عندهم هو الأدلّة الأربعة بذاتها أو بوصف دلیلیّتها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22" w:name="pg12898_147766"/>
    </w:p>
    <w:p>
      <w:pPr>
        <w:pStyle w:val="Heading4"/>
        <w:numPr>
          <w:ilvl w:val="3"/>
          <w:numId w:val="1"/>
        </w:numPr>
        <w:rPr/>
      </w:pPr>
      <w:bookmarkStart w:id="23" w:name="__RefHeading___Toc3234680_3224264995"/>
      <w:bookmarkStart w:id="24" w:name="_Toc9"/>
      <w:bookmarkEnd w:id="22"/>
      <w:bookmarkEnd w:id="23"/>
      <w:r>
        <w:rPr>
          <w:rtl w:val="true"/>
        </w:rPr>
        <w:t>ضابط المسألة الاصولیّة فی کلام الشیخ الأعظم قدس سره و نقدها</w:t>
      </w:r>
      <w:bookmarkEnd w:id="24"/>
    </w:p>
    <w:p>
      <w:pPr>
        <w:pStyle w:val="BookText"/>
        <w:rPr/>
      </w:pPr>
      <w:r>
        <w:rPr>
          <w:rFonts w:ascii="IRNazanin" w:hAnsi="IRNazanin" w:eastAsia="IRNazanin"/>
          <w:color w:val="111111"/>
          <w:sz w:val="28"/>
          <w:sz w:val="28"/>
          <w:szCs w:val="28"/>
          <w:rtl w:val="true"/>
          <w:lang w:bidi="fa-IR"/>
        </w:rPr>
        <w:t>ثمّ إنّه یظهر من تضاعیف کلام الشیخ الأعظم فی أنّه من المسائل الاصولیّة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المسألة الاصولیّة هو اختصاص إجرائها فی موردها بالمجتهد، و لم یکن من وظیفة المقلِّد، و الاستصحاب کذلک؛ لأنّ إجراءه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صورة الشکّ فی بقاء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بالمجتهد، و لا حظَّ للمقلِّد فیه، فإنّ المسائل الاصولیّة حیث إنّها ممهّدة لاستنباط الأحکام من الأدلّة، اختصّ البحث فیها بالمجتهد، و لا حظّ لغیره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اختصاص هذه المسألة بالمجتهد إنّما هو لأجل أنّ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بقاء الحکم الشرعی و عدم قیام الدلیل الاجتهادی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یتشخّص إلّا للمجتهد، و إلّا فمضمونه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الدلیل علی طبق الحالة السابقة و ترتیب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المسائل الاصولیّة کذلک، فإنّ وجوب العمل بخبر الواحد و ترتیب آثار الصدق علیه لا یختصّ بالمجتهد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تشخیص مورد خبر الواحد و تعیین مدلوله مختص به؛ لتمکّنه من ذلک و عجز المکلَّف المقلِّد عنه، فکأنَّ المجتهد نائبٌ عنه فی ذلک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المناط و الملاک غیر مطّرد و لا منعکس، فإنّ کثیراً من القواعد الفقهیّة کذلک، مثل قاعدة الید، و استفادة ضمان الأیادی المتعاقبة منها، و 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فإنّ المکلَّف المقلِّد لا یتمکّن من حفظ حدودها و تشخیص مواردها، و کثیر من المسائل الاصولیّة ممّا یتمکّن المقلِّد من درکها، و لهذا یُرجع فیها إلی العرف و العقلاء</w:t>
      </w:r>
      <w:r>
        <w:rPr>
          <w:rFonts w:eastAsia="IRNazanin" w:cs="IRNazanin"/>
          <w:color w:val="111111"/>
          <w:sz w:val="28"/>
          <w:szCs w:val="28"/>
          <w:rtl w:val="true"/>
          <w:lang w:bidi="fa-IR"/>
        </w:rPr>
        <w:t>.</w:t>
      </w:r>
      <w:bookmarkStart w:id="25" w:name="pg12898_147767"/>
    </w:p>
    <w:p>
      <w:pPr>
        <w:pStyle w:val="Heading3"/>
        <w:numPr>
          <w:ilvl w:val="2"/>
          <w:numId w:val="1"/>
        </w:numPr>
        <w:rPr/>
      </w:pPr>
      <w:bookmarkStart w:id="26" w:name="__RefHeading___Toc3234682_3224264995"/>
      <w:bookmarkStart w:id="27" w:name="_Toc10"/>
      <w:bookmarkEnd w:id="25"/>
      <w:bookmarkEnd w:id="26"/>
      <w:r>
        <w:rPr>
          <w:rtl w:val="true"/>
        </w:rPr>
        <w:t>فصل التفصیل بین الحکم الثابت بالدلیل الشرعی و العقلی</w:t>
      </w:r>
      <w:bookmarkEnd w:id="27"/>
    </w:p>
    <w:p>
      <w:pPr>
        <w:pStyle w:val="Heading4"/>
        <w:numPr>
          <w:ilvl w:val="3"/>
          <w:numId w:val="1"/>
        </w:numPr>
        <w:rPr/>
      </w:pPr>
      <w:bookmarkStart w:id="28" w:name="__RefHeading___Toc3234684_3224264995"/>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 کیف کان فقد ذکر الشیخ فی الاستصحاب تفصیلین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استصحاب الأحکام العقلیّة و الأحکام الشرعیّة المستفادة من حکم العقل و بین الأحکام الشرعیّة، بجریان الاستصحاب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الشکّ فی المقتضی و الشکّ فی الرافع و جریانه فی الثانی دون الأوّل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التفصیل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فخلاصة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الأحکام العقلیّة کلّها مُبتنیة علی المناط و الملاک، و لا یحکم العقل إلّا مع تبیُّن موضوعها مفصّلًا، ففیما لم یتبیّن العنوان الذی هو موضوع حکمه لا یحکم علیه، و بعد تبیُّنه و وضوحه فحکمه دائمیّ لا یزول عنه، و الشکّ فی بقاء حکمه لا بدّ أن یرجع إلی الشکّ فی بقاء موضوعه؛ لأنّ الجهات المقتضیة للحکم العقلی بالحسن و القبح، کلّها راجعة إلی قیود الموضوع الذی هو فعل المکلّف، فالشکّ فی حکم العقل مرجعه إلی الشکّ فی موضوعه حتّی الشکّ فی الرافع، و یشترط فی الاستصحاب إحراز بقاء الموضوع و العلم ببقائه</w:t>
      </w:r>
      <w:r>
        <w:rPr>
          <w:rFonts w:eastAsia="IRNazanin" w:cs="IRNazanin"/>
          <w:color w:val="111111"/>
          <w:sz w:val="28"/>
          <w:szCs w:val="28"/>
          <w:rtl w:val="true"/>
          <w:lang w:bidi="fa-IR"/>
        </w:rPr>
        <w:t>.</w:t>
      </w:r>
      <w:bookmarkStart w:id="30" w:name="pg12898_147768"/>
    </w:p>
    <w:p>
      <w:pPr>
        <w:pStyle w:val="BookText"/>
        <w:rPr/>
      </w:pPr>
      <w:bookmarkEnd w:id="30"/>
      <w:r>
        <w:rPr>
          <w:rFonts w:ascii="IRNazanin" w:hAnsi="IRNazanin" w:eastAsia="IRNazanin"/>
          <w:color w:val="111111"/>
          <w:sz w:val="28"/>
          <w:sz w:val="28"/>
          <w:szCs w:val="28"/>
          <w:rtl w:val="true"/>
          <w:lang w:bidi="fa-IR"/>
        </w:rPr>
        <w:t>بخلاف الأحکام الشرعیّة، فإنّ المناط الواقعی فیها غیر معلوم، و لهذا یشکّ فی بقائها و عدمه فی الزمان اللاحق، فتستصحب؛ لأنّ موضوع الاستصحاب فیها عرفیّ یمکن صدق بقائه عرفاً مع انتفاء بعض الحالات السابقة</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31" w:name="__RefHeading___Toc3234686_3224264995"/>
      <w:bookmarkStart w:id="32" w:name="_Toc12"/>
      <w:bookmarkEnd w:id="31"/>
      <w:r>
        <w:rPr>
          <w:rtl w:val="true"/>
        </w:rPr>
        <w:t>الإشکالات الواردة علی الشیخ الأنصاری و جوابها</w:t>
      </w:r>
      <w:bookmarkEnd w:id="32"/>
    </w:p>
    <w:p>
      <w:pPr>
        <w:pStyle w:val="BookText"/>
        <w:rPr/>
      </w:pPr>
      <w:r>
        <w:rPr>
          <w:rFonts w:ascii="IRNazanin" w:hAnsi="IRNazanin" w:eastAsia="IRNazanin"/>
          <w:color w:val="111111"/>
          <w:sz w:val="28"/>
          <w:sz w:val="28"/>
          <w:szCs w:val="28"/>
          <w:rtl w:val="true"/>
          <w:lang w:bidi="fa-IR"/>
        </w:rPr>
        <w:t>و اورد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دَخْل کلّ خصوصیّة مأخوذة فی موضوع حکم العقل فی مناط حکمه واقعاً، ممنوعةٌ؛ بداهة أنّه ربّما لا یُدرِک العقل دَخْل خصوصیّة فی مناط الحسن و القبح، و إنّما أخذها لمکان أنّ الموضوع الواجد لتلک الخصوصیّة هو المتیقَّن من قیامِ مناط الحسن و القبح فیه، مع احتماله عدم دَخْلها واقعاً فی المناط، کحکمه بقبح الکذب الضارّ الذی لا نفع فیه لأحد، فإنّه یمکن أن یکون حکمه فیه بذلک لأجل أنّ الکذب المشتمل علی هذه الخصوصیّات هو القدر المتیقَّن من قیامِ مناط القبح فیه، مع احتمال عدم دَخْل خصوصیّة عدم نفعه لأحد فی قبحه، فمع انتفاء تلک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یحکم العقل بالقبح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یستصحب الحکم الشرعی المستکشف منه؛ لاحتمال بقائه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لا بدّ أن یکون موضوع حکم العقل مبیَّناً، و أنّه لا بدّ أن یُدرک دَخْل جمیع الخصوصیّات المأخوذة فیه فی مناط حکمه، و لها قوام الموضوع فی نظر العقل، لکنّ الملازمة بین حکم العقل و الشرع إنّما هی فی مقام الکشف و الدلالة و الإثبات، و أمّا فی مقام الثبوت فیمکن قیام حکم الشرع فیه بملاک آخر،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p>
    <w:p>
      <w:pPr>
        <w:pStyle w:val="BookText"/>
        <w:rPr/>
      </w:pPr>
      <w:r>
        <w:rPr>
          <w:rFonts w:ascii="IRNazanin" w:hAnsi="IRNazanin" w:eastAsia="IRNazanin"/>
          <w:color w:val="111111"/>
          <w:sz w:val="28"/>
          <w:sz w:val="28"/>
          <w:szCs w:val="28"/>
          <w:rtl w:val="true"/>
          <w:lang w:bidi="fa-IR"/>
        </w:rPr>
        <w:t>مع جمیع الخصوصیّات المتقدّمة تمامُ الملاک للحکم العقلی بالقبح، و أنّ لجمیع الخصوصیّات دخلًا فیه فی نظر العقل، فیستکشف منه الحکم الشرعی، لکن یمکن أن یکون هناک ملاک آخر لحکم الشرع بالحرمة یقوم مقامه فاقد الخصوصیّات، و حینئذٍ فیشکّ فی بقاء ذلک الحکم الشرعی المستکشف منه، فیستصحب عند فقدها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ذلک أیضاً، لکن یمکن قیام ملاک الحکم الشرعی بالأعمّ من الواجد لبعض الخصوصیّات و الفاقد لها، فإنّه لیس للحکم العقلی مفهوم ینفی الملاک عمّا عداه یستقلّ به،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لخصوصیّة الضرر دخلًا فی مناط حکم العقل بقبح الکذب مع عدم دخله فی مناط الحکم الشرعی بحرمته، و أن یکون موضوع الحکم الشرعی المستکشف من الحکم العقلی، أوسع من موضوع الحکم العقلی، فیحتمل بقاؤه مع انتفاء بعض الخصوصیّات، فیستصحب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أنّه لا بدّ من تبیُّن موضوع حکم العقل، و أنّه لا یحکم إلّا بعد درْک دخالة جمیع الخصوصیّات المأخوذة فی الموضوع، فالإیرادان الأخیران غیر متوجّهین إلی ما ذکره الشیخ قدس سره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بعد تسلیم ما ذکر، و تسلیم ثبوت الملازمة بین حکم العقل و الشرع، کما هو المفروض،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الملازمة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القیود المأخوذة فی موضوع حکم العقل لو کانت دخیلة فی حکم العقل بالحُسن و القبح و ملاکهما، فهی دخیلة فی الحکم الشرعی المستکشف من حکم العقل بذلک، فهناک ملاک واحد تامّ قائم بموضوع واحد مع تلک الخصوصیّات، فهذا الشخص من الحکم الشرعی قائم بهذا الموضوع الواحد لتلک الخصوصیّات، و لا یمکن بقاؤه مع انتفاء</w:t>
      </w:r>
    </w:p>
    <w:p>
      <w:pPr>
        <w:pStyle w:val="BookText"/>
        <w:rPr/>
      </w:pPr>
      <w:r>
        <w:rPr>
          <w:rFonts w:ascii="IRNazanin" w:hAnsi="IRNazanin" w:eastAsia="IRNazanin"/>
          <w:color w:val="111111"/>
          <w:sz w:val="28"/>
          <w:sz w:val="28"/>
          <w:szCs w:val="28"/>
          <w:rtl w:val="true"/>
          <w:lang w:bidi="fa-IR"/>
        </w:rPr>
        <w:t>بعضها، اللّهمّ إلّا أن یکون هناک حکم آخر قائم بفاقدها، و معه فاستصحاب شخص هذا الحکم لا معنی له؛ للقطع بزواله بزوال بعض الخصوصیّات و إن احتمل وجود شخص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الجامع بینهما، و هو استصحاب الکلّی من القسم الثالث،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فی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یعتبر فی الاستصحابات الموضوعیّة ترتّب أثر شرعیّ علی مستصحباتها، و إن لم یعتبر ذلک فی استصحاب نفس الحکم الشرعی، لکن الجامع بین الحکمین الشرعیّین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حرمة الکذب و حرمة الکذب 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 علیهما، لیس من الأحکام الشرعیّة، و لا ممّا یترتّب علیه أثر شرعیّ، و مع انتفائهما لا یصحّ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الإیرادین الأخیرین علی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ما ذُکر، أنّ معنی أعمّیّة موضوع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طبیعة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 واحداً، و أنّ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بقید 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 آخر، و أنّ هناک حکماً شرعیّاً تبعاً لحکم العقل؛ لأنّه لا یعقل عدمه مع تسلیم الملازمة بین حکم العقل و الشرع، و إنکاره إنکارٌ للملازمة بینهما المفروض وجودها، و حینئذٍ فجمیع القیود التی لها دَخْل فی حکم العقل علی هذا الموضوع المقیَّد، دخیلة فی موضوع حکم الشرع المستفاد من حکم العقل أیضاً، فله حکم خاصّ شخصیّ قائم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یکون للأعمّ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هذا الحکم الشرعی المستفاد من حکم العقل المتعلّق بهذا الموضوع المقیّد، فلا یعقل بقاؤه بعد انتفاء بعض القیود التی فرض دَخْلها فیه و انتفاء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انتفاؤه و ثبوت حکم شخصیّ شرعیّ آخر، یرد علیه ما أوردناه علی الوجه الأوّل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الإیرادان لا یتوجّهان علی ما أفاده الشیخ الأعظم قدس سره، بعد تسلیم اعتبار</w:t>
      </w:r>
      <w:bookmarkStart w:id="33" w:name="pg12898_147771"/>
    </w:p>
    <w:p>
      <w:pPr>
        <w:pStyle w:val="BookText"/>
        <w:rPr/>
      </w:pPr>
      <w:bookmarkEnd w:id="33"/>
      <w:r>
        <w:rPr>
          <w:rFonts w:ascii="Amiri" w:hAnsi="Amiri" w:eastAsia="Amiri" w:cs="Amiri"/>
          <w:color w:val="111111"/>
          <w:sz w:val="28"/>
          <w:sz w:val="28"/>
          <w:szCs w:val="28"/>
          <w:rtl w:val="true"/>
          <w:lang w:bidi="ar-SA"/>
        </w:rPr>
        <w:t>تبیُّن موضوع حکم العقل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الکلام فی الإیراد الأوّل، و هو أنّه هل یمکن الإجمال و الإبهام فی موضوعات الأحکام العقلیّة؛ بأن یحکم العقل بحکم علی مرکَّب من أجزاء لا یُدرک دَخْلَ جمیعها فی حکمه، و یحتمل عدم دَخْل بعضها فی حسن الشی‌ء و قبحه، فیحکم علیه من باب أنّه القدر المتیقَّن دخْلُه فیه، أو لا یمکن ذلک، بل لا بدّ أن یکون موضوع حکمه مُبیَّناً مفصَّلًا، و أنّه لا یحکم إلّا بعد دَرْکه دَخْلَ جمیع القیود أو بعضها المعیّن؟</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عالم العقل عالم التجرُّد و التجزئة، فلا یمکن الإجمال و الإهمال فی أحکامه علی موضوعاتها، فإنّه لو أدرک قبح مطلق الکذب، فهو یُدرک أنّ قید المُضِرّیّة لا دَخْل له فی هذا الحکم، و إن أدرک دَخْل قید المُضِرِّیّة و أنّه حیث إنّه مُضرّ قبیح، فهو یدرک دَخْل هذا القید فی موضوع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الموضوع هو المقیّد بهذا القید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یطرأ الشکّ بسبب طُرُوّ بعض الخصوصیّات الخارجیّة، و إلّا فلا إجمال و لا إهمال فی موضوع حکمه؛ أی العنوان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للعقل نورانیّة بها یُدرک جمیع الحقائق تفصیلًا بما هی علیها، و لذلک اختلف أرباب المعقول فی المباحث العقلیّة و المطالب الکلامیّة، فیمکن تصوّر الإجمال و الإبهام فی موضوعات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إدراک العقل جمیع مناطات حکمه و ملاکاته و قیود موضوع حکمه مفصَّلًا و مبیَّناً، و مع عدمه لا یحکم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و إشکال</w:t>
      </w:r>
      <w:r>
        <w:rPr>
          <w:rFonts w:eastAsia="IRNazanin" w:cs="IRNazanin"/>
          <w:color w:val="111111"/>
          <w:sz w:val="28"/>
          <w:szCs w:val="28"/>
          <w:rtl w:val="true"/>
          <w:lang w:bidi="fa-IR"/>
        </w:rPr>
        <w:t>.</w:t>
      </w:r>
    </w:p>
    <w:p>
      <w:pPr>
        <w:pStyle w:val="Heading4"/>
        <w:numPr>
          <w:ilvl w:val="3"/>
          <w:numId w:val="1"/>
        </w:numPr>
        <w:rPr/>
      </w:pPr>
      <w:bookmarkStart w:id="34" w:name="__RefHeading___Toc3234688_3224264995"/>
      <w:bookmarkStart w:id="35" w:name="_Toc13"/>
      <w:bookmarkEnd w:id="34"/>
      <w:r>
        <w:rPr>
          <w:rtl w:val="true"/>
        </w:rPr>
        <w:t>تحقیق الحال فی المقام</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فرض تسلیم ذلک لکن لا یختل بذلک استصحاب الأحکام الشرعیّة</w:t>
      </w:r>
    </w:p>
    <w:p>
      <w:pPr>
        <w:pStyle w:val="BookText"/>
        <w:rPr/>
      </w:pPr>
      <w:r>
        <w:rPr>
          <w:rFonts w:ascii="IRNazanin" w:hAnsi="IRNazanin" w:eastAsia="IRNazanin"/>
          <w:color w:val="111111"/>
          <w:sz w:val="28"/>
          <w:sz w:val="28"/>
          <w:szCs w:val="28"/>
          <w:rtl w:val="true"/>
          <w:lang w:bidi="fa-IR"/>
        </w:rPr>
        <w:t>المستفادة من الأحکام العقلیّة؛ حیث إنّ موضوعها غیر موضوعات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الکلّیّة المتعلّقة للأحکام الشرعیّة الابتدائیّة؛ الغیر المستندة إلی الأحکام العقلیّة، و کذلک المستکشفة من الأحکام العقلیّة، تتغیّر بسبب تغیّر بعض الخصوصیّات و القیود المأخوذة فیها؛ حیث إنّها لیست من الحالات الطارئة علیها لئلّا تتغیّر بتغیّرها، بل جمیعها مقوّمات للموضوع، و یتغیّر عنوان الموضوع بتغیّرها، فإنّ الإنسان الأبیض مغایر للإنسان المطلق بدون هذا القید، و استصحاب حکم أحدهما إلی الآخر إسراءُ حکمٍ من موضوع إلی موضوع آخر، لکن لو تعلّق حکم شرعیّ بعنوان من العناوین، کما لو فرض استکشاف حکم شرعیّ من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حرمة العصیر العنبی إذا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فمصادیق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هذا العصیر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محکومة بهذا الحکم التعلیقی بعد انطباق العنوان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المحکوم بهذا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فیسری الحکم إلی مصادیق هذا العنوان،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الخارج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غلا یحرم، فإذا جفّ و صار زبیباً یشکّ فی بقاء ذاک الحکم الشخصی علی هذا الموضوع الخارجی المشار إلیه و عدمه، فلا مانع من استصحابه؛ لبقاء الموضوع بشخصه و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لو فرض حکم العقل بإنقاذ کلّ غریق مؤمن، و استکشف منه حکم الشرع بذلک، و فُرض أنّ زیداً أحد مصادیق ذلک العنوان، فهو محکوم بوجوب إنقاذه، فلو شکّ فی وجوب إنقاذه بعد ذلک من جهة الشکّ فی زوال إیمانه و عدمه، فإنّه لا مانع من استصحاب وجوب إنقاذه الثابت قبل هذا الشکّ مع بقاء الموضوع بالحسّ و العیان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العقل غیر موضوع الاستصحاب، فإنّ موضوع حکم العقل عنوان کلّیّ و مفهوم عامّ، و موضوع الاستصحاب مصداقه، و تختلف</w:t>
      </w:r>
    </w:p>
    <w:p>
      <w:pPr>
        <w:pStyle w:val="BookText"/>
        <w:rPr/>
      </w:pPr>
      <w:r>
        <w:rPr>
          <w:rFonts w:ascii="IRNazanin" w:hAnsi="IRNazanin" w:eastAsia="IRNazanin"/>
          <w:color w:val="111111"/>
          <w:sz w:val="28"/>
          <w:sz w:val="28"/>
          <w:szCs w:val="28"/>
          <w:rtl w:val="true"/>
          <w:lang w:bidi="fa-IR"/>
        </w:rPr>
        <w:t>العناوین باختلاف قیودها و تغیّرها، بخلاف المصادیق</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یمکن الجواب عنه بما ذکرناه، فإنّ العناوین الکلّیّة تتغیّر بتغیّر قیودها، و معه فلا تشمله الأدلّة، و لا یجری الاستصحاب أیضاً، بخلاف مصادیقها، فإنّه یشکّ بتغیّر قیودها، فیجری الاستصحاب فیها مع تغیّر بعض قیودها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فإن أراد الشیخ قدس سره منع استصحاب الأحکام الکلّیّة الشرعیّة المستکشفة من الأحکام العقلیّة المتعلّقة بعناوینها الکلّیّة فهو صحیح لا غبار علیه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منع استصحاب الأحکام المذکورة المتعلِّقة بالمصادیق بعد انطباق العناوین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للحکم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 انحلاله فهو ممنوع؛ لما عرفت من عدم الإشکال فی استصحاب أحکام المصادیق لبقاء موضوعها عرفاً و اتّحاد القضیّة المتیقّنة و المشکوکة فیه و استصحاب الحکم فیها لیس إسراء له من موضوع إلی آخر</w:t>
      </w:r>
      <w:r>
        <w:rPr>
          <w:rFonts w:eastAsia="IRNazanin" w:cs="IRNazanin"/>
          <w:color w:val="111111"/>
          <w:sz w:val="28"/>
          <w:szCs w:val="28"/>
          <w:rtl w:val="true"/>
          <w:lang w:bidi="fa-IR"/>
        </w:rPr>
        <w:t>.</w:t>
      </w:r>
      <w:bookmarkStart w:id="36" w:name="pg12898_147775"/>
    </w:p>
    <w:p>
      <w:pPr>
        <w:pStyle w:val="Heading3"/>
        <w:numPr>
          <w:ilvl w:val="2"/>
          <w:numId w:val="1"/>
        </w:numPr>
        <w:rPr/>
      </w:pPr>
      <w:bookmarkStart w:id="37" w:name="__RefHeading___Toc3234690_3224264995"/>
      <w:bookmarkStart w:id="38" w:name="_Toc14"/>
      <w:bookmarkEnd w:id="36"/>
      <w:bookmarkEnd w:id="37"/>
      <w:r>
        <w:rPr>
          <w:rtl w:val="true"/>
        </w:rPr>
        <w:t>فصل حول التفصیل بین الشکّ فی الرافع و المقتضی</w:t>
      </w:r>
      <w:bookmarkEnd w:id="38"/>
    </w:p>
    <w:p>
      <w:pPr>
        <w:pStyle w:val="Heading4"/>
        <w:numPr>
          <w:ilvl w:val="3"/>
          <w:numId w:val="1"/>
        </w:numPr>
        <w:rPr/>
      </w:pPr>
      <w:bookmarkStart w:id="39" w:name="__RefHeading___Toc3234692_3224264995"/>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و أمّا الکلام فی التفصیل الثانی الذی اختاره الشیخ الأعظم قدس سره</w:t>
      </w:r>
      <w:r>
        <w:rPr>
          <w:rStyle w:val="FootnoteAnchor"/>
          <w:rtl w:val="true"/>
        </w:rPr>
        <w:footnoteReference w:id="20"/>
      </w:r>
      <w:r>
        <w:rPr>
          <w:rFonts w:ascii="IRNazanin" w:hAnsi="IRNazanin" w:eastAsia="IRNazanin"/>
          <w:color w:val="111111"/>
          <w:sz w:val="28"/>
          <w:sz w:val="28"/>
          <w:szCs w:val="28"/>
          <w:rtl w:val="true"/>
          <w:lang w:bidi="fa-IR"/>
        </w:rPr>
        <w:t>، و تبعه جمع من الأعاظم کالمیرزا النائینی</w:t>
      </w:r>
      <w:r>
        <w:rPr>
          <w:rStyle w:val="FootnoteAnchor"/>
          <w:rtl w:val="true"/>
        </w:rPr>
        <w:footnoteReference w:id="21"/>
      </w:r>
      <w:r>
        <w:rPr>
          <w:rFonts w:ascii="IRNazanin" w:hAnsi="IRNazanin" w:eastAsia="IRNazanin"/>
          <w:color w:val="111111"/>
          <w:sz w:val="28"/>
          <w:sz w:val="28"/>
          <w:szCs w:val="28"/>
          <w:rtl w:val="true"/>
          <w:lang w:bidi="fa-IR"/>
        </w:rPr>
        <w:t>و المحقّق العراقی</w:t>
      </w:r>
      <w:r>
        <w:rPr>
          <w:rStyle w:val="FootnoteAnchor"/>
          <w:rtl w:val="true"/>
        </w:rPr>
        <w:footnoteReference w:id="22"/>
      </w:r>
      <w:r>
        <w:rPr>
          <w:rFonts w:ascii="IRNazanin" w:hAnsi="IRNazanin" w:eastAsia="IRNazanin"/>
          <w:color w:val="111111"/>
          <w:sz w:val="28"/>
          <w:sz w:val="28"/>
          <w:szCs w:val="28"/>
          <w:rtl w:val="true"/>
          <w:lang w:bidi="fa-IR"/>
        </w:rPr>
        <w:t>، و نقله</w:t>
      </w:r>
      <w:r>
        <w:rPr>
          <w:rStyle w:val="FootnoteAnchor"/>
          <w:rtl w:val="true"/>
        </w:rPr>
        <w:footnoteReference w:id="23"/>
      </w:r>
      <w:r>
        <w:rPr>
          <w:rFonts w:ascii="IRNazanin" w:hAnsi="IRNazanin" w:eastAsia="IRNazanin"/>
          <w:color w:val="111111"/>
          <w:sz w:val="28"/>
          <w:sz w:val="28"/>
          <w:szCs w:val="28"/>
          <w:rtl w:val="true"/>
          <w:lang w:bidi="fa-IR"/>
        </w:rPr>
        <w:t xml:space="preserve">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و هو التفصیل بین الشکّ فی الرافع و بین الشکّ فی المقتضی، و جریان الاستصحاب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أوّلًا من بیان المراد من المقتضی، ثمّ الکلام حول هذا التفصیل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منه قدس سره فی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المستصحب ممّا له استعداد البقاء إلی زمان الشکّ، و لکن احتمل حدوث الرافع له، فالشکّ فیه إنّما هو لأجل احتمال وجود الرافع له؛ بحیث لو علم بعدمه کان باقیاً قطعاً،</w:t>
      </w:r>
      <w:bookmarkStart w:id="41" w:name="pg12898_147776"/>
    </w:p>
    <w:p>
      <w:pPr>
        <w:pStyle w:val="BookText"/>
        <w:rPr/>
      </w:pPr>
      <w:bookmarkEnd w:id="41"/>
      <w:r>
        <w:rPr>
          <w:rFonts w:ascii="IRNazanin" w:hAnsi="IRNazanin" w:eastAsia="IRNazanin"/>
          <w:color w:val="111111"/>
          <w:sz w:val="28"/>
          <w:sz w:val="28"/>
          <w:szCs w:val="28"/>
          <w:rtl w:val="true"/>
          <w:lang w:bidi="fa-IR"/>
        </w:rPr>
        <w:t>فی قبال ما إذا لم یحرز استعداد بقائه إلی ذلک الزمان، فیشکّ فی بقائه و لو مع العلم بعدم الرافع</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غیر ما نقله عن المحقّق قدس سره فی ضمن کلامه فی مقام الاحتجاج للقول التاسع</w:t>
      </w:r>
      <w:r>
        <w:rPr>
          <w:rStyle w:val="FootnoteAnchor"/>
          <w:rtl w:val="true"/>
        </w:rPr>
        <w:footnoteReference w:id="26"/>
      </w:r>
      <w:r>
        <w:rPr>
          <w:rFonts w:ascii="IRNazanin" w:hAnsi="IRNazanin" w:eastAsia="IRNazanin"/>
          <w:color w:val="111111"/>
          <w:sz w:val="28"/>
          <w:sz w:val="28"/>
          <w:szCs w:val="28"/>
          <w:rtl w:val="true"/>
          <w:lang w:bidi="fa-IR"/>
        </w:rPr>
        <w:t>،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نختاره أن ننظر فی دلیل ذلک الحکم، فإن کان یقتضیه مطلقاً، وجب الحکم باستمراره کعقد النکاح، فإنّه یوجب حِلّ الوطی مطلقاً، فإذا وقع الخلاف فی الألفاظ التی یقع بها الطلاق، فالمستدلّ علی أنّ الطلاق لا یقع بها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الوطی ثابت قبل النطق بهذه الألفاظ فکذا بعده کان صحیحاً؛ لأنّ المقتضی للتحلیل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 مطلقاً، و لا یعلم أنّ الألفاظ المذکورة رافعة لذلک الاقتضاء أو لا، فیثبت الحکم عملًا بالمقتضی</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فرض کون الدلیل مقتضیاً للحکم فی الزمان الثانی، و هو غیر ما ذکره الشیخ قدس سره من التفصیل و تفسیر الاقتضاء بما له استعداد البقاء و اقتضاؤه من غیر فرق بین الأحکام و الموضوعات، فتأمّل جیّداً</w:t>
      </w:r>
      <w:r>
        <w:rPr>
          <w:rFonts w:eastAsia="IRNazanin" w:cs="IRNazanin"/>
          <w:color w:val="111111"/>
          <w:sz w:val="28"/>
          <w:szCs w:val="28"/>
          <w:rtl w:val="true"/>
          <w:lang w:bidi="fa-IR"/>
        </w:rPr>
        <w:t>.</w:t>
      </w:r>
    </w:p>
    <w:p>
      <w:pPr>
        <w:pStyle w:val="Heading4"/>
        <w:numPr>
          <w:ilvl w:val="3"/>
          <w:numId w:val="1"/>
        </w:numPr>
        <w:rPr/>
      </w:pPr>
      <w:bookmarkStart w:id="42" w:name="__RefHeading___Toc3234694_3224264995"/>
      <w:bookmarkStart w:id="43" w:name="_Toc16"/>
      <w:bookmarkEnd w:id="42"/>
      <w:r>
        <w:rPr>
          <w:rtl w:val="true"/>
        </w:rPr>
        <w:t>ذکر أخبار الاستصحاب</w:t>
      </w:r>
      <w:bookmarkEnd w:id="43"/>
    </w:p>
    <w:p>
      <w:pPr>
        <w:pStyle w:val="Heading5"/>
        <w:numPr>
          <w:ilvl w:val="4"/>
          <w:numId w:val="1"/>
        </w:numPr>
        <w:rPr/>
      </w:pPr>
      <w:bookmarkStart w:id="44" w:name="__RefHeading___Toc3234696_3224264995"/>
      <w:bookmarkStart w:id="45" w:name="_Toc17"/>
      <w:bookmarkEnd w:id="44"/>
      <w:r>
        <w:rPr>
          <w:rtl w:val="true"/>
        </w:rPr>
        <w:t>اشارة</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لا بدّ فی المقام من ملاحظة الأخبار و مضامینها؛ و أنّ المستفاد منها حجیّة الاستصحاب مطلقاً أو فی خصوص الشکّ فی الرافع، و أنّه هل یستفاد منها الکلّیّة و حجّیّة الاستصحاب حتّی فی غیر موردها مطلقاً فی الأحکام و الموضوعات، أو لا؟</w:t>
      </w:r>
      <w:bookmarkStart w:id="46" w:name="pg12898_147777"/>
    </w:p>
    <w:p>
      <w:pPr>
        <w:pStyle w:val="Heading5"/>
        <w:numPr>
          <w:ilvl w:val="4"/>
          <w:numId w:val="1"/>
        </w:numPr>
        <w:rPr/>
      </w:pPr>
      <w:bookmarkStart w:id="47" w:name="__RefHeading___Toc3234698_3224264995"/>
      <w:bookmarkStart w:id="48" w:name="_Toc18"/>
      <w:bookmarkEnd w:id="46"/>
      <w:bookmarkEnd w:id="47"/>
      <w:r>
        <w:rPr>
          <w:rtl w:val="true"/>
        </w:rPr>
        <w:t>فمنها</w:t>
      </w:r>
      <w:r>
        <w:rPr>
          <w:rtl w:val="true"/>
        </w:rPr>
        <w:t xml:space="preserve">: </w:t>
      </w:r>
      <w:r>
        <w:rPr>
          <w:rtl w:val="true"/>
        </w:rPr>
        <w:t>الصحیحة الاولی لزرارة</w:t>
      </w:r>
      <w:bookmarkEnd w:id="48"/>
    </w:p>
    <w:p>
      <w:pPr>
        <w:pStyle w:val="Heading6"/>
        <w:numPr>
          <w:ilvl w:val="5"/>
          <w:numId w:val="1"/>
        </w:numPr>
        <w:rPr/>
      </w:pPr>
      <w:bookmarkStart w:id="49" w:name="__RefHeading___Toc3234700_3224264995"/>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رواها الشیخ بإسناده عن الحسین بن سعید، عن حمّاد، عن حریز،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توجب الخفقة و الخفقتان علیه الوضوء؟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قد تنام العین، و لا ینام القلب و الاذن، فإذا نامت العین و الاذن و القلب فقد وجب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حُرِّک إلی جنبه شی‌ءٌ و لم یعلم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أبداً بالشکّ، و إنّما ینقضه بیقین آخر</w:t>
      </w:r>
      <w:r>
        <w:rPr>
          <w:rFonts w:eastAsia="IRNazanin" w:cs="IRNazanin"/>
          <w:color w:val="111111"/>
          <w:sz w:val="28"/>
          <w:szCs w:val="28"/>
          <w:rtl w:val="true"/>
          <w:lang w:bidi="fa-IR"/>
        </w:rPr>
        <w:t>)</w:t>
      </w:r>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یضرّها الإضمار؛ لأنّ راویها زرارة، و هو لا یسأل إلّا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شبهة زرارة حکمیّة مفهومیّة، و إجمال مفهوم النوم عنده مع علمه بأنّ النوم ناقض للوضوء، و شکّه فی أنّ الخَفْقة نوم أو لا، فالسؤال إنّما هو عن ناقضیّة الخَفقة و الخفقتین مع العلم بتحققهما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أنّ للنوم مراتباً مع علمه بناقضیّة بعض مراتبه، و هو ما لو استولی علی القلب و الاذُن، و شکّه فی ناقضیّة بعضٍ آخر منها، و هو ما لو استولی علی العین فقط</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لأجل أنّه کان یعلم بأنّ الخَفْقة لیست نوماً، لکن احتمل ناقضیّته أیضاً مستقلّاً، و حینئذٍ فالمراد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تهیّؤه للنوم و الإتیان بمقدّماته من</w:t>
      </w:r>
      <w:bookmarkStart w:id="51" w:name="pg12898_147778"/>
    </w:p>
    <w:p>
      <w:pPr>
        <w:pStyle w:val="BookText"/>
        <w:rPr/>
      </w:pPr>
      <w:bookmarkEnd w:id="51"/>
      <w:r>
        <w:rPr>
          <w:rFonts w:ascii="Amiri" w:hAnsi="Amiri" w:eastAsia="Amiri" w:cs="Amiri"/>
          <w:color w:val="111111"/>
          <w:sz w:val="28"/>
          <w:sz w:val="28"/>
          <w:szCs w:val="28"/>
          <w:rtl w:val="true"/>
          <w:lang w:bidi="ar-SA"/>
        </w:rPr>
        <w:t>مدّ الرجلین و نحوه، فإنّه یُطلق علیه النوم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جواب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المستولی علی العین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المستولی علی القلب و الاذُن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فیه موضوعیّة، و السؤال إنّما هو عن المشخِّص لغلبة النوم علی القلب و الاذُن و علامته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الاستشهاد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حتّی یستیقن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6"/>
        <w:numPr>
          <w:ilvl w:val="5"/>
          <w:numId w:val="1"/>
        </w:numPr>
        <w:rPr/>
      </w:pPr>
      <w:bookmarkStart w:id="52" w:name="__RefHeading___Toc3234702_3224264995"/>
      <w:bookmarkStart w:id="53" w:name="_Toc20"/>
      <w:bookmarkEnd w:id="52"/>
      <w:r>
        <w:rPr>
          <w:rtl w:val="true"/>
        </w:rPr>
        <w:t>بیان الاحتمالات التی فی الروایة</w:t>
      </w:r>
      <w:bookmarkEnd w:id="53"/>
    </w:p>
    <w:p>
      <w:pPr>
        <w:pStyle w:val="Heading6"/>
        <w:numPr>
          <w:ilvl w:val="5"/>
          <w:numId w:val="1"/>
        </w:numPr>
        <w:rPr/>
      </w:pPr>
      <w:bookmarkStart w:id="54" w:name="__RefHeading___Toc3234704_3224264995"/>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فإنّه علی 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الجزاء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یستیقن أنّه قد نام فهو باقٍ علی وضوئه،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للجزاء قامت مقامه،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یَسْرِقْ فَقَدْ سَرَقَ أَخٌ لَهُ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و نظائره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و یستفاد منه قاعدة کلّیّة، و هی عدم جواز نقض الیقین بالشکّ مطلقاً، و إنّما ذکر الوضوء لأجل أنّ السؤال عنه، و أنّه أحد المصادیق،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القیاس، و الکبری 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 أبداً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الشکّ فی أنّ الوضوء قید أم لا، یمکن رفعه بظهور اللام فی الجنس و ظهور الطبیعة فی الإطلاق، إلّا أن یدلّ دلیل علی خلافه، و 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الوارد مورد الغالب، لا یوجب صرف ظهور المطلق فی الإطلاق؛ لعدم إحراز قیدیّته، و ما نحن فیه من هذا القبیل،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بالظواهر إنّما هو لبناء العقلاء علیه، و مع وجود ما یصلح للقرینیّة لصرف الکلام عن ظهوره، لم یُحرز هذا البناء، فإنّه علی</w:t>
      </w:r>
      <w:bookmarkStart w:id="56" w:name="pg12898_147779"/>
    </w:p>
    <w:p>
      <w:pPr>
        <w:pStyle w:val="BookText"/>
        <w:rPr/>
      </w:pPr>
      <w:bookmarkEnd w:id="56"/>
      <w:r>
        <w:rPr>
          <w:rFonts w:ascii="IRNazanin" w:hAnsi="IRNazanin" w:eastAsia="IRNazanin"/>
          <w:color w:val="111111"/>
          <w:sz w:val="28"/>
          <w:sz w:val="28"/>
          <w:szCs w:val="28"/>
          <w:rtl w:val="true"/>
          <w:lang w:bidi="fa-IR"/>
        </w:rPr>
        <w:t>فرض عدم استفادة القیدیّة لا یُستفاد منه الإطلاق أیضاً، فلا تدلّ الروایة علی الاستصحاب فی غیر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مناص عن هذا الإشکال إلّا بإلغاء قیدیّة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تعلیق النقض بالیقین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المتفاهم العرفی العقلائی، ظاهر فی أنّ تمام الموضوع لحرمة النقض هو نفس الیقین، لا الیقین بالوضوء، و أنّه لا دَخْل للوضوء فی الحکم، فالیقین من حیث إنّه أمرٌ مبرَم مستحکم، لا یجوز نقضه بالشکّ، و لا یختلف الحکم فیه باختلاف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منع ظهور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القیدیّة بحیث لا یمکن رفع الید عنه؛ لما عرفت من أنّ ذکره إنّما هو لأجل أنّه مورد السؤال؛ مع ظهور الکبری المذکورة فی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الشیخ قدس سره من قیام العلّة مقام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ظاهر الروایة، استصحاب الوضوء، و لا ریب أنّ الشکّ فی بقاء الوضوء مسبَّب عن الشکّ فی النوم، و مقتضی ما ذکروه من عدم جریان الأصل المسبّبی مع جریانه فی السبب</w:t>
      </w:r>
      <w:r>
        <w:rPr>
          <w:rStyle w:val="FootnoteAnchor"/>
          <w:rtl w:val="true"/>
        </w:rPr>
        <w:footnoteReference w:id="31"/>
      </w:r>
      <w:r>
        <w:rPr>
          <w:rFonts w:ascii="IRNazanin" w:hAnsi="IRNazanin" w:eastAsia="IRNazanin"/>
          <w:color w:val="111111"/>
          <w:sz w:val="28"/>
          <w:sz w:val="28"/>
          <w:szCs w:val="28"/>
          <w:rtl w:val="true"/>
          <w:lang w:bidi="fa-IR"/>
        </w:rPr>
        <w:t>، هو استصحاب عدم تحقّق النوم، فالمقام مقام جریان أصالة عدم وقوع النوم، لا الوضوء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3234706_3224264995"/>
      <w:bookmarkStart w:id="58" w:name="_Toc22"/>
      <w:bookmarkEnd w:id="57"/>
      <w:r>
        <w:rPr>
          <w:rtl w:val="true"/>
        </w:rPr>
        <w:t>و یمکن الذبّ عنه بوجهین</w:t>
      </w:r>
      <w:r>
        <w:rPr>
          <w:rtl w:val="true"/>
        </w:rPr>
        <w:t>:</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هو مع جریان الأصل السببی الغیر الجاری فی المقام؛ لعدم ترتّب أثر شرعیّ علیه، فإنّ التضادّ بین النوم و الوضوء و إن کان شرعیّاً و بجعل الشارع، لکن استصحاب عدم أحد الضدّین، لا یثبت وجود الضدّ الآخر، و لیس له أثر شرعیّ یترتّب علیه؛ لأنّ بقاء الوضوء من الآثار و اللوازم العقلیّة لعدم أحد</w:t>
      </w:r>
    </w:p>
    <w:p>
      <w:pPr>
        <w:pStyle w:val="BookText"/>
        <w:rPr/>
      </w:pPr>
      <w:r>
        <w:rPr>
          <w:rFonts w:ascii="IRNazanin" w:hAnsi="IRNazanin" w:eastAsia="IRNazanin"/>
          <w:color w:val="111111"/>
          <w:sz w:val="28"/>
          <w:sz w:val="28"/>
          <w:szCs w:val="28"/>
          <w:rtl w:val="true"/>
          <w:lang w:bidi="fa-IR"/>
        </w:rPr>
        <w:t>الأحداث و نواقض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لیس فی المقام بصدد الجواب عن المطالب العلمیّة، و أنّ بقاء الوضوء مترتّب علی أیّ شی‌ء، بل بصدد بیان جواب السؤال عن الوظیفة و الحکم الشرعی، کالفقیه إذا سُئل عن حکم من الأحکام؛ لأنّه مورد ابتلائه، فإنّه إنّما یجیب و یبیّن له ما هو وظیفته فی مقام العمل و الحکم الشرعی، لا المطالب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حُرِّک فی جنبه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سؤال عن وجوب الوضوء و عدمه عند ذلک،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یجب علیه الوضوء حتی یستیقن أنّه قد نام، 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إلی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بوجوب الوضوء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نقض الیقین بالشکّ، و لا یجوز ذلک، و حینئذٍ فلا یحتاج إلی تقدیر الجزاء، کما ذکره الشیخ قدس سره، و معه فاستفادة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تعمّ غیر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و أظهر، و هذا الاحتمال لم أرَه فی کلمات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قدس سره أیضاً، و هو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یستیقن أنّه قد نام،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الجزاء نفسه، لا أنّ الجزاء محذوف قامت علّته مقامه، و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أنّه لا یجب علیه الوضوء لیصحّ جعله جزاء للشرط</w:t>
      </w:r>
      <w:r>
        <w:rPr>
          <w:rStyle w:val="FootnoteAnchor"/>
          <w:rtl w:val="true"/>
        </w:rPr>
        <w:footnoteReference w:id="33"/>
      </w:r>
      <w:r>
        <w:rPr>
          <w:rFonts w:ascii="IRNazanin" w:hAnsi="IRNazanin" w:eastAsia="IRNazanin"/>
          <w:color w:val="111111"/>
          <w:sz w:val="28"/>
          <w:sz w:val="28"/>
          <w:szCs w:val="28"/>
          <w:rtl w:val="true"/>
          <w:lang w:bidi="fa-IR"/>
        </w:rPr>
        <w:t>، لکن بناء علی هذا الاحتمال لا یُستفاد منه القاعدة الکلّیّة؛ لأنّ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الجزاء، و لیس بصورة القیاس لیستفاد منه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المیرزا النائینی قدس سره، و نفی عنه الشبهة، و هو أنّ الجزاء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بتأویله إلی الجملة الإنشائیّة، و أنّ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یستیقن أنّه قد نام، یجب علیه البناء علی طبق الیقین بالوضوء و العمل به، و احتمالُ أنّه علّة للجزاء المقدّر قام مقامه ضعیفٌ غایة الضعف، و إن قوّاه الشیخ قدس سره؛ بداهة أنّه علی هذا یلزم التکرار فی الجواب؛ و بیان حکم السؤال مرّتین بلا فائدة فیه، 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علیه الوضوء، فلو قُدِّر جزاء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بمثل ما أجاب به أوّلًا، یلزم التکرار فی الجواب بدون أن یتکرّر السؤال، و هو لا یخلو عن حزازة</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الجملة الخبریّة فی مقام الإنشاء،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p>
    <w:p>
      <w:pPr>
        <w:pStyle w:val="BookText"/>
        <w:rPr/>
      </w:pPr>
      <w:r>
        <w:rPr>
          <w:rStyle w:val="FootnoteAnchor"/>
          <w:rtl w:val="true"/>
        </w:rPr>
        <w:footnoteReference w:id="35"/>
      </w:r>
      <w:r>
        <w:rPr>
          <w:rFonts w:ascii="IRNazanin" w:hAnsi="IRNazanin" w:eastAsia="IRNazanin"/>
          <w:color w:val="111111"/>
          <w:sz w:val="28"/>
          <w:sz w:val="28"/>
          <w:szCs w:val="28"/>
          <w:rtl w:val="true"/>
          <w:lang w:bidi="fa-IR"/>
        </w:rPr>
        <w:t>انّما هو أبلغ فی الحثّ علی الإتیان بالمأمور به؛ لأنّه فَرَضَ وجوده قطعاً، فذکر الجملة الخبریّة حینئذٍ بداعی الإنشاء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تأویل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هو جملة إخباریّة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جملة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أنّه إنشاء لتحقّق الیقین و حصوله فی هذا الظرف من الزمان، و أنّه علی یقین تعبّداً، فهو لا یُناسب المقام و إن صحّ فی نفسه؛ لأنّه لا معنی للتعبّد بحصول الیقین بالوضوء و إنشاء تحقّقه و عدم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منه أنّه بعث إلی تحصیل الیقین،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بناءً علی المشهور من أنّه إنشاء</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الأمر بالإعادة، و حینئذٍ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 و بعثٌ إلی تحصیل الیقین، لا البناء علی الیقین، فهو یُنتج خلاف المراد؛ لأنّ مرجعه إلی الأمر بالوضوء لتحصیل الیقین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یستفاد الأمر بالبناء علی الیقین و العمل علی طبقه فهو لا یصحّ إلّا مع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قدس سره مستلزم للتکرار الذی یوجب الحزازة، لا ما ذکره الشیخ قدس سره</w:t>
      </w:r>
      <w:r>
        <w:rPr>
          <w:rStyle w:val="FootnoteAnchor"/>
          <w:rtl w:val="true"/>
        </w:rPr>
        <w:footnoteReference w:id="39"/>
      </w:r>
      <w:r>
        <w:rPr>
          <w:rFonts w:ascii="IRNazanin" w:hAnsi="IRNazanin" w:eastAsia="IRNazanin"/>
          <w:color w:val="111111"/>
          <w:sz w:val="28"/>
          <w:sz w:val="28"/>
          <w:szCs w:val="28"/>
          <w:rtl w:val="true"/>
          <w:lang w:bidi="fa-IR"/>
        </w:rPr>
        <w:t>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توطئة و تمهیداً لما ذکره بعد ذلک، و لا حزازة فیه، بخلافه بناء علی ما ذکره، فإنّه علیه السلام ذکر أوّلًا عدم وجوب الوضوء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لتکراره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من صدر کلامه رحمه الله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أنّه بصورة القیاس</w:t>
      </w:r>
      <w:r>
        <w:rPr>
          <w:rStyle w:val="FootnoteAnchor"/>
          <w:rtl w:val="true"/>
        </w:rPr>
        <w:footnoteReference w:id="40"/>
      </w:r>
      <w:r>
        <w:rPr>
          <w:rFonts w:ascii="IRNazanin" w:hAnsi="IRNazanin" w:eastAsia="IRNazanin"/>
          <w:color w:val="111111"/>
          <w:sz w:val="28"/>
          <w:sz w:val="28"/>
          <w:szCs w:val="28"/>
          <w:rtl w:val="true"/>
          <w:lang w:bidi="fa-IR"/>
        </w:rPr>
        <w:t>، و هو ینافی جعله جزاءً و إنشاءً؛ لأنّه قد تتقدّم المقدّمتان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الصغری 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القیاس علی النتیجة، و قد یعکس، فبناء علی ما ذکره فهو من هذا القبیل؛ أی تقدّم النتیجة علی المقدّمتین،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 و 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یمکن جعله من قبیل ذلک؛ لاحتیاجه إلی دخول الفاء أو اللّام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 فبناء علی هذا الاحتمال لا یُستفاد منها الکلّیّة أیضاً؛ لأنّ الکلّیّة إنّما تستفاد إذا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توطئةً و تمهیداً مع دخول الفاء أو اللّام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لیصیر من باب تقدُّم نتیجة البرهان، و الأوّل خلاف الظاهر، و الثانی منتفٍ</w:t>
      </w:r>
      <w:r>
        <w:rPr>
          <w:rFonts w:eastAsia="IRNazanin" w:cs="IRNazanin"/>
          <w:color w:val="111111"/>
          <w:sz w:val="28"/>
          <w:szCs w:val="28"/>
          <w:rtl w:val="true"/>
          <w:lang w:bidi="fa-IR"/>
        </w:rPr>
        <w:t>.</w:t>
      </w:r>
      <w:bookmarkStart w:id="59" w:name="pg12898_147783"/>
    </w:p>
    <w:p>
      <w:pPr>
        <w:pStyle w:val="BookText"/>
        <w:rPr/>
      </w:pPr>
      <w:bookmarkEnd w:id="59"/>
      <w:r>
        <w:rPr>
          <w:rFonts w:ascii="IRNazanin" w:hAnsi="IRNazanin" w:eastAsia="IRNazanin"/>
          <w:color w:val="111111"/>
          <w:sz w:val="28"/>
          <w:sz w:val="28"/>
          <w:szCs w:val="28"/>
          <w:rtl w:val="true"/>
          <w:lang w:bidi="fa-IR"/>
        </w:rPr>
        <w:t>و أمّا بناء علی الاحتمال الأوّل و الثانی فیستفاد منه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عدم دلالة الروایة بنفسها علی الکلیّة یمکن استفادتها منها بإلغاء الخصوصیّة للوضوء، فإنّه نظیر قول زرارة فی الروایة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w:t>
      </w:r>
      <w:r>
        <w:rPr>
          <w:rFonts w:eastAsia="IRNazanin" w:cs="IRNazanin"/>
          <w:color w:val="111111"/>
          <w:sz w:val="28"/>
          <w:szCs w:val="28"/>
          <w:rtl w:val="true"/>
          <w:lang w:bidi="fa-IR"/>
        </w:rPr>
        <w:t>)</w:t>
      </w:r>
    </w:p>
    <w:p>
      <w:pPr>
        <w:pStyle w:val="BookText"/>
        <w:rPr/>
      </w:pPr>
      <w:r>
        <w:rPr>
          <w:rStyle w:val="FootnoteAnchor"/>
          <w:rtl w:val="true"/>
        </w:rPr>
        <w:footnoteReference w:id="41"/>
      </w:r>
      <w:r>
        <w:rPr>
          <w:rFonts w:ascii="IRNazanin" w:hAnsi="IRNazanin" w:eastAsia="IRNazanin"/>
          <w:color w:val="111111"/>
          <w:sz w:val="28"/>
          <w:sz w:val="28"/>
          <w:szCs w:val="28"/>
          <w:rtl w:val="true"/>
          <w:lang w:bidi="fa-IR"/>
        </w:rPr>
        <w:t>، فإنّه لا ریب فی عدم دخالة ثوب زرارة و کون الدم، دم رعاف و کذا الدم فی الحکم عرفاً، فکذلک الوضوء، و أنّ المتبادر منها عرفاً هو أنّ تمام الموضوع للاستصحاب هو الیقین السابق، فتعمّ کلّ یقین سابق و شکّ لاحق، و لا فرق فی ذلک بین الاحتمالات المذکورة فی مفاد الروایة و معناها</w:t>
      </w:r>
      <w:r>
        <w:rPr>
          <w:rFonts w:eastAsia="IRNazanin" w:cs="IRNazanin"/>
          <w:color w:val="111111"/>
          <w:sz w:val="28"/>
          <w:szCs w:val="28"/>
          <w:rtl w:val="true"/>
          <w:lang w:bidi="fa-IR"/>
        </w:rPr>
        <w:t>.</w:t>
      </w:r>
    </w:p>
    <w:p>
      <w:pPr>
        <w:pStyle w:val="Heading6"/>
        <w:numPr>
          <w:ilvl w:val="5"/>
          <w:numId w:val="1"/>
        </w:numPr>
        <w:rPr/>
      </w:pPr>
      <w:bookmarkStart w:id="60" w:name="__RefHeading___Toc3234708_3224264995"/>
      <w:bookmarkStart w:id="61" w:name="_Toc23"/>
      <w:bookmarkEnd w:id="60"/>
      <w:r>
        <w:rPr>
          <w:rtl w:val="true"/>
        </w:rPr>
        <w:t>تقریبات الأعلام فی اختصاص حجیّة الاستصحاب بالشکّ فی الرافع</w:t>
      </w:r>
      <w:bookmarkEnd w:id="61"/>
    </w:p>
    <w:p>
      <w:pPr>
        <w:pStyle w:val="BookText"/>
        <w:rPr/>
      </w:pPr>
      <w:r>
        <w:rPr>
          <w:rFonts w:ascii="IRNazanin" w:hAnsi="IRNazanin" w:eastAsia="IRNazanin"/>
          <w:color w:val="111111"/>
          <w:sz w:val="28"/>
          <w:sz w:val="28"/>
          <w:szCs w:val="28"/>
          <w:rtl w:val="true"/>
          <w:lang w:bidi="fa-IR"/>
        </w:rPr>
        <w:t>نعم هنا کلام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الأعظم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المتأخّرون بالعمومات الواردة فی الباب لحجّیّة الاستصحاب مطلقاً؛ سواء کان الشکّ فی الرافع أو المقتضی، و اختار هو قدس سره حجّیّته فی خصوص الشکّ فی الرافع تبعاً للمحقّق قدس سره</w:t>
      </w:r>
      <w:r>
        <w:rPr>
          <w:rStyle w:val="FootnoteAnchor"/>
          <w:rtl w:val="true"/>
        </w:rPr>
        <w:footnoteReference w:id="42"/>
      </w:r>
      <w:r>
        <w:rPr>
          <w:rFonts w:ascii="IRNazanin" w:hAnsi="IRNazanin" w:eastAsia="IRNazanin"/>
          <w:color w:val="111111"/>
          <w:sz w:val="28"/>
          <w:sz w:val="28"/>
          <w:szCs w:val="28"/>
          <w:rtl w:val="true"/>
          <w:lang w:bidi="fa-IR"/>
        </w:rPr>
        <w:t>، و نزّل العمومات علیه</w:t>
      </w:r>
      <w:r>
        <w:rPr>
          <w:rStyle w:val="FootnoteAnchor"/>
          <w:rtl w:val="true"/>
        </w:rPr>
        <w:footnoteReference w:id="43"/>
      </w:r>
      <w:r>
        <w:rPr>
          <w:rFonts w:ascii="IRNazanin" w:hAnsi="IRNazanin" w:eastAsia="IRNazanin"/>
          <w:color w:val="111111"/>
          <w:sz w:val="28"/>
          <w:sz w:val="28"/>
          <w:szCs w:val="28"/>
          <w:rtl w:val="true"/>
          <w:lang w:bidi="fa-IR"/>
        </w:rPr>
        <w:t>، و من القائلین بحجّیّته مطلقاً المیرزا الشیرازی و السیّد الاستاذ محمّد الفشارکی</w:t>
      </w:r>
      <w:r>
        <w:rPr>
          <w:rStyle w:val="FootnoteAnchor"/>
          <w:rtl w:val="true"/>
        </w:rPr>
        <w:footnoteReference w:id="44"/>
      </w:r>
      <w:r>
        <w:rPr>
          <w:rFonts w:ascii="IRNazanin" w:hAnsi="IRNazanin" w:eastAsia="IRNazanin"/>
          <w:color w:val="111111"/>
          <w:sz w:val="28"/>
          <w:sz w:val="28"/>
          <w:szCs w:val="28"/>
          <w:rtl w:val="true"/>
          <w:lang w:bidi="fa-IR"/>
        </w:rPr>
        <w:t>و شیخنا الحائری</w:t>
      </w:r>
      <w:r>
        <w:rPr>
          <w:rStyle w:val="FootnoteAnchor"/>
          <w:rtl w:val="true"/>
        </w:rPr>
        <w:footnoteReference w:id="45"/>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ملاحظة الأخبار، و أنّه هل یُستفاد منها حجّیّته مطلقاً؛ حتّی فی صورة الشکّ فی المقتضی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المصحِّح فی إطلاق النقض و تعلیقه بالیقین هنا، لیس هو جهة قیامه بالشخص من حیث إنّه صفة خاصّة قائمة به لافتقار إسناد النقض إلی شی‌ء أن یکون هذا الشی‌ء أمراً مُبرماً، و قیام الیقین بصاحبه لیس أبرم من قیام الظنّ و الشکّ بالظانّ و الشاکّ، بل قیام الشکّ به أبرم و أسدّ کما فی الشکّاک، و لیس المصحِّح له إضافة الیقین إلی المتیقَّن أیضاً؛ لعدم الفرق فیه بین کون المتیقَّن أمراً ممتدّاً أو لا، بل المصحِّح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به امتاز الیقین عن أخویه فی صحّة استعمال النقض فیه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الیقین، فإنّه فی نظر العرف أمر مُبرَم مُستحکم، حتّی استُعیر له لفظ الحبل، فکأنّه حبل مستحکم، کما أنّ استعمال النقض و إطلاقه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و کذلک العهد، إنّما هو لأجل أنّ الیمین و العهد أمران مبرمان کالحبل، کما قال ابن التیهان لرسول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للقوم علینا أحبالًا هل تنقضوها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عدم دَخْل الجری العملی و البناء علی طِبْق الیقین فی ذلک أیضاً، کما ذکره المیرزا النائینی قدس سره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النقض إلی الیقین إنّما هو بملاحظة أنّ إضافة الیقین إلی متعلّقه، إضافة مُبرمة مستحکمة، بخلاف إضافة الظنّ و الشکّ إلی متعلَّقهما، فإنّها إضافة ضعیفة، خصوصاً فی الشکّ، فإنّ إضافته تردیدیّة، و لا فرق فی صحّة إسناد النقض إلی الیقین بین ما کان للمتیقّن دوام و استمرار لو لا الرافع و المانع أو لا، و التفصیل بین الشکّ فی المقتضی و الشکّ فی الرافع مبنیٌّ علی الفرق بینهما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ما فی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اختاره الشیخ قدس سره تبعاً للمحقّق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صورة الشکّ فی المقتضی و الشکّ فی الرافع مع إحراز استعداد بقاء المستصحب باعتبار</w:t>
      </w:r>
    </w:p>
    <w:p>
      <w:pPr>
        <w:pStyle w:val="BookText"/>
        <w:rPr/>
      </w:pPr>
      <w:r>
        <w:rPr>
          <w:rFonts w:ascii="IRNazanin" w:hAnsi="IRNazanin" w:eastAsia="IRNazanin"/>
          <w:color w:val="111111"/>
          <w:sz w:val="28"/>
          <w:sz w:val="28"/>
          <w:szCs w:val="28"/>
          <w:rtl w:val="true"/>
          <w:lang w:bidi="fa-IR"/>
        </w:rPr>
        <w:t>الاستصحاب فی الثانی دون الأوّل، فإنّه قدس سره قال فی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أنّ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رفع الأمر المستمرّ فی نفسه و قطع الشی‌ء المتّصل کذلک، فلا بدّ أن یکون متعلَّقه ما له استمرار و اتّصال، و لیس هو نفس الیقین؛ لانتقاضه بالشکّ بدون اختیار المکلَّف، فلا یقع فی حیّز التحریم و لا أحکام الیقین من حیث إنّه وصف من الأوصاف، لارتفاعها بارتفاعه قطعاً، بل المراد منه بدلالة الاقتضاء الأحکام الثابتة للمتیقّن بواسطة الیقین؛ لأنّ نقض الیقین بعد ارتفاعه لا یُعقل له معنیً سوی ذلک، و حینئذٍ فلا بدّ أن یکون أحکام المتیقَّن کنفسه ممّا له استمرار فی نفسه لو لا الناقض</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 إطلاق النقض هنا إنّما هو باعتبار المتیقَّن، و لیس المراد به مطلق ترک العمل و ترتیب الآثار أیضاً، و لیس الأمر دائراً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إسناد النقض إلی الیقین إنّما هو باعتبار نفسه و ذاته؛ حیث إنّ له نحو إبرام و استحکام، بل لا معنی لما ذکره فی بعض الأمثلة، کما لو فرض أنّ المتیقَّن حیاة زید، و لا معنی للحکم بحرمة نقض حیاة زید بالشکّ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اختصاص حجّیّة الاستصحاب فی خصوص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بالیقین فی الخبر نفس الیقین بما أنّه صفة نفسانیّة؛ لعدم إمکان إضافة النقض إلیه بهذا المعنی، و لا بلحاظ آثاره؛ لعدم ترتُّب أثر شرعیّ علیه، بل إنّما هو بلحاظ ما یستتبع من الجری علی ما یقتضیه المتیقَّن حکماً کان أو موضوعاً، لا باستعمال الیقین فی المتیقَّن، کما صنعه الشیخ قدس سره، بل المراد نقض الیقین بما أنّه یستتبع</w:t>
      </w:r>
    </w:p>
    <w:p>
      <w:pPr>
        <w:pStyle w:val="BookText"/>
        <w:rPr/>
      </w:pPr>
      <w:r>
        <w:rPr>
          <w:rFonts w:ascii="IRNazanin" w:hAnsi="IRNazanin" w:eastAsia="IRNazanin"/>
          <w:color w:val="111111"/>
          <w:sz w:val="28"/>
          <w:sz w:val="28"/>
          <w:szCs w:val="28"/>
          <w:rtl w:val="true"/>
          <w:lang w:bidi="fa-IR"/>
        </w:rPr>
        <w:t>الحرکة علی وفق المتیقَّن، فأخذه فی الأخبار إنّما هو باعتبار أنّه کاشف و طریق إلی المتیقَّن،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إضافة النقض إلی الیقین دون العلم و القطع إنّما هو بهذا الاعتبار،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انتقض العلم و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ذلک إلّا لأجل أنّ العلم و القطع یُطلقان غالباً فی مقابل الظنّ و الشکّ، و یُراد منهما الصفة النفسانیّة، و حینئذٍ فأخبار الباب تختصّ بما إذا کان المتیقّن ممّا یقتضی الجری العملی علی طبقه؛ بحیث لو خُلّی و طبعه یبقی علی العمل علی وفق الیقین ببقاء المتیقَّن، و هذا المعنی یتوقّف علی أن یکون المتیقَّن ممّا فیه اقتضاء البقاء فی عمود الزمان؛ لیتحقّق الجری العملی علی طبقه، بخلاف ما إذا لم یکن للمتیقّن اقتضاء البقاء فی سلسلة الزمان، فإنّ الجری العملی بنفسه ینتقض، و لا یصحّ ورود النقض علی الیقین بعنایة أنّه المتیقَّن؛ لعدم اقتضائه الجری العملی حتّی یکون رفع الید عنه نقضاً للیقین</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 بین الیقین و بین العلم و القطع بما تقدّم من کلامه قدس سره بإرادة الطریقی من الأوّل، بخلاف الثانیین، فلم یسبقه إلیه أحد، و لا یساعده علیه العرف و لا اللغة، و لم نظفر فی الإطلاقات ما یشهد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المصحِّح لإسناد النقض إلی الیقین إنّما هو بلحاظ الجری العملی علی طبق المتیقَّن، فإن أراد به أنّ العاقل إذا حصل له الیقین بشی‌ء یستتبعه الجری العملی علی طبق اقتضاء المتیقَّن، و بهذا الاعتبار اسند النقض إلی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دعوی لا شاهد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إضافة النقض إلی الیقین، إنّما یصحّ فیما لو کان لمتعلّقه اقتضاء البقاء و الاستمرار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لو صرّح بإضافة الیقین إلی ما لیس لمتعلّقه اقتضاء البقاء و الاستمرار،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بوجود اللیل أو النهار بالشکّ فیهما، فإنّه لا ریب فی صحّته و عدم کونه غلطاً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 المصحِّح للإضافة المذکورة نفس الیقین، کما تقدّم بیانه، و لذلک لا یتبادر ما ذکره فی أذهان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الفقیه الهمدانی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یتعلّق به النقض لا بدّ أن یکون له إبرام و استحکام، فإنّه عبارة عن رفع الهیئة الاتّصالیّة للشی‌ء، و تعلّقه بالیقین إنّما هو باعتبار إبرامه و استحکامه، و حینئذٍ، فإن ارید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الیقین السابق بتبدّله إلی الشکّ فیه، فهو ینطبق علی قاعدة الشکّ الساری و قاعدة الیقین، فلا یصلح دلیلًا علی الاستصحاب؛ لاعتبار بقاء الیقین بالوجود السابق فی ظرف الشکّ فی الاستصحاب، فلو ارید شموله للاستصحاب لزم أن یُقدّر الیقین، و یفرض وجوده فی زمان الشکّ؛ لیصحّ الحکم بعدم نقضه، و إلّا فرفع الید عن آثار الیقین السابق لیس نقضاً له، و عدمه لیس عملًا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الحکم بالنقض إلّا بعد تقدیر الیقین فی زمان الشکّ و فرض وجوده فیه، و حینئذٍ فإن کان للمتیقّن السابق اقتضاء للوجود و استعداد للبقاء إلی زمان الشکّ، صحّ تقدیر الیقین من حیث اقتضاؤه للوجود فی زمان الشکّ أیضاً، کما هو کذلک فی العرف و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لم یحرز استعداده للبقاء فی زمان الشکّ، فإنّه لا مصحِّح لتقدیر الیقین حینئذٍ</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لو صُرّح بالحکم بعدم النقض فی صورة الشکّ فی المقتضی، کما</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علی یقین من حیاة زید، فشککت فیه بعد مدّة طویلة، لم یحرز استعداد بقائه فیها، فلا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ریب فی صحّته عند العرف و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کبری کلّیّة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مقتضی انطباق تلک الکبری علی الصغری المذکورة، هو أنّ المراد بالیقین فی الکبری هو الیقین السابق؛ لینطبق علی الیقین المذکور فی الصغری، و لا ریب فی أنّ المراد منه هو الیقین السابق بالوضوء، فلو ارید من الیقین فی الکبری الیقین التقدیری لم ینطبق علی الصغری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 لحصول الیقین فی ظرف الاعتبار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کذلک لم یصحّ الحکم بعدم نقض الیقین بالشکّ؛ لعدم الشکّ حینئذٍ اعتباراً و تعبّداً، فلا ریب فی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إخبار بأنّه علی یقین من وضوئه السابق، لا أنّه إنشاء لحصول الیقین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تعمیم الحکم لجمیع أفراد الیقین فی جمیع الموضوعات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تأبید الحکم بعدم النقض فی جمیع الأزمنة إلی أن یحصل الیقین بالخلاف، و هو المناسب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فیستفاد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حرمة النقض، و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تأبیده، و حینئذٍ فإن أراد قدس سره تقدیر الیقین فی جمیع زمان الشکّ، فلا معنی للتأبید حینئذٍ المستفاد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الحکم حینئذٍ مؤبَّد فی نفسه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قدس سره تقدیره فی الجزء الأوّل من زمان الشکّ، لا فی جمیع أزمنته، فتأبید</w:t>
      </w:r>
    </w:p>
    <w:p>
      <w:pPr>
        <w:pStyle w:val="BookText"/>
        <w:rPr/>
      </w:pPr>
      <w:r>
        <w:rPr>
          <w:rFonts w:ascii="IRNazanin" w:hAnsi="IRNazanin" w:eastAsia="IRNazanin"/>
          <w:color w:val="111111"/>
          <w:sz w:val="28"/>
          <w:sz w:val="28"/>
          <w:szCs w:val="28"/>
          <w:rtl w:val="true"/>
          <w:lang w:bidi="fa-IR"/>
        </w:rPr>
        <w:t>الحکم بعدم النقض فی الأجزاء الاخر من أزمنة الشکّ، لا یصحّ بناء علی مبناه قدس سره؛ لعدم تقدیر الیقین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تعبّداً بالعمل علی طبق الیقین؛ لأنّ حجّیّته ذاتیّة غیر قابلة للجعل، بل هو بیان لحدّ الحکم بعدم نقض الیقین بالشکّ، فلُوحِظ فیه ظرف الیقین بالحکم و ظرف الشکّ فیه و ظرف الیقین بالخلاف، فمع ذلک کیف یمکن تقدیر أنّه علی یقین فی زمان الشکّ مع لحاظه و اعتباره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التقریب الثانی الذی ذکره المیرزا النائینی قدس سره؛ حیث إنّه ذکر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صِدق نقض الیقین بالشکّ متوقّف علی أن یکون زمان الشکّ ممّا تعلّق به الیقین به فی زمان حدوثه، و هذا إنّما یتحقّق إذا کان المتیقَّن مرسلًا بحسب الزمان؛ کی لا یکون الیقین بوجوده من أوّل الأمر محدوداً بزمان خاصّ و وقت مخصوص، و إلّا ففیما بعد ذلک الحدّ و الوقت یکون المتیقَّن مشکوک الوجود من أوّل الأمر، و لا یکون رفع الید عن آثار وجود المتیقّن من نقض الیقین بالشکّ؛ أ لا تری أنّه لو علم أنّ المتیقَّن لا یبقی أزید من ثلاثة أیّام ففی الیوم الرابع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 الیقین بالوجود بیقین آخر بالعدم، فإنّ الیوم الرابع لم یکن متعلَّق الیقین بالوجود من أوّل الأمر</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مقتضی ما ذکره التفصیل بین الشکّ فی الرافع و بینه فی المقتضی، بل مقتضاه التفصیل بین ما لو کان المتیقَّن مرسلًا و ممتدّاً و بین عدمه؛ بجریان الاستصحاب فی الأوّل و إن فُرض أنّ یقینه خلاف الواقع و کان الشکّ فی المقتضی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ما له استعداد البقاء فهو متیقَّن البقاء إلی أن یعلم</w:t>
      </w:r>
    </w:p>
    <w:p>
      <w:pPr>
        <w:pStyle w:val="BookText"/>
        <w:rPr/>
      </w:pPr>
      <w:r>
        <w:rPr>
          <w:rFonts w:ascii="IRNazanin" w:hAnsi="IRNazanin" w:eastAsia="IRNazanin"/>
          <w:color w:val="111111"/>
          <w:sz w:val="28"/>
          <w:sz w:val="28"/>
          <w:szCs w:val="28"/>
          <w:rtl w:val="true"/>
          <w:lang w:bidi="fa-IR"/>
        </w:rPr>
        <w:t>بوجود الرافع و إن احتمل وجوده، کما تری، و کیف یمکن الجمع بین الیقین بوجود شی‌ء و بین احتمال وجود الرافع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الیقین إنّما یحصل بوجود المقتضی مع إحراز عدم المانع و عدم احتمال وجوده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إمکان ذلک، لکن المفروض أنّه قد شُکّ فیه فی الزمان اللّاحق، و لا یقول هو قدس سره بتقدیر الیقین، فکیف یصحّ الحکم بعدم النقض بناء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ذکره الفقیه الهمدانی و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بناء العقلاء علی حجّیّة الاستصحاب فی خصوص الشکّ فی الرافع دون الشکّ فی المقتضی و تنزیل الأخبار علیه،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الشکّ فی مانعیّة الموجود و حاجبیّته فی باب الوضوء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راجعت أهل العرف و العقلاء، وجدتهم لا یعتنون باحتمال وجود ما یقتضی خلاف الحالة السابقة ممّا بأیدیهم، و یزعمون أنّ الاعتناء بالشکّ، نقض للیقین بالشکّ؛ أ لا تری أنّ من قلّد مجتهداً لا یرفع الید عن تقلیده بمجرّد احتمال موته، و کذلک سائر أرباب الملل و الأدیان؛ لا یعتنون باحتمال نسخ دینهم أو نسخ حکم خاصّ فی شریعتهم ما لم یثبت ذلک لهم، و من کان وکیلًا عن شخص غائب، قائماً مقامه، ملتزماً بالعمل بوظائفه، لا یعتزل عن وکالته و عمله بمجرّد احتمال ما لم یثبت ذلک له إلی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احتمل رفع الحکم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احتمل صدور حکم ابتداءً من موالیه لا یجب علیه الاعتناء به؛ لحکم العرف و العقلاء بذلک، و هذا هو الذی نسمّیه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بناءهم علی اعتبار الحالة السابقة و بقائها لیس لأجل إفادتها الظنّ؛ لأنّ العمل بالظنّ عندهم بذاته من المنکرات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مقتضی ما ذکرناه هو حجّیّة الاستصحاب عند العرف</w:t>
      </w:r>
    </w:p>
    <w:p>
      <w:pPr>
        <w:pStyle w:val="BookText"/>
        <w:rPr/>
      </w:pPr>
      <w:r>
        <w:rPr>
          <w:rFonts w:ascii="IRNazanin" w:hAnsi="IRNazanin" w:eastAsia="IRNazanin"/>
          <w:color w:val="111111"/>
          <w:sz w:val="28"/>
          <w:sz w:val="28"/>
          <w:szCs w:val="28"/>
          <w:rtl w:val="true"/>
          <w:lang w:bidi="fa-IR"/>
        </w:rPr>
        <w:t>و العقلاء فیما عدا الشکّ فی المقتضی، و أمّا فیه فمقتضاه عدم الحجّیّة؛ لأنّ مرجع ما ذکرنا إلی عدم اعتناء العقلاء بمشکوک الوجود أصلًا، فلو کان المشکوک مؤثِّراً فی زوال شی‌ء، فمقتضی عدم الاعتناء بالشکّ ترتیب آثار الموضوع الذی یشکّ فی زواله، و أمّا إذا تعلّق الشکّ أوّلًا و بالذات بنفس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عدم الاعتناء بالشکّ فیه عدم الالتفات إلی وجوده فی الزمان الثانی؛ لأنّ وجوده فیه أیضاً ممّا لا بدّ من إحرازه فی مقام ترتیب الأثر علیه، و لیس وجوده السابق طریقاً إلیه، فالمستصحب فی صورة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له وجوداً تقدیریّاً، کأنّه أمر محقّق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فی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عدم حجّیّة المثبت من الاستصحابات عند العقلاء أیضاً</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ما ذکره یرجع ما أفاده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لا حجّیّة الاستصحاب، لزم اختلال نظام الناس فی معاشهم و سوقهم و مراسلاتهم، و لیس ذلک من جهة رجاء البقاء؛ لأنّه لو کان کذلک لم یُقْدموا علی إرسال البضائع و لا الأموال التجاریّة و غیرها إلی شرکائهم مع احتمال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بناءهم علی ذلک إنّما هو مع إحراز المقتضی، و أمّا مع الشکّ فیه فبناؤهم فیه علی الاحتیاط</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بناء العقلاء علی ذلک کما ذکراه فی الجملة، و لکن الإشکال فی أنّ بناءهم علیه للاعتماد علی الحالة السابقة، و أنّ ترتیبهم الأثر لأجل أنّه نقض للیقین بالشکّ، أو أنّه لأجل حصول الاطمئنان بالبقاء و ضعف احتمال الخلاف، فإنّ الظاهر هو الثانی، فإنّ إرسالهم البضائع و أموال التجارة إلی شرکائهم، لیس للاعتماد</w:t>
      </w:r>
    </w:p>
    <w:p>
      <w:pPr>
        <w:pStyle w:val="BookText"/>
        <w:rPr/>
      </w:pPr>
      <w:r>
        <w:rPr>
          <w:rFonts w:ascii="IRNazanin" w:hAnsi="IRNazanin" w:eastAsia="IRNazanin"/>
          <w:color w:val="111111"/>
          <w:sz w:val="28"/>
          <w:sz w:val="28"/>
          <w:szCs w:val="28"/>
          <w:rtl w:val="true"/>
          <w:lang w:bidi="fa-IR"/>
        </w:rPr>
        <w:t>علی أصالة بقاء الحالة السابقة و وجودهم سابقاً، و أنّ عدم ترتیب الأثر علی احتمال موتهم لاستصحاب بقاء ما کان، و أنّ ترتیب الأثر، نقض للیقین بالشک، بل لأجل ضعف احتمال موتهم و الاطمئنان ببقائهم، نظیر بنائهم علی أصالة السلامة؛ و لذا یُقْدمون علی التجارة أو الزراعة، مع أنّ ظهور فائدته بعد مدّة طویلة، مع احتمال عدم بقائه إلی تلک المدّة، و لیس ذلک إلّا لأجل حصول الاطمئنان لهم بالبقاء إلی تلک المدّة، و لم یثبت بناؤهم و إقدامهم علی ذلک مع الاحتمال و الشکّ المتساوی الطرفین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الأمثلة لا تنطبق علی مدّعاه، فإنّ استصحاب المقلِّد بقاء مجتهده، لا یثبت أنّ تقلیده هذا للحیّ، و أمّا استصحاب تقلیده الحیّ فالشکّ فیه فی المقتضی لا الرافع؛ لأنّ الحی هو الذی فیه اقتضاء التقلید، لا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النسخ فالشکّ فیه دائماً فی المقتضی؛ لاستحالة الشکّ فی الرافع فیه، و لو سُلِّم إمکان فرض الشکّ فی الرافع فیه؛ بإحراز استعداد بقاء المنسوخ لما بعد النسخ، فهو فی غایة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مثال الوکیل فإن أراد استصحاب حیاة الموکِّل فهو مثبت؛ لأنّ وکالته عن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یراد إثباتها باستصحاب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الآثار الغیر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استصحاب وکالته عن الحیّ فهو شکّ فی المقتضی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بناء العقلاء علی ما ذکر فی هذه الأمثلة لیس لاستصحاب الحالة السابقة، بل لاطمئنانهم بذلک و ضعف احتمال الخلاف؛ بحیث لا یعتنی به العقلاء، أو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ثبت 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مرجعها أیضاً إلی ضعف احتمال الخلاف، لا لأنّه نقض للیقین بالشکّ، فلا یمکن تنزیل الأخبار علی ما علیه العرف و العقلاء فیها، فإنّ لسانها لسان عدم جواز نقض الیقین بالشکّ الذی لم یثبت بناء العقلاء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کاشفیّة الکون السابق عن الکون فی زمان الشکّ عندهم إلّا مع الاطمئنان بالبقاء</w:t>
      </w:r>
      <w:r>
        <w:rPr>
          <w:rFonts w:eastAsia="IRNazanin" w:cs="IRNazanin"/>
          <w:color w:val="111111"/>
          <w:sz w:val="28"/>
          <w:szCs w:val="28"/>
          <w:rtl w:val="true"/>
          <w:lang w:bidi="fa-IR"/>
        </w:rPr>
        <w:t>.</w:t>
      </w:r>
      <w:bookmarkStart w:id="62" w:name="pg12898_147793"/>
    </w:p>
    <w:p>
      <w:pPr>
        <w:pStyle w:val="BookText"/>
        <w:rPr/>
      </w:pPr>
      <w:bookmarkEnd w:id="62"/>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 فی الصحیحة الآتیة لزرارة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لک أن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ظاهرٌ فی أنّه أمر عقلائی، و أنّ نقض الیقین بالشکّ عندهم من المنکرات؛ إذ 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ذلک عند العرف و العقلاء، کما یشهد له موردها الذی فرض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ظنَّ إصابة الدم للثوب، و أنّه فی مظانّ الإصابة، و مع ذلک لم یثبت بناؤهم علی ترتیب الأثر علی الحالة السابقة فی زمان الشکّ، و إلّا لم یسأل عن ذلک، فالقول بتنزیل الروایات علی ما علیه العرف و العقلاء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الروایات للشکّ فی المقتضی أیضاً و جمیع أفراد الیقین السابق</w:t>
      </w:r>
      <w:r>
        <w:rPr>
          <w:rFonts w:eastAsia="IRNazanin" w:cs="IRNazanin"/>
          <w:color w:val="111111"/>
          <w:sz w:val="28"/>
          <w:szCs w:val="28"/>
          <w:rtl w:val="true"/>
          <w:lang w:bidi="fa-IR"/>
        </w:rPr>
        <w:t>.</w:t>
      </w:r>
    </w:p>
    <w:p>
      <w:pPr>
        <w:pStyle w:val="Heading6"/>
        <w:numPr>
          <w:ilvl w:val="5"/>
          <w:numId w:val="1"/>
        </w:numPr>
        <w:rPr/>
      </w:pPr>
      <w:bookmarkStart w:id="63" w:name="__RefHeading___Toc3234710_3224264995"/>
      <w:bookmarkStart w:id="64" w:name="_Toc24"/>
      <w:bookmarkEnd w:id="63"/>
      <w:r>
        <w:rPr>
          <w:rtl w:val="true"/>
        </w:rPr>
        <w:t>هل الاستصحاب أمارة شرعیة أم أصل عملیّ؟</w:t>
      </w:r>
      <w:bookmarkEnd w:id="64"/>
    </w:p>
    <w:p>
      <w:pPr>
        <w:pStyle w:val="BookText"/>
        <w:rPr/>
      </w:pPr>
      <w:r>
        <w:rPr>
          <w:rFonts w:ascii="IRNazanin" w:hAnsi="IRNazanin" w:eastAsia="IRNazanin"/>
          <w:color w:val="111111"/>
          <w:sz w:val="28"/>
          <w:sz w:val="28"/>
          <w:szCs w:val="28"/>
          <w:rtl w:val="true"/>
          <w:lang w:bidi="fa-IR"/>
        </w:rPr>
        <w:t>ثمّ إنّه لا ریب فی أنّ مستند الاستصحاب هو الأخبار و الأدلّة الشرعیّة، لکن هل هو أمارة شرعیّة و طریق إلی الواقع؛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الحکم بإطالة عمر الیقین السابق إلی زمان الشکّ، و إلحاق زمان الشکّ بزمان الیقین تعبُّداً بنحو تتمیم الکشف، أو أنّه أصل عملیّ و وظیفة شرعیّة فی صورة الشکّ فی البقاء، نظیر أصالة البراءة و الطهارة؛ بدعوی أنّ المستفاد من الأخبار جعل حکمٍ ظاهریٍّ مماثلٍ للحکم السابق الواقعی، أو أنّه لا ذا و لا ذاک، بل هو مثل إیجاب الاحتیاط، مجعول للتحفُّظ علی الواقع؟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ذهب إلی أنّه أمارة شرعیّة</w:t>
      </w:r>
      <w:r>
        <w:rPr>
          <w:rStyle w:val="FootnoteAnchor"/>
          <w:rtl w:val="true"/>
        </w:rPr>
        <w:footnoteReference w:id="55"/>
      </w:r>
      <w:r>
        <w:rPr>
          <w:rFonts w:ascii="Amiri" w:hAnsi="Amiri" w:eastAsia="Amiri" w:cs="Amiri"/>
          <w:color w:val="111111"/>
          <w:sz w:val="28"/>
          <w:sz w:val="28"/>
          <w:szCs w:val="28"/>
          <w:rtl w:val="true"/>
          <w:lang w:bidi="ar-SA"/>
        </w:rPr>
        <w:t>لا بدّ و أن یُثبت اموراً، کما فی کلّ أمارة شرعیّة، فإنّها تتوقّف علی هذه الامور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أنّه صالح للأماریّة و الکشف عن الواقع، فکما أنّ القطع لا یمکن</w:t>
      </w:r>
    </w:p>
    <w:p>
      <w:pPr>
        <w:pStyle w:val="BookText"/>
        <w:rPr/>
      </w:pPr>
      <w:r>
        <w:rPr>
          <w:rFonts w:ascii="IRNazanin" w:hAnsi="IRNazanin" w:eastAsia="IRNazanin"/>
          <w:color w:val="111111"/>
          <w:sz w:val="28"/>
          <w:sz w:val="28"/>
          <w:szCs w:val="28"/>
          <w:rtl w:val="true"/>
          <w:lang w:bidi="fa-IR"/>
        </w:rPr>
        <w:t>جعله أمارة علی خلاف المقطوع، کذلک الشکّ فإنّه غیر صالح للأماریّة؛ لعدم الکاشفیّة له عن الواقع أصلًا، بخلاف الظنّ، فإنّه صالح لذلک، و لهذا التزم من ذهب إلی أنّ خبر الواحد أمارة شرعیّة بتتمیم الکشف؛ و أنّ مفاد أدلّته إلغاء احتمال الخلاف، مع ثبوت الکاشفیّة الناقصة له، لا أنّه جعل الکاشفیّة له مع عدمها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لسان الدلیل علیه و مفاده وجوب متابعته بما أنّه أمارة و کاشف ناقص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عدم الکاشفیّة التامّة له ذاتاً کالقطع، و إلّا فلا معنی لجعل الأماریّة له، بل یکفی عدم ردع الشارع عن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بأنّ الاستصحاب أمارة شرعیّة لا بدّ أن یُثبت هذه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معتقداً فی سابق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للیقین السابق و الحالة السابقة کاشفیّةً ضعیفةً عن الوجود فی ظرف الشکّ؛ للفرق عند العقلاء بین الشکّ المسبوق بالیقین السابق و بین الشکّ البَدْوی، و عدم الکاشفیّة التامّة له، و أنّ 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هو أنّ الیقین ممّا لا یصلح أن ینقضه الشکّ، و معناه إطالة عمر الیقین السابق إلی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یبدو للنظر فعلًا عدم تمامیّة ذلک؛ لأنّه لا معنی لکاشفیّة الیقین السابق عن البقاء فی زمان الشکّ؛ لأنّ متعلّقه المتیقّن فی زمانه، لا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یحصل منه الظنّ بالبقاء، و هو غیر کونه کاشفاً عنه، و لذا یحصل من الیقین بطلوع الشمس، الیقین بوجود النهار؛ لمکان الملازمة بینهما، و هو غیر کاشفیّة الیقین بأحدهما عن وجود الآخر؛ لعدم معقولیّة کاشفیّة الیقین عن غیر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الإغماض عن ذلک، لکن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الحکم بإطالة عمر الیقین تعبّداً؛ لأنّه لو کان کذلک فلا بدّ أن لا یتعرّض لفرض الشکّ فیه، بل لا بدّ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یقین، مثل قوله علیه السلام فی أدلّة حجّیّة خبر الواحد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ثقة ما</w:t>
      </w:r>
    </w:p>
    <w:p>
      <w:pPr>
        <w:pStyle w:val="BookText"/>
        <w:rPr/>
      </w:pPr>
      <w:r>
        <w:rPr>
          <w:rFonts w:ascii="Amiri" w:hAnsi="Amiri" w:eastAsia="Amiri" w:cs="Amiri"/>
          <w:color w:val="111111"/>
          <w:sz w:val="28"/>
          <w:sz w:val="28"/>
          <w:szCs w:val="28"/>
          <w:rtl w:val="true"/>
          <w:lang w:bidi="ar-SA"/>
        </w:rPr>
        <w:t>یؤدّی عنّی فعنّی یؤدّی</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r>
        <w:rPr>
          <w:rFonts w:ascii="IRNazanin" w:hAnsi="IRNazanin" w:eastAsia="IRNazanin"/>
          <w:color w:val="111111"/>
          <w:sz w:val="28"/>
          <w:sz w:val="28"/>
          <w:szCs w:val="28"/>
          <w:rtl w:val="true"/>
          <w:lang w:bidi="fa-IR"/>
        </w:rPr>
        <w:t>، فإنّ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الیقین التکوینی السابق، و کذلک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یقین آخر تعبّدیّ، و حینئذٍ فلا یصحّ جعل الاستصحاب من الأمارات الشرعیّة؛ لعدم تمامیّة أمرین من الامور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وظیفة عملیّة أیضاً؛ لأنّه لیس المراد من عدم نقض الیقین بیان حرمته التکلیفیّة؛ لأنّه لو جعل العناوین الأوّلیّة المرآتیّة متعلَّقاً لحکم کالیقین، لا یُستفاد منه بیان حکم ذاتها؛ أی ذات الیقین فیما نحن فیه من حیث إنّه صفة من الصفات النفسانیّة؛ و إن جعلها الحاکم متعلَّقاً لحکمه، لکنها عنوان لأفراد الیقین الحاصلة للمکلّفین، و لا ریب أنّها 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یتبادر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حرمته تکلیفاً من حیث إنّه صفة نفسانیّة، بل المتبادر منه ترتیب آثار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ما ذکره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لُوحِظ الیقین فی الأخبار بنحو الآلیّة و المرآتیّة، و أنّه کنایة عن لزوم البناء العملی و الالتزام بحکم مماثل للمتیقّن تعبّداً إذا کان حکماً، و لحکمه إذا کان موضوعاً</w:t>
      </w:r>
      <w:r>
        <w:rPr>
          <w:rStyle w:val="FootnoteAnchor"/>
          <w:rtl w:val="true"/>
        </w:rPr>
        <w:footnoteReference w:id="57"/>
      </w:r>
      <w:r>
        <w:rPr>
          <w:rFonts w:ascii="IRNazanin" w:hAnsi="IRNazanin" w:eastAsia="IRNazanin"/>
          <w:color w:val="111111"/>
          <w:sz w:val="28"/>
          <w:sz w:val="28"/>
          <w:szCs w:val="28"/>
          <w:rtl w:val="true"/>
          <w:lang w:bidi="fa-IR"/>
        </w:rPr>
        <w:t>، بل المراد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ربّما یجری الاستصحاب فی المستحبّات، و لا معنی لحرمة النقض فیها، و حینئذٍ فلیس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النقض تکلیفاً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65" w:name="pg12898_147796"/>
    </w:p>
    <w:p>
      <w:pPr>
        <w:pStyle w:val="BookText"/>
        <w:rPr/>
      </w:pPr>
      <w:bookmarkEnd w:id="65"/>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الالتزام بحرمة النقض فی المندوبات أیضاً؛ بمعنی المعاملة معها معاملة غیر المندوب، و الحکم بعدم استحبابها، فلیس الوجه فیه ذلک، بل هو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الاستصحاب مجرّد وظیفة عملیّة و حکماً ظاهریّاً، و لهذا لو خالف المکلّف، و لم یرتّب آثار المتیقَّن، فإن صادفت مخالفته الواقع، استحقّ العقوبة لمخالفة الواقع،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یُعدّ متجرّیاً، لکنّه لم یخالف حکماً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فالاستصحاب أصل شرعیّ، جعله الشارع لحفظ الواقع الذی کان الیقین السابق طریقاً إلیه و کاشفاً عنه، و أنّ مفاد الأخبار، وجوبُ المعاملة مع الشکّ المسبوق بالیقین معاملةَ الیقین؛ من غیر فرق بین الأحکام و الموضوعات، و هو فی الموضوعات ممّا ینقَّح به موضوعات الأحکام، و لیس مفادها جعل الحکم المماثل للحکم الواقعی، و لیس معناها وجوب ترتیب الأثر؛ لأنّها حینئذٍ لا تشمل الأحکام، و یلزم خروجها عن مورد الاستصحاب؛ لأنّها نفس الأثر، و لا أثر شرعیّ یترتّب علیها</w:t>
      </w:r>
      <w:r>
        <w:rPr>
          <w:rFonts w:eastAsia="IRNazanin" w:cs="IRNazanin"/>
          <w:color w:val="111111"/>
          <w:sz w:val="28"/>
          <w:szCs w:val="28"/>
          <w:rtl w:val="true"/>
          <w:lang w:bidi="fa-IR"/>
        </w:rPr>
        <w:t>.</w:t>
      </w:r>
    </w:p>
    <w:p>
      <w:pPr>
        <w:pStyle w:val="Heading5"/>
        <w:numPr>
          <w:ilvl w:val="4"/>
          <w:numId w:val="1"/>
        </w:numPr>
        <w:rPr/>
      </w:pPr>
      <w:bookmarkStart w:id="66" w:name="__RefHeading___Toc3234712_3224264995"/>
      <w:bookmarkStart w:id="67" w:name="_Toc25"/>
      <w:bookmarkEnd w:id="66"/>
      <w:r>
        <w:rPr>
          <w:rtl w:val="true"/>
        </w:rPr>
        <w:t>و منها</w:t>
      </w:r>
      <w:r>
        <w:rPr>
          <w:rtl w:val="true"/>
        </w:rPr>
        <w:t xml:space="preserve">: </w:t>
      </w:r>
      <w:r>
        <w:rPr>
          <w:rtl w:val="true"/>
        </w:rPr>
        <w:t>الصحیحة الثانیة لزرارة</w:t>
      </w:r>
      <w:bookmarkEnd w:id="67"/>
    </w:p>
    <w:p>
      <w:pPr>
        <w:pStyle w:val="Heading6"/>
        <w:numPr>
          <w:ilvl w:val="5"/>
          <w:numId w:val="1"/>
        </w:numPr>
        <w:rPr/>
      </w:pPr>
      <w:bookmarkStart w:id="68" w:name="__RefHeading___Toc3234714_3224264995"/>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ما رواها الشیخ قدس سره بإسناده إلی الحسین بن سعید،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شی‌ء من مَنِیٍّ، فعلَّمتُ أثره إلی أن اصیب له من الماء، فأصبتُ و حضرَتِ الصلاةُ، و نسیتُ أنّ بثوبی شیئاً و صلّیت، ثمّ إنّی ذکرتُ بعد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أکن رأیت موضعه، و علمت أنّه أصابه، فطلبتُه فلم أقدر</w:t>
      </w:r>
    </w:p>
    <w:p>
      <w:pPr>
        <w:pStyle w:val="BookText"/>
        <w:rPr/>
      </w:pPr>
      <w:r>
        <w:rPr>
          <w:rFonts w:ascii="Amiri" w:hAnsi="Amiri" w:eastAsia="Amiri" w:cs="Amiri"/>
          <w:color w:val="111111"/>
          <w:sz w:val="28"/>
          <w:sz w:val="28"/>
          <w:szCs w:val="28"/>
          <w:rtl w:val="true"/>
          <w:lang w:bidi="ar-SA"/>
        </w:rPr>
        <w:t>علیه، فلمّا صلّیتُ وجدتُه؟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 لم أتیقّن ذلک، فنظرتُ فلم أرَ شیئاً، ثمّ صلّیتُ فرأیت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أصابه، و لم أدرِ أین هو فأغسله؟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علیَّ إن شککتُ أنّه أصابه شی‌ء أن أنظر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لکنّک إنّما ترید أن تذهب بالشکّ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 تعید إذا شککت فی موضع منه ثمّ رأیته، و إن لم تشکّ ثمّ رأیته رطباً قطعت الصلاة و غسلته، ثمّ بنیتَ علی الصلاة؛ لأنّک لا تدری لعلّه شی‌ء اوقع علیک، فلیس ینبغی لک أن تنقض الیقین بالشکّ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70" w:name="pg12898_147798"/>
    </w:p>
    <w:p>
      <w:pPr>
        <w:pStyle w:val="BookText"/>
        <w:rPr/>
      </w:pPr>
      <w:bookmarkEnd w:id="70"/>
      <w:r>
        <w:rPr>
          <w:rFonts w:ascii="IRNazanin" w:hAnsi="IRNazanin" w:eastAsia="IRNazanin"/>
          <w:color w:val="111111"/>
          <w:sz w:val="28"/>
          <w:sz w:val="28"/>
          <w:szCs w:val="28"/>
          <w:rtl w:val="true"/>
          <w:lang w:bidi="fa-IR"/>
        </w:rPr>
        <w:t xml:space="preserve">و رواها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حمّاد، عن حریز، عن زرارة، عن أبی جعفر علیه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 w:name="__RefHeading___Toc3234716_3224264995"/>
      <w:bookmarkStart w:id="72" w:name="_Toc27"/>
      <w:bookmarkEnd w:id="71"/>
      <w:r>
        <w:rPr>
          <w:rtl w:val="true"/>
        </w:rPr>
        <w:t>مورد الاستدلال بالروایة و احتمالاته</w:t>
      </w:r>
      <w:bookmarkEnd w:id="72"/>
    </w:p>
    <w:p>
      <w:pPr>
        <w:pStyle w:val="BookText"/>
        <w:rPr/>
      </w:pPr>
      <w:r>
        <w:rPr>
          <w:rFonts w:ascii="IRNazanin" w:hAnsi="IRNazanin" w:eastAsia="IRNazanin"/>
          <w:color w:val="111111"/>
          <w:sz w:val="28"/>
          <w:sz w:val="28"/>
          <w:szCs w:val="28"/>
          <w:rtl w:val="true"/>
          <w:lang w:bidi="fa-IR"/>
        </w:rPr>
        <w:t>و مورد الاستدلال فیها،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ظننتُ أنّه قد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ظن الإصابة، فنظر فیه و لم یحصل له العلم بها و لا بعدمها،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فهم أنّها التی قد خفیت علیه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أنّه رأی نجاسة یحتمل وقوعها بعد الصلاة، کما یحتمل أنّها هی التی خَفیتْ علیه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أنّه طلب النجاسة قبل الصلاة مع ظنّ الإصابة، فعلم بعدمها، و هذا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علم بخطائه فی علمه بالعدم قبل الصلاة، و أنّه أصابته النجاسة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یحصل له العلم بالعدم قبل الصلاة، بل یحتمل وقوعها قبل الصلاة، و یحتمل وقوعها بعد الصلاة أیضاً، فهذه أربعة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الاحتمالین الأخیرین لا تصلح الروایة للاستدلال بها للاستصحاب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الاحتمالین الأوّلین فهی ینطبق علی الاستصحاب، فالمتمسّک بها</w:t>
      </w:r>
    </w:p>
    <w:p>
      <w:pPr>
        <w:pStyle w:val="BookText"/>
        <w:rPr/>
      </w:pPr>
      <w:r>
        <w:rPr>
          <w:rFonts w:ascii="IRNazanin" w:hAnsi="IRNazanin" w:eastAsia="IRNazanin"/>
          <w:color w:val="111111"/>
          <w:sz w:val="28"/>
          <w:sz w:val="28"/>
          <w:szCs w:val="28"/>
          <w:rtl w:val="true"/>
          <w:lang w:bidi="fa-IR"/>
        </w:rPr>
        <w:t>للاستصحاب لا بدّ أن یسدّ باب الاحتمالین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إرادة الوجه الثالث؛ لأنّ المفروض فیه أنّه علم بعدم النجاسة قبل الصلاة فصلّی، ثمّ علم بوقوع الصلاة مع النجاسة و لم یکن شاکّاً؛ لینطبق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فهو ینافی جواب الإمام علیه السلام الذی فرض فیه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ینطبق الخبر بناءً علیه علی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مرجوح جدّاً؛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أنّه علم بأنّها هی التی قد خفیت علیه قبل الصلاة بعد فرض أنّه ظنّ الإصابة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أراد حصول الیقین بالعدم قبل الصلاة بعد الطلب، لم یترک مثل زرارة ذکره؛ لوضوح دخله فی موضوع الحکم و احتمال غفلة زرارة عن ذکره و إهماله لا عن عمد، خلاف القاعدة، فترکُهُ ظاهرٌ فی بقائه علی الشکّ قبل الصلاة، لا أنّه حصل له الیقین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 فی ذیل هذه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ینطبق إلّا علی الاستصحاب، و لا یتطرّق فیه هذا الاحتمال، و الإمام علیه السلام فی کلّ واحدة من الجملتین فی مقام بیان حکم واحد، فهما متّحدتان، و لا مجال لهذا الاحتمال فی الجملة الأخیرة، فکذلک الاولی لاتّحادهما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الشکّ و الیقین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هو الیقین و الشکّ الفعلیّان الموجودان فعلًا، کما فی أحد الوجهین الأوّلین، و علی کلّ واحد منهما، یمکن الاستدلال به للاستصحاب، لکنّ الأرجح فی النظر هو الاحتمال الأوّل، و علیه یتّجه هنا الإشکال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زرارة سأل عن علّة الحکم بعدم وجوب الإعادة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الإمام 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 کنتَ علی یقین من</w:t>
      </w:r>
    </w:p>
    <w:p>
      <w:pPr>
        <w:pStyle w:val="BookText"/>
        <w:rPr/>
      </w:pPr>
      <w:r>
        <w:rPr>
          <w:rFonts w:ascii="IRNazanin" w:hAnsi="IRNazanin" w:eastAsia="IRNazanin"/>
          <w:color w:val="111111"/>
          <w:sz w:val="28"/>
          <w:sz w:val="28"/>
          <w:szCs w:val="28"/>
          <w:rtl w:val="true"/>
          <w:lang w:bidi="fa-IR"/>
        </w:rPr>
        <w:t>طهارتک فشککت، و لا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هذا التعلیل بظاهره لا ینطبق علی مورد السؤال؛ لأنّ المفروض أنّه علم بوقوع الصلاة مع النجاسة، فالإعادة لیست نقضاً للیقین بالشکّ، بل بالیقین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التعلیل المذکور مبنیّ علی أنّ الشرط هو إحراز الطهارة، أو إحراز عدم النجاسة التی هی مانعة</w:t>
      </w:r>
      <w:r>
        <w:rPr>
          <w:rStyle w:val="FootnoteAnchor"/>
          <w:rtl w:val="true"/>
        </w:rPr>
        <w:footnoteReference w:id="62"/>
      </w:r>
      <w:r>
        <w:rPr>
          <w:rFonts w:ascii="IRNazanin" w:hAnsi="IRNazanin" w:eastAsia="IRNazanin"/>
          <w:color w:val="111111"/>
          <w:sz w:val="28"/>
          <w:sz w:val="28"/>
          <w:szCs w:val="28"/>
          <w:rtl w:val="true"/>
          <w:lang w:bidi="fa-IR"/>
        </w:rPr>
        <w:t>، أو علی أنّ الأمر الظاهری یقتضی الإجزاء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فی بادی النظر عدم استقامة هذا الجواب من حیث إنّ ظاهر الروایة، أنّ نفس الإعادة نقض للیقین بالشکّ بدون واسطة، لکن التحقیق صحّة هذا الجواب؛ بناء علی أنّ الطهارة شرط للصلاة، لا أنّ النجاسة مانعة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تعرّض زرارة للسؤال عن علّة الحکم بالإعادة فی الفرضین الأوّلین، و تعرّضه فی الفرض الثالث للسؤال عن علّة الحکم بعدم وجوب الإعادة؛ إنّما هو لأجل أنّ الحکم بالإعادة فی الأوّلین کان موافقاً للقاعدة فی نظره، دون الثالث لأجل عدم موافقة المأتیّ به للمأمور به؛ للإخلال بشرطه؛ أی الطهارة التی هی شرط للصلاة، و مقتضاه وجوب الإعادة لا عدمها، فأجاب علیه السلام بما یرجع إلی أنّ المأتیّ به فی الفرض موافق للمأمور به، و أنّ الصلاة المأتیّ بها مصداق للمأمور بها؛ لأنّه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من أحکام اللَّه تعالی حرمة نقض الیقین بالشکّ، و کنت فی تلک الحال مأموراً بالصلاة، و معنی أنّها مأمور بها</w:t>
      </w:r>
    </w:p>
    <w:p>
      <w:pPr>
        <w:pStyle w:val="BookText"/>
        <w:rPr/>
      </w:pPr>
      <w:r>
        <w:rPr>
          <w:rFonts w:ascii="IRNazanin" w:hAnsi="IRNazanin" w:eastAsia="IRNazanin"/>
          <w:color w:val="111111"/>
          <w:sz w:val="28"/>
          <w:sz w:val="28"/>
          <w:szCs w:val="28"/>
          <w:rtl w:val="true"/>
          <w:lang w:bidi="fa-IR"/>
        </w:rPr>
        <w:t>هو إجزاء الإتیان بها، و مرجعه أنّ الطهارة التی هی شرط للصلاة أعمّ من الواقعیّة و الظاهریّة المحرزة بالاستصحاب، و أنّ الاستصحاب یوجب التوسعة فی الطهارة التی هی شرط للصلاة، فالصلاة مع الطهارة المستصحبة مصداق حقیقیّ للمأمور بها، 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علّة لنفس عدم وجوب الإعادة، لکنّه علّة لمنشإ الحکم بعدمه، و هو أنّه کان واجداً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و عدمه لیس من الأحکام الشرعیّة، بل هما من الأحکام العقلیّة، فقوله فی الفرضین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إلی بیان عدم تحقّق مصداق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الفرض الثالث إرشاد إلی تحقّقه؛ لعدم معقولیّة الحکم بعدم الإعادة مع عدم التصرّف فی الموضوع، و لا یعقل الحکم به مع شرطیّة الطهارة الواقعیّة؛ لأنّ مقتضی شرطیّة الطهارة الواقعیّة هو الإعادة، و مقتضی عدم وجوب الإعادة مطلوبیّتها، و هو محال، فلا بدّ أن یکون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إرشاداً إلی عدم شرطیة خصوص الطهارة الواقعیّة، و أنّ الشرط هو الأعمّ منها و من الظاهریّة، کما أنّ قوله علیه السلام فی 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r>
        <w:rPr>
          <w:rFonts w:ascii="IRNazanin" w:hAnsi="IRNazanin" w:eastAsia="IRNazanin"/>
          <w:color w:val="111111"/>
          <w:sz w:val="28"/>
          <w:sz w:val="28"/>
          <w:szCs w:val="28"/>
          <w:rtl w:val="true"/>
          <w:lang w:bidi="fa-IR"/>
        </w:rPr>
        <w:t>کذلک، فإنّه إرشاد إلی عدم جزئیّة ما سوی الخمس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لیستقیم الحکم بعدم وجوب الإعادة، و إلّا یلزم الجمع بین النقیضین، فقول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عن علّة کون ذلک مصداقاً للمأمور به، فأجاب علیه السلام بما یرجع إلی أنّ مقتضی الاستصحاب، أنّ الشرط أعمّ من الطهارة الواقعیّة و الظاهریّة، و أنّ هذه الصلاة أیضاً واجدة للشرط فتصحّ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أنّ الطهارة شرط للصلاة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أنّ النجاسة مانعة عنها، فقد أتعب المیرزا النائینی قدس سره نفسه الزکیّة</w:t>
      </w:r>
    </w:p>
    <w:p>
      <w:pPr>
        <w:pStyle w:val="BookText"/>
        <w:rPr/>
      </w:pPr>
      <w:r>
        <w:rPr>
          <w:rFonts w:ascii="IRNazanin" w:hAnsi="IRNazanin" w:eastAsia="IRNazanin"/>
          <w:color w:val="111111"/>
          <w:sz w:val="28"/>
          <w:sz w:val="28"/>
          <w:szCs w:val="28"/>
          <w:rtl w:val="true"/>
          <w:lang w:bidi="fa-IR"/>
        </w:rPr>
        <w:t>فی مقام الجواب عن الإشکال علی کلا التقدیرین، و أطال الکلام فی ذلک، و احتمل فی المقام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للصلاة هی الطهارة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بالنجاسة مانع بما أنّه طریق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بها بما أنّه منجِّز للواقع و لأحکام النجاسة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فی توضیح انطباق العلّة المذکورة فی الروایة علی السؤال عن علّة عدم الإعادة؛ بناء علی شرطیّة الطهارة، و کذلک بناء علی مانعیّة النجاسة المعلومة بأحد الوجهین، سواء جعل العلّة مجموع المورد و الاستصحاب، أم خصوص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کنتَ علی 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توطئة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مرجع هذا التعلیل إلی أنّ للعلم دخلًا فی المانعیّة، و أنّ المانع هو النجس المعلوم، و معنی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 کنت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حیث لم یکن هناک مُحرِز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یتحقّق ما هو مانع، و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الشکّ ملغًی شرعاً</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بناءً علی ما ذکره معلوم العدم فی صورة الشکّ؛ لأنّ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النجس المعلوم، فله جزءان لا یکفی وجود أحدهما فی المانعیّة، و بانتفاء أحدهما ینتفی المانع، فمع الشکّ یعلم عدمه، و حینئذٍ لا یرتبط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لعدم الشکّ فی المانع حینئذٍ، و لا یحتاج إلی الحکم بإلغاء الشکّ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لیس عدم وجوب الإعادة لأجل حرمة نقض الیقین بالشکّ، بل لإتیانه بما هو مصداق حقیقیّ للصلاة، و یکفی حینئذٍ أن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w:t>
      </w:r>
    </w:p>
    <w:p>
      <w:pPr>
        <w:pStyle w:val="BookText"/>
        <w:rPr/>
      </w:pPr>
      <w:r>
        <w:rPr>
          <w:rFonts w:ascii="IRNazanin" w:hAnsi="IRNazanin" w:eastAsia="IRNazanin"/>
          <w:color w:val="111111"/>
          <w:sz w:val="28"/>
          <w:sz w:val="28"/>
          <w:szCs w:val="28"/>
          <w:rtl w:val="true"/>
          <w:lang w:bidi="fa-IR"/>
        </w:rPr>
        <w:t>کنت شاکّاً فی النجاسة من دون احتیاج إلی ذکر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جعل العلّة مجموع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بین جعل العلّة خصوص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 کنت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توطئة له، مع أنّ جعله توطئة، یستلزم عدم ارتباطه بأصل المطلب، و لم یتمّ التعلیل أیضاً؛ لعدم الشکّ فی المانع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 التعلیل مجموعهما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الاولی حینئذٍ کافیة فی الجواب، و لا یحتاج إلی الجملة الثانیة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فی مقام دفع احتمال منجزیّة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الأخباریون</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 أنّ الشکّ لیس منجِّزاً للواقع ردّاً علی احتمال منجّزیّته، و أنّ قوله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توطئة له، و یؤیّده عنایته قدس سره من أوّل کلامه إلی آخره إلی أنّ العلم بما أنّه منجِّز موضوع للمانعیّة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لا یصحِّح ما هو بصدده، فإنّه قدس سره</w:t>
      </w:r>
      <w:r>
        <w:rPr>
          <w:rStyle w:val="FootnoteAnchor"/>
          <w:rtl w:val="true"/>
        </w:rPr>
        <w:footnoteReference w:id="67"/>
      </w:r>
      <w:r>
        <w:rPr>
          <w:rFonts w:ascii="IRNazanin" w:hAnsi="IRNazanin" w:eastAsia="IRNazanin"/>
          <w:color w:val="111111"/>
          <w:sz w:val="28"/>
          <w:sz w:val="28"/>
          <w:szCs w:val="28"/>
          <w:rtl w:val="true"/>
          <w:lang w:bidi="fa-IR"/>
        </w:rPr>
        <w:t>و غیره</w:t>
      </w:r>
      <w:r>
        <w:rPr>
          <w:rStyle w:val="FootnoteAnchor"/>
          <w:rtl w:val="true"/>
        </w:rPr>
        <w:footnoteReference w:id="68"/>
      </w:r>
      <w:r>
        <w:rPr>
          <w:rFonts w:ascii="IRNazanin" w:hAnsi="IRNazanin" w:eastAsia="IRNazanin"/>
          <w:color w:val="111111"/>
          <w:sz w:val="28"/>
          <w:sz w:val="28"/>
          <w:szCs w:val="28"/>
          <w:rtl w:val="true"/>
          <w:lang w:bidi="fa-IR"/>
        </w:rPr>
        <w:t>معترف بأنّ الاستصحاب أصل مُحرز للواقع، فتحرَز به الطهارة فی المقام فی زمان الشکّ، فمفاد الاستصحاب حینئذٍ هو أنّه واجد للطهارة، سوی الحکم بعدم الاعتناء بالشکّ،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یفید هذا المعنی، مع أنّه لا یحتاج إلی إثبات أنّه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دخله فی الحکم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لو أراد ذلک فهو منافٍ لما ذکره من عدم الفرق فی اندفاع</w:t>
      </w:r>
      <w:bookmarkStart w:id="73" w:name="pg12898_147804"/>
    </w:p>
    <w:p>
      <w:pPr>
        <w:pStyle w:val="BookText"/>
        <w:rPr/>
      </w:pPr>
      <w:bookmarkEnd w:id="73"/>
      <w:r>
        <w:rPr>
          <w:rFonts w:ascii="IRNazanin" w:hAnsi="IRNazanin" w:eastAsia="IRNazanin"/>
          <w:color w:val="111111"/>
          <w:sz w:val="28"/>
          <w:sz w:val="28"/>
          <w:szCs w:val="28"/>
          <w:rtl w:val="true"/>
          <w:lang w:bidi="fa-IR"/>
        </w:rPr>
        <w:t>الإشکال بین أخذ العلم بالنجاسة بما أنّه طریق مانعاً، أو بما أنّه منجِّز، فإنّه بناء علی ما ذکره هذا المتوهِّم لا یصحّ أخذه بما أنّه طریق مانعاً فی 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فی المقام بناءً علی أنّ العلم بالنجاسة موضوع للمانعیّة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العلم جزء الموضوع؛ لأنّ المانع حینئذٍ هو النجس المعلوم، فمع انتفاء العلم تصحّ الصلاة و إن وقعت فی النجس فی نفس الأمر، کما ورد فی الأخبار</w:t>
      </w:r>
      <w:r>
        <w:rPr>
          <w:rStyle w:val="FootnoteAnchor"/>
          <w:rtl w:val="true"/>
        </w:rPr>
        <w:footnoteReference w:id="69"/>
      </w:r>
      <w:r>
        <w:rPr>
          <w:rFonts w:ascii="IRNazanin" w:hAnsi="IRNazanin" w:eastAsia="IRNazanin"/>
          <w:color w:val="111111"/>
          <w:sz w:val="28"/>
          <w:sz w:val="28"/>
          <w:szCs w:val="28"/>
          <w:rtl w:val="true"/>
          <w:lang w:bidi="fa-IR"/>
        </w:rPr>
        <w:t>، کما أنّه لو اعتقد وجود النجاسة فصلّی و انکشف عدمها، صحّت أیضاً، کما علیه الفتوی، و حینئذٍ فلا مانع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کنتَ علی 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 أحد الجزءین منفیّ بالوجدان، و هو العلم، و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بالاستصحاب، فالمراد من کلتا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فی الفرض منتفٍ بکلا جزأیه مع کفایة انتفاء أحدهما فی الصحّة، و إلّا فإشکال عدم انطباق التعلیل علی المورد باقٍ بحاله، بناء علی انّ النجاسة مانعة عن الصلاة، و لا یختصّ هذا الإشکال بالاحتمال الأوّل من الاحتمالات الأربعة المتقدّمة فی الروایة، بل یجری بناءً علی الاحتمال الثانی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الجملة الاولی من الروایة</w:t>
      </w:r>
      <w:r>
        <w:rPr>
          <w:rFonts w:eastAsia="IRNazanin" w:cs="IRNazanin"/>
          <w:color w:val="111111"/>
          <w:sz w:val="28"/>
          <w:szCs w:val="28"/>
          <w:rtl w:val="true"/>
          <w:lang w:bidi="fa-IR"/>
        </w:rPr>
        <w:t>.</w:t>
      </w:r>
    </w:p>
    <w:p>
      <w:pPr>
        <w:pStyle w:val="Heading6"/>
        <w:numPr>
          <w:ilvl w:val="5"/>
          <w:numId w:val="1"/>
        </w:numPr>
        <w:rPr/>
      </w:pPr>
      <w:bookmarkStart w:id="74" w:name="__RefHeading___Toc3234718_3224264995"/>
      <w:bookmarkStart w:id="75" w:name="_Toc28"/>
      <w:bookmarkEnd w:id="74"/>
      <w:r>
        <w:rPr>
          <w:rtl w:val="true"/>
        </w:rPr>
        <w:t>الاستدلال بالجملة الواقعة فی ذیل الروایة</w:t>
      </w:r>
      <w:bookmarkEnd w:id="75"/>
    </w:p>
    <w:p>
      <w:pPr>
        <w:pStyle w:val="BookText"/>
        <w:rPr/>
      </w:pPr>
      <w:r>
        <w:rPr>
          <w:rFonts w:ascii="IRNazanin" w:hAnsi="IRNazanin" w:eastAsia="IRNazanin"/>
          <w:color w:val="111111"/>
          <w:sz w:val="28"/>
          <w:sz w:val="28"/>
          <w:szCs w:val="28"/>
          <w:rtl w:val="true"/>
          <w:lang w:bidi="fa-IR"/>
        </w:rPr>
        <w:t>و أمّا الجملة الاخری الواقعة فی ذیل الروایة المستشهد بها للاستصحاب، فتفصیل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أنّه أصابه شی‌ء أن أنظر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لکنّک إنّما تُرید أن تذهب بالشکّ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و أنا فی الصلاة؟</w:t>
      </w:r>
    </w:p>
    <w:p>
      <w:pPr>
        <w:pStyle w:val="BookText"/>
        <w:rPr/>
      </w:pPr>
      <w:r>
        <w:rPr>
          <w:rFonts w:ascii="IRNazanin" w:hAnsi="IRNazanin" w:eastAsia="IRNazanin"/>
          <w:color w:val="111111"/>
          <w:sz w:val="28"/>
          <w:sz w:val="28"/>
          <w:szCs w:val="28"/>
          <w:rtl w:val="true"/>
          <w:lang w:bidi="fa-IR"/>
        </w:rPr>
        <w:t>فأجاب علیه السلام بما یرجع إلی أنّ هذا علی قسمین؛ یجب استئناف الصلاة فی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علم فی أثناء الصلاة بأنّه الذی شکّ فیه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یعلم بذلک، بل احتمل وقوعه فی أثناء الصلاة، فلا ینقض الصلاة، بل یغسله و یبنی علی صلاته، و یستأنف الصلاة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تشکّ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احتمالان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علمه بعدم النجاسة 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ینقدح الشکّ فی ذهنک، بل أخذت فی الصلاة علی غفلة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منطبق علی قاعدة الفراغ، لکن الظاهر هو الثانی، کما أنّه کثیراً ما یتّفق ذلک للمصلّی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فهنا إشکالان بناء علی الاحتمال الأوّل من الاحتمالات المتقدّمة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الفرق بین ما لو علم بوقوع تمام الصلاة فی النجاسة، و بین وقوع بعضها فیها؛ حیث حکم علیه السلام بعدم وجوب الإعادة فی الأوّل، و بوجوبها فی الثانی فی القسم الأوّل من الجملة الثانیة؟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القسمین الأخیرین؟ حیث حکم الإمام علیه السلام بنقض الصلاة و وجوب الإعادة فی الأوّل منهما دون الثانی، مع جریان الاستصحاب بالنسبة إلی ما مضی من الصلاة فی القسم الأوّل، و أمّا بالنسبة إلی ما بقی منها بعد العلم</w:t>
      </w:r>
    </w:p>
    <w:p>
      <w:pPr>
        <w:pStyle w:val="BookText"/>
        <w:rPr/>
      </w:pPr>
      <w:r>
        <w:rPr>
          <w:rFonts w:ascii="IRNazanin" w:hAnsi="IRNazanin" w:eastAsia="IRNazanin"/>
          <w:color w:val="111111"/>
          <w:sz w:val="28"/>
          <w:sz w:val="28"/>
          <w:szCs w:val="28"/>
          <w:rtl w:val="true"/>
          <w:lang w:bidi="fa-IR"/>
        </w:rPr>
        <w:t>بالنجاسة، فیمکن تصحیحه بالأخبار الواردة فی الرُّعاف العارض فی أثناء الصلاة</w:t>
      </w:r>
      <w:r>
        <w:rPr>
          <w:rStyle w:val="FootnoteAnchor"/>
          <w:rtl w:val="true"/>
        </w:rPr>
        <w:footnoteReference w:id="70"/>
      </w:r>
      <w:r>
        <w:rPr>
          <w:rFonts w:ascii="IRNazanin" w:hAnsi="IRNazanin" w:eastAsia="IRNazanin"/>
          <w:color w:val="111111"/>
          <w:sz w:val="28"/>
          <w:sz w:val="28"/>
          <w:szCs w:val="28"/>
          <w:rtl w:val="true"/>
          <w:lang w:bidi="fa-IR"/>
        </w:rPr>
        <w:t>، الدالّة علی أنّه لا یقطع الصلاة، بل یغسله و یبنی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إنّما یجری بالنسبة إلی ما مضی من صلاته حال الجهل بالنجاسة فی کلا القسمین المذکورین فی الجملة الأخیرة، و أمّا بالنسبة إلی ما بقی بعد علمه بالنجاسة، فلا یجری الاستصحاب فی القسم الثانی أیضاً، و للحکم بصحّة الصلاة بالنسبة إلیه، دلیل آخر موجود فی القسم الأوّل منهما، و هو أخبار الرُّعاف، فکیف حَکَم علیه السلام بوجوب الإعادة فی الأوّل دون الثانی؟ و لذا قد یرجّح الاحتمال الأوّل من الاحتمالات الأربعة المذکورة؛ لعدم ورود هذین الإشکالین 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بالضمیر المشار به إلی ما شکّ فیه أوّلًا، و لم یأتِ بالضمیر فی الجملة الاولی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هذین الإشکالین، و توضیحه یحتاج إلی تقدیم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ریب فی أنّ للصلاة هیئةً اتّصالیّة، کما هو المرتکز فی أذهان المتشرّعة، فیعدّ المصلّی بعد الشروع فی الصلاة بتکبیرة الاحرام داخلًا فیها إلی أن یفرغ عنها بالتسلیم؛ من غیر فرق بین حال الذّکر و القراءة و بین حال اشتغاله بأفعالها و بین الأکوان المتخلّلة، فهی أمر ممتدّ إلی أن یقع الفراغ منها، و لذلک عبّر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و نحوه قاطع أو ناقض</w:t>
      </w:r>
      <w:r>
        <w:rPr>
          <w:rStyle w:val="FootnoteAnchor"/>
          <w:rtl w:val="true"/>
        </w:rPr>
        <w:footnoteReference w:id="71"/>
      </w:r>
      <w:r>
        <w:rPr>
          <w:rFonts w:ascii="IRNazanin" w:hAnsi="IRNazanin" w:eastAsia="IRNazanin"/>
          <w:color w:val="111111"/>
          <w:sz w:val="28"/>
          <w:sz w:val="28"/>
          <w:szCs w:val="28"/>
          <w:rtl w:val="true"/>
          <w:lang w:bidi="fa-IR"/>
        </w:rPr>
        <w:t>، فلو لا أنّها أمر ممتدّ لم یناسب هذا التعبیر، و حینئذٍ فإن اعتُبر شی‌ء فی الصلاة کالطهارة من الحدث و الستر و الاستقبال، فهو معتبر فی جمیع أکوانها حتی المتخلِّلة بین الأفعال و الأذکار إلّا أن یدلّ دلیل خاصّ علی خلاف</w:t>
      </w:r>
    </w:p>
    <w:p>
      <w:pPr>
        <w:pStyle w:val="BookText"/>
        <w:rPr/>
      </w:pPr>
      <w:r>
        <w:rPr>
          <w:rFonts w:ascii="IRNazanin" w:hAnsi="IRNazanin" w:eastAsia="IRNazanin"/>
          <w:color w:val="111111"/>
          <w:sz w:val="28"/>
          <w:sz w:val="28"/>
          <w:szCs w:val="28"/>
          <w:rtl w:val="true"/>
          <w:lang w:bidi="fa-IR"/>
        </w:rPr>
        <w:t>ذلک، و ورد فی خصوص الرُّعاف أخبار تدلّ علی أنّه لو عرض الحدث فی أثناء الصلاة یغسله، و یبنی علی صلاته و لا ینقضها، و لکنّها فی خصوص العارض فی أثناء الصلاة، و أمّا لو علم فی أثناء الصلاة بالنجاسة التی عرضت قبل الصلاة فلا تعمّه هذه الأخبار، و کذا لو أرعف نفسه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إلغاء الخصوصیّة</w:t>
      </w:r>
      <w:r>
        <w:rPr>
          <w:rStyle w:val="FootnoteAnchor"/>
          <w:rtl w:val="true"/>
        </w:rPr>
        <w:footnoteReference w:id="72"/>
      </w:r>
      <w:r>
        <w:rPr>
          <w:rFonts w:ascii="IRNazanin" w:hAnsi="IRNazanin" w:eastAsia="IRNazanin"/>
          <w:color w:val="111111"/>
          <w:sz w:val="28"/>
          <w:sz w:val="28"/>
          <w:szCs w:val="28"/>
          <w:rtl w:val="true"/>
          <w:lang w:bidi="fa-IR"/>
        </w:rPr>
        <w:t>ممنوعة، نعم یمکن دعواه بالنسبة إلی غیر الرُّعاف من النجاسات لو وقعت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صحّة الصلاة فیما لو انکشف بعدها وقوعها بتمامها فی الجنس، فلأنّها مقتضی الاستصحاب بالنسبة إلی تمام الصلاة، و هو ممّا یحرز به المصداق؛ لما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مسألة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الظاهریّة تقتضی الإجزاء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القسم الأوّل من الفرعین الأخیرین و بین الفرض الأوّل و بینهما فی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الاستصحاب و إن کان جاریاً بالنسبة إلی ما مضی من الصلاة فی کلّ واحد من الفرعین الأخیرین، لکنّه لا یفید بالنسبة إلی ما بقی من الصلاة حتّی فی الفرع الأخیر منهما؛ لأنّه لا یُثبت عروض النجاسة فی أثناء الصلاة لتشمله أخبار الرُّعاف؛ للشکّ فی عروضها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للشکّ فی مانعیّة الموجود علی أظهر الوجهین من أنّ النجاسة مانعة، لا أنّ الطهارة شرط، فحال الصلاة بالنسبة إلی ما بقی منها حالها مع اللباس المشکوک أنّه من مأکول اللحم أو لا؛ لأنّ هذه مانعة علی تقدیر وجودها قبل الصلاة و غیر مانعة علی تقدیر عروضها فی الأثناء لأخبار الرُّعاف، و حینئذٍ فلا مانع من جریان الأصل العقلی فیه، کما هو المختار فی اللباس المشکوک، فالاستصحاب مصحِّح بالنسبة إلی ما مضی من الصلاة</w:t>
      </w:r>
      <w:r>
        <w:rPr>
          <w:rFonts w:eastAsia="IRNazanin" w:cs="IRNazanin"/>
          <w:color w:val="111111"/>
          <w:sz w:val="28"/>
          <w:szCs w:val="28"/>
          <w:rtl w:val="true"/>
          <w:lang w:bidi="fa-IR"/>
        </w:rPr>
        <w:t>.</w:t>
      </w:r>
      <w:bookmarkStart w:id="76" w:name="pg12898_147808"/>
    </w:p>
    <w:p>
      <w:pPr>
        <w:pStyle w:val="BookText"/>
        <w:rPr/>
      </w:pPr>
      <w:bookmarkEnd w:id="76"/>
      <w:r>
        <w:rPr>
          <w:rFonts w:ascii="IRNazanin" w:hAnsi="IRNazanin" w:eastAsia="IRNazanin"/>
          <w:color w:val="111111"/>
          <w:sz w:val="28"/>
          <w:sz w:val="28"/>
          <w:szCs w:val="28"/>
          <w:rtl w:val="true"/>
          <w:lang w:bidi="fa-IR"/>
        </w:rPr>
        <w:t>و أمّا بالنسبة إلی ما بقی فالاستصحاب المذکور و إن لا یثبت عروض النجاسة فی الأثناء، و لا تشمله أخبار الرُّعاف أیضاً؛ لأنّه شبهة مصداقیّة لها، لکن أصالة عدم المانعیّة جاریة بالنسبة إلی ما بقی، بخلاف الفرع الأوّل منهما؛ لمکان العلم بمانعیّتها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لم یصرِّح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الاستصحاب، هو استصحاب عدم النجاسة، فلعلّ المراد به استصحاب بقاء الهیئة الاتّصالیّة للصلاة الثابتة قبل رؤیة النجاسة؛ لما عرفت من أنّ الصلاة أمر ممتدّ یوجد متدرّجاً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بجریان استصحاب عدم المانع للعلم بعدمه قبل الأخذ فی الصلاة و قبل الرؤیة، علی إشکال فی جریان الاستصحاب بالنسبة إلی عدم المانع و إن کان جاریاً بالنسبة إلی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مصحِّح للصلاة فی الفرع الأوّل من الفرعین الأخیرین، بخلاف الثانی منهما، فإنّه یمکن تصحیحها بأحد الوجوه الثلاثة المذکورة، و بذلک ینحلّ الإشکالان المذکوران</w:t>
      </w:r>
      <w:r>
        <w:rPr>
          <w:rFonts w:eastAsia="IRNazanin" w:cs="IRNazanin"/>
          <w:color w:val="111111"/>
          <w:sz w:val="28"/>
          <w:szCs w:val="28"/>
          <w:rtl w:val="true"/>
          <w:lang w:bidi="fa-IR"/>
        </w:rPr>
        <w:t>.</w:t>
      </w:r>
    </w:p>
    <w:p>
      <w:pPr>
        <w:pStyle w:val="Heading5"/>
        <w:numPr>
          <w:ilvl w:val="4"/>
          <w:numId w:val="1"/>
        </w:numPr>
        <w:rPr/>
      </w:pPr>
      <w:bookmarkStart w:id="77" w:name="__RefHeading___Toc3234720_3224264995"/>
      <w:bookmarkStart w:id="78" w:name="_Toc29"/>
      <w:bookmarkEnd w:id="77"/>
      <w:r>
        <w:rPr>
          <w:rtl w:val="true"/>
        </w:rPr>
        <w:t>و منها</w:t>
      </w:r>
      <w:r>
        <w:rPr>
          <w:rtl w:val="true"/>
        </w:rPr>
        <w:t xml:space="preserve">: </w:t>
      </w:r>
      <w:r>
        <w:rPr>
          <w:rtl w:val="true"/>
        </w:rPr>
        <w:t>الصحیحة الثالثة لزرارة</w:t>
      </w:r>
      <w:bookmarkEnd w:id="78"/>
    </w:p>
    <w:p>
      <w:pPr>
        <w:pStyle w:val="Heading6"/>
        <w:numPr>
          <w:ilvl w:val="5"/>
          <w:numId w:val="1"/>
        </w:numPr>
        <w:rPr/>
      </w:pPr>
      <w:bookmarkStart w:id="79" w:name="__RefHeading___Toc3234722_3224264995"/>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رواها الکلینی قدس سره عن علیّ بن إبراهیم، عن أبیه، و محمّد بن إسماعیل، عن الفضل بن شاذان جمیعاً، عن حمّاد بن عیسی، عن حریز،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أربع هو أم فی ثنتین و قد أحرز الثنتین؟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رکعتین و أربع سجدات و هو قائم بفاتحة الکتاب و یتشهّد، و لا شی‌ء علیه، و إذا لم یدرِ فی ثلاث هو أو فی أربع و قد أحرز الثلاث، قام فأضاف إلیها اخری، و لا شی‌ء علیه، و لا ینقض الیقین بالشکّ، و لا یدخل الشکّ فی الیقین، و لا یخلط أحدهما بالآخر، و لکنّه ینقض الشکّ بالیقین، و یتمّ علی الیقین، فیبنی</w:t>
      </w:r>
    </w:p>
    <w:p>
      <w:pPr>
        <w:pStyle w:val="BookText"/>
        <w:rPr/>
      </w:pPr>
      <w:r>
        <w:rPr>
          <w:rFonts w:ascii="IRNazanin" w:hAnsi="IRNazanin" w:eastAsia="IRNazanin"/>
          <w:color w:val="111111"/>
          <w:sz w:val="28"/>
          <w:sz w:val="28"/>
          <w:szCs w:val="28"/>
          <w:rtl w:val="true"/>
          <w:lang w:bidi="fa-IR"/>
        </w:rPr>
        <w:t>علیه، و لا یعتدّ بالشکّ فی حال من الحالات</w:t>
      </w:r>
      <w:r>
        <w:rPr>
          <w:rFonts w:eastAsia="IRNazanin" w:cs="IRNazanin"/>
          <w:color w:val="111111"/>
          <w:sz w:val="28"/>
          <w:szCs w:val="28"/>
          <w:rtl w:val="true"/>
          <w:lang w:bidi="fa-IR"/>
        </w:rPr>
        <w:t>)</w:t>
      </w:r>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القرائن الخارجیّة و الاحتمالات الآتیة التی 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یأتی بالرکعتین الأخیرتین متّصلتین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إرادة الانفصال، و أنّه لیس مورد التقیّة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العامّة من یقول بتعیّن التسبیحات فی الأخیرتین، بل ذهب بعضهم إلی تعیّن الفاتحة فیهما کالشافعیّ و الأوزاعی</w:t>
      </w:r>
      <w:r>
        <w:rPr>
          <w:rStyle w:val="FootnoteAnchor"/>
          <w:rtl w:val="true"/>
        </w:rPr>
        <w:footnoteReference w:id="75"/>
      </w:r>
      <w:r>
        <w:rPr>
          <w:rFonts w:ascii="IRNazanin" w:hAnsi="IRNazanin" w:eastAsia="IRNazanin"/>
          <w:color w:val="111111"/>
          <w:sz w:val="28"/>
          <w:sz w:val="28"/>
          <w:szCs w:val="28"/>
          <w:rtl w:val="true"/>
          <w:lang w:bidi="fa-IR"/>
        </w:rPr>
        <w:t>، و الإمام الصادق علیه السلام و إن لم یتّقِ منهما لتأخّر زمانهما عن زمانه علیه السلام، لکن الظاهر أنّ هذه الفتوی منهم کانت قبلهما أیضاً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عدم تعیّن الفاتحة فیهما عندنا أیضاً، فلعلّ ذکرها من جهة أنّها الأفضل من التسبیحات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الفاتحة لا یُنافی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الفرض الثانی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الاتّصال، لکنّه خلاف ما استقرّ علیه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المتعدّدة فی ذیلها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bookmarkStart w:id="81" w:name="pg12898_147810"/>
    </w:p>
    <w:p>
      <w:pPr>
        <w:pStyle w:val="BookText"/>
        <w:rPr/>
      </w:pPr>
      <w:bookmarkEnd w:id="81"/>
      <w:r>
        <w:rPr>
          <w:rFonts w:ascii="Amiri" w:hAnsi="Amiri" w:eastAsia="Amiri" w:cs="Amiri"/>
          <w:color w:val="111111"/>
          <w:sz w:val="28"/>
          <w:sz w:val="28"/>
          <w:szCs w:val="28"/>
          <w:rtl w:val="true"/>
          <w:lang w:bidi="ar-SA"/>
        </w:rPr>
        <w:t xml:space="preserve">بالشکّ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أنّ له علیه السلام عنایة فی المطلب الذی أراده، و أنّ المراد عدم ضمّ الاحتیاط إلی أصل الصلاة و لزوم الإتیان بصلاة الاحتیاط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بَدْو النظر، لکن ذکروا فی مفاد الروایة احتمالات</w:t>
      </w:r>
      <w:r>
        <w:rPr>
          <w:rFonts w:eastAsia="IRNazanin" w:cs="IRNazanin"/>
          <w:color w:val="111111"/>
          <w:sz w:val="28"/>
          <w:szCs w:val="28"/>
          <w:rtl w:val="true"/>
          <w:lang w:bidi="fa-IR"/>
        </w:rPr>
        <w:t>:</w:t>
      </w:r>
    </w:p>
    <w:p>
      <w:pPr>
        <w:pStyle w:val="Heading6"/>
        <w:numPr>
          <w:ilvl w:val="5"/>
          <w:numId w:val="1"/>
        </w:numPr>
        <w:rPr/>
      </w:pPr>
      <w:bookmarkStart w:id="82" w:name="__RefHeading___Toc3234724_3224264995"/>
      <w:bookmarkStart w:id="83" w:name="_Toc31"/>
      <w:bookmarkEnd w:id="82"/>
      <w:r>
        <w:rPr>
          <w:rtl w:val="true"/>
        </w:rPr>
        <w:t>الاحتمالات التی فی مفاد الروایة</w:t>
      </w:r>
      <w:bookmarkEnd w:id="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الفیض الکاشانی قدس سره، و هو أنّ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یرفع الید عن الرکعتین المحرَزتین بسبب وقوع الشکّ فی الإتیان بالباقی؛ بأن یستأنف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الشکّ بین الاثنتین و الأربع و بین الثلاث و الأربع، لا یدخل الیقین؛ بأن یمضی و یکتفی بالأوّلتین، بل یأتی بالأخیرتین أیضاً، 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یخلط أحدهما بالآخر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یأتی بالرکعتین أو الرکعة؛ لیرتفع الشکّ، و لا یکتفی بالأوّلتین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تعرّض فی الروایة بالإتیان منفصلًا أو متّصلًا؛ بناء علی هذا الاحتمال، و علیه فلا ارتباط للروایة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الإتیان بصلاة الاحتیاط متّصلة أو منفصلة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ذکر فی الأوّل، لکن المقصود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أحدهما بالآخر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أنّه لا یضمّ صلاة الاحتیاط بالمتیقّن؛ بأن یأتی بها متّصلة، بل یأتی بها منفصلةً؛ دفعاً لما هو ظاهر الجملة الاولی</w:t>
      </w:r>
    </w:p>
    <w:p>
      <w:pPr>
        <w:pStyle w:val="BookText"/>
        <w:rPr/>
      </w:pPr>
      <w:r>
        <w:rPr>
          <w:rFonts w:ascii="IRNazanin" w:hAnsi="IRNazanin" w:eastAsia="IRNazanin"/>
          <w:color w:val="111111"/>
          <w:sz w:val="28"/>
          <w:sz w:val="28"/>
          <w:szCs w:val="28"/>
          <w:rtl w:val="true"/>
          <w:lang w:bidi="fa-IR"/>
        </w:rPr>
        <w:t>من الإتیان بالاحتیاط متّصلة، فإنّه لو أتی بها متّصلة فقد أدخل المشکوک فی المتیقّن و خلط أحدهما بالآخر؛ لأنّه مع الاتّصال یحتمل الإتیان بست رکعات، فإنّ الخلط لغةً</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الضمّ، أو الامتزاج</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الاحتمال أقرب من الأوّل؛ حیث إنّ متعلّق النهی فیه أمر اختیاری، و هو ضمّ المشکوک من الصلاة إلی المتیقّن منها، بخلافه علی الأوّل، فإنّه غیر اختیاریّ؛ لأنّه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صلّی أربعاً فی الواقع فقد اختلط المشکوک بالمتیقّن، أو لا، و علی أیّ تقدیر فهو أمر غیر اختیاریّ، لکن بناء علی هذا الاحتمال لا یرتبط الخبر بالاستصحاب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عدمُ نقض الیقین بالاکتفاء بالرکعتین و عدم الإتیان بالأخیرتین بالشکّ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یدخل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ما ذکره الفیض قدس سره، و یحتمل ما ذکر فی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یبنی علی عدم الإتیان بالرکعتین الأخیرتین، و یأتی بهما منفصلتین، فقد ذکر علیه السلام ما هو المذهب الحقّ علی وجهٍ لا یُنافی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و المیرزا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مطلق بالنسبة إلی الاتّصال و الانفصال، فیمکن تقییده بالانفصال بدلیل آخر</w:t>
      </w:r>
      <w:r>
        <w:rPr>
          <w:rStyle w:val="FootnoteAnchor"/>
          <w:rtl w:val="true"/>
        </w:rPr>
        <w:footnoteReference w:id="80"/>
      </w:r>
      <w:r>
        <w:rPr>
          <w:rFonts w:ascii="IRNazanin" w:hAnsi="IRNazanin" w:eastAsia="IRNazanin"/>
          <w:color w:val="111111"/>
          <w:sz w:val="28"/>
          <w:sz w:val="28"/>
          <w:szCs w:val="28"/>
          <w:rtl w:val="true"/>
          <w:lang w:bidi="fa-IR"/>
        </w:rPr>
        <w:t>، و زاد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منه علیه السلام لیس فی مقام بیان</w:t>
      </w:r>
    </w:p>
    <w:p>
      <w:pPr>
        <w:pStyle w:val="BookText"/>
        <w:rPr/>
      </w:pPr>
      <w:r>
        <w:rPr>
          <w:rFonts w:ascii="IRNazanin" w:hAnsi="IRNazanin" w:eastAsia="IRNazanin"/>
          <w:color w:val="111111"/>
          <w:sz w:val="28"/>
          <w:sz w:val="28"/>
          <w:szCs w:val="28"/>
          <w:rtl w:val="true"/>
          <w:lang w:bidi="fa-IR"/>
        </w:rPr>
        <w:t>الوظیفة، بل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یبنی علی الیقین و عدم الإتیان بالمشکوک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فی الاتّصال، لکنّه ظهور تصوّریّ لا تصدیقیّ، و قوله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عن الظهور التصدیقی، فإنّ للمتکلّم أن یلحق بکلامه ما شاء ما دام لم یتحقّق الفراغ منه، فلیس ذلک من قبیل تقیید المطلق، و مقتضی استصحاب عدم الإتیان بالمشکوک هو وجوب الإتیان به، فهو علیه السلام فی مقام بیان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بالیقین، هو الیقین بالبراءة بالبناء علی الأکثر و الإتیان بما یحتمل نقصه منفصلًا، و تدلّ علیه أخبار مذکورة فی أحکام الشکوک،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p>
    <w:p>
      <w:pPr>
        <w:pStyle w:val="BookText"/>
        <w:rPr/>
      </w:pPr>
      <w:r>
        <w:rPr>
          <w:rStyle w:val="FootnoteAnchor"/>
          <w:rtl w:val="true"/>
        </w:rPr>
        <w:footnoteReference w:id="82"/>
      </w:r>
      <w:r>
        <w:rPr>
          <w:rFonts w:ascii="IRNazanin" w:hAnsi="IRNazanin" w:eastAsia="IRNazanin"/>
          <w:color w:val="111111"/>
          <w:sz w:val="28"/>
          <w:sz w:val="28"/>
          <w:szCs w:val="28"/>
          <w:rtl w:val="true"/>
          <w:lang w:bidi="fa-IR"/>
        </w:rPr>
        <w:t>، و فسّره السیّد المرتضی قدس سره بالیقین بالبراءة بما ذکر، و غیره من الأخبار</w:t>
      </w:r>
      <w:r>
        <w:rPr>
          <w:rStyle w:val="FootnoteAnchor"/>
          <w:rtl w:val="true"/>
        </w:rPr>
        <w:footnoteReference w:id="83"/>
      </w:r>
      <w:r>
        <w:rPr>
          <w:rFonts w:ascii="IRNazanin" w:hAnsi="IRNazanin" w:eastAsia="IRNazanin"/>
          <w:color w:val="111111"/>
          <w:sz w:val="28"/>
          <w:sz w:val="28"/>
          <w:szCs w:val="28"/>
          <w:rtl w:val="true"/>
          <w:lang w:bidi="fa-IR"/>
        </w:rPr>
        <w:t>، و الأمر دائر بین حملها علی التقیّة و بین هذا الاحتمال، و التقیّة خلاف الظاهر، و هذا الاحتمال و إن کان بعیداً فی نفسه لکنّه أولی من الحمل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هذه الجمل بیان قواعد کلّیّة، و الاستصحاب منها و بعض مصادیقها، و أنّ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حقیقة الیقین لا بدّ أن لا یُنقض بالشکّ، فیعمّ نقضه بمعنی رفع الید عنه و إبطاله و استئناف الصلاة، و نقض الیقین بالاکتفاء به و عدم الإتیان بالمشکوک، فإنّ کلّ واحد منهما نقض للیقین بالشکّ، و الثانی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یخلط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فإن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لا بدّ أن یکون متعلّق النهی أمراً اختیاریّاً، فمعناه عدم ضمّ المشکوک إلی المتیقّن و الإتیان به متّصلًا، بل یأتی به منفصلًا، و إلّا فالمستفاد منهما أیضاً قاعدة کلّیّة، و هذا المورد بعض مصادیقها، و هو عدم ضمّ المشکوک إلی المتیقّن، و ما ذکره الفیض قدس سره من المعنی مصداق آخر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یأتی بما یحتمل نقصه؛ لیحصل الیقین، و علی هذا الاحتمال فالروایة تدلّ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ترجیح هذا الاحتمال علی الاحتمالات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الیقین و الشکّ مستعملان فی معناهما الحقیقی علی هذا الاحتمال فی جمیع الجمل، بخلافهما علی احتمال الفیض، فإنّ الشکّ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یراد منه المشکوک علی الاحتمال الذی ذکره الفیض قدس سره، و کذا الیقین و الشکّ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بهما المتیقّن و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خصوص الاستصحاب و عدم شموله للاحتمال الآخر من حیث اتّحاد سیاقها مع روایته الاخری التی لا ریب فی أنّ المراد بها الاستصحاب، إلّا أن یمنع ذلک بدعوی إمکان إرادتهما فیها أیضاً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 الاستدلال بهذه الروایة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متروک لا یُعمل به فی رکعات الصلاة، و هو ملغًی فیها عند الأئمّة علیهم السلام، و إلّا فلا وجه للإتیان بالمشکوک بعد الصلاة منفصلًا من باب الاحتیاط، کما عُبِّر عنه به فی لسان الفقهاء</w:t>
      </w:r>
      <w:r>
        <w:rPr>
          <w:rStyle w:val="FootnoteAnchor"/>
          <w:rtl w:val="true"/>
        </w:rPr>
        <w:footnoteReference w:id="84"/>
      </w:r>
      <w:r>
        <w:rPr>
          <w:rFonts w:ascii="IRNazanin" w:hAnsi="IRNazanin" w:eastAsia="IRNazanin"/>
          <w:color w:val="111111"/>
          <w:sz w:val="28"/>
          <w:sz w:val="28"/>
          <w:szCs w:val="28"/>
          <w:rtl w:val="true"/>
          <w:lang w:bidi="fa-IR"/>
        </w:rPr>
        <w:t>، المأخوذ من الأخبار الدالّة علی أنّ الإتیان به إنّما هو لأجل جبران النقص</w:t>
      </w:r>
      <w:bookmarkStart w:id="84" w:name="pg12898_147814"/>
    </w:p>
    <w:p>
      <w:pPr>
        <w:pStyle w:val="BookText"/>
        <w:rPr/>
      </w:pPr>
      <w:bookmarkEnd w:id="84"/>
      <w:r>
        <w:rPr>
          <w:rFonts w:ascii="IRNazanin" w:hAnsi="IRNazanin" w:eastAsia="IRNazanin"/>
          <w:color w:val="111111"/>
          <w:sz w:val="28"/>
          <w:sz w:val="28"/>
          <w:szCs w:val="28"/>
          <w:rtl w:val="true"/>
          <w:lang w:bidi="fa-IR"/>
        </w:rPr>
        <w:t>المحتمل فی الصلاة واقعاً، و أنّه علی تقدیر تمامیّة أصل الصلاة یُعدّ نافلة</w:t>
      </w:r>
      <w:r>
        <w:rPr>
          <w:rStyle w:val="FootnoteAnchor"/>
          <w:rtl w:val="true"/>
        </w:rPr>
        <w:footnoteReference w:id="85"/>
      </w:r>
      <w:r>
        <w:rPr>
          <w:rFonts w:ascii="IRNazanin" w:hAnsi="IRNazanin" w:eastAsia="IRNazanin"/>
          <w:color w:val="111111"/>
          <w:sz w:val="28"/>
          <w:sz w:val="28"/>
          <w:szCs w:val="28"/>
          <w:rtl w:val="true"/>
          <w:lang w:bidi="fa-IR"/>
        </w:rPr>
        <w:t>، فلو کان ذلک لأجل الاستصحاب فهو لا یناسب التعبیر بالاحتیاط منفصلًا، بل یجب الإتیان بها جزماً، کما فی الاستصحاب فی باب الوضوء و نحوه، و حینئذٍ فالاستدلال بهذه الروایة للاستصحاب غیر مستقیم، خصوصاً مع تطرُّق الاحتمالات الکثیرة المتقدّمة فیها مع احتمال التقیّة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3234726_3224264995"/>
      <w:bookmarkStart w:id="86" w:name="_Toc32"/>
      <w:bookmarkEnd w:id="85"/>
      <w:r>
        <w:rPr>
          <w:rtl w:val="true"/>
        </w:rPr>
        <w:t>و منها</w:t>
      </w:r>
      <w:r>
        <w:rPr>
          <w:rtl w:val="true"/>
        </w:rPr>
        <w:t xml:space="preserve">: </w:t>
      </w:r>
      <w:r>
        <w:rPr>
          <w:rtl w:val="true"/>
        </w:rPr>
        <w:t>روایة إسحاق بن عمّار</w:t>
      </w:r>
      <w:bookmarkEnd w:id="86"/>
    </w:p>
    <w:p>
      <w:pPr>
        <w:pStyle w:val="BookText"/>
        <w:rPr/>
      </w:pPr>
      <w:r>
        <w:rPr>
          <w:rFonts w:ascii="IRNazanin" w:hAnsi="IRNazanin" w:eastAsia="IRNazanin"/>
          <w:color w:val="111111"/>
          <w:sz w:val="28"/>
          <w:sz w:val="28"/>
          <w:szCs w:val="28"/>
          <w:rtl w:val="true"/>
          <w:lang w:bidi="fa-IR"/>
        </w:rPr>
        <w:t>رواها الصدوق بإسناده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المضبوط فی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w:t>
      </w:r>
      <w:r>
        <w:rPr>
          <w:rStyle w:val="FootnoteAnchor"/>
          <w:rtl w:val="true"/>
        </w:rPr>
        <w:footnoteReference w:id="88"/>
      </w:r>
      <w:r>
        <w:rPr>
          <w:rFonts w:ascii="IRNazanin" w:hAnsi="IRNazanin" w:eastAsia="IRNazanin"/>
          <w:color w:val="111111"/>
          <w:sz w:val="28"/>
          <w:sz w:val="28"/>
          <w:szCs w:val="28"/>
          <w:rtl w:val="true"/>
          <w:lang w:bidi="fa-IR"/>
        </w:rPr>
        <w:t>، و لکنّه اشتباه، بل هی لإسحاق بن عمّار، و لعلّ الشیخ قدس سره أخذ السند من الروایة التی قبلها فی الوسائل، و کیف کان فهی لإسحاق بن عمّار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لیست موثّقة؛ لوقوع علیّ بن السندی فی سند الصدوق إلی إسحاق بن</w:t>
      </w:r>
    </w:p>
    <w:p>
      <w:pPr>
        <w:pStyle w:val="BookText"/>
        <w:rPr/>
      </w:pPr>
      <w:r>
        <w:rPr>
          <w:rFonts w:ascii="Amiri" w:hAnsi="Amiri" w:eastAsia="Amiri" w:cs="Amiri"/>
          <w:color w:val="111111"/>
          <w:sz w:val="28"/>
          <w:sz w:val="28"/>
          <w:szCs w:val="28"/>
          <w:rtl w:val="true"/>
          <w:lang w:bidi="ar-SA"/>
        </w:rPr>
        <w:t>عمّار، و لم یوثِّقه إلّا نصر بن صباح</w:t>
      </w:r>
      <w:r>
        <w:rPr>
          <w:rStyle w:val="FootnoteAnchor"/>
          <w:rtl w:val="true"/>
        </w:rPr>
        <w:footnoteReference w:id="89"/>
      </w:r>
      <w:r>
        <w:rPr>
          <w:rFonts w:ascii="IRNazanin" w:hAnsi="IRNazanin" w:eastAsia="IRNazanin"/>
          <w:color w:val="111111"/>
          <w:sz w:val="28"/>
          <w:sz w:val="28"/>
          <w:szCs w:val="28"/>
          <w:rtl w:val="true"/>
          <w:lang w:bidi="fa-IR"/>
        </w:rPr>
        <w:t>، و نصر أیضاً لم یوثّقه غیر نفسه؛ حیث روی ما یتضمّن مدح نفسه</w:t>
      </w:r>
      <w:r>
        <w:rPr>
          <w:rStyle w:val="FootnoteAnchor"/>
          <w:rtl w:val="true"/>
        </w:rPr>
        <w:footnoteReference w:id="90"/>
      </w:r>
      <w:r>
        <w:rPr>
          <w:rFonts w:ascii="IRNazanin" w:hAnsi="IRNazanin" w:eastAsia="IRNazanin"/>
          <w:color w:val="111111"/>
          <w:sz w:val="28"/>
          <w:sz w:val="28"/>
          <w:szCs w:val="28"/>
          <w:rtl w:val="true"/>
          <w:lang w:bidi="fa-IR"/>
        </w:rPr>
        <w:t>، و لا یُعتمد علی ذلک، و لعلّه لکفایة ذلک فی التوثیق عند الشیخ قدس سره عبّر عنها بالموثّقة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فقه الروایة و أنّ المراد من الشکّ فیها هو فی خصوص الرکعات للصلاة، أو أنّ المراد إفادة قاعدة کلّیّة حکم فیها بالبناء علی الیقین فی کلّ ما شُکّ فیه، إلّا أنّها خُصِّصت بغیر الشکّ فی رکعات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إشکال فی دلالتها علی الاستصحاب، و لکن لا یبعد الأوّل، کما یشهد له التعبیر بذلک فی کثیر من الروایات الواردة فی الشکّ فی الرکعات، مثل روایة</w:t>
      </w:r>
    </w:p>
    <w:p>
      <w:pPr>
        <w:pStyle w:val="BookText"/>
        <w:rPr/>
      </w:pPr>
      <w:r>
        <w:rPr>
          <w:rFonts w:ascii="IRNazanin" w:hAnsi="IRNazanin" w:eastAsia="IRNazanin"/>
          <w:color w:val="111111"/>
          <w:sz w:val="28"/>
          <w:sz w:val="28"/>
          <w:szCs w:val="28"/>
          <w:rtl w:val="true"/>
          <w:lang w:bidi="fa-IR"/>
        </w:rPr>
        <w:t>ابن الحجّاج و علیّ، عن أبی إبراهیم فی السهو فی الصلاة، قال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تبنی علی الیقین، و تأخذ بالجزم، و تحتاط بالصلوات کلّها</w:t>
      </w:r>
      <w:r>
        <w:rPr>
          <w:rFonts w:eastAsia="IRNazanin" w:cs="IRNazanin"/>
          <w:color w:val="111111"/>
          <w:sz w:val="28"/>
          <w:szCs w:val="28"/>
          <w:rtl w:val="true"/>
          <w:lang w:bidi="fa-IR"/>
        </w:rPr>
        <w:t>)</w:t>
      </w:r>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رکعتین و شکّ فی الثالثة؟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الیقین، فإذا فرغ تشهّد و قام قائماً فصلّی رکعة بفاتحة القرآن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محمّد بن سهل بن الیسع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لا یدری أثلاثاً صلّی أم اثنتین؟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النقصان، و یأخذ بالجزم، و یتشهّد بعد انصرافه تشهّداً خفیفاً کذلک فی أوّل الصلاة و آخرها</w:t>
      </w:r>
      <w:r>
        <w:rPr>
          <w:rFonts w:eastAsia="IRNazanin" w:cs="IRNazanin"/>
          <w:color w:val="111111"/>
          <w:sz w:val="28"/>
          <w:szCs w:val="28"/>
          <w:rtl w:val="true"/>
          <w:lang w:bidi="fa-IR"/>
        </w:rPr>
        <w:t>)</w:t>
      </w:r>
    </w:p>
    <w:p>
      <w:p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الحسن بن علیّ بن یقطین عن أخیه الحسین،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لا یدری کم صلّی، واحدة أم اثنتین أم ثلاثاً؟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الجزم</w:t>
      </w:r>
      <w:r>
        <w:rPr>
          <w:rFonts w:eastAsia="IRNazanin" w:cs="IRNazanin"/>
          <w:color w:val="111111"/>
          <w:sz w:val="28"/>
          <w:szCs w:val="28"/>
          <w:rtl w:val="true"/>
          <w:lang w:bidi="fa-IR"/>
        </w:rPr>
        <w:t>)</w:t>
      </w:r>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الصحیحة الثالثة</w:t>
      </w:r>
      <w:r>
        <w:rPr>
          <w:rStyle w:val="FootnoteAnchor"/>
          <w:rtl w:val="true"/>
        </w:rPr>
        <w:footnoteReference w:id="95"/>
      </w:r>
      <w:r>
        <w:rPr>
          <w:rFonts w:ascii="IRNazanin" w:hAnsi="IRNazanin" w:eastAsia="IRNazanin"/>
          <w:color w:val="111111"/>
          <w:sz w:val="28"/>
          <w:sz w:val="28"/>
          <w:szCs w:val="28"/>
          <w:rtl w:val="true"/>
          <w:lang w:bidi="fa-IR"/>
        </w:rPr>
        <w:t xml:space="preserve">لزرارة، 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الجمع بین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الروایات الدالّة علی البناء علی الأکثر یراد منه البناء العملی علیه، أی یعمل عمل من صلّی الأکثر، و أنّه یأتی بما یحتمل نقصه منفصلًا، و الروایات الدالّة علی البناء علی النقصان و الیقین ظاهرة فی البناء علی الأقلّ و الإتیان بالمشکوک متّصلًا، و الفرقة الاولی أظهر فی وجوب الإتیان بما یحتمل نقصه منفصلًا، فیقدّم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مفاد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الإتیان بالمشکوک، لکن یأتی به منفصلًا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الاستصحاب هو الإتیان بالرکعات المشکوکة جزماً، لا من باب الاحتیاط من جهة احتمال النقصان، کما یدلّ علیه بعض الروایات</w:t>
      </w:r>
      <w:bookmarkStart w:id="87" w:name="pg12898_147817"/>
    </w:p>
    <w:p>
      <w:pPr>
        <w:pStyle w:val="BookText"/>
        <w:rPr/>
      </w:pPr>
      <w:bookmarkEnd w:id="87"/>
      <w:r>
        <w:rPr>
          <w:rFonts w:ascii="Amiri" w:hAnsi="Amiri" w:eastAsia="Amiri" w:cs="Amiri"/>
          <w:color w:val="111111"/>
          <w:sz w:val="28"/>
          <w:sz w:val="28"/>
          <w:szCs w:val="28"/>
          <w:rtl w:val="true"/>
          <w:lang w:bidi="ar-SA"/>
        </w:rPr>
        <w:t>الدالّة علی أنّها علی تقدیر تمامیّة أصل الصلاة، تُعدّ نافلة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 الوجه فی عدم العمل بالاستصحاب فی الشکّ فی رکعات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الواجب هو الإتیان بالصلاة أربع رکعات، و لا یثبت ذلک بالاستصحاب و الإتیان بالمشکوک متّصلًا؛ لاحتمال الزیادة علی الأربع حینئذٍ، و کیف کان فهذه الروایات لا تصلح للاستدلال بها علی الاستصحاب سنداً و دلالةً</w:t>
      </w:r>
      <w:r>
        <w:rPr>
          <w:rFonts w:eastAsia="IRNazanin" w:cs="IRNazanin"/>
          <w:color w:val="111111"/>
          <w:sz w:val="28"/>
          <w:szCs w:val="28"/>
          <w:rtl w:val="true"/>
          <w:lang w:bidi="fa-IR"/>
        </w:rPr>
        <w:t>.</w:t>
      </w:r>
    </w:p>
    <w:p>
      <w:pPr>
        <w:pStyle w:val="Heading5"/>
        <w:numPr>
          <w:ilvl w:val="4"/>
          <w:numId w:val="1"/>
        </w:numPr>
        <w:rPr/>
      </w:pPr>
      <w:bookmarkStart w:id="88" w:name="__RefHeading___Toc3234728_3224264995"/>
      <w:bookmarkStart w:id="89" w:name="_Toc33"/>
      <w:bookmarkEnd w:id="88"/>
      <w:r>
        <w:rPr>
          <w:rtl w:val="true"/>
        </w:rPr>
        <w:t>و منها</w:t>
      </w:r>
      <w:r>
        <w:rPr>
          <w:rtl w:val="true"/>
        </w:rPr>
        <w:t xml:space="preserve">: </w:t>
      </w:r>
      <w:r>
        <w:rPr>
          <w:rtl w:val="true"/>
        </w:rPr>
        <w:t>روایة محمّد بن مسلم</w:t>
      </w:r>
      <w:bookmarkEnd w:id="89"/>
    </w:p>
    <w:p>
      <w:pPr>
        <w:pStyle w:val="BookText"/>
        <w:rPr/>
      </w:pPr>
      <w:r>
        <w:rPr>
          <w:rFonts w:ascii="IRNazanin" w:hAnsi="IRNazanin" w:eastAsia="IRNazanin"/>
          <w:color w:val="111111"/>
          <w:sz w:val="28"/>
          <w:sz w:val="28"/>
          <w:szCs w:val="28"/>
          <w:rtl w:val="true"/>
          <w:lang w:bidi="fa-IR"/>
        </w:rPr>
        <w:t>رواها الصدوق فی الخصال بإسناده عن محمّد بن مسلم فی حدیث الأربعمائة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w:t>
      </w:r>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أیضاً ضعیفة السند؛ لعدم وثاقة حسن بن راشد و قاسم بن یحیی الواقعین فی سند الصدوق قدس سره إلی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دلالتها علی الاستصحاب فهی مبنیّة علی عدم أخذ الزمان السابق قیداً للیقین و لا المتیقّن، و إلّا فهی منطبقة علی الشکّ الساری؛ لأنّه یصیر 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من عدالة زید فی الزمان السابق، ثمّ شکّ فی عدالته فی ذلک الزمان، فلْیمضِ علی یقینه، لکن الأظهر هو الأوّل؛ لوجوه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عدمُ قیدیّة الزمان للیقین و الشکّ و عدمُ لحاظه فی متعلّقهما، بل الظاهر أنّه اخذ ظرفاً، کما هو المرتکز فی الأذهان و المتبادر عرفاً، و هذا التعبیر فی</w:t>
      </w:r>
      <w:bookmarkStart w:id="90" w:name="pg12898_147818"/>
    </w:p>
    <w:p>
      <w:pPr>
        <w:pStyle w:val="BookText"/>
        <w:rPr/>
      </w:pPr>
      <w:bookmarkEnd w:id="90"/>
      <w:r>
        <w:rPr>
          <w:rFonts w:ascii="IRNazanin" w:hAnsi="IRNazanin" w:eastAsia="IRNazanin"/>
          <w:color w:val="111111"/>
          <w:sz w:val="28"/>
          <w:sz w:val="28"/>
          <w:szCs w:val="28"/>
          <w:rtl w:val="true"/>
          <w:lang w:bidi="fa-IR"/>
        </w:rPr>
        <w:t>الروایة إنّما هو لأجل أنّ الغالب تقدّم زمان الیقین علی زمان الشکّ فی الاستصحاب، مضافاً إلی نُدرة موارد قاعدة الیقین بالنسبة إلی موارد الاستصحاب؛ لنُدرة حصول الیقین بشی‌ء أوّلًا ثمّ تبدّله بالشکّ، فمعنی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من 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سابق، ثمّ شکّ فی بقاء عدالته فی الزمان اللاحق، فلْیمضِ علی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سیاقها مع الصحیحة الاولی لزرارة، التی لا ریب فی أنّ مفادها الاستصحاب، و ظهور أنّ المراد منهما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المراد من الیقین و الشکّ فیها هما الفعلیّان، کما فی الاستصحاب، لکن الإشکال إنّما هو فی سندها</w:t>
      </w:r>
      <w:r>
        <w:rPr>
          <w:rFonts w:eastAsia="IRNazanin" w:cs="IRNazanin"/>
          <w:color w:val="111111"/>
          <w:sz w:val="28"/>
          <w:szCs w:val="28"/>
          <w:rtl w:val="true"/>
          <w:lang w:bidi="fa-IR"/>
        </w:rPr>
        <w:t>.</w:t>
      </w:r>
    </w:p>
    <w:p>
      <w:pPr>
        <w:pStyle w:val="Heading5"/>
        <w:numPr>
          <w:ilvl w:val="4"/>
          <w:numId w:val="1"/>
        </w:numPr>
        <w:rPr/>
      </w:pPr>
      <w:bookmarkStart w:id="91" w:name="__RefHeading___Toc3234730_3224264995"/>
      <w:bookmarkStart w:id="92" w:name="_Toc34"/>
      <w:bookmarkEnd w:id="91"/>
      <w:r>
        <w:rPr>
          <w:rtl w:val="true"/>
        </w:rPr>
        <w:t>و منها</w:t>
      </w:r>
      <w:r>
        <w:rPr>
          <w:rtl w:val="true"/>
        </w:rPr>
        <w:t xml:space="preserve">: </w:t>
      </w:r>
      <w:r>
        <w:rPr>
          <w:rtl w:val="true"/>
        </w:rPr>
        <w:t>مکاتبة علی بن محمّد القاسانی</w:t>
      </w:r>
      <w:bookmarkEnd w:id="9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و أنا بالمدینة عن الیوم الذی یشکّ فیه من شهر رمضان هل یصام أم لا؟</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 صُم للرؤیة، و أفطر للرؤیة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أیضاً لم یثبت اعتبار سندها؛ 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بین الثقة و الضعیف، و کلاهما من أصحاب الهادی علیه السلام، و فی طبقة واحدة، لا یمتاز أحدهما عن</w:t>
      </w:r>
    </w:p>
    <w:p>
      <w:pPr>
        <w:pStyle w:val="BookText"/>
        <w:rPr/>
      </w:pPr>
      <w:r>
        <w:rPr>
          <w:rFonts w:ascii="IRNazanin" w:hAnsi="IRNazanin" w:eastAsia="IRNazanin"/>
          <w:color w:val="111111"/>
          <w:sz w:val="28"/>
          <w:sz w:val="28"/>
          <w:szCs w:val="28"/>
          <w:rtl w:val="true"/>
          <w:lang w:bidi="fa-IR"/>
        </w:rPr>
        <w:t>الآخر، لکن 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أظهر ما فی الباب فی الاستصحاب</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علیه أصلًا</w:t>
      </w:r>
      <w:r>
        <w:rPr>
          <w:rStyle w:val="FootnoteAnchor"/>
          <w:rtl w:val="true"/>
        </w:rPr>
        <w:footnoteReference w:id="102"/>
      </w:r>
      <w:r>
        <w:rPr>
          <w:rFonts w:ascii="IRNazanin" w:hAnsi="IRNazanin" w:eastAsia="IRNazanin"/>
          <w:color w:val="111111"/>
          <w:sz w:val="28"/>
          <w:sz w:val="28"/>
          <w:szCs w:val="28"/>
          <w:rtl w:val="true"/>
          <w:lang w:bidi="fa-IR"/>
        </w:rPr>
        <w:t>، و الأقوی أنّها ظاهرة فی الاستصحاب، و لیست أظهر من الصحیحة الاولی لزرارة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السؤال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یوم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أوّل رمضان المردّد صومه بین الواجب و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یوم الشکّ من آخره، المردّد صومه بین 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هما معاً، 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یؤیّد الأوّل، لکن الاحتمال الآخر أیضاً قریب فی نفسه؛ لأجل أهمیّة تردّد الصوم فیه بین الواجب و الحرام، و ینبغی السؤال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لیس أجنبیّاً عمّا ذکره أوّلًا، بل یناسبه و مرتبط به، و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ترفع الید عن الحالة السابقة و عمّا هو علیه إلّا برؤیة الهلال، و ذکروا فیها احتمالات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المیرزا النائینی قدس سره مُورِداً علی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أنّه یعتبر فی الصوم بعنوان شهر رمضان الیقین و العلم به، و أنّه لا یجوز أن یصوم بعنوان رمضان مع الشکّ فیه، فهذه الروایة مساوقة للروایات الدالّة علی أنّه یصوم الشکّ بقصد انّه من شعبان، لا بقصد رمضان</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أنّ ما أفاده غیر متبادر من الروایة عرفاً، و أنّ إرادة هذا المعنی من الروایة، لا ینسبق إلی الأذهان فی المتفاهم العرفی و المحاورات العقلائیّة، فهو</w:t>
      </w:r>
      <w:bookmarkStart w:id="93" w:name="pg12898_147820"/>
    </w:p>
    <w:p>
      <w:pPr>
        <w:pStyle w:val="BookText"/>
        <w:rPr/>
      </w:pPr>
      <w:bookmarkEnd w:id="93"/>
      <w:r>
        <w:rPr>
          <w:rFonts w:ascii="IRNazanin" w:hAnsi="IRNazanin" w:eastAsia="IRNazanin"/>
          <w:color w:val="111111"/>
          <w:sz w:val="28"/>
          <w:sz w:val="28"/>
          <w:szCs w:val="28"/>
          <w:rtl w:val="true"/>
          <w:lang w:bidi="fa-IR"/>
        </w:rPr>
        <w:t>مرجوح جدّاً، مضافاً إلی انه یستلزم عدم ارتباط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قبله؛ لعدم ترتّبه علیه حینئذٍ، مع ظهورها فی ارتباطه به، بل هو منافٍ لما قبله؛ لأنّه یدلّ علی وجوب یوم الشکّ من آخره، فیلزم دخول الشکّ فی الیقین بالمعنی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الشیخ الأعظم قدس سره، و هو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الاشتغال الیقینی بوجوب صوم شهر رمضان، یقتضی البراءة الیقینیة، فتدلّ علی استصحاب الاشتغال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منافٍ لقوله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فإنّ مقتضی العلم باشتغال الذمّة بصوم شهر رمضان، هو وجوب صوم یوم الشکّ من أوّل شهر رمضان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وجوب الصوم بعنوان أنّه من شهر رمضان من إحراز کلّ یوم أنّه منه؛ و العلم بأنّه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منافٍ لقوله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للرُّؤیة، و أفطر للرُّؤیة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یظهر لک صحّة الاستدلال بهذه الروایة علی الاستصحاب لو لا ضعف سندها</w:t>
      </w:r>
      <w:r>
        <w:rPr>
          <w:rFonts w:eastAsia="IRNazanin" w:cs="IRNazanin"/>
          <w:color w:val="111111"/>
          <w:sz w:val="28"/>
          <w:szCs w:val="28"/>
          <w:rtl w:val="true"/>
          <w:lang w:bidi="fa-IR"/>
        </w:rPr>
        <w:t>.</w:t>
      </w:r>
    </w:p>
    <w:p>
      <w:pPr>
        <w:pStyle w:val="Heading5"/>
        <w:numPr>
          <w:ilvl w:val="4"/>
          <w:numId w:val="1"/>
        </w:numPr>
        <w:rPr/>
      </w:pPr>
      <w:bookmarkStart w:id="94" w:name="__RefHeading___Toc3234732_3224264995"/>
      <w:bookmarkStart w:id="95" w:name="_Toc35"/>
      <w:bookmarkEnd w:id="94"/>
      <w:r>
        <w:rPr>
          <w:rtl w:val="true"/>
        </w:rPr>
        <w:t>و منها</w:t>
      </w:r>
      <w:r>
        <w:rPr>
          <w:rtl w:val="true"/>
        </w:rPr>
        <w:t xml:space="preserve">: </w:t>
      </w:r>
      <w:r>
        <w:rPr>
          <w:rtl w:val="true"/>
        </w:rPr>
        <w:t>صحیحة عبد اللَّه بن سنان</w:t>
      </w:r>
      <w:bookmarkEnd w:id="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اعیر الذِّمیّ الثوب و أنا أعلم أنّه یشرب الخمر، و یأکل لحم الخنزیر، فیردّه علیّ، فأغسله قبل أن اصلّی فیه؟</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 فلا بأس أن تصلّی فیه حتّی تستیقن أنّه نجّسه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96" w:name="pg12898_147821"/>
    </w:p>
    <w:p>
      <w:pPr>
        <w:pStyle w:val="BookText"/>
        <w:rPr/>
      </w:pPr>
      <w:bookmarkEnd w:id="96"/>
      <w:r>
        <w:rPr>
          <w:rFonts w:ascii="IRNazanin" w:hAnsi="IRNazanin" w:eastAsia="IRNazanin"/>
          <w:color w:val="111111"/>
          <w:sz w:val="28"/>
          <w:sz w:val="28"/>
          <w:szCs w:val="28"/>
          <w:rtl w:val="true"/>
          <w:lang w:bidi="fa-IR"/>
        </w:rPr>
        <w:t>و لا إشکال فی دلالتها علی الاستصحاب بملاحظة التعلیل الذی ذکره علیه السلام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أعرته إیّاه و 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احتمال إرادة قاعدة الطهارة منافٍ للتعلیل المذکور؛ لعدم دخْل الحالة السابقة فی القاعدة، لکنّها إنّما تدلّ علی الاستصحاب فی خصوص باب الطهارة و النجاسة، و استفادةُ الکلّیّة منها بإلغاء الخصوصیّة مشکلة</w:t>
      </w:r>
      <w:r>
        <w:rPr>
          <w:rFonts w:eastAsia="IRNazanin" w:cs="IRNazanin"/>
          <w:color w:val="111111"/>
          <w:sz w:val="28"/>
          <w:szCs w:val="28"/>
          <w:rtl w:val="true"/>
          <w:lang w:bidi="fa-IR"/>
        </w:rPr>
        <w:t>.</w:t>
      </w:r>
    </w:p>
    <w:p>
      <w:pPr>
        <w:pStyle w:val="Heading5"/>
        <w:numPr>
          <w:ilvl w:val="4"/>
          <w:numId w:val="1"/>
        </w:numPr>
        <w:rPr/>
      </w:pPr>
      <w:bookmarkStart w:id="97" w:name="__RefHeading___Toc3234734_3224264995"/>
      <w:bookmarkStart w:id="98" w:name="_Toc36"/>
      <w:bookmarkEnd w:id="97"/>
      <w:r>
        <w:rPr>
          <w:rtl w:val="true"/>
        </w:rPr>
        <w:t>و منها</w:t>
      </w:r>
      <w:r>
        <w:rPr>
          <w:rtl w:val="true"/>
        </w:rPr>
        <w:t xml:space="preserve">: </w:t>
      </w:r>
      <w:r>
        <w:rPr>
          <w:rtl w:val="true"/>
        </w:rPr>
        <w:t>روایات الحلّ و الطهارة</w:t>
      </w:r>
      <w:bookmarkEnd w:id="98"/>
    </w:p>
    <w:p>
      <w:pPr>
        <w:pStyle w:val="BookText"/>
        <w:rPr/>
      </w:pPr>
      <w:r>
        <w:rPr>
          <w:rFonts w:ascii="IRNazanin" w:hAnsi="IRNazanin" w:eastAsia="IRNazanin"/>
          <w:color w:val="111111"/>
          <w:sz w:val="28"/>
          <w:sz w:val="28"/>
          <w:szCs w:val="28"/>
          <w:rtl w:val="true"/>
          <w:lang w:bidi="fa-IR"/>
        </w:rPr>
        <w:t>روی الشیخ قدس سره بإسناده عن محمّد بن أحمد بن یحیی، عن أحمد بن یحیی، عن أحمد بن الحسن، عن عمرو بن سعید، عن مصدّق بن صدقة، عن عمّار، عن أبی عبد اللَّه علیه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w:t>
      </w:r>
    </w:p>
    <w:p>
      <w:p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هذه الروایة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یمکن إرادة القواعد الثلاث؛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الطهارة للأشیاء بعناوینها الأوّلیّة، و قاعدة الطهارة الظاهریّة للأشیاء بعناوینها الثانویة؛ أی المشکوکة طهارتها و نجاستها، و استصحاب الحالة السابقة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 یمکن إرادة جمیعها؟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إمکان ذلک هل الروایة ظاهرة فی جمیعها، أو 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 الخراسانی إلی إمکان إرادة قاعدة الطهارة الواقعیّة للأشیاء بعناوینها الأوّلیّة و الاستصحاب معاً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إمکان إرادة القواعد الثلاث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فی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نظیف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قطع النظر عن الغایة، یدلّ بعمومه علی طهارة الأشیاء بعناوینها الواقعیّة، و بإطلاقه الشامل لجمیع حالات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حالة الشکّ فی طهارته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قاعدة الطهارة فی المشتبه طهارته و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شمول إطلاقه لمثل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حالات المکلّف لا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بعمومه یشمل ما إذا اشتبهت طهارته بشبهة لازمة غیر منفکّة منه أبداً، و بضمیمة عدم القول بالفصل بینه و بین سائر المشتبهات الغیر اللّازمة یدلّ علی طهارتها کلّها، و لا ضیر فی اختلاف الحکم بالنسبة إلی أفراد العامّ و صیرورته ظاهریاً بالنسبة إلی بعضها و واقعیّاً بالإضافة إلی بعضها الآخر، و هذا بدون استلزامه لاستعمال اللفظ فی أکثر من معنیً واحد و اجتماع اللحاظین، و بملاحظة الغایة یدلّ علی الاستصحاب؛ لأنّ مقتضی جعل العلم بالقذارة غایةً للطهارة هو بقاؤها و استمرارها ما لم یعلم بالقذارة، و لا نعنی بالاستصحاب إلّا هذا</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الطهارة الواقعیّة للأشیاء بعناوینها الأوّلیّة لیست من الامور المجعولة فی ارتکاز المتشرّعة؛ لیستفاد ذلک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نظیف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بعض الأشیاء طاهر واقعاً، و بعضها قذر کذلک، و لا تخلو من أحدهما؛ بأن یکون هناک ما لیس بطاهر و لا قذر، لکن بعض ما لیس بقذرٍ عند العرف، استقذره الشارع؛ لیجتنب عنه المکلّفون لمصلحة سیاسیّة اقتضت ذلک کنجاسة الکفّار، و إلّا فذات طبیعة الکافر و المسلم لا تختلفان فی الحقیقة، و لا الإقرار</w:t>
      </w:r>
    </w:p>
    <w:p>
      <w:pPr>
        <w:pStyle w:val="BookText"/>
        <w:rPr/>
      </w:pPr>
      <w:r>
        <w:rPr>
          <w:rFonts w:ascii="IRNazanin" w:hAnsi="IRNazanin" w:eastAsia="IRNazanin"/>
          <w:color w:val="111111"/>
          <w:sz w:val="28"/>
          <w:sz w:val="28"/>
          <w:szCs w:val="28"/>
          <w:rtl w:val="true"/>
          <w:lang w:bidi="fa-IR"/>
        </w:rPr>
        <w:t>بالشهادتین مؤثِّر فی التکوین، و بعض الأشیاء قذر شرعاً بحسب الواقع، لکن بعض المصالح یقتضی الحکم بطهارته إلی زمان ظهور ولیّ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فرق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الحلّیّة و الحرمة أیضاً کذلک، و إنّ المجعول هو الحرمة لا الحلّیّة، فجعل الخمر حراماً لئلّا یشربه الناس، و قذراً لئلّا یباشروها؛ لمصلحة اقتضت ذلک، و ما لا یترتّب علیه مصلحة و لا مفسدة فهو مباح إباحة لا اقتضائیّة غیر مجعولة، نعم الحلّیّة الاقتضائیّة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w:t>
      </w:r>
      <w:r>
        <w:rPr>
          <w:rFonts w:eastAsia="Amiri" w:cs="Amiri" w:ascii="Amiri" w:hAnsi="Amiri"/>
          <w:color w:val="111111"/>
          <w:sz w:val="28"/>
          <w:szCs w:val="28"/>
          <w:rtl w:val="true"/>
          <w:lang w:bidi="ar-SA"/>
        </w:rPr>
        <w:t>)</w:t>
      </w:r>
    </w:p>
    <w:p>
      <w:pPr>
        <w:pStyle w:val="BookText"/>
        <w:rPr/>
      </w:pPr>
      <w:r>
        <w:rPr>
          <w:rStyle w:val="FootnoteAnchor"/>
          <w:rtl w:val="true"/>
        </w:rPr>
        <w:footnoteReference w:id="10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الطهارة و الحلّیة الواقعیتین، إخبارٌ عن الواقع؛ لما عرفت من عدم مجعولیّتهما حتی یکون إنشاءً للحکم بهما، و بالنسبة إلی الطهارة و الحلّیّة الظاهریّتین إنشاء للحکم بهما لا إخبار، و لا یمکن الجمع بینهما فی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کلّ واحد منهما إخبار لا إنشاء، لکن الإخبار المذکور بالنسبة إلی الطهارة و الحلّیّة الواقعیّتین إنّما هو بداعی الحکایة عن الواقع، و بالنسبة إلی الظاهریّتین منهما بداعی الإنشاء، و لا محذور فیه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أیضاً ممتنع، خصوصاً علی مذهبه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استعمال اللفظ فی أکثر من معنیً واحد</w:t>
      </w:r>
      <w:r>
        <w:rPr>
          <w:rStyle w:val="FootnoteAnchor"/>
          <w:rtl w:val="true"/>
        </w:rPr>
        <w:footnoteReference w:id="111"/>
      </w:r>
      <w:r>
        <w:rPr>
          <w:rFonts w:ascii="IRNazanin" w:hAnsi="IRNazanin" w:eastAsia="IRNazanin"/>
          <w:color w:val="111111"/>
          <w:sz w:val="28"/>
          <w:sz w:val="28"/>
          <w:szCs w:val="28"/>
          <w:rtl w:val="true"/>
          <w:lang w:bidi="fa-IR"/>
        </w:rPr>
        <w:t>، کالجمع بین معنیی الحقیقی و الکنائی فی إطلاق واحد؛ ضرورة أنّ الإخبار حینئذٍ بالنسبة إلی الطهارة الواقعیّة مستعمل فی معناه الحقیقی،</w:t>
      </w:r>
    </w:p>
    <w:p>
      <w:pPr>
        <w:pStyle w:val="BookText"/>
        <w:rPr/>
      </w:pPr>
      <w:r>
        <w:rPr>
          <w:rFonts w:ascii="IRNazanin" w:hAnsi="IRNazanin" w:eastAsia="IRNazanin"/>
          <w:color w:val="111111"/>
          <w:sz w:val="28"/>
          <w:sz w:val="28"/>
          <w:szCs w:val="28"/>
          <w:rtl w:val="true"/>
          <w:lang w:bidi="fa-IR"/>
        </w:rPr>
        <w:t>و بالنسبة إلی الظاهریّة فی معناه الکنائی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معنی الطهارة الظاهریّة هو ترتیب آثار الطاهر علی المشکوک طهارته و البناء علی أنّه طاهر، لا جعل الطهارة الحقیقیّة الواقعیّة علی المشکوک؛ لاستلزامه طهارة المشکوک واقعاً، و انحصار النجاسات الواقعیّة فی صورة العلم بها، و لا یلتزم به أحد، و کذلک الحلّیّة الظاهریّة معناها ترتیب آثارها علی المشکوک، لا جعل الحلّیّة الواقعیّة کی یلزم المحذور المذکور، و حینئذٍ کیف یمکن الجمع بین هذین المعنیین فی إطلاقٍ واحد، مع أنّ معنی الإطلاق هو جعل الطبیعة المطلقة بنفسها متعلَّقة للحکم بدون اعتبار قید فیها، بخلاف المقیّد، فإنّ الموضوع للحکم فیه هو الطبیعة المقیّدة کالرقبة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فعلی فرض أنّ الشی‌ء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نظیف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کنایة عن العناوین الأوّلیّة بإطلاقها،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ثابت لها مجرّدة عن القید فی جمیع حالاتها التی منها حالة المشکوکیّة، لکن لا بما أنّها مشکوکة؛ بأن یکون للشکّ دَخْل فی الحکم و یکون قیداً للموضوع؛ لاستحالة اقتضاء إطلاق الحکم موضوعاً مضادّاً لموضوع نفسه؛ لأنّ مرجعه إلی تغییر الإطلاق موضوع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 الطبیعة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موضوع آخر؛ أی الطبیعة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کالعموم، فکما أنّ الحکم فی العامّ متعلِّق بالعناوین الأوّلیّة للأشیاء، کذلک الإطلاق، فإنّ الحکم فی المطلق متعلِّق بنفس الطبیعة بعنوانها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الظاهری فموضوعه المشکوک بوصف انّه مشکوک، فما ذکره قدس سره من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بإطلاقه یشمل المشکوک الذی یکون الحکم علیه ظاهریّاً غیر مستقیم؛ لعدم قید الشکّ فی متعلّق الحکم فیه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شمول لفظ الشی‌ء للشی‌ء المشکوک بوصف أنّه مشکوک، لکن لا مانع من لحاظ الحکم علی العناوین الأوّلیّة المطلقة و لحاظها بوصف أنّها 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الجمع بین اللحاظین المذکورین فی إطلاق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حاظ عدم القید و لحاظ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 التقریب الآخر الذی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علی فرض منع الإطلاق فلفظ الشی‌ء بعمومه یعمّ الموضوع الذی یلزمه الشکّ، و لا ینفک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لما عرفت من أنّه لو کان الموضوع هو العناوین الأوّلیّة للأشیاء بدون دَخْل قیدٍ من القیود فیه، فهو و إن یشمل بعمومه العناوین المشکوکة أیضاً، لکن لا بوصف أنّها مشکوکة، بل بعناوینها الأوّلیّة، و الموضوع للحکم الظاهری هو العناوین بما هی مشکوکة، و إلّا فهو لیس حکماً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الکلام فی صدر الروایة، 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إرادة الحکم الواقعی و الظاهری معاً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استفادة الاستصحاب من الغایة؛ أی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 أنّه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یساوق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مع قطع النظر عن المغیّی ممنوع، بل لا بدّ من ملاحظة المغیّی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الإشکالات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بإرادة الحکم الظاهری و الواقعی معاً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قید للموضوع و غایة له،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مجموع الروایة حینئذٍ صدراً و ذیلًا، هو بیان قاعدة الطهارة، و لا یُستفاد منها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جعلت الغایة قیداً للحکم الظاهری المتعلّق بالمشکوک، فهو قید توضیحیّ لا یفید الاستمرار؛ لأنّ مرجع 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المشکوکة طهارتُها طاهرةٌ ظاهراً حتّی یُعلم نجاستها، و من المعلوم أنّ هذا القید غیر محتاج إلیه؛ لأنّه حینئذٍ بیان و توضیح لموضوع الحکم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غایةً للحکم الواقعی فهو غیر معقول؛ لاستحالة تقیید الأحکام</w:t>
      </w:r>
    </w:p>
    <w:p>
      <w:pPr>
        <w:pStyle w:val="BookText"/>
        <w:rPr/>
      </w:pPr>
      <w:r>
        <w:rPr>
          <w:rFonts w:ascii="IRNazanin" w:hAnsi="IRNazanin" w:eastAsia="IRNazanin"/>
          <w:color w:val="111111"/>
          <w:sz w:val="28"/>
          <w:sz w:val="28"/>
          <w:szCs w:val="28"/>
          <w:rtl w:val="true"/>
          <w:lang w:bidi="fa-IR"/>
        </w:rPr>
        <w:t>الواقعیّة بعدم العلم علی الخلاف و إن أمکن ذلک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الاستمرار للمغیّا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مشکلةٌ جدّاً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فرض إمکان ذلک بإعمال الدقائق العقلیّة، لکن لا ریب فی عدم استفادته فی المتفاهمات العرفیّة و المحاورات العقلائیّة، بل المستفاد و المتبادر منه عرفاً الظاهر منه عندهم هو قاعدة الطهارة؛ و أنّ کلّ ما شُکّ فی طهارته طاهر ما دام الشکّ باقیاً</w:t>
      </w:r>
      <w:r>
        <w:rPr>
          <w:rFonts w:eastAsia="IRNazanin" w:cs="IRNazanin"/>
          <w:color w:val="111111"/>
          <w:sz w:val="28"/>
          <w:szCs w:val="28"/>
          <w:rtl w:val="true"/>
          <w:lang w:bidi="fa-IR"/>
        </w:rPr>
        <w:t>.</w:t>
      </w:r>
      <w:bookmarkStart w:id="99" w:name="pg12898_147827"/>
    </w:p>
    <w:p>
      <w:pPr>
        <w:pStyle w:val="Heading3"/>
        <w:numPr>
          <w:ilvl w:val="2"/>
          <w:numId w:val="1"/>
        </w:numPr>
        <w:rPr/>
      </w:pPr>
      <w:bookmarkStart w:id="100" w:name="__RefHeading___Toc3234736_3224264995"/>
      <w:bookmarkStart w:id="101" w:name="_Toc37"/>
      <w:bookmarkEnd w:id="99"/>
      <w:bookmarkEnd w:id="100"/>
      <w:r>
        <w:rPr>
          <w:rtl w:val="true"/>
        </w:rPr>
        <w:t>فصل الأحکام الوضعیة و تحقیق ماهیتها</w:t>
      </w:r>
      <w:bookmarkEnd w:id="101"/>
    </w:p>
    <w:p>
      <w:pPr>
        <w:pStyle w:val="Heading4"/>
        <w:numPr>
          <w:ilvl w:val="3"/>
          <w:numId w:val="1"/>
        </w:numPr>
        <w:rPr/>
      </w:pPr>
      <w:bookmarkStart w:id="102" w:name="__RefHeading___Toc3234738_3224264995"/>
      <w:bookmarkStart w:id="103" w:name="_Toc38"/>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لا بأس بصرف عِنان الکلام إلی بیان الأحکام الوضعیّة، و أنّها مجعولة مستقلًا، أو لا؛ تبعاً للأعلام، و لا بدّ فیه من تقدیم امور</w:t>
      </w:r>
      <w:r>
        <w:rPr>
          <w:rFonts w:eastAsia="IRNazanin" w:cs="IRNazanin"/>
          <w:color w:val="111111"/>
          <w:sz w:val="28"/>
          <w:szCs w:val="28"/>
          <w:rtl w:val="true"/>
          <w:lang w:bidi="fa-IR"/>
        </w:rPr>
        <w:t>:</w:t>
      </w:r>
    </w:p>
    <w:p>
      <w:pPr>
        <w:pStyle w:val="Heading4"/>
        <w:numPr>
          <w:ilvl w:val="3"/>
          <w:numId w:val="1"/>
        </w:numPr>
        <w:rPr/>
      </w:pPr>
      <w:bookmarkStart w:id="104" w:name="__RefHeading___Toc3234740_3224264995"/>
      <w:bookmarkStart w:id="105" w:name="_Toc39"/>
      <w:bookmarkEnd w:id="104"/>
      <w:r>
        <w:rPr>
          <w:rtl w:val="true"/>
        </w:rPr>
        <w:t>الأمر الأوّل</w:t>
      </w:r>
      <w:r>
        <w:rPr>
          <w:rtl w:val="true"/>
        </w:rPr>
        <w:t xml:space="preserve">: </w:t>
      </w:r>
      <w:r>
        <w:rPr>
          <w:rtl w:val="true"/>
        </w:rPr>
        <w:t>تقسم الحکم إلی التکلیفی و الوضعی</w:t>
      </w:r>
      <w:bookmarkEnd w:id="105"/>
    </w:p>
    <w:p>
      <w:pPr>
        <w:pStyle w:val="BookText"/>
        <w:rPr/>
      </w:pPr>
      <w:r>
        <w:rPr>
          <w:rFonts w:ascii="IRNazanin" w:hAnsi="IRNazanin" w:eastAsia="IRNazanin"/>
          <w:color w:val="111111"/>
          <w:sz w:val="28"/>
          <w:sz w:val="28"/>
          <w:szCs w:val="28"/>
          <w:rtl w:val="true"/>
          <w:lang w:bidi="fa-IR"/>
        </w:rPr>
        <w:t>لا ریب فی أنّ المجعولات الشرعیّة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التکلیفیّة،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بالأوّل المجعولَ الذی یتضمّن بعثاً أو زجراً، و بالثانی ما لا یتضمّن ذلک کالسببیّة و الشرطیّة و الإباحة، فإنّها أیضاً من الأحکام الوضعیّة لا التکلیفیّة، و البحث فی إطلاق الحکم علیها و عدمه، بحث لغویّ غیر مربوط بالمقام، و إن أمکن إطلاقه علیها ببعض معانیه دون بعض</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لا تنحصر فی عدد خاصّ، بل کلّ مجعول شرعیّ اعتبره الشارع سوی الأحکام التکلیفیّة الخمسة، من الأحکام الوضعیّة؛ حتی الولایة و النبوّة و منصب القضاء و النیابة، فإنّ نبوّة الأنبیاء علیهم السلام و ولایة الأولیاء،</w:t>
      </w:r>
    </w:p>
    <w:p>
      <w:pPr>
        <w:pStyle w:val="BookText"/>
        <w:rPr/>
      </w:pPr>
      <w:r>
        <w:rPr>
          <w:rFonts w:ascii="IRNazanin" w:hAnsi="IRNazanin" w:eastAsia="IRNazanin"/>
          <w:color w:val="111111"/>
          <w:sz w:val="28"/>
          <w:sz w:val="28"/>
          <w:szCs w:val="28"/>
          <w:rtl w:val="true"/>
          <w:lang w:bidi="fa-IR"/>
        </w:rPr>
        <w:t>لیست من الامور التکوینیّة، نعم شموخ مقامهما من الامور التکوینیّة المحقّقة قبل الجعل، کما أنّ وجوب صلاة الجمعة من المجعولات الشرعیّة، مع أنّ المصلحة الکامنة فیها من الامور التکوینیّة الغیر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الحجّیّة و الطریقیّة و الصحّة و الفساد من الأحکام العقلیّة، لا الوضعیّة المجعولة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ما ذکرنا کثیر من الآیات الشریفة،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 من الواضح أنّه لیس المراد منه الجعل التکوینی، و کذلک نبوّة هارون، فإنّها من المجعولات الشرعیّة؛ لسؤال موسی علیه السلام و طلبه ذلک له من اللَّه تعالی</w:t>
      </w:r>
      <w:r>
        <w:rPr>
          <w:rStyle w:val="FootnoteAnchor"/>
          <w:rtl w:val="true"/>
        </w:rPr>
        <w:footnoteReference w:id="113"/>
      </w:r>
      <w:r>
        <w:rPr>
          <w:rFonts w:ascii="Amiri" w:hAnsi="Amiri" w:eastAsia="Amiri" w:cs="Amiri"/>
          <w:color w:val="111111"/>
          <w:sz w:val="28"/>
          <w:sz w:val="28"/>
          <w:szCs w:val="28"/>
          <w:rtl w:val="true"/>
          <w:lang w:bidi="ar-SA"/>
        </w:rPr>
        <w:t>، و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الآیة، و غیرها من الآیات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ما فی کلام المیرزا النائینی قدس سره من إنکاره کون الولایة و نحوها من الأحکام الوضعیة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جمیع المجعولات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تکلیفیّة أو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القضایا الحقیقیّة، لا من قبیل القضایا الخارجیّة الشخصیّة</w:t>
      </w:r>
      <w:r>
        <w:rPr>
          <w:rStyle w:val="FootnoteAnchor"/>
          <w:rtl w:val="true"/>
        </w:rPr>
        <w:footnoteReference w:id="117"/>
      </w:r>
      <w:r>
        <w:rPr>
          <w:rFonts w:ascii="IRNazanin" w:hAnsi="IRNazanin" w:eastAsia="IRNazanin"/>
          <w:color w:val="111111"/>
          <w:sz w:val="28"/>
          <w:sz w:val="28"/>
          <w:szCs w:val="28"/>
          <w:rtl w:val="true"/>
          <w:lang w:bidi="fa-IR"/>
        </w:rPr>
        <w:t>، غیر سدید، فإنّ کثیراً من الأحکام الوضعیّة مجعولة بنحو القضایا الشخصیّة، مثل جعل مکان خاصّ عرفات و مشْعراً و مکان خاصّ حرماً و الکعبة بیت اللَّه تعالی و الصفا و المروة من</w:t>
      </w:r>
      <w:bookmarkStart w:id="106" w:name="pg12898_147829"/>
    </w:p>
    <w:p>
      <w:pPr>
        <w:pStyle w:val="BookText"/>
        <w:rPr/>
      </w:pPr>
      <w:bookmarkEnd w:id="106"/>
      <w:r>
        <w:rPr>
          <w:rFonts w:ascii="IRNazanin" w:hAnsi="IRNazanin" w:eastAsia="IRNazanin"/>
          <w:color w:val="111111"/>
          <w:sz w:val="28"/>
          <w:sz w:val="28"/>
          <w:szCs w:val="28"/>
          <w:rtl w:val="true"/>
          <w:lang w:bidi="fa-IR"/>
        </w:rPr>
        <w:t>شعائر اللَّه، فإنّ هذه کلّها من الامور المجعولة الاعتباریّة لا التکوینیّة، بل یمکن أن یکون بعض الأحکام التکلیفیّة من هذا القبیل، مثل وجوب صلاة اللیل و الشفع و الوتر علی نبیّنا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الماهیّات المخترعة الشرعیّة کالصلاة و الصوم، فهی أیضاً من المجعولات الوضعیّة، و التشنیع علی من عدّها منها فی غیر محلّه، و لا یفتقر إلی توجیه المیرزا النائینی قدس سره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باعتبار أنّ الصلاة مرکّبة من أجزاء و شرائط و موانع، و حیث إنّ الجزئیّة و الشرطیّة و المانعیّة من الأحکام الوضعیّة، صحّ عدُّ مجموع المرکّب منها من الأحکام الوضعیّة أیضاً، و إلّا فعدّ ماهیّة الصلاة من حیث هی منها، لا یرضی المنصف نسبته إلی أهل العلم</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فإنّ الملاکَ الذی باعتباره یوصف الجزء أو الشرط بالجزئیّة و الشرطیّة، و تُعدّ من الأحکام الوضعیّة، متحقّقٌ فی الکلّ و المجموع المرکّب منها أیضاً، فکما أنّه یُنتزع من الأمر بالأجزاء و الشرائط عنوان الجزئیّة و الشرطیّة للأجزاء و الشرائط، کذلک ینتزع منه کلّیّة المجموع، فإنّ الصلاة لیس إلّا عبارة عن مجموع الأجزاء باعتبارها شیئاً واحداً</w:t>
      </w:r>
      <w:r>
        <w:rPr>
          <w:rFonts w:eastAsia="IRNazanin" w:cs="IRNazanin"/>
          <w:color w:val="111111"/>
          <w:sz w:val="28"/>
          <w:szCs w:val="28"/>
          <w:rtl w:val="true"/>
          <w:lang w:bidi="fa-IR"/>
        </w:rPr>
        <w:t>.</w:t>
      </w:r>
    </w:p>
    <w:p>
      <w:pPr>
        <w:pStyle w:val="Heading4"/>
        <w:numPr>
          <w:ilvl w:val="3"/>
          <w:numId w:val="1"/>
        </w:numPr>
        <w:rPr/>
      </w:pPr>
      <w:bookmarkStart w:id="107" w:name="__RefHeading___Toc3234742_3224264995"/>
      <w:bookmarkStart w:id="108" w:name="_Toc40"/>
      <w:bookmarkEnd w:id="107"/>
      <w:r>
        <w:rPr>
          <w:rtl w:val="true"/>
        </w:rPr>
        <w:t>الأمر الثانی</w:t>
      </w:r>
      <w:r>
        <w:rPr>
          <w:rtl w:val="true"/>
        </w:rPr>
        <w:t xml:space="preserve">: </w:t>
      </w:r>
      <w:r>
        <w:rPr>
          <w:rtl w:val="true"/>
        </w:rPr>
        <w:t>أنّ وعاء وجود الأشیاء إمّا الخارج أو الذهن</w:t>
      </w:r>
      <w:bookmarkEnd w:id="108"/>
    </w:p>
    <w:p>
      <w:pPr>
        <w:pStyle w:val="BookText"/>
        <w:rPr/>
      </w:pPr>
      <w:r>
        <w:rPr>
          <w:rFonts w:ascii="IRNazanin" w:hAnsi="IRNazanin" w:eastAsia="IRNazanin"/>
          <w:color w:val="111111"/>
          <w:sz w:val="28"/>
          <w:sz w:val="28"/>
          <w:szCs w:val="28"/>
          <w:rtl w:val="true"/>
          <w:lang w:bidi="fa-IR"/>
        </w:rPr>
        <w:t>وعاء وجود الأشیاء و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الخارج کالأعیان الموجودة فی الخارج، و إمّا الذهن کالانتزاعیّات و الاعتباریّات، و لا ثالث لهما؛ بأن یکون شی‌ء لیس وعاؤه الذهن و لا الخارج</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الانتزاعیّات کذلک، و أنّ وعاء وجودها</w:t>
      </w:r>
    </w:p>
    <w:p>
      <w:pPr>
        <w:pStyle w:val="BookText"/>
        <w:rPr/>
      </w:pPr>
      <w:r>
        <w:rPr>
          <w:rFonts w:ascii="IRNazanin" w:hAnsi="IRNazanin" w:eastAsia="IRNazanin"/>
          <w:color w:val="111111"/>
          <w:sz w:val="28"/>
          <w:sz w:val="28"/>
          <w:szCs w:val="28"/>
          <w:rtl w:val="true"/>
          <w:lang w:bidi="fa-IR"/>
        </w:rPr>
        <w:t>الاعتبار، لا الذهن و لا الخارج</w:t>
      </w:r>
      <w:r>
        <w:rPr>
          <w:rStyle w:val="FootnoteAnchor"/>
          <w:rtl w:val="true"/>
        </w:rPr>
        <w:footnoteReference w:id="119"/>
      </w:r>
      <w:r>
        <w:rPr>
          <w:rFonts w:ascii="IRNazanin" w:hAnsi="IRNazanin" w:eastAsia="IRNazanin"/>
          <w:color w:val="111111"/>
          <w:sz w:val="28"/>
          <w:sz w:val="28"/>
          <w:szCs w:val="28"/>
          <w:rtl w:val="true"/>
          <w:lang w:bidi="fa-IR"/>
        </w:rPr>
        <w:t>، کما تری، فإنّ وعاء وجودها الذهن، و وعاء الأمر المنتزع منه هو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بعض المتکلّمین القائلین بالأعیان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وعاءها الثبوت</w:t>
      </w:r>
      <w:r>
        <w:rPr>
          <w:rStyle w:val="FootnoteAnchor"/>
          <w:rtl w:val="true"/>
        </w:rPr>
        <w:footnoteReference w:id="120"/>
      </w:r>
      <w:r>
        <w:rPr>
          <w:rFonts w:ascii="Amiri" w:hAnsi="Amiri" w:eastAsia="Amiri" w:cs="Amiri"/>
          <w:color w:val="111111"/>
          <w:sz w:val="28"/>
          <w:sz w:val="28"/>
          <w:szCs w:val="28"/>
          <w:rtl w:val="true"/>
          <w:lang w:bidi="ar-SA"/>
        </w:rPr>
        <w:t>، لکن لا یُفهم و لا یُتصوّر لما ذکروه معنیً 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صنعه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 الملکیّة من مقولة الجِدَة، و أنّ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الواجدیّة و السلطة و الإحاطة بشی‌ء، و أنّها ذات مراتب أقواها و أتمّها ملکیّة السماوات و الأرضین و ما بینهما و ما فوقهما و ما تحتهما له تعالی، فإنّها من أقوی مراتب الواجدیّة، و أیُّ واجدیّة أقوی من واجدیّة العلّة لمعلولها، الذی وجوده من مراتب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دون ذلک واجدیّة اولی الأمر الذین هم أولی بالمؤمنین من أنفسهم و أموالهم، ثمّ دون ذلک الواجدیّة الحاصلة من إحاطة شی‌ء بشی‌ء، کالقمیص المحیط بالبدن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أیضاً مواضع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الملکیّة من المفاهیم الإضافیّة، و المفاهیم لیست من المقولات؛ لأنّ المقولات من الامور الحقیقیّة، و المفاهیم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الملکیّة من المقولات فهی بمقولة الإضافة أشبه من مقولة الجِدَة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بیان أنّ ملکیّته تعالی من مقولة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المعلول من مراتب العلّة،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لذاته تعالی مراتب حتّی یکون من مراتبه، فلو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الموجودات مظاهر له تعالی، کان له وجه، و مقولة الجِدَة التی ذکرها الحکماء</w:t>
      </w:r>
      <w:r>
        <w:rPr>
          <w:rStyle w:val="FootnoteAnchor"/>
          <w:rtl w:val="true"/>
        </w:rPr>
        <w:footnoteReference w:id="122"/>
      </w:r>
      <w:r>
        <w:rPr>
          <w:rFonts w:ascii="IRNazanin" w:hAnsi="IRNazanin" w:eastAsia="IRNazanin"/>
          <w:color w:val="111111"/>
          <w:sz w:val="28"/>
          <w:sz w:val="28"/>
          <w:szCs w:val="28"/>
          <w:rtl w:val="true"/>
          <w:lang w:bidi="fa-IR"/>
        </w:rPr>
        <w:t>لیس</w:t>
      </w:r>
      <w:bookmarkStart w:id="109" w:name="pg12898_147831"/>
    </w:p>
    <w:p>
      <w:pPr>
        <w:pStyle w:val="BookText"/>
        <w:rPr/>
      </w:pPr>
      <w:bookmarkEnd w:id="109"/>
      <w:r>
        <w:rPr>
          <w:rFonts w:ascii="IRNazanin" w:hAnsi="IRNazanin" w:eastAsia="IRNazanin"/>
          <w:color w:val="111111"/>
          <w:sz w:val="28"/>
          <w:sz w:val="28"/>
          <w:szCs w:val="28"/>
          <w:rtl w:val="true"/>
          <w:lang w:bidi="fa-IR"/>
        </w:rPr>
        <w:t>معناها ما ذکره، فإنّها عبارة عن إحاطة شی‌ء بشی‌ء؛ بحیث یلزم من حرکة المحاط حرکة المحیط، و أنّ مقولة الجِدَة من الموجودات الخارجیّة؛ لعدم انحصار الموجودات الخارجیّة فی الأجسام</w:t>
      </w:r>
      <w:r>
        <w:rPr>
          <w:rFonts w:eastAsia="IRNazanin" w:cs="IRNazanin"/>
          <w:color w:val="111111"/>
          <w:sz w:val="28"/>
          <w:szCs w:val="28"/>
          <w:rtl w:val="true"/>
          <w:lang w:bidi="fa-IR"/>
        </w:rPr>
        <w:t>.</w:t>
      </w:r>
    </w:p>
    <w:p>
      <w:pPr>
        <w:pStyle w:val="Heading4"/>
        <w:numPr>
          <w:ilvl w:val="3"/>
          <w:numId w:val="1"/>
        </w:numPr>
        <w:rPr/>
      </w:pPr>
      <w:bookmarkStart w:id="110" w:name="__RefHeading___Toc3234744_3224264995"/>
      <w:bookmarkStart w:id="111" w:name="_Toc41"/>
      <w:bookmarkEnd w:id="110"/>
      <w:r>
        <w:rPr>
          <w:rtl w:val="true"/>
        </w:rPr>
        <w:t>الأمر الثالث</w:t>
      </w:r>
      <w:r>
        <w:rPr>
          <w:rtl w:val="true"/>
        </w:rPr>
        <w:t xml:space="preserve">: </w:t>
      </w:r>
      <w:r>
        <w:rPr>
          <w:rtl w:val="true"/>
        </w:rPr>
        <w:t>فی جعل الجزئیّة و الشرطیّة و السببیّة استقلالًا</w:t>
      </w:r>
      <w:bookmarkEnd w:id="111"/>
    </w:p>
    <w:p>
      <w:pPr>
        <w:pStyle w:val="BookText"/>
        <w:rPr/>
      </w:pPr>
      <w:r>
        <w:rPr>
          <w:rFonts w:ascii="IRNazanin" w:hAnsi="IRNazanin" w:eastAsia="IRNazanin"/>
          <w:color w:val="111111"/>
          <w:sz w:val="28"/>
          <w:sz w:val="28"/>
          <w:szCs w:val="28"/>
          <w:rtl w:val="true"/>
          <w:lang w:bidi="fa-IR"/>
        </w:rPr>
        <w:t>ذهب بعض الاصولیّین إلی انّه لا یمکن جعل الجزئیّة و الشرطیّة و المانعیّة لما هو جزء و شرط و مانع استقلالًا؛ بدون التصرّف فی المأمور به بنسخه، ثمّ الأمر بالمجموع من هذا الجزء و سائر الأجزاء متقیّداً بهذا الشرط أو عدم المانع، و أنّه لو ارید إضافة جزء أو شرط أو مانع للمأمور به، أو إسقاط جزء أو شرط أو مانع عن الجزئیّة و الشرطیّة و المانعیّة، لا بدّ و أن ینسخ وجوب المأمور به أوّلًا ثمّ الأمر بالواجد لها أو الفاقد لها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أظنّ أنّهم قاسوا الانتزاعیّات الشرعیّة و الاعتباریّة بالانتزاعیّات التکوینیّة، و أنّه کما لا یمکن جعل الفوقیّة و التحتیّة و نحوهما من الانتزاعیّات التکوینیّة بدون التصرّف و التغییر فی منشأ انتزاعها؛ أی الجسم الذی هو أقرب إلی المرکز بالنسبة إلی ما هو الأبعد منه، فلا بدّ أن ینقل کلّ منهما إلی مکان الآخر، و إلّا لم یمکن جعلهما، فکذلک الانتزاعیّات الشرعیّة و الاعتباریّة لا یمکن جعلها و اعتبارها بدون التصرّف فی المأمور به بنسخه أوّلًا، ثمّ الأمر بالمجموع الواجد للجزء و الشرط أو الفاقد لهما؛ لینتزع منه الشرطیّة و الجزئیّة، و إن لم یصرِّحوا بهذه المقایسة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القیاس فی غیر محلّه کما عرفت؛ لعدم المانع من ذلک؛ لعدم قیام دلیل و لا</w:t>
      </w:r>
    </w:p>
    <w:p>
      <w:pPr>
        <w:pStyle w:val="BookText"/>
        <w:rPr/>
      </w:pPr>
      <w:r>
        <w:rPr>
          <w:rFonts w:ascii="IRNazanin" w:hAnsi="IRNazanin" w:eastAsia="IRNazanin"/>
          <w:color w:val="111111"/>
          <w:sz w:val="28"/>
          <w:sz w:val="28"/>
          <w:szCs w:val="28"/>
          <w:rtl w:val="true"/>
          <w:lang w:bidi="fa-IR"/>
        </w:rPr>
        <w:t>برهان علی امتناعه، و لا یحتاج فی الاعتباریّات إلی أزید من الاعتبار؛ فلا مانع من جعل الاستقبال إلی القبلة شرطاً للصلاة بعد ما لم یکن شرطاً؛ بدون التصرّف فی المأمور به بنسخه لمصلحة فی ذلک، و کذلک إسقاطه شرطیّة استقبال بیت المقدس؛ لاستدعاء النبی صلی الله علیه و آله و سلم و طلبه صلی الله علیه و آله و سلم منه تعالی، أو لأجل مصلحة سیاسیّة، و لا یعدّ ذلک من النسخ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إسقاط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فی ذلک فی جعل الجزئیّة لشی‌ء للمأمور به بعد ما لم یکن جزءاً له؛ حیث إنّ الجزئیّة إنّما تنتزع باعتبار تعلّق الأمر بمجموع یکون هذا بعضه، فإذا لم یلاحظ شی‌ء فی متعلّق الأمر، و ارید جعل الجزئیّة له بعد ذلک، فلا بدّ أوّلًا من نسخ الأمر الأوّل، ثمّ الأمر بالواجد له لینتزع منه الجزئیّة، و إلّا فلا یمکن جعلها ابتداءً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أیضاً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متعلّق بعنوان الصلاة، و امتثاله إنّما یتحقّق بالإتیان بالأجزاء و الشرائط المقرّرة لها، کالأمر ببناء المسجد، فإنّ امتثاله إنّما یحصل بتحصیل الأجزاء و ترتیبها بنحو خاصّ، و لیس لکلّ واحد من الأجزاء أمر مستقلّ؛ بانحلال الأمر المتعلّق بالکلّ إلی أوامر متعدّدة بعدد الأجزاء و الشرائط، أو بانبساط الأمر بالکلّ علی جمیع الأجزاء، بل الأمر متعلّق بعنوان الصلاة لا الأجزاء، فلیس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ارکع و 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کیفیّة الامتثال و تحقّقه یتوقّف علی الإتیان بالأجزاء و الشرائط، کما فی مثال الأمر ببناء المسجد، فمرجع إضافة جزء إلیها إلی تغیّر کیفیّة الامتثال بإتیان هذا الجزء أیضاً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و لا إشکال فی إمکان جعل جزئیّة شی‌ء أو شرطیّته أو مانعیّته للمأمور به استقلالًا بعد ما لم تکن کذلک، و کذلک إسقاط شی‌ء عن الجزئیّة أو</w:t>
      </w:r>
    </w:p>
    <w:p>
      <w:pPr>
        <w:pStyle w:val="BookText"/>
        <w:rPr/>
      </w:pPr>
      <w:r>
        <w:rPr>
          <w:rFonts w:ascii="IRNazanin" w:hAnsi="IRNazanin" w:eastAsia="IRNazanin"/>
          <w:color w:val="111111"/>
          <w:sz w:val="28"/>
          <w:sz w:val="28"/>
          <w:szCs w:val="28"/>
          <w:rtl w:val="true"/>
          <w:lang w:bidi="fa-IR"/>
        </w:rPr>
        <w:t>الشرطیّة أو المانعیّة، بدون نسخ الحکم الأوّل بل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p>
    <w:p>
      <w:pPr>
        <w:pStyle w:val="BookText"/>
        <w:rPr/>
      </w:pPr>
      <w:r>
        <w:rPr>
          <w:rStyle w:val="FootnoteAnchor"/>
          <w:rtl w:val="true"/>
        </w:rPr>
        <w:footnoteReference w:id="125"/>
      </w:r>
      <w:r>
        <w:rPr>
          <w:rFonts w:ascii="IRNazanin" w:hAnsi="IRNazanin" w:eastAsia="IRNazanin"/>
          <w:color w:val="111111"/>
          <w:sz w:val="28"/>
          <w:sz w:val="28"/>
          <w:szCs w:val="28"/>
          <w:rtl w:val="true"/>
          <w:lang w:bidi="fa-IR"/>
        </w:rPr>
        <w:t>معناه إسقاط جزئیّة ما عدا الخَمْس أو شرطیّته حال النسیان، و لیس معناه نسخ الحکم الأوّل، ثمّ الأمر بالفاقد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جزئیّة شی‌ء للمأمور به أو شرطیّته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السببیّة و الشرطیّة لما هو سبب للتکلیف أو شرطه، فذکر المیرزا النائینی قدس سره لامتناع مجعولیّتهما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استقلالًا و لا تبعاً، و لا تکویناً و لا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قابل للجعل هو ذات السبب و الشرط و وجودهما العینی، و أمّا السببیة فهی من لوازم ذاته کزوجیّة الأربعة، فإنّ السببیّة عبارة عن الرَّشَح و الإفاضة القائمة بذات السبب التی تقتضی المسبّب؛ و هذا الرشح من لوازم الذات التی لا یمکن أن تنالها ید الجعل التکوینی، فضلًا عن التشریعی، بل هی کسائر لوازم الماهیّة التی تکوینها إنّما هو بتکوین الماهیّة، و إفاضة الوجود علی الذات و السببیّة إنّما تنتزع عن مقام الذات، و لیس لها ما بحذاء فی الخارج، و لا فی وعاء الاعتبار، فهی من خارج المحمول، فهی لا تقبل الإیجاد التکوینی</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ذکره قدس سره وجوه من الإشکال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الرَّشَح و الإفاضة عبارة عن الإیجاد الحقیقی، فلا مناسبة بینهما و بین لوازم الماهیّة، فإنّ لازم الماهیّة أمر اعتباریّ لا حقیقة له مجعول بالجعل العرضی تبعاً للماهیّة، و معنی عدم مجعولیّة الماهیّة و لازمها ذاتاً أنّها دون مرتبة الجعل و مقامه، فتنظیره قدس سره الإفاضة و الرَّشَحَ للمسبّب من السبب بلزوم الزوجیّة للأربعة، لا وجه له،</w:t>
      </w:r>
    </w:p>
    <w:p>
      <w:pPr>
        <w:pStyle w:val="BookText"/>
        <w:rPr/>
      </w:pPr>
      <w:r>
        <w:rPr>
          <w:rFonts w:ascii="IRNazanin" w:hAnsi="IRNazanin" w:eastAsia="IRNazanin"/>
          <w:color w:val="111111"/>
          <w:sz w:val="28"/>
          <w:sz w:val="28"/>
          <w:szCs w:val="28"/>
          <w:rtl w:val="true"/>
          <w:lang w:bidi="fa-IR"/>
        </w:rPr>
        <w:t>و کذلک تنظیره قدس سره ذلک بوجوب الواجب و امتناع الممتنع؛ لما عرفت من أنّ عدم مجعولیّة الماهیّة و لوازمها إنّما هو لأجل أنّها دون مرتبة الجعلِ، و عدمَ مجعولیّة وجوب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الممتنع إنّما هو لأنّهما فوق مرتبة الجعل، و لا مشابهة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الرَّشَح و الإفاضة للمسبَّب من السبب، و بین اقتضاء السبب للمسبَّب فی عبارته قدس سره، غیرُ سدید، فإنّ الإیجاد الذی هو معنی الرَّشح غیر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سببیّة السبب و علیّة العلّة لیست من خارج المحمول، کما ذکره قدس سره، بل هی من المحمول بالضمیمة؛ لأنّ المراد من خارج المحمول هو المنتزع من حاقّ الشی‌ء بدون اعتبار انضمام أمر وجودی حقیقیّ، و لا اعتباریّ و لا عدمیّ معه، کانتزاع الإنسانیّة من الإنسان و الحجریّة من الحجر، و المحمول بالضمیمة هو ما ینتزع عن الشی‌ء بلحاظ انضمام أمر معه، و لا یلزم أن یکون هذا الأمر المنضمّ إلیه من الحقائق أو الأجسام، بل یکفی فیه انضمام الأمر العدمی أو الاعتباری أیضاً، فانتزاع المقابلة من جسم إنّما هو باعتبار أنّ له وضعاً خاصّاً مع الجسم الآخر، لیس من مرتبة الذات لیکون من خارج المحمول، بل هی من المحمولات بالضمیمة، و السببیّة و العلّیّة من هذا القبیل، لا من قبیل انتزاع الإنسانیّة من الإنسان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قیاس الامور الانتزاعیّة الشرعیّة علی المنتزعات التکوینیّة فی غیر محلّه، فإنّ السبب من لوازم ذات المسبَّب فی التکوینیّات، و لا یمکن التفکیک بینهما أصلًا، بخلاف السببیّة الشرعیّة کسببیّة الدلوک لوجوب صلاة الظهر، أو طلوع الفجر لوجوب صلاة الصبح؛ لإمکان انفکاکهما؛ ضرورة أنّ هذا النحو من السببیّة اعتباریّة یمکن جعلها و سلبها، و لو کانت سببیّة الدلوک ذاتیّة للوجوب لزم أن تکون کذلک قبل الإسلام أیضاً، و لو کان للشرط الشرعی اقتضاء ذاتیّ لا بدّ أن یکون کذلک أزلًا و أبداً، و یلزمه امتناع إسقاط شرطیّة الشرط، مثل</w:t>
      </w:r>
    </w:p>
    <w:p>
      <w:pPr>
        <w:pStyle w:val="BookText"/>
        <w:rPr/>
      </w:pPr>
      <w:r>
        <w:rPr>
          <w:rFonts w:ascii="IRNazanin" w:hAnsi="IRNazanin" w:eastAsia="IRNazanin"/>
          <w:color w:val="111111"/>
          <w:sz w:val="28"/>
          <w:sz w:val="28"/>
          <w:szCs w:val="28"/>
          <w:rtl w:val="true"/>
          <w:lang w:bidi="fa-IR"/>
        </w:rPr>
        <w:t>استقبال بیت المقدس،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السببیّة لما هو سبب للتکلیف، و کذلک الشرطیّة لما هو شرط للتکلیف و المکلّف به، قابلة للجعل استقلالًا؛ لأنّه مجرّد اعتبار لأجل جهة عامّة و مصلحة مقتضیة لذلک، کما أنّ الأحکام التکلیفیّة أیضاً مجعولة لمکان مصلحة فی ذلک، کحلّیّة البیع و حرمة الربا لمصلحة سیاسیّة أو اقتصادیّة مقتضیة لذلک، و کما أنّه یمکن جعل السببیّة للسبب یمکن جعل المسبَّب أیضاً، لکن الأوفق بالاعتبار هو جعل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الذی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أمکن جعل السببیّة للدلوک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صلاة الظهر، لزم عدم کون الوجوب أمراً اختیاریّاً للشارع، بل من الوضعیّات و التکالیف التی تحصل قهراً بلا إنشاء من الشارع، فإنّ ترتّب المسبّب علی السبب قهریّ لا یعقل فیه التخلّف، و لا یمکن أن یدخله الإرادة و الاختیار، و هو کما تری لا یمکن الالتزام به</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أنّه یلزم من مجعولیّة السبب حصول إرادة غیر اختیاریّة أو بعث غیر اختیاریّ من الشارع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یستلزم ذلک، بل کما أنّه یُستفاد الوجوب من الأمر مع عدم وضعه له، بل بضمیمة اصول خارجیّة، مثل کشفه عن إرادة المولی ذلک و مطلوبیّته عنده، و أنّ ذلک حجّة علی العبد یفتقر إلی الجواب عنه، فکذلک یُستفاد الوجوب من جعل الدلوک سبباً للوجوب، فإنّه بعد تحقّق السبب یُستفاد منه الوجوب، فهو أیضاً أحد طرق إنشاء الوجوب، و لا یلزم منه حصول الوجوب قهراً، و بلا اختیار؛ کیف و قد جُعلت سببیّته للوجوب بالإرادة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کیف یصیر المسبّب قهریاً و بلا</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المقرّرة شرعاً تُتصوَّر علی وجهین و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مجعول ابتداءً و استقلالًا؛ بدون لحاظ تعقُّبه لشی‌ء تکوینیّ أو تشریعیّ، کجعل سببیّة الدلوک للوجوب، أو سببیّة الید للضمان، و سببیّة صیغ النکاح و الطلاق؛ لتحقّق الزوجیّة و زوالها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المجعول هو الواقع عقیب شی‌ء تکویناً أو تشریعاً، کجعل الضمان عقیب تحقّق الید العادیة، و الزوجیّة عقیب وقوع صیغتها، و زوالها عند وقوع صیغة الطلاق، و جعل ثبوت حقّ التحجیر عقیب التحجیر، و کذلک سائر الحقوق المالیّة و غیرها، بل جمیع الجزائیّات، کجعل وجوب قطع ید السارق عقیب تحقّق السرقة، و حقّ القصاص و الدِّیة بعد القتل الخارجی، و جمیع أقسام الحدود و الدِّیات، فإنّها من الأحکام الوضعیّة لا التکلیفیّة، فإنّ جعل وجوب الثمانین جلدةً لشرب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جمیع تلک الموارد هو السببیّة للسبب، کسببیّة الید للضمان، و سببیّة السرقة لقطع الید،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أن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هو الضمان عقیب الید و ثبوت الحقّ بعد التحجیر، لکنّ الأوفق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المتّبع هو لسان الدلیل فی هذه الموارد، و أمّا مثل جزئیّة شی‌ء أو شرطیته أو مانعیته للمأمور به، فکما أنّه یمکن انتزاعها من التکلیف و الأمر المتعلّق بالکلّ ذی الأجزاء بلحاظها لا بشرط أو بشرط لا، کذلک یمکن جعلها استقلالًا کما عرفت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فصّل المحقّق العراقی قدس سره بین الجزئیّة و بین الشرطیّة و المانعیّة و القاطعیّة</w:t>
      </w:r>
    </w:p>
    <w:p>
      <w:pPr>
        <w:pStyle w:val="BookText"/>
        <w:rPr/>
      </w:pPr>
      <w:r>
        <w:rPr>
          <w:rFonts w:ascii="IRNazanin" w:hAnsi="IRNazanin" w:eastAsia="IRNazanin"/>
          <w:color w:val="111111"/>
          <w:sz w:val="28"/>
          <w:sz w:val="28"/>
          <w:szCs w:val="28"/>
          <w:rtl w:val="true"/>
          <w:lang w:bidi="fa-IR"/>
        </w:rPr>
        <w:t>و عنوان المقدّمیّة الجامعة لجمیع تلک العناوین،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جزئیّة شی‌ء للمأمور به فی مرتبة متأخّرة عن تعلّق الحکم بالطبیعة، فهی منتزَعة عن الحکم التکلیفی، و یستحیل انتزاعها قبل تعلّق الأمر بالطبیعة، بخلاف شرطیّة شی‌ء أو مانعیّته أو قاطعیّته التی هی مقدّمات الطبیعة؛ فإنّه إمّا أن یکون بینها و بین الطبیعة ارتباط تکوینیّ أو لا، فالأوّل کنصب السُّلّم للکون علی السطح، فهو خارج عن المقام، و محلّ الکلام هو الثانی، فأمر دخْلها و ارتباطها فی موضوع وجوبه فی رتبة سابقة علی وجوبه؛ للحاظ الآمر هذا الربط فی رتبة سابقة علی التکلیف فی مقام تصوُّره، نعم إضافة ذلک الربط إلی الوجوب متأخّرة عنه، کإضافة المکان إلیه، لا ربط له بنفس حقیقة الشرطیّة المنتزعة عن الربط المعروض للتکلیف، و حینئذٍ فکم فرق بین الشرطیّة المنتزعة عن مثل ذلک الربط، و بین الجزئیّة المنتزعة عن الوحدة الطارئة علی المتعدّدات من قبل وحدة الوجوب؛ إذ مثل تلک الارتباطات بحسب مرتبة ذاتها متأخّرة عن الوجوب، بخلاف منشأ انتزاع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عن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فی موضوع الوجوب، و هکذا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انتزاع الشرطیّة و أمثالها إلّا بعد تعلّق الحکم بالموضوع، کانتزاع وصف الموضوعیّة المتأخّرة عنه و إن کان بنفس ذاتها فی رتبة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الدعوی لا یمکن ادّعاؤها؛ أ لا تری أنّ المضاف إلیه قید للمضاف، کان فی العالم حکم أم لا، فهو شاهد علی أنّ منشأ انتزاع القیدیّة نفس الإضافة فی رتبة سابقة علی التکلیف</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التفکیک بین الجزئیّة و الشرطیّة و نحوهما ممّا لا وجه له؛ لأنّه إن کان لحاظ الربط و تصوّره فی مرتبة سابقة علی الحکم، کافیاً فی انتزاع هذه</w:t>
      </w:r>
    </w:p>
    <w:p>
      <w:pPr>
        <w:pStyle w:val="BookText"/>
        <w:rPr/>
      </w:pPr>
      <w:r>
        <w:rPr>
          <w:rFonts w:ascii="IRNazanin" w:hAnsi="IRNazanin" w:eastAsia="IRNazanin"/>
          <w:color w:val="111111"/>
          <w:sz w:val="28"/>
          <w:sz w:val="28"/>
          <w:szCs w:val="28"/>
          <w:rtl w:val="true"/>
          <w:lang w:bidi="fa-IR"/>
        </w:rPr>
        <w:t>العناوین بدون الاحتیاج إلی تعلّق الحکم بالموضوع، فلیکن الأمر فی الجزئیّة أیضاً کذلک، و إن لم یکن مجرّد اللحاظ و التصوّر کافیاً فیه ففی الشرطیّة و نحوها أیضاً کذلک، فلا وجه للتفصیل بینهما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تصوّر الربط و لحاظه لیس کافیاً فی الانتزاع فی الجمیع؛ لأنّ الوضع عبارة عن الجعل التصدیقی، و لا یکفی مجرّد تصوّر الربط، فإنّه ربط تصوّری لا تصدیقی، و التصدیقی منه لا یتحقّق إلّا بعد تعلّق الحکم بموضوعه، و تقدّم أنّ المجعول فی الوضعیّات علی نحوین متقدّمین، فلا بدّ من ملاحظة الأدلّة الدالّة علی الوضع، فإن کان لسانها جعل السببیّة للأسباب، کجعل الید سبباً للضمان، فلا مجال للاستصحاب فی ذلک، فإنّ السببیّة و إن کانت مجعولة حینئذٍ إلّا أنّ ترتّب المسبَّب علی السبب عقلیّ، و کذلک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هو سببیّة الغلیان للحرمة أو النجاسة فی العصیر العنبی، و إن کان لسانها جعل المسبّبات عقیب أمر تکوینیّ، کجعل الضمان عقیب الید، أو جعل النجاسة و الحرمة عقیب الغلیان، فلجریان الاستصحاب فیه مجال بعد فرض تحقّق هذه الامور التکوینیّة</w:t>
      </w:r>
      <w:r>
        <w:rPr>
          <w:rFonts w:eastAsia="IRNazanin" w:cs="IRNazanin"/>
          <w:color w:val="111111"/>
          <w:sz w:val="28"/>
          <w:szCs w:val="28"/>
          <w:rtl w:val="true"/>
          <w:lang w:bidi="fa-IR"/>
        </w:rPr>
        <w:t>.</w:t>
      </w:r>
      <w:bookmarkStart w:id="112" w:name="pg12898_147839"/>
    </w:p>
    <w:p>
      <w:pPr>
        <w:pStyle w:val="Heading3"/>
        <w:numPr>
          <w:ilvl w:val="2"/>
          <w:numId w:val="1"/>
        </w:numPr>
        <w:rPr/>
      </w:pPr>
      <w:bookmarkStart w:id="113" w:name="__RefHeading___Toc3234746_3224264995"/>
      <w:bookmarkStart w:id="114" w:name="_Toc42"/>
      <w:bookmarkEnd w:id="112"/>
      <w:bookmarkEnd w:id="113"/>
      <w:r>
        <w:rPr>
          <w:rtl w:val="true"/>
        </w:rPr>
        <w:t>تنبیهات</w:t>
      </w:r>
      <w:bookmarkEnd w:id="114"/>
    </w:p>
    <w:p>
      <w:pPr>
        <w:pStyle w:val="Heading4"/>
        <w:numPr>
          <w:ilvl w:val="3"/>
          <w:numId w:val="1"/>
        </w:numPr>
        <w:rPr/>
      </w:pPr>
      <w:bookmarkStart w:id="115" w:name="__RefHeading___Toc3234748_3224264995"/>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Heading4"/>
        <w:numPr>
          <w:ilvl w:val="3"/>
          <w:numId w:val="1"/>
        </w:numPr>
        <w:rPr/>
      </w:pPr>
      <w:bookmarkStart w:id="117" w:name="__RefHeading___Toc3234750_3224264995"/>
      <w:bookmarkStart w:id="118" w:name="_Toc44"/>
      <w:bookmarkEnd w:id="117"/>
      <w:r>
        <w:rPr>
          <w:rtl w:val="true"/>
        </w:rPr>
        <w:t>التنبیه الأوّل اعتبار فعلیّة الیقین و الشکّ و أخذهما بنحو الموضوعیّة</w:t>
      </w:r>
      <w:bookmarkEnd w:id="118"/>
    </w:p>
    <w:p>
      <w:pPr>
        <w:pStyle w:val="BookText"/>
        <w:rPr/>
      </w:pPr>
      <w:r>
        <w:rPr>
          <w:rFonts w:ascii="IRNazanin" w:hAnsi="IRNazanin" w:eastAsia="IRNazanin"/>
          <w:color w:val="111111"/>
          <w:sz w:val="28"/>
          <w:sz w:val="28"/>
          <w:szCs w:val="28"/>
          <w:rtl w:val="true"/>
          <w:lang w:bidi="fa-IR"/>
        </w:rPr>
        <w:t>إنّ الیقین و الشکّ هل هما رکنان للاستصحاب و اخذا موضوعیّین، أوْ لا بل المناط واقع المتیقَّن و المشکوک، أو أنّ الیقین مأخوذ فیه بنحو الموضوعیّة دون الشکّ، أو بالعکس؟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أقرب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الظاهر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بمناسبة الحکم و الموضوع، هو أنّ الیقین و الشکّ مقوّمان للاستصحاب، و أنّ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مبرَم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بالشکّ الذی لیس کذلک، لا جَعْلُ الملازمة بین المتیقَّن و المشکوک، کما اختاره المحقّق الخراسانی قدس سره</w:t>
      </w:r>
      <w:r>
        <w:rPr>
          <w:rStyle w:val="FootnoteAnchor"/>
          <w:rtl w:val="true"/>
        </w:rPr>
        <w:footnoteReference w:id="131"/>
      </w:r>
      <w:r>
        <w:rPr>
          <w:rFonts w:ascii="IRNazanin" w:hAnsi="IRNazanin" w:eastAsia="IRNazanin"/>
          <w:color w:val="111111"/>
          <w:sz w:val="28"/>
          <w:sz w:val="28"/>
          <w:szCs w:val="28"/>
          <w:rtl w:val="true"/>
          <w:lang w:bidi="fa-IR"/>
        </w:rPr>
        <w:t>، و لا نعنی بذلک عدم طریقیّة الیقین فی الاستصحاب، بل المراد أنّ الاستصحاب متقوِّم بالیقین الطریقی، و لا</w:t>
      </w:r>
    </w:p>
    <w:p>
      <w:pPr>
        <w:pStyle w:val="BookText"/>
        <w:rPr/>
      </w:pPr>
      <w:r>
        <w:rPr>
          <w:rFonts w:ascii="IRNazanin" w:hAnsi="IRNazanin" w:eastAsia="IRNazanin"/>
          <w:color w:val="111111"/>
          <w:sz w:val="28"/>
          <w:sz w:val="28"/>
          <w:szCs w:val="28"/>
          <w:rtl w:val="true"/>
          <w:lang w:bidi="fa-IR"/>
        </w:rPr>
        <w:t>یتحقّق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من العناوین المرآتیّة، یتبادر المرئیُّ و المتیقَّن منه فی مقام التخاطب فی ذهن المخاطب؛ أی الواقع الذی تعلّق به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فهو و إن لم یکن فیه جهة مرآتیّة حتّی ینتقل منه إلی المشکوک، لکن حیث إنّه ارید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إسقاطه و إلغاؤه تعبّداً، لا إثبات حکم علیه کالطهارة، فلا موضوعیّة 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الأوّلین، و کذلک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الکلام فی أنّه هل یعتبر فی الاستصحاب فعلیّة الیقین و الشکّ أوْ لا؟</w:t>
      </w:r>
    </w:p>
    <w:p>
      <w:pPr>
        <w:pStyle w:val="BookText"/>
        <w:rPr/>
      </w:pPr>
      <w:r>
        <w:rPr>
          <w:rFonts w:ascii="IRNazanin" w:hAnsi="IRNazanin" w:eastAsia="IRNazanin"/>
          <w:color w:val="111111"/>
          <w:sz w:val="28"/>
          <w:sz w:val="28"/>
          <w:szCs w:val="28"/>
          <w:rtl w:val="true"/>
          <w:lang w:bidi="fa-IR"/>
        </w:rPr>
        <w:t>و هو متفرّع علی القول بالوجه الأوّل من الوجوه الأربعة، و هو القول بأخذهما فی الاستصحاب بنحو الموضوعیّة، و إلّا فعلی القول بعدم أخذهما فیه کذلک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اعتبارهما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وقع لهذا البحث؛ لأنّ ما هو المعقول من هذا البحث هو أن یراد بالفعلی منهما ما یلتفت و یتوجّه إلیه المکلّف غیر غافل عنه، و یراد بعدم اعتبار الفعلیّة عدم اعتبار التفاته إلیهما و غفلته عنهما مع وجودهما فی خزانة النفس، و إلّا فلو ارید من الغیر الفعلی عدم وجوده أصلًا حتی فی خزانة النفس، و من الفعلی ما یقابل المعدوم حتی فی خزانة النفس، فهو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التهافت و التناقض بین ما فی التنبیه الأوّل و الثانی المذکورین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صرّح فی التنبیه الثانی بعدم رکنیّة الیقین و الشکّ للاستصحاب، و أنّ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الملازمة بین ثبوت الشی‌ء و بقائه، و فرّع علیه جریان الاستصحاب فی مؤدّی الأمارات؛ لعدم اعتبار الیقین و الشکّ حینئذٍ</w:t>
      </w:r>
      <w:r>
        <w:rPr>
          <w:rStyle w:val="FootnoteAnchor"/>
          <w:rtl w:val="true"/>
        </w:rPr>
        <w:footnoteReference w:id="132"/>
      </w:r>
      <w:r>
        <w:rPr>
          <w:rFonts w:ascii="IRNazanin" w:hAnsi="IRNazanin" w:eastAsia="IRNazanin"/>
          <w:color w:val="111111"/>
          <w:sz w:val="28"/>
          <w:sz w:val="28"/>
          <w:szCs w:val="28"/>
          <w:rtl w:val="true"/>
          <w:lang w:bidi="fa-IR"/>
        </w:rPr>
        <w:t>، و مع</w:t>
      </w:r>
    </w:p>
    <w:p>
      <w:pPr>
        <w:pStyle w:val="BookText"/>
        <w:rPr/>
      </w:pPr>
      <w:r>
        <w:rPr>
          <w:rFonts w:ascii="IRNazanin" w:hAnsi="IRNazanin" w:eastAsia="IRNazanin"/>
          <w:color w:val="111111"/>
          <w:sz w:val="28"/>
          <w:sz w:val="28"/>
          <w:szCs w:val="28"/>
          <w:rtl w:val="true"/>
          <w:lang w:bidi="fa-IR"/>
        </w:rPr>
        <w:t>ذلک ذکر فی 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یعتبر فعلیّة الیقین و الشکّ أو لا؟ و اختار اعتبار فعلیّتهما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یرد علی الشیخ الأعظم قدس سره؛ حیث إنّه مع اختیاره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موضوعیّة الیقین و موضوعیّة الشکّ</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اعتبار فعلیّة الیقین و الشکّ فیه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مختارهما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اعتبار الیقین فی الاستصحاب، و أنّه عبارة عن جعل الملازمة بین ثبوت شی‌ء و بقائه، کما ذهب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ترتیب آثار المتیقّن علی الشکّ، کما ذهب الیه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وقع للبحث فی أنّه هل یعتبر فیه فعلیّة الیقین و الشکّ و وجودهما بالفعل و الالتفات إلیهما، أو یکفی وجودهما فی خزانة النفس و إن لم یلتفت إلیهما بالفعل، کما أنّ کثیراً من المعلومات کذلک موجودة فی خزانة النفس، لکن یغفل عنها الإنسان؟</w:t>
      </w:r>
    </w:p>
    <w:p>
      <w:pPr>
        <w:pStyle w:val="BookText"/>
        <w:rPr/>
      </w:pPr>
      <w:r>
        <w:rPr>
          <w:rFonts w:ascii="IRNazanin" w:hAnsi="IRNazanin" w:eastAsia="IRNazanin"/>
          <w:color w:val="111111"/>
          <w:sz w:val="28"/>
          <w:sz w:val="28"/>
          <w:szCs w:val="28"/>
          <w:rtl w:val="true"/>
          <w:lang w:bidi="fa-IR"/>
        </w:rPr>
        <w:t xml:space="preserve">هذا مضافاً إلی أنّ الظاهر من کلام شیخنا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الفعلیّة و عدمها وجودهما و عدمهما أصلًا حتّی فی خزانة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 أنّ البحث فیه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هو تحقّقهما فعلًا، و لا یکفی وجودهما الشأنی بمعنی أنّ المکلّف بحیث لو التفت لکان متیقّناً بالحدث شاکّاً فی البقاء</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المستفاد من کلام الشیخ قدس سره ذلک أیضاً، فلأنّه قدس سره فرّق بین ما لو شکّ بعد تیقّنه بالحدث ثمّ غفل عنه و صلّی، و بین ما لو غفل عنه بالکلّیّة بعد تیقّنه بالحدث،</w:t>
      </w:r>
    </w:p>
    <w:p>
      <w:pPr>
        <w:pStyle w:val="BookText"/>
        <w:rPr/>
      </w:pPr>
      <w:r>
        <w:rPr>
          <w:rFonts w:ascii="IRNazanin" w:hAnsi="IRNazanin" w:eastAsia="IRNazanin"/>
          <w:color w:val="111111"/>
          <w:sz w:val="28"/>
          <w:sz w:val="28"/>
          <w:szCs w:val="28"/>
          <w:rtl w:val="true"/>
          <w:lang w:bidi="fa-IR"/>
        </w:rPr>
        <w:t>فحکم ببطلان الصلاة فی الأوّل؛ لسبق الأمر بالطهارة فیه، فلا یجری قاعدة الفراق حینئذٍ، بخلاف الثانی و جریان القاعدة فیه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جریان الاستصحاب فی الثانی و جریان القاعدة فیه، إنّما هو لعدم وجود الشکّ و الیقین فیه أصلًا حتّی فی خزانة النفس، بخلاف الأوّل؛ لأنّه و إن کان غافلًا حین الشروع فی الصلاة، لکن هذه الغفلة لا تضرّ فی فعلیّة الشکّ و الیقین؛ لوجودهما بالفعل قبل الصلاة و قبل عروض الغفلة، و هو کافٍ فی جریان الاستصحاب، و إلّا فلو أراد من الفعلیّة، وجودهما و لو فی خزانة النفس و صُقعها، لزم الحکم ببطلان الصلاة فی الفرعین معاً؛ لجریان استصحاب الحدث، لفعلیّة الیقین و الشکّ بهذا المعنی فیهما، فی قبال عدمهما بالکلّیّة حتّی فی صُقع النفس، فیستفاد من التفصیل بین الفرعین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الاستصحاب فی الأوّل و عدمه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الفعلیّة هو وجودهما بالفعل فی قبال وجودهما فی صُقْع النفس فقط، مع الغفلة عنهما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کلامه قدس سره و تفصیله بین الفرعین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و المعتبر هو وجودهما بالفعل و عدم الغفلة عنهما، فمع الغفلة عنهما رأساً لا یجری الاستصحاب و لو مع وجودهما فی صُقع النفس و خزانتها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الاستصحاب هو جعل حکم مماثل للحکم الواقعی المتیقَّن سابقاً فی زمان الشکّ فی البقاء، فمؤدّی استصحاب الطهارة حینئذٍ، طهارة ظاهریّة مجعولة فی زمان الشکّ کالطهارة الواقعیّة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اعتبار فعلیّة الشکّ و الیقین فی جریانه، فیجری مع الغفلة عنهما فعلًا أیضاً، مع وجودهما فی صقع النفس، کما أنّ الأحکام الواقعیّة موجودة؛</w:t>
      </w:r>
    </w:p>
    <w:p>
      <w:pPr>
        <w:pStyle w:val="BookText"/>
        <w:rPr/>
      </w:pPr>
      <w:r>
        <w:rPr>
          <w:rFonts w:ascii="IRNazanin" w:hAnsi="IRNazanin" w:eastAsia="IRNazanin"/>
          <w:color w:val="111111"/>
          <w:sz w:val="28"/>
          <w:sz w:val="28"/>
          <w:szCs w:val="28"/>
          <w:rtl w:val="true"/>
          <w:lang w:bidi="fa-IR"/>
        </w:rPr>
        <w:t>سواء قامت علیها الأمارة أم لا، وصلت إلی المکلّف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إنّما هو للتحفّظ عن الواقع و تنجّزه علی فرض الإصابة، و العذر علی فرض عدمها، کما أنّ الأمارات کذلک، و أنّ الواقع یتنجّز علی فرض الإصابة و بقاء الحالة السابقة واقعاً، و إلّا فلا، لکن المکلّف معذور فی المخالفة، فلا إشکال فی اعتبار فعلیّة الیقین و الشکّ فیه، و فی تنجیزه للواقع عند الإصابة، و العذر عند عدمها، و عدم کفایة وجودهما فی صُقْع النفس و خزانتها مع الغفلة عنهما فعلًا فی المنجِّزیة و المعذوریّة؛ لعدم صحّة احتجاج المولی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العبد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هذا النحو من العلم و الشکّ، کما تقدّم نظیر ذلک فی باب الطرق و الأمارات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للعذر و التنجّز واقع؛ کی یبحث فی أنّه هل یکفی وجودهما الواقعی أو لا؟ بل التنجیز و التعذیر إنّما یتحقّقان مع الالتفات إلی الیقین و الشکّ فی الاستصحاب، فلا یصحّ احتجاج المولی علی العبد فیما لم یلتفت العبد إلی الیقین و الشکّ، و لم یلتفت إلی الیقین السابق بوجوب صلاة الجمعة و الشکّ اللاحق به، فترکها، و إن کانا موجودین فی خزانة النفس، و حینئذٍ فالحقّ مع المشایخ العظام فی اعتبار فعلیّة الیقین و الشکّ فی الاستصحاب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19" w:name="pg12898_147845"/>
    </w:p>
    <w:p>
      <w:pPr>
        <w:pStyle w:val="Heading4"/>
        <w:numPr>
          <w:ilvl w:val="3"/>
          <w:numId w:val="1"/>
        </w:numPr>
        <w:rPr/>
      </w:pPr>
      <w:bookmarkStart w:id="120" w:name="__RefHeading___Toc3234752_3224264995"/>
      <w:bookmarkStart w:id="121" w:name="_Toc45"/>
      <w:bookmarkEnd w:id="119"/>
      <w:bookmarkEnd w:id="120"/>
      <w:r>
        <w:rPr>
          <w:rtl w:val="true"/>
        </w:rPr>
        <w:t>التنبیه الثانی حول جریان الاستصحاب فی مؤدّی الأمارات</w:t>
      </w:r>
      <w:bookmarkEnd w:id="121"/>
    </w:p>
    <w:p>
      <w:pPr>
        <w:pStyle w:val="BookText"/>
        <w:rPr/>
      </w:pPr>
      <w:r>
        <w:rPr>
          <w:rFonts w:ascii="IRNazanin" w:hAnsi="IRNazanin" w:eastAsia="IRNazanin"/>
          <w:color w:val="111111"/>
          <w:sz w:val="28"/>
          <w:sz w:val="28"/>
          <w:szCs w:val="28"/>
          <w:rtl w:val="true"/>
          <w:lang w:bidi="fa-IR"/>
        </w:rPr>
        <w:t>لا إشکال فی عدم جریان الاستصحاب فی مؤدّی الأمارات، لو قلنا بموضوعیّة الیقین و الشکّ الوجدانیّین و رکنیّتهما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جریانه فیها لو قلنا بعدم موضوعیّتهما فیه، و أنّ مؤدّی الاستصحاب هو جعل الملازمة بین ثبوت الشی‌ء و بقائه، و أنّ مع ثبوت الشی‌ء تعبُّداً بقیام الأمارة المعتبرة علیه یحکم علیه بالبقاء أو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المیرزا النائینی و المحقّق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جریانه فی مؤدّی الأمارات؛ لأنّ المأخوذ من الیقین فی موضوع الاستصحاب هو الیقین الطریقی لا الوصفی، و أنّه قد تقدّم فی مبحث القطع قیام الطرق و الأمارات مقام القطع الطریقی، و حینئذٍ فلا إشکال فی المقام</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القول بأنّ حجّیّة الأمارات مجعولة من الشارع تأسیساً، و أنّها من مخترعات الشارع و مجعولاته، و قد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حجّیّة خبر الواحد</w:t>
      </w:r>
    </w:p>
    <w:p>
      <w:pPr>
        <w:pStyle w:val="BookText"/>
        <w:rPr/>
      </w:pPr>
      <w:r>
        <w:rPr>
          <w:rFonts w:ascii="IRNazanin" w:hAnsi="IRNazanin" w:eastAsia="IRNazanin"/>
          <w:color w:val="111111"/>
          <w:sz w:val="28"/>
          <w:sz w:val="28"/>
          <w:szCs w:val="28"/>
          <w:rtl w:val="true"/>
          <w:lang w:bidi="fa-IR"/>
        </w:rPr>
        <w:t>و الید و غیرهما من الأمارات، إنّما هی لاستقرار بناء العقلاء علیها و العمل بها و إمضاء الشارع له، فهی إمضائیّة، لا تأسیسیّة من الشارع؛ لعدم قیام دلیل علی ذلک من الآیات و الروایات، فإنّ مفاد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أدّی إلیک عنّی فعنِّی یؤدّی</w:t>
      </w:r>
      <w:r>
        <w:rPr>
          <w:rFonts w:eastAsia="Amiri" w:cs="Amiri" w:ascii="Amiri" w:hAnsi="Amiri"/>
          <w:color w:val="111111"/>
          <w:sz w:val="28"/>
          <w:szCs w:val="28"/>
          <w:rtl w:val="true"/>
          <w:lang w:bidi="ar-SA"/>
        </w:rPr>
        <w:t>)</w:t>
      </w:r>
    </w:p>
    <w:p>
      <w:pPr>
        <w:pStyle w:val="BookText"/>
        <w:rPr/>
      </w:pPr>
      <w:r>
        <w:rPr>
          <w:rStyle w:val="FootnoteAnchor"/>
          <w:rtl w:val="true"/>
        </w:rPr>
        <w:footnoteReference w:id="140"/>
      </w:r>
      <w:r>
        <w:rPr>
          <w:rFonts w:ascii="IRNazanin" w:hAnsi="IRNazanin" w:eastAsia="IRNazanin"/>
          <w:color w:val="111111"/>
          <w:sz w:val="28"/>
          <w:sz w:val="28"/>
          <w:szCs w:val="28"/>
          <w:rtl w:val="true"/>
          <w:lang w:bidi="fa-IR"/>
        </w:rPr>
        <w:t>، هو توثیقه، لا جعل حجّیّة خبره، و حینئذٍ فلا بدّ من ملاحظة بناء العقلاء، و أنّه هل استقرّ بناؤهم علی تنزیل مؤدّی الأمارات منزلة الواقع أوّلًا، ثمّ العلم بها، أو أنّه لیس کذلک؟ لا إشکال فی أنّه لیس فی التنزیل المذکور بینهم رسم و لا أثر، بل الثابت عندهم هو عملهم بها، و هذا ممّا لا ریب فیه و لا إشکال، و العجب أنّه قدس سره قد صرّح فی غیر موضع بأنّ حجّیّة الأمارات إنّما هی لبناء العقلاء و إمضاء الشارع له، و لیست تأسیسیّة من الشارع</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الوجه فی جریان الاستصحاب فی مؤدّی الأمارات هو ما تقدّم منّا سابقاً، و هو أنّه لیس المراد من الیقین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الیقین الوجدانی، بل الظاهر أنّ المراد به الحجّة، کما أنّ المراد من الشکّ هو اللاحجّة، فمفاده النهی عن نقض الحجّة باللّاحجّة، و الأمارات أیضاً حجج، فتعمّها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وجوه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الاولی لزرارة</w:t>
      </w:r>
      <w:r>
        <w:rPr>
          <w:rStyle w:val="FootnoteAnchor"/>
          <w:rtl w:val="true"/>
        </w:rPr>
        <w:footnoteReference w:id="142"/>
      </w:r>
      <w:r>
        <w:rPr>
          <w:rFonts w:ascii="IRNazanin" w:hAnsi="IRNazanin" w:eastAsia="IRNazanin"/>
          <w:color w:val="111111"/>
          <w:sz w:val="28"/>
          <w:sz w:val="28"/>
          <w:szCs w:val="28"/>
          <w:rtl w:val="true"/>
          <w:lang w:bidi="fa-IR"/>
        </w:rPr>
        <w:t>حیث إنّه لا یرید بالوضوء المستصحب فیها هو الوضوء القطعی الجزمی؛ لندرته جدّاً، بل الغالب فی الاحکام و إحراز صحتها الاعتماد علی الاصول و القواعد الجاریة فیها کإطلاق الماء الذی یتوضّأ منه و طهارته</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الثانیة له</w:t>
      </w:r>
      <w:r>
        <w:rPr>
          <w:rStyle w:val="FootnoteAnchor"/>
          <w:rtl w:val="true"/>
        </w:rPr>
        <w:footnoteReference w:id="143"/>
      </w:r>
      <w:r>
        <w:rPr>
          <w:rFonts w:ascii="IRNazanin" w:hAnsi="IRNazanin" w:eastAsia="IRNazanin"/>
          <w:color w:val="111111"/>
          <w:sz w:val="28"/>
          <w:sz w:val="28"/>
          <w:szCs w:val="28"/>
          <w:rtl w:val="true"/>
          <w:lang w:bidi="fa-IR"/>
        </w:rPr>
        <w:t>لأنّه لا ریب فی أنّه لا یراد من طهارة الثوب، هی الطهارة القطعیّة الواقعیّة بالیقین الوجدانی،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الطهارة الظاهریّة، لیرد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لاستصحابها؛ لتقوّمها بالشکّ المأخوذ فی موضوعها، فمع وجوده فهی باقیة قطعاً و إلّا فمرتفعة قطعاً، بل المراد الطهارة الواقعیّة المحرزة بالأمارات؛ لندرة القطعیّة منها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قدس سره عن علی بن إبراهیم، عن أبیه، عن إسماعیل بن مرار، عن یونس،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داره، ثمّ یغیب عنها ثلاثین سنة، و یدع فیها عیاله، ثمّ یأتینا هلاکه، و نحن لا ندری ما أحدث فی داره، و لا ندری ما احدث له من الولد، إلّا أنّا لا نعلم أنّه أحدث فی داره شیئاً، و لا حدث له ولد، و لا تُقسَّم هذه الدار علی ورثته الذین ترک فی الدار، حتی یشهد شاهدا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الدار دار فلان بن فلان مات و ترکها میراثاً بین فلان و فلان، أو نشهد علی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له العبد و الأمَة،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غلامی أو أبِقَت أمَتی، فیوجد بالبلد، فیکلّفه القاضی البیّنة أنّ هذا غلام فلان لم یبعه و لم یهبه، أَ فَنشهد علی هذا إذا کُلِّفناه، و نحن لم نعلم أنّه أحْدث شیئاً؟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غاب من ید المرء المسلم غلامه أو أمَته أو غاب عنک، لم</w:t>
      </w:r>
    </w:p>
    <w:p>
      <w:pPr>
        <w:pStyle w:val="BookText"/>
        <w:rPr/>
      </w:pPr>
      <w:r>
        <w:rPr>
          <w:rFonts w:ascii="IRNazanin" w:hAnsi="IRNazanin" w:eastAsia="IRNazanin"/>
          <w:color w:val="111111"/>
          <w:sz w:val="28"/>
          <w:sz w:val="28"/>
          <w:szCs w:val="28"/>
          <w:rtl w:val="true"/>
          <w:lang w:bidi="fa-IR"/>
        </w:rPr>
        <w:t>تشهد علیه</w:t>
      </w:r>
      <w:r>
        <w:rPr>
          <w:rFonts w:eastAsia="IRNazanin" w:cs="IRNazanin"/>
          <w:color w:val="111111"/>
          <w:sz w:val="28"/>
          <w:szCs w:val="28"/>
          <w:rtl w:val="true"/>
          <w:lang w:bidi="fa-IR"/>
        </w:rPr>
        <w:t>)</w:t>
      </w:r>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المستند فی هذه الشهادة هو استصحاب ملکیّة داره و عبده الثابتة بالید، لا بالیقین الوجدانی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عدم الفرق بین الثبوت تعبُّداً و بینه وجداناً عند العرف و العقلاء؛ لأنّه لا خصوصیّة عندهم لما ثبت بالیقین الوجدانی و لذا یعدّون الظنّ المعتبر من الأدلّة، دون الظنّ الغیر المعتبر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122" w:name="pg12898_147849"/>
    </w:p>
    <w:p>
      <w:pPr>
        <w:pStyle w:val="Heading4"/>
        <w:numPr>
          <w:ilvl w:val="3"/>
          <w:numId w:val="1"/>
        </w:numPr>
        <w:rPr/>
      </w:pPr>
      <w:bookmarkStart w:id="123" w:name="__RefHeading___Toc3234754_3224264995"/>
      <w:bookmarkStart w:id="124" w:name="_Toc46"/>
      <w:bookmarkEnd w:id="122"/>
      <w:bookmarkEnd w:id="123"/>
      <w:r>
        <w:rPr>
          <w:rtl w:val="true"/>
        </w:rPr>
        <w:t>التنبیه الثالث فی أقسام استصحاب الکلی</w:t>
      </w:r>
      <w:bookmarkEnd w:id="124"/>
    </w:p>
    <w:p>
      <w:pPr>
        <w:pStyle w:val="Heading5"/>
        <w:numPr>
          <w:ilvl w:val="4"/>
          <w:numId w:val="1"/>
        </w:numPr>
        <w:rPr/>
      </w:pPr>
      <w:bookmarkStart w:id="125" w:name="__RefHeading___Toc3234756_3224264995"/>
      <w:bookmarkStart w:id="126" w:name="_Toc47"/>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قسّموا الاستصحاب باعتبار المستصحب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الفرد، و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فرد معیّن کاستصحاب وجود زید أو وجوب إکرامه، و إمّا فرد مردّد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صحّة استصحاب الفرد المعیّن إذا کان حکماً شرعیّاً أو موضوعاً ذا حکم شرعیّ؛ لتحقّق أرکانه من الیقین السابق و 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الفرد المردّد، و المراد هو المردّد عند المکلّف، المعیّن فی الواقع، کما لو علم بوجود زید أو عمرو فی الدار سابقاً، و شکّ فی بقائه لاحقاً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بعدم جریان الاستصحاب فیه؛ بمعنی جعل الحکم علی المردّد بین زید و عمرو؛ لعدم إمکان انقداح الإرادة علی الحکم بالمردّد؛ لأنّ الحکم یقتضی موضوعاً معیَّناً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بعینه هو الإشکال الذی أوردوه علی تصویر الواجب التخییری</w:t>
      </w:r>
      <w:r>
        <w:rPr>
          <w:rStyle w:val="FootnoteAnchor"/>
          <w:rtl w:val="true"/>
        </w:rPr>
        <w:footnoteReference w:id="148"/>
      </w:r>
      <w:r>
        <w:rPr>
          <w:rFonts w:ascii="IRNazanin" w:hAnsi="IRNazanin" w:eastAsia="IRNazanin"/>
          <w:color w:val="111111"/>
          <w:sz w:val="28"/>
          <w:sz w:val="28"/>
          <w:szCs w:val="28"/>
          <w:rtl w:val="true"/>
          <w:lang w:bidi="fa-IR"/>
        </w:rPr>
        <w:t>الذی تقدّم دفعه بما تقدّم فی محلّه، فراجع، و هو مختصّ باستصحاب الحکم المردّد، و أمّا الموضوع المردّد عند المکلّف المعیّن فی الواقع، فلا إشکال فی جریان استصحابه لو ترتّب أثر مشترک بینهما علیه، فیترتّب علیه ذلک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یترتّب علیه الأثر المختصّ بکلّ واحد منهما؛ لعدم جریان الاستصحاب فی خصوص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یتراءی من بعضهم من عدّ استصحاب الفرد المنتشر من أقسام استصحاب الفرد، و أنّ فی الخارج فرداً منتشراً بین الأفراد الذی سمّوه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کصاع من صُبْرة أو أحد غلمان زید، و قد سمّاه شیخنا الحائری قدس سره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الخارجی</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و هو غیر الفرد المعیّن، کهذا الصاع</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نتحقّقه إلی الآن؛ بأن یکون هناک شی‌ء قابل للصدق علی کثیرین مع عدم کونه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من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أیضاً، غایة الأمر أنّه مقیّد بوجوده فی هذه الصُّبرة؛ لأنّه قابل للصدق علی کثیرین، و القید لا یخرجه عن الکلّیّة کالإنسان الأبیض، نعم تضیق دائرة وجوده بالقید، و إلّا فلا یعقل تردّد فرد فی الواقع بین اثنین أو أکثر؛ للتنافی بین الفردیّة و التردید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ثلاثة أقسام؛ لأنّ المستصحب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هو الکلّی الموجود فی ضمن فرد خاصّ منه علم بوجوده فی الزمان السابق، و شکّ فی بقائه لأجل الشکّ فی بقاء ذلک الفرد، فالشکّ فی بقاء الکلّی حینئذٍ مسبَّب عن</w:t>
      </w:r>
      <w:bookmarkStart w:id="127" w:name="pg12898_147851"/>
    </w:p>
    <w:p>
      <w:pPr>
        <w:pStyle w:val="BookText"/>
        <w:rPr/>
      </w:pPr>
      <w:bookmarkEnd w:id="127"/>
      <w:r>
        <w:rPr>
          <w:rFonts w:ascii="IRNazanin" w:hAnsi="IRNazanin" w:eastAsia="IRNazanin"/>
          <w:color w:val="111111"/>
          <w:sz w:val="28"/>
          <w:sz w:val="28"/>
          <w:szCs w:val="28"/>
          <w:rtl w:val="true"/>
          <w:lang w:bidi="fa-IR"/>
        </w:rPr>
        <w:t>الشکّ فی بقاء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لوجوده فی ضمن فرد مردّد بین قصیر العمر و طویله کالبقّ و الفیل؛ فإن کان الأوّل فهو مقطوع الارتفاع، و إن کان الثانی فهو مقطوع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للشکّ فی حدوث فردٍ آخر مقارناً لارتفاع الفرد الأوّل المقطوع ارتفاعه و بقاء الکلّی الموجود فی ضمن الفرد الأوّل المقطوع ارتفاعه فی ضمن الفرد الثانی المحتمل الوجود و الحدوث</w:t>
      </w:r>
      <w:r>
        <w:rPr>
          <w:rFonts w:eastAsia="IRNazanin" w:cs="IRNazanin"/>
          <w:color w:val="111111"/>
          <w:sz w:val="28"/>
          <w:szCs w:val="28"/>
          <w:rtl w:val="true"/>
          <w:lang w:bidi="fa-IR"/>
        </w:rPr>
        <w:t>.</w:t>
      </w:r>
    </w:p>
    <w:p>
      <w:pPr>
        <w:pStyle w:val="Heading5"/>
        <w:numPr>
          <w:ilvl w:val="4"/>
          <w:numId w:val="1"/>
        </w:numPr>
        <w:rPr/>
      </w:pPr>
      <w:bookmarkStart w:id="128" w:name="__RefHeading___Toc3234758_3224264995"/>
      <w:bookmarkStart w:id="129" w:name="_Toc48"/>
      <w:bookmarkEnd w:id="128"/>
      <w:r>
        <w:rPr>
          <w:rtl w:val="true"/>
        </w:rPr>
        <w:t>القسم الأوّل</w:t>
      </w:r>
      <w:r>
        <w:rPr>
          <w:rtl w:val="true"/>
        </w:rPr>
        <w:t xml:space="preserve">: </w:t>
      </w:r>
      <w:r>
        <w:rPr>
          <w:rtl w:val="true"/>
        </w:rPr>
        <w:t>من استصحاب الکلّی</w:t>
      </w:r>
      <w:bookmarkEnd w:id="129"/>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فالمستصحَب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الأحکام، و إمّا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جریان استصحاب الکلّی فیما لو ترتّب علیه أثر شرعیّ علی نفس الطبیعة لتحقّق أرکانه و إن کان الشکّ فی بقاء الکلّی فیه مسبّباً عن الشک فی بقاء الفرد، کما لا إشکال فی جریان استصحاب الفرد أیضاً؛ لأنّ هنا قضیّتین مشکوکتین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بالنسبة إلی الفرد، و الثانیة بالنسبة إلی الکلّی و الطبیعة، فلا إشکال فی جریانه فی کلّ واحد منهما علی فرض ترتّب الأثر الشرعی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أنّ استصحاب الفرد هل هو حاکم علی استصحاب الکلّی؛ لأنّ الشکّ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عن الشکّ فی بقاء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استصحاب أحدهما یُغنی عن استصحاب الآخر؛ لترتّب أثر الکلّی علی الفرد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بأنّ استصحاب الفرد یُغنی عن استصحاب الکلّی، و استصحاب الکلّی لا یغنی عن استصحاب الفرد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التفصیل بین ما لو کان الموضوع صِرْفَ الوجود، فیغنی استصحاب الفرد</w:t>
      </w:r>
    </w:p>
    <w:p>
      <w:pPr>
        <w:pStyle w:val="BookText"/>
        <w:rPr/>
      </w:pPr>
      <w:r>
        <w:rPr>
          <w:rFonts w:ascii="IRNazanin" w:hAnsi="IRNazanin" w:eastAsia="IRNazanin"/>
          <w:color w:val="111111"/>
          <w:sz w:val="28"/>
          <w:sz w:val="28"/>
          <w:szCs w:val="28"/>
          <w:rtl w:val="true"/>
          <w:lang w:bidi="fa-IR"/>
        </w:rPr>
        <w:t>عن استصحاب الکلّی، و بین کونه بنحو الوجود الساری بنحو القضیّة الحقیقیّة، فلا یُغنی استصحاب الفرد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الاستصحابات الموضوعیّة، فیُغنی أحدهما عن الآخر، و بین الحکمیّة، فلا یُغنی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ما لو کان الکلّی نوعاً من الأنواع و الفرد مصداقه، فیُغنی استصحاب أحدهما عن الآخر، و بین کونه جنساً و الفرد مصداقه، فلا یغنی؟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فی کلّ واحد منهما و عدم کفایته عن الآخر؛ و ذلک لأنّه قد تتصادق عناوین مختلفة علی مصداق خارجیّ، کالإنسان و الحیوان و الأبیض و ابن عمرو المتصادقة علی زید، و هذه العناوین بذاتها مختلفة فی عالم العنوان، متّحدة فی الخارج، متحقّقة بعین وجود زید، کما تقدّم فی باب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العناوین الانتزاعیّة المشتقّة موجودة فی الخارج بعین وجود منشأ انتزاعها، و علی فرض عدم اتّحادها عقلًا فی الخارج فهی متّحدة فیه عرفاً، و کما أنّ هذه العناوین مختلفة فی عالم العنوان کلّ مع الآخر، فکلّ واحدة منها أیضاً غیر المصداق الخارجی فی عالم العنوان، و إن اتّحدت معه فی الخارج و موجودة بوجود واحد، و هو زید الذی له هویّة واحدة شخصیّة هی مجمع العناوین، و الطبیعی موجود فی الخارج بعین وجود فرده، متکثّر فیه بتکثّر الأفراد،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أنّه تعالی أحلّ طبیعة البیع المتکثّرة فی الخارج، و إذا دخل علیها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عموم أفرادها، فیُکثّرها لا بغیر نفسها، بل یکثّر نفس الطبیعة بلا لحاظ الخصوصیّات الفردیّة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 بنحو تعدّد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فرد من أفراد طبیعة النار بما أنّها نار، لا بما أنّه کرویّ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إنشاء الأحکام أیضاً</w:t>
      </w:r>
    </w:p>
    <w:p>
      <w:pPr>
        <w:pStyle w:val="BookText"/>
        <w:rPr/>
      </w:pPr>
      <w:r>
        <w:rPr>
          <w:rFonts w:ascii="IRNazanin" w:hAnsi="IRNazanin" w:eastAsia="IRNazanin"/>
          <w:color w:val="111111"/>
          <w:sz w:val="28"/>
          <w:sz w:val="28"/>
          <w:szCs w:val="28"/>
          <w:rtl w:val="true"/>
          <w:lang w:bidi="fa-IR"/>
        </w:rPr>
        <w:t xml:space="preserve">کذلک،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فالحکم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شبه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فرد من أفراد العالم بما أنّه عالم، لا بما أنّه فقیر أو قرشیّ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فسواء أنشأ الحکم علی صِرف وجود الطبیعة، أم علی وجودها المتکثّر فی الخارج، أم بنحو العموم، فموضوع الحکم هو نفس الطبیعة بدون سرایته إلی حیثیّات اخر، فإذا ثبت 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لأبیض حکم آخر، و کانا موجودین بوجود واحد فی الخارج، و کان متیقَّناً سابقاً، ثمّ شکّ فی بقائه، فهنا قضیّتان متیقّنتان و مشکوکتان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بالنسبة إلی الإنسان، و الاخری بالنسبة إلی الأبیض، فلکلّ واحد منهما استصحاب خاصّ؛ لشمول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واحد منهما، و تصادقهما علی واحد لا یوجب وحدة الحکم، فکما أنّ العنوانین کذلک، کذلک عنوان الطبیعی و عنوان فرده و مصداقه، مثل عنوان الإنسان و عنوان زید، لتغایرهما فی عالم العنوان، فإنّ عنوان هذه الهویّة الشخصیّة غیر عنوان الإنسان، و الأحکام أیضاً متعلّقة بالعناوین، فإذا کان علی یقین من وجود الإنسان المتحقّق فی ضمن زید الموجود، فشکّ فی بقائه لأجل الشکّ فی بقاء زید، فهنا قضیّتان متیقّنتان و مشکوکتان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بالنسبة إلی زید، و الاخری بالنسبة إلی الإنسان، فلا مانع من جریان الاستصحاب فی کلّ واحد منهما؛ لوجود أرکانه من الیقین السابق و الشکّ اللاحق فیهما لو ترتّب علی کلّ واحد منهما أثر شرعی یخصّه، و مجرّد اتّحادهما فی الخارج لا یوجب کفایة استصحاب کلٍّ منهما عن الآخر بترتیب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غبار 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استصحاب الفرد مُغنٍ عن استصحاب الکلّی، فیترتّب أثر الکلّی أیضاً باستصحاب الفرد، و لا یفتقر إلی استصحاب الکلّی؛ لأنّ الکلّی فی الخارج عین الفرد، فالتعبّد ببقاء الفرد عین التعبّد ببقاء الکلّی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30" w:name="pg12898_147854"/>
    </w:p>
    <w:p>
      <w:pPr>
        <w:pStyle w:val="BookText"/>
        <w:rPr/>
      </w:pPr>
      <w:bookmarkEnd w:id="130"/>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 استصحاب عنوان الفرد مُغنٍ عن استصحاب عنوان الکلّی،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بوجود عنوان و موضوع بلحاظ أثر یخصّه، غیرُ التعبّد بعنوان آخر بلحاظ أثره الخاصّ به، و عنوانا الکلّی و الفرد متغایران فی عالم العنوانیّة، و لکلّ واحد منهما أثر یخصّه علی الفرض، و لا یترتّب هذا الأثر بتحقّق عنوان آخر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غیر ذلک فلا یفید استصحاب الفرد ترتّب أثر الکلّی، و لا یُغنی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فی استصحاب الکلّی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الأحکام کلّها جزئیّة لا کلّیّة، و الکلّی هو متعلّقاتها، فإنّ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فی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و إنّما الفرق بین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ابتداءً تعلیقه بزید، فبدا له و علّقه بطبیعة الإنسان، صحّ بدون الاحتیاج إلی تکراره</w:t>
      </w:r>
      <w:r>
        <w:rPr>
          <w:rFonts w:eastAsia="IRNazanin" w:cs="IRNazanin"/>
          <w:color w:val="111111"/>
          <w:sz w:val="28"/>
          <w:szCs w:val="28"/>
          <w:rtl w:val="true"/>
          <w:lang w:bidi="fa-IR"/>
        </w:rPr>
        <w:t>.</w:t>
      </w:r>
    </w:p>
    <w:p>
      <w:pPr>
        <w:pStyle w:val="Heading5"/>
        <w:numPr>
          <w:ilvl w:val="4"/>
          <w:numId w:val="1"/>
        </w:numPr>
        <w:rPr/>
      </w:pPr>
      <w:bookmarkStart w:id="131" w:name="__RefHeading___Toc3234760_3224264995"/>
      <w:bookmarkStart w:id="132" w:name="_Toc49"/>
      <w:bookmarkEnd w:id="131"/>
      <w:r>
        <w:rPr>
          <w:rtl w:val="true"/>
        </w:rPr>
        <w:t>القسم الثانی</w:t>
      </w:r>
      <w:r>
        <w:rPr>
          <w:rtl w:val="true"/>
        </w:rPr>
        <w:t xml:space="preserve">: </w:t>
      </w:r>
      <w:r>
        <w:rPr>
          <w:rtl w:val="true"/>
        </w:rPr>
        <w:t>من استصحاب الکلّی</w:t>
      </w:r>
      <w:bookmarkEnd w:id="132"/>
    </w:p>
    <w:p>
      <w:pPr>
        <w:pStyle w:val="Heading6"/>
        <w:numPr>
          <w:ilvl w:val="5"/>
          <w:numId w:val="1"/>
        </w:numPr>
        <w:rPr/>
      </w:pPr>
      <w:bookmarkStart w:id="133" w:name="__RefHeading___Toc3234762_3224264995"/>
      <w:bookmarkStart w:id="134" w:name="_Toc50"/>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و أمّا القسم الثانی من أقسام استصحاب الکلّی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الشکّ فیه فی المقتضی، کاستصحاب الحیوان المردّد بین کونه فی ضمن مقطوع الارتفاع کالبقّ و مقطوع البقاء کالفیل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الشکّ فیه فی الرافع مع إحراز استعداد المقتضی للبقاء، کما لو علم بالحدث المردّد بین الأکبر و الأصغر بعد التوضّؤ، فهو مشکوک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فی المقام ثلاثة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أوّلًا، و هو من الموضوعات الصِّرفة التی تترتّب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الحدث المذکور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إمّا بوجوب الظهر یوم الجمعة أو صلاة الجمعة، ثمّ صلّی</w:t>
      </w:r>
      <w:bookmarkStart w:id="135" w:name="pg12898_147855"/>
    </w:p>
    <w:p>
      <w:pPr>
        <w:pStyle w:val="BookText"/>
        <w:rPr/>
      </w:pPr>
      <w:bookmarkEnd w:id="135"/>
      <w:r>
        <w:rPr>
          <w:rFonts w:ascii="Amiri" w:hAnsi="Amiri" w:eastAsia="Amiri" w:cs="Amiri"/>
          <w:color w:val="111111"/>
          <w:sz w:val="28"/>
          <w:sz w:val="28"/>
          <w:szCs w:val="28"/>
          <w:rtl w:val="true"/>
          <w:lang w:bidi="ar-SA"/>
        </w:rPr>
        <w:t>الجمعة</w:t>
      </w:r>
      <w:r>
        <w:rPr>
          <w:rStyle w:val="FootnoteAnchor"/>
          <w:rtl w:val="true"/>
        </w:rPr>
        <w:footnoteReference w:id="153"/>
      </w:r>
      <w:r>
        <w:rPr>
          <w:rFonts w:ascii="IRNazanin" w:hAnsi="IRNazanin" w:eastAsia="IRNazanin"/>
          <w:color w:val="111111"/>
          <w:sz w:val="28"/>
          <w:sz w:val="28"/>
          <w:szCs w:val="28"/>
          <w:rtl w:val="true"/>
          <w:lang w:bidi="fa-IR"/>
        </w:rPr>
        <w:t>فالوجوب حینئذٍ مشکوک البقاء من جهة تردّد الواجب بین الجمعة المقطوعة ارتفاعها و بین الظهر المقطوع بقائه، لکن فی المثالین الأخیرین لما نحن فیه إشکال، و إن کان المناقشة فی المثال لیست من دأب المحصّلین من حیث إنّ المشکوک معلوم إجمالًا؛ أی أحد هذین، لا الکلّی</w:t>
      </w:r>
      <w:r>
        <w:rPr>
          <w:rFonts w:eastAsia="IRNazanin" w:cs="IRNazanin"/>
          <w:color w:val="111111"/>
          <w:sz w:val="28"/>
          <w:szCs w:val="28"/>
          <w:rtl w:val="true"/>
          <w:lang w:bidi="fa-IR"/>
        </w:rPr>
        <w:t>.</w:t>
      </w:r>
    </w:p>
    <w:p>
      <w:pPr>
        <w:pStyle w:val="Heading6"/>
        <w:numPr>
          <w:ilvl w:val="5"/>
          <w:numId w:val="1"/>
        </w:numPr>
        <w:rPr/>
      </w:pPr>
      <w:bookmarkStart w:id="136" w:name="__RefHeading___Toc3234764_3224264995"/>
      <w:bookmarkStart w:id="137" w:name="_Toc51"/>
      <w:bookmarkEnd w:id="136"/>
      <w:r>
        <w:rPr>
          <w:rtl w:val="true"/>
        </w:rPr>
        <w:t>اعتراضات و أجوبة</w:t>
      </w:r>
      <w:bookmarkEnd w:id="137"/>
    </w:p>
    <w:p>
      <w:pPr>
        <w:pStyle w:val="BookText"/>
        <w:rPr/>
      </w:pPr>
      <w:r>
        <w:rPr>
          <w:rFonts w:ascii="IRNazanin" w:hAnsi="IRNazanin" w:eastAsia="IRNazanin"/>
          <w:color w:val="111111"/>
          <w:sz w:val="28"/>
          <w:sz w:val="28"/>
          <w:szCs w:val="28"/>
          <w:rtl w:val="true"/>
          <w:lang w:bidi="fa-IR"/>
        </w:rPr>
        <w:t>و کیف کان ففی جریان الاستصحاب فی هذا القسم وجوه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الذی یصعب الذبّ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اعتبار اتّحاد القضیّة المتیقّنة و المشکوکة فی الاستصحاب، بل الاستصحاب متقوّم بذلک، و هو رکن فیه، و هو مفقود هنا؛ و ذلک لأنّ ما هو المتیقَّن هو الطبیعة المتکثّرة فی الخارج، لا الطبیعة الواحدة الجامعة بین الأفراد المشترکة بینها؛ لأنّ ما فی الخارج عبارة عن البقّ و الفیل فی المثال المعروف، و لیس فی الخارج شی‌ء واحد موجود سواهما مشترک بینهما؛ أی الحیوان الکلّی الواحد، فإنّ الطبیعی فی الخارج هو نفس الأفراد، و کلّ فرد عین الطبیعی بتمامه، فالطبیعة فی الخارج متکثّرة بتکثّر أفرادها، و لیست واحدة موجودة فی الخارج مشترکة بین الأفراد؛ حتّی تکون متعلّق العلم سابقاً، فما هو المتیقّن و المتعلَّق للعلم السابق فی المثال هو وجود البقّ أو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أحدهما المردّد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المشکوک هو أنّ الموجود سابقاً هل هو هذا الحیوان المتعیِّن بهذا التعیّن، أو ذاک المتعیِّن بذاک التعیُّن؟ فعلی الأوّل فهو باقٍ قطعاً، و علی الآخر فهو مرتفع قطعاً، فالمتیقّن السابق لیس کلّیّاً، بل إمّا هذا الفرد أو ذاک، فلا معنی لاستصحابه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ذهب إلیه الرجل الهمدانی من وجود الطبیعی فی الخارج بنعت</w:t>
      </w:r>
    </w:p>
    <w:p>
      <w:pPr>
        <w:pStyle w:val="BookText"/>
        <w:rPr/>
      </w:pPr>
      <w:r>
        <w:rPr>
          <w:rFonts w:ascii="IRNazanin" w:hAnsi="IRNazanin" w:eastAsia="IRNazanin"/>
          <w:color w:val="111111"/>
          <w:sz w:val="28"/>
          <w:sz w:val="28"/>
          <w:szCs w:val="28"/>
          <w:rtl w:val="true"/>
          <w:lang w:bidi="fa-IR"/>
        </w:rPr>
        <w:t>الوحدة و الاشتراک، و أنّ الموجود فی مثل طبیعة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واحد توجد بوجود فرد واحد، و تنعدم بانعدام جمیع الأفراد</w:t>
      </w:r>
      <w:r>
        <w:rPr>
          <w:rStyle w:val="FootnoteAnchor"/>
          <w:rtl w:val="true"/>
        </w:rPr>
        <w:footnoteReference w:id="154"/>
      </w:r>
      <w:r>
        <w:rPr>
          <w:rFonts w:ascii="IRNazanin" w:hAnsi="IRNazanin" w:eastAsia="IRNazanin"/>
          <w:color w:val="111111"/>
          <w:sz w:val="28"/>
          <w:sz w:val="28"/>
          <w:szCs w:val="28"/>
          <w:rtl w:val="true"/>
          <w:lang w:bidi="fa-IR"/>
        </w:rPr>
        <w:t>، لا یرد علیه الإشکال المذکور؛ حیث إنّه یعلم بوجود الکلّی سابقاً بنعت الوحدة تفصیلًا، و یشکّ فی بقائه فی الزمان اللاحق؛ لاحتمال أنّ الموجود سابقاً هو الفیل، و مع احتمال بقاء الفرد یحتمل بقاء الکلّی أیضاً بناء علی ذلک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مبناه فاسد، فإنّ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 فی الخارج بعین تکثُّر أفراده، و أنّ فی الخارج أناسیَّ متعدّدة، و لیس فیه إنسان کلّی بنعت الوحدة مشترک 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وجود الحصص منه؛ إذ لا معنی لها، بل المراد أنّ الطبیعی نفسه موجود فی ضمن کلّ فرد بتمامه، فزید تمام طبیعة الإنسان و کذلک عمرو و غیرهما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الرجل الهمدانی، فإن أراد أنّ للطبیعی وجوداً فی الخارج سوی وجوده بعین وجود الأفراد، یلزم أن یکون جمیع الأفراد مع وصف کثرتها واحدة، و هو خلاف الضرورة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أنّه لیس له وجود خاصّ فی الخارج سوی وجود الأفراد، و مع ذلک فهو مشترک بین الأفراد الخارجیّة، فهو أیضاً غیر صحیح، إلّا علی القول بوحدة الوجود خارجاً، فیلزم وحدة جمیع أفراد الإنسان، و هو أیضاً خلاف الضرورة، و حینئذٍ فلا یبقی لما ذکره معنیً إلّا أن یُدّعی أصالة الماهیّة مضافاً إلی أصالة الوجود، و یقول بأنّ فی عالم التحقّق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و الوجود، کما ذهب إلیه الشیخ أحمد الأحسائی، و قد برهن علی امتناعه فی محلّه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بعض أعاظم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ذهابه إلی ما هو الحقّ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الطبیعة عین الفرد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الطبیعی قد یلاحظ بما أنّه متعیِّن بلحاظ حصّة من هذا الطبیعی الوحدانی متعیِّناً بتعیُّن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الحصّة المحفوفة بذلک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مجموع التعیُّنات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المتشخّصة بتشخّص ماهویّ، و قد لا یلاحظ بما أنّه لا متعیّن، بل بذاته؛ بحیث یقصر النظر علی ذاته و ذاتیّاته، و من المعلوم أنّ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 فی نظام الوجود، بل لا یوجد إلّا متعیّناً بأحد أنحاء التعیُّنات، لکن اللّامتعیّن بذاته موجود فی ضمن المتعیِّن، و حینئذٍ فالقدر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 بالطبیعی بحسب وجوده الواقعی له نحو تعیّن، إلّا أنّه ربّما یکون معلوماً بما له من التعیّن، و ربّما یکون معلوماً بذاته، و ما نحن فیه من قبیل الثانی، و أنّ المعلوم فیه لیس إلّا ذات الطبیعی المتعیّن، لا معلومیّة تعیّنیّة، و لا ملازمة بین معلومیّة ذاته و بین معلومیّة تعیُّنه، فبعد زوال أحد التعیّنین الذی فرض تردّد المعلوم بینهما، یکون بقاء ذات الطبیعی و ذات المتعیِّن مشکوکاً؛ لاحتمال کون تعیُّنه هو الباقی أو الزائل، فیستصحب</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قدس سره لا یدفع الإشکال المذکور؛ لأنّه إن أراد أنّ فی الخارج موجوداً واحداً فی کلّ واحد من الأفراد، لکن لا بنحو التعیّن، فهو ممنوع؛ لأنّ الطبیعی متکثّر بذاته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الخارج أناسیّ کثیرة، لا إنسان واحد، و الاختلاف إنّما فی الخصوصیّات و اللواحق، و لذا قال الشیخ أبو علی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إنسانیّة هذا الفرد غیر إنسانیّة ذاک الفرد الآخر</w:t>
      </w:r>
      <w:r>
        <w:rPr>
          <w:rStyle w:val="FootnoteAnchor"/>
          <w:rtl w:val="true"/>
        </w:rPr>
        <w:footnoteReference w:id="157"/>
      </w:r>
      <w:r>
        <w:rPr>
          <w:rFonts w:ascii="IRNazanin" w:hAnsi="IRNazanin" w:eastAsia="IRNazanin"/>
          <w:color w:val="111111"/>
          <w:sz w:val="28"/>
          <w:sz w:val="28"/>
          <w:szCs w:val="28"/>
          <w:rtl w:val="true"/>
          <w:lang w:bidi="fa-IR"/>
        </w:rPr>
        <w:t>، فالبقّ تمام طبیعة الحیوان، و الفیل طبیعة اخری منه تامّة، و المعلوم هو وجود هذه الطبیعة سابقاً أو تلک الطبیعة، لا الطبیعة المشترکة بینهما، و المشکوک الذی یراد استصحابه لیس ذا و لا ذاک، بل هو</w:t>
      </w:r>
    </w:p>
    <w:p>
      <w:pPr>
        <w:pStyle w:val="BookText"/>
        <w:rPr/>
      </w:pPr>
      <w:r>
        <w:rPr>
          <w:rFonts w:ascii="IRNazanin" w:hAnsi="IRNazanin" w:eastAsia="IRNazanin"/>
          <w:color w:val="111111"/>
          <w:sz w:val="28"/>
          <w:sz w:val="28"/>
          <w:szCs w:val="28"/>
          <w:rtl w:val="true"/>
          <w:lang w:bidi="fa-IR"/>
        </w:rPr>
        <w:t xml:space="preserve">نفس الکلّی الطبیعی، فالإشکال باقٍ بحاله، إلّا أن یلتزم بمقالة الرجل الهمدانی التی عرفت فسادها، و ما نحن فیه نظیر ما لو علم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و شکّ فی بقائه، فکما لا جامع مشترک بینهما موجود فی الخارج حتّی یتعلّق العلم به تفصیلًا، فکذلک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استصحاب الکلّی القسم الثانی، نفس الطبیعة اللابشرط المجرّدة من الخصوصیّات و التعیُّنات الصادقة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یعلم بعدم وجودها فی السابق، فکیف تستصحب؟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لا یعلم بوجودها فی السابق؛ لامتناع تحقّق الطبیعة فی الخارج معرّاة عن الخصوصیّات المُفرِّدة و التعیُّنات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الطبیعة الموجودة فی الخارج المتعیِّنة واقعاً، لکن مع قطع النظر عن الخصوصیّات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وجود جامع مشترک بین الأفراد فی الخارج، بل کلّ واحد من الأفراد، نفس الطبیعی، فالفیل و البقّ حیوانان فی الخارج، لا حیوان واحد حتی یکون معلوم الوجود سابقاً تفصیلًا، فکما أنّ العلم إنّما بوجود البقّ أو الفیل فی الخارج علم إجمالی لا تفصیلی، کذلک هذا الحیوان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حیوانیّة الفیل عین حیوانیّة البقّ، أمکن تصحیح ما ذکره، لکنّه ضروریّ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تنظیر ذلک بصاعٍ من الصُّبرة و بمتعلّقاتِ الأحکام؛ حیث إنّها طبائع خارجیّة موجودة فی الخارج؛ مع قطع النظر عن الخصوصیّات و عدم لحاظها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المثالین أیضاً إشکالًا؛ حیث إنّ صاعاً من الصُّبرة کلّیّ طبیعیّ یوجد بعین وجود الأفراد، و کذلک متعلّقات الأحکام، فإنّها أیضاً طبائع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استصحاب أحد مصادیق الحیوان المعلوم وجوده، لکن بما أنّه</w:t>
      </w:r>
    </w:p>
    <w:p>
      <w:pPr>
        <w:pStyle w:val="BookText"/>
        <w:rPr/>
      </w:pPr>
      <w:r>
        <w:rPr>
          <w:rFonts w:ascii="IRNazanin" w:hAnsi="IRNazanin" w:eastAsia="IRNazanin"/>
          <w:color w:val="111111"/>
          <w:sz w:val="28"/>
          <w:sz w:val="28"/>
          <w:szCs w:val="28"/>
          <w:rtl w:val="true"/>
          <w:lang w:bidi="fa-IR"/>
        </w:rPr>
        <w:t>حیوان، لا بما أنّه بقّ أو فیل؛ أی الحیوان المتعیّن بالخصوصیّات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فاسد؛ لأنّه استصحاب للفرد المردّد المعلوم وجوده إجمالًا فی الزمان السابق لا تفصیلًا، و لیس المراد عدم صحّة استصحاب الفرد المردّد المعلوم بالإجمال، کاستصحاب الوجوب المردّد تعلّقه بالظهر أو الجمعة، بل المراد هو أنّ ما نحن فیه لیس کذلک؛ لأنّ المراد فیما نحن فیه هو استصحاب الکلّی لا الفرد المردّد، و حینئذٍ فالإشکال باقٍ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فی التفصّی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و الفهم العقلائی لا یوافقان علی هذه المطالب العقلیّة الدقیقة، و أنّ الطبیعی عندهم موجود فی الخارج، و وجوده بوجود أحد الأفراد، و عدمه بانعدام جمیعها، کما ذهب إلیه الرجل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أنّ ما ذکرناه من المطالب لا یُدرک إلّا بعد التأمّل الدقیق و التعمّل العقلی العمیق، ما ذهب إلیه کثیر من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الرجل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الطبیعی فی الخارج بنعت الاشتراک، و حیث إنّ الملاک و المناط فی اتّحاد القضیّة المتیقّنة و المشکوکة هو نظر العرف و فهم العقلاء، یرتفع الإشکال؛ لاتّحادهما فی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وجوه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المشترک بین الأفراد یدور بحسب البقاء و عدمه، مدار وجود الأفراد و عدمها، و المفروض أنّ الفرد القصیر العمر، مقطوع الارتفاع، و الطویل مشکوک الحدوث، و هو محکوم بالانتفاء بالأصل، فالکلّی مقطوع الارتفاع بالوجدان و الأصل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عدم الکلّی علی أصالة عدم حدوث طویل العمر، عقلیّ لا شرعیّ، و لا یترتّب علیه إلّا الآثار الشرعیّة بلا واسطة، نظیر عدم ترتّب عدم وجود</w:t>
      </w:r>
    </w:p>
    <w:p>
      <w:pPr>
        <w:pStyle w:val="BookText"/>
        <w:rPr/>
      </w:pPr>
      <w:r>
        <w:rPr>
          <w:rFonts w:ascii="IRNazanin" w:hAnsi="IRNazanin" w:eastAsia="IRNazanin"/>
          <w:color w:val="111111"/>
          <w:sz w:val="28"/>
          <w:sz w:val="28"/>
          <w:szCs w:val="28"/>
          <w:rtl w:val="true"/>
          <w:lang w:bidi="fa-IR"/>
        </w:rPr>
        <w:t>النهار علی أصالة عدم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وجوه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البقاء هنا؛ لأنّ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الشبهة فی تحقّق المغرب لأجل الشکّ فی تحقّق اللیل بسقوط الشمس أو زوال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مفهومیّة، فإنّ استصحاب النهار فیما بین سقوط الشمس و زوال الحمرة ممّا لا مجال له؛ لأنّ غروب الشمس و سقوطها فی الخارج معلوم، و کذلک عدم زوال الحمرة، و منشأ الشکّ إنّما هو فی مفهوم اللیل، و أنّ مفهومه إمّا غروب الشمس، و علیه فالنهار مقطوع الارتفاع، أو زوال الحمرة، فالنهار مقطوع البقاء، فالشکّ فی انطباق عنوان اللیل أو النهار، شبهة مفهومیّة، و من الواضح عدم جریان الاستصحاب فیه، بل المرجع فی ذلک هو اللغة، ففیما نحن فیه إن کان الموجود هو البقّ فهو مقطوع الارتفاع، و إن کان هو الفیل فهو مقطوع البقاء، فالشکّ إنّما هو فی انطباق الحیوان الذی علم بوجوده فی السابق علی الفرد المقطوع بقاؤه أو الفرد المقطوع ارتفاعه، ففی الحقیقة لا شکّ فی البقاء، بل فیه شبهة الشکّ و تخیّله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ما نحن فیه و مسألة الغروب، فإنّ الشبهة فی المثال لُغویّة، و أنّ النهار موضوع لهذا أو ذاک، و المرجع فیه اللغة، و لیس الشکّ فیها فی بقاء ما کان، بخلاف ما نحن فیه، فإنّ الشکّ إنّما هو فی بقاء الحیوان الذی کان موجوداً قطعاً فی ضمن الفیل أو البقّ، فعدم صحّة الاستصحاب فی المثال لما ذکر، لا یستلزم عدمها فیما نحن فیه، مضافاً إلی أنّ فی عدم جریان استصحاب النهار فی المثال تأمُّلًا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من وجوه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قدس سره، و هو أنّ الشکّ فی بقاء الکلّی مُسبَّبٌ عن الشکّ فی حدوث طویل العمر، فتجری فیه أصالة عدم حدوثه و یترتّب علیها ارتفاع القدر المشترک؛ لأنّه من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قدس سره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ارتفاع القدر المشترک من لوازم کون الحادث ذلک المقطوعَ الارتفاع، لا من لوازم عدم حدوث المقطوع البقاء</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صحیح، فإنّ بقاء الکلّی من لوازم کون الحادث هو الفیل فی المثال، لا من لوازم عدم البقّ، و منشأ هذا الشکّ هو الشکّ فی أنّ الموجود هل هو هذا الحیوان الباقی قطعاً، أو ذلک الزائل قطعاً؟ و لا أصل هنا ینفی وجود الطویل؛ 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بارتفاع الشکّ فی البقاء؛ لعدم جریان أصل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جریانه بالإشارة إلی ماهیّة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شیخنا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 تکن موجودة فی الأزل قطعاً، فالآن کما کانت، و عدم معارضة ذلک بالأصل فی القصیر؛ لعدم ترتّب أثر شرعیّ علیه، فهو لا یُثبت عدم بقاء الکلّی و زواله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عن الشبهة العبائیّة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الاستصحابات الموضوعیّة منقِّحة لموضوع الأدلّة الاجتهادیّة، فإذا ثبت حکم فی الشریعة لعنوان من العناوین فباستصحاب ذلک العنوان یترتّب علیه هذا الحکم الشرعی، لکن لا تثبت بذلک اللوازم الغیر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العقلیّة و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العنوان، و کذلک اللوازم الشرعیّة بواسطة أمر عقلیّ أو عادی إلّا مع خفاء الواسطة؛ بحیث یعدّ فی المتفاهم العرفی أثراً له بلا واسطة کما سیأتی إن شاء اللَّه، و کذا لا تثبت به ملزوماته، فلا یثبت الکلّی باستصحاب مصداقه و بالعکس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ینحلّ الإشکال فی الشبهة العبائیّة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المنقولة عن الحاجّ السیّد إسماعیل الصدر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علم بنجاسة أحد طرفی العباء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الأسفل منه أو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أحد الطرفین، وَ لیکن الأسفل، فشکّ فی بقاء النجاسة؛ للشکّ فی أنّ</w:t>
      </w:r>
    </w:p>
    <w:p>
      <w:pPr>
        <w:pStyle w:val="BookText"/>
        <w:rPr/>
      </w:pPr>
      <w:r>
        <w:rPr>
          <w:rFonts w:ascii="IRNazanin" w:hAnsi="IRNazanin" w:eastAsia="IRNazanin"/>
          <w:color w:val="111111"/>
          <w:sz w:val="28"/>
          <w:sz w:val="28"/>
          <w:szCs w:val="28"/>
          <w:rtl w:val="true"/>
          <w:lang w:bidi="fa-IR"/>
        </w:rPr>
        <w:t>النجس هو الطرف المغسول فتزول، أو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باقیة، فیجری استصحاب النجاسة، و یلزم من ذلک أنّه لو لاقی شی‌ء الطرف الآخر؛ أی الأعلی، لم یُحکم بنجاسته، و إن لاقی معه الطرف الأسفل الطاهر قطعاً حُکم بنجاسته، مع أنّ ضمّ الطاهر قطعاً إلی المشکوک، لا یؤثّر فی نجاسة الملاقی لهما، مع کون مقتضی الاستصحاب نجاسته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بنجاسة الملاقی لجمیع الأطراف عقلیّ، لا یترتّب علی استصحاب النجاسة فی العباء، فإنّه لیس فی الأدلّة ما یدلّ علی أنّ کلَّ ما لاقی جمیع أطراف المعلوم نجاسة أحدها بالإجمال نجسٌ حتی یترتّب علیه، و لأجل عدم ترتّب الآثار العقلیّة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أقرّ أحدٌ بأنّ ثوباً عاریة عنده لزید، و مات المُقرّ و لیس عنده إلّا ثوب واحد، فاستصحاب بقائه عنده لا یثبت أنّ هذا الثوب لزید؛ لأنّ استصحاب الکلّی لا یثبت الفرد، و الحکم بنجاسة الملاقی لجمیع أطراف العباء أیضاً، کذلک من الآثار العقلیّة لاستصحاب النجاسة، فلا یترتّب علیه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فما أفاده دام ظلّه محلّ تأمّل، بل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الجواب عن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إنّما یکون منجِّزاً إذا کان جمیع الأطراف باقیاً علی ما هی علیه من الاشتباه و احتمال النجاسة، و مع العلم بطهارة أحد الأطراف معیَّناً فی المثال لا یؤثّر العلم الإجمالی فی التنجیز، فاستصحابه أیضاً لا أثر له فی ثبوت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الملاقاة أمر وجدانی، فیترتّب الحکم بنجاسة الملاقی علی</w:t>
      </w:r>
    </w:p>
    <w:p>
      <w:pPr>
        <w:pStyle w:val="BookText"/>
        <w:rPr/>
      </w:pPr>
      <w:r>
        <w:rPr>
          <w:rFonts w:ascii="IRNazanin" w:hAnsi="IRNazanin" w:eastAsia="IRNazanin"/>
          <w:color w:val="111111"/>
          <w:sz w:val="28"/>
          <w:sz w:val="28"/>
          <w:szCs w:val="28"/>
          <w:rtl w:val="true"/>
          <w:lang w:bidi="fa-IR"/>
        </w:rPr>
        <w:t>استصحاب النجاسة فی العباء، و إلّا لم یستقم أمر الاستصحاب فی شی‌ء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الأمر الوجدانی هو الملاقاة للعباء، لا الملاقاة للنجس المقصود إثباتها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بنجاسة هذا أو ذاک، و شکّ فی بقائها من جهة الشکّ فی التطهیر، فباستصحاب النجاسة یترتّب علیه الحکم بنجاسة ملاقیهما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ذلک، فإنّه مع وجود العلم الإجمالی بنجاسة أحد شیئین، لا تردید فی أصل النجاسة واقعاً، و إنّما التردید فی أنّ النجس ذا أو ذاک لجهل المکلّف به؛ و لذا یحکم بنجاسة ملاقیهما، و أمّا لو زال العلم الإجمالی بالشکّ فی التطهیر، فاستصحاب النجاسة المعلومة إجمالًا قبل زمان الشکّ، لا یثبت نجاسة ملاقی کلا الطرفین؛ لعدم العلم الوجدانی بها حینئذٍ، بل یراد إثباتها تعبّداً بالاستصحاب، نعم یترتّب علیه عدم جواز الصلاة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المیرزا النائینی قدس سره عن الشبهة العبائیّة بمنع جریان استصحاب النجاسة فی العباء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فیما إذا کان نفس الیقین السابق بهویّته و حقیقته مردّداً بین ما هو مقطوع البقاء و ما هو مقطوع الارتفاع، و أمّا لو کان الإجمال و التردید فی محلّ المتیقّن و موضوعه؛ لا فی نفسه و حقیقته، فهذا لا یکون من استصحاب الکلّی، بل هو کاستصحاب الفرد المردّد، الذی قد تقدّم المنع عن جریان الاستصحاب فیه عند ارتفاع أحد طرفی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بوجود الحیوان الخارجی فی الدار، و تردّد بین وجوده فی الجانب الشرقی منها أو الغربی، ثمّ انهدم الجانب الغربی منها، و احتمل تلف الحیوان بانهدامه لکونه فیه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علم بوجود درهم خاصّ فیما بین هذه الدراهم العشرة ثم ضاع أحدها،</w:t>
      </w:r>
    </w:p>
    <w:p>
      <w:pPr>
        <w:pStyle w:val="BookText"/>
        <w:rPr/>
      </w:pPr>
      <w:r>
        <w:rPr>
          <w:rFonts w:ascii="IRNazanin" w:hAnsi="IRNazanin" w:eastAsia="IRNazanin"/>
          <w:color w:val="111111"/>
          <w:sz w:val="28"/>
          <w:sz w:val="28"/>
          <w:szCs w:val="28"/>
          <w:rtl w:val="true"/>
          <w:lang w:bidi="fa-IR"/>
        </w:rPr>
        <w:t>و احتمل أن یکون هو درهم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علم بإصابة العباء نجاسةً خاصّة، و تردّد محلّها بین الطرف الأسفل منه أو الأعلی، ثمّ طهر طرفها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هذه الأمثلة لا یجری استصحاب بقاء المتیقّن، و لا یکون من استصحاب الکلّی؛ لأنّ المتیقّن السابق أمر جزئیّ لا تردید فیه، و إنّما التردید فی محلّه و موضوعه، فهو أشبه باستصحاب الفرد المردّد عند ارتفاع أحد فردی التردید، و منه یظهر الجواب عن الشبهة العبائیّة</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استصحاب النجاسة فی العباء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النجاسة التی أصابت العباء قد تلاحظ بهویّتها الشخصیّة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تلاحظ بما أنّها مصداق للکلّی، فإنّ الطبیعی یوجد بوجود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یلاحظ وجودها المعلوم إجمالًا إمّا فی هذا الموضع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استصحاب شخص النجاسة بهویّتها الخارجیّة، فلا إشکال فی جریانه فی الشبهة العبائیّة مع فرض ترتّب أثرٍ شرعیّ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المعلوم بالإجمال سابقاً علی سبیل التردید فهو ممنوع، فإنّه و إن کان معلوماً بالإجمال سابقاً، لکن بعد تطهیر أحد الطرفین المعیّن، زالت صفة التردید؛ لعدم احتمال نجاسة ذاک الطرف المعیّن المغسول، و أمّا الطرف الآخر فهو محتمل النجاسة فی الابتداء، فلا یتحقّق أرکان الاستصحاب فیه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عدم ترتّب أثر شرعیّ علیه، لکن لا ینحصر استصحاب النجاسة فی العباء بذلک؛ لما عرفت من جریان استصحاب شخص النجاسة، و کذلک استصحاب کُلِّیها و طبیعتها، و الأثر أیضاً مترتّب علیهما، لا علی الطبیعة المردّد</w:t>
      </w:r>
    </w:p>
    <w:p>
      <w:pPr>
        <w:pStyle w:val="BookText"/>
        <w:rPr/>
      </w:pPr>
      <w:r>
        <w:rPr>
          <w:rFonts w:ascii="IRNazanin" w:hAnsi="IRNazanin" w:eastAsia="IRNazanin"/>
          <w:color w:val="111111"/>
          <w:sz w:val="28"/>
          <w:sz w:val="28"/>
          <w:szCs w:val="28"/>
          <w:rtl w:val="true"/>
          <w:lang w:bidi="fa-IR"/>
        </w:rPr>
        <w:t>وجودها فی هذا الطرف أو ذاک، فلیس الاستصحاب فی الشبهة العبائیّة من قبیل القسم الثانی من أقسام استصحاب الکلّی، بل من قبیل القسم الأوّل الذی تقدّم جریان استصحاب الفرد و الکلّی فیه معاً، و لذا لا یجوز الصلاة فی العباءة المذکورة؛ لأنّ هذا الأثر مترتّب علی وجود النجاسة بنحو الإطلاق، لا علی النجاسة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لو علم بوجود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الطرف الشرقی من البیت، أو فی طرفه الغربی، و علم بخراب الطرف الشرقی منه علی وجه لو کان زید فیه هلک، فشکّ فی بقائه، فمع ترتّب الأثرُ علی وجود زید بشخصه فی البیت، أو علی وجود طبیعة الإنسان کذلک، فاستصحاب بقاء الشخص أو الکلّی بمکان من الإمکان؛ لوجود أرکانه و ترتّب الأثر الشرعی علیه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ترتّب الأثر علی وجود زید فی الطرف الشرقی فقط، أو الغربی فقط، لا علی وجود زید مطلقاً، أو علی وجود طبیعة الإنسان فیه، فلا یجری فیه الاستصحاب؛ للعلم بعدم بقائه حینئذٍ فی الطرف الشرقی لهلاکه بخرابه، و کونه فی الطرف الغربی محتمل الحدوث، و الشبهة العبائیّة من هذا القبیل، و حیث إنّ الأثر الشرعی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جواز الصلاة فی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الوجود العامّ للنجاسة فی العباء، لا علی وجودها فی الطرف الأعلی فقط، و لا علی وجودها فی الطرف الأسفل فقط، فاستصحاب شخص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وجودها العامّ و طبیعتها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إشکال فیه؛ لوجود أرکانه و شرائطه، لکنّه من القسم الأوّل من أقسام استصحاب الکلّی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دفع الشبهة العبائیّة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الاستصحاب فیها مثبِت بالنسبة إلی ترتّب نجاسة الملاقی لطرفها مع وجود أرکانه، لا أنّه غیر جارٍ لعدم تحقّق أرکانه،</w:t>
      </w:r>
      <w:bookmarkStart w:id="138" w:name="pg12898_147866"/>
    </w:p>
    <w:p>
      <w:pPr>
        <w:pStyle w:val="BookText"/>
        <w:rPr/>
      </w:pPr>
      <w:bookmarkEnd w:id="138"/>
      <w:r>
        <w:rPr>
          <w:rFonts w:ascii="IRNazanin" w:hAnsi="IRNazanin" w:eastAsia="IRNazanin"/>
          <w:color w:val="111111"/>
          <w:sz w:val="28"/>
          <w:sz w:val="28"/>
          <w:szCs w:val="28"/>
          <w:rtl w:val="true"/>
          <w:lang w:bidi="fa-IR"/>
        </w:rPr>
        <w:t>کما أفاده قدس سره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3234766_3224264995"/>
      <w:bookmarkStart w:id="140" w:name="_Toc52"/>
      <w:bookmarkEnd w:id="139"/>
      <w:r>
        <w:rPr>
          <w:rtl w:val="true"/>
        </w:rPr>
        <w:t>القسم الثالث</w:t>
      </w:r>
      <w:r>
        <w:rPr>
          <w:rtl w:val="true"/>
        </w:rPr>
        <w:t xml:space="preserve">: </w:t>
      </w:r>
      <w:r>
        <w:rPr>
          <w:rtl w:val="true"/>
        </w:rPr>
        <w:t>من استصحاب الکلّی</w:t>
      </w:r>
      <w:bookmarkEnd w:id="140"/>
    </w:p>
    <w:p>
      <w:pPr>
        <w:pStyle w:val="Heading6"/>
        <w:numPr>
          <w:ilvl w:val="5"/>
          <w:numId w:val="1"/>
        </w:numPr>
        <w:rPr/>
      </w:pPr>
      <w:bookmarkStart w:id="141" w:name="__RefHeading___Toc3234768_3224264995"/>
      <w:bookmarkStart w:id="142" w:name="_Toc53"/>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و هو ما لو شکّ فی بقائه لأجل احتمال قیام فرد آخر مقام الفرد الذی کان الکلّی سابقاً موجوداً فی ضمنه مع القطع بارتفاعه، و 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بوجود مصداق من الکلّی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بارتفاع هذا المصداق، لکن احتمل وجود مصداق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 لوجود المصداق الأوّل، فإنّه علی فرض وجوده فالکلّی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طبیعة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فی ضمنه، لکنّه محتمل، فالکلّی محتمل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بقاء الکلّی من جهة احتمال وجود فرد آخر منه مقارناً لارتفاع الأوّل، و هو أیضاً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الفردان متباینین، کما لو احتمل دخول عمرو فی الدار مقارناً لخروج زید منها، فیشکّ فی بقاء الکلّی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مرتبتین لطبیعة واحدة، و علم بوجود مرتبة منها سابقاً و علم بارتفاعها، لکن احتمل بقاء الطبیعة لاحتمال حدوث مرتبة اخری منها حین ارتفاع الاولی، مثل السواد الشدید و الضعیف، فإنّ هذا القسم من الاستصحاب کما یتصوّر فی الجواهر یتصوّر فی الأعراض أیضاً</w:t>
      </w:r>
      <w:r>
        <w:rPr>
          <w:rFonts w:eastAsia="IRNazanin" w:cs="IRNazanin"/>
          <w:color w:val="111111"/>
          <w:sz w:val="28"/>
          <w:szCs w:val="28"/>
          <w:rtl w:val="true"/>
          <w:lang w:bidi="fa-IR"/>
        </w:rPr>
        <w:t>.</w:t>
      </w:r>
      <w:bookmarkStart w:id="143" w:name="pg12898_147867"/>
    </w:p>
    <w:p>
      <w:pPr>
        <w:pStyle w:val="Heading6"/>
        <w:numPr>
          <w:ilvl w:val="5"/>
          <w:numId w:val="1"/>
        </w:numPr>
        <w:rPr/>
      </w:pPr>
      <w:bookmarkStart w:id="144" w:name="__RefHeading___Toc3234770_3224264995"/>
      <w:bookmarkStart w:id="145" w:name="_Toc54"/>
      <w:bookmarkEnd w:id="143"/>
      <w:bookmarkEnd w:id="144"/>
      <w:r>
        <w:rPr>
          <w:rtl w:val="true"/>
        </w:rPr>
        <w:t>نقل کلمات بعض الأعاظم قدس سرهم و ما فیها</w:t>
      </w:r>
      <w:bookmarkEnd w:id="145"/>
    </w:p>
    <w:p>
      <w:pPr>
        <w:pStyle w:val="BookText"/>
        <w:rPr/>
      </w:pPr>
      <w:r>
        <w:rPr>
          <w:rFonts w:ascii="IRNazanin" w:hAnsi="IRNazanin" w:eastAsia="IRNazanin"/>
          <w:color w:val="111111"/>
          <w:sz w:val="28"/>
          <w:sz w:val="28"/>
          <w:szCs w:val="28"/>
          <w:rtl w:val="true"/>
          <w:lang w:bidi="fa-IR"/>
        </w:rPr>
        <w:t>ذهب الشیخ الأعظم إلی جریان الاستصحاب فی هذا القسم الأخیر، فلو شکّ فی بقاء طبیعة السواد الموجودة فی ضمن السواد الشدید سابقاً، و علم بارتفاعه و زوال تلک المرتبة منه، و احتمل بقاء تلک الطبیعة؛ باحتمال حدوث مرتبة اخری منه، أمکن استصحاب تلک الطبیعة؛ لوجود أرکانه من العلم السابق و الشکّ اللّاحق</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مرجع ذلک إلی القسم الأوّل من أقسام استصحاب الکلّی؛ لأنّ العقل و العرف متطابقان و متّفقان علی أنّ الطبیعة التی لها عرض عریض إذا وجدت فی الخارج فالموجود منها مصداق واحد ذو مراتب و إن تبدّل بعض مراتبه إلی اخری، لا أنّ کلّ مرتبة منها مصداق غیر الآخر من باب تجدّد الأمثال، کما أنّ الحرکة لیست عبارة عن ضمّ أجزاء لا تتجزّی، بل هی وجود واحد شخصیّ متدرّج الوجود، و الشکّ فی بقائها إنّما هو من قبیل الشکّ فی بقاء الکلّی القسم الأوّل، فالفاکهة الحمراء إذا اشتدّت حمرتها فالعقل و العرف حاکمان بأنّ ذلک من تبادل الحالات، کما أنّ جمیع الاشتدادات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تبدّل لونها الأحمر إلی الأصفر و نحوهما، فهما مصداقان من اللون لا 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من تبادل الحالات فهو من قبیل القسم الأوّل، و ما لیس کذلک، بل یعدّ من انعدام العَرَض الأوّل، مع احتمال وجود فرد آخر من العرض، فهو من قبیل القسم الثالث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ففی جریان استصحاب الکلّی من القسم الثالث مطلقاً، أو عدمه</w:t>
      </w:r>
    </w:p>
    <w:p>
      <w:pPr>
        <w:pStyle w:val="BookText"/>
        <w:rPr/>
      </w:pPr>
      <w:r>
        <w:rPr>
          <w:rFonts w:ascii="IRNazanin" w:hAnsi="IRNazanin" w:eastAsia="IRNazanin"/>
          <w:color w:val="111111"/>
          <w:sz w:val="28"/>
          <w:sz w:val="28"/>
          <w:szCs w:val="28"/>
          <w:rtl w:val="true"/>
          <w:lang w:bidi="fa-IR"/>
        </w:rPr>
        <w:t>مطلقاً، أو التفصیل بین الفرض الأوّل منه و بین النحو الثانی؛ فیجری فی الأوّل دون الثانی، أو التفصیل بین ما لو کان الشکّ فی بقائه من جهة احتمال بقاء الکلّی فی ضمن مرتبة اخری منه، و بین غیره؛ فیجری فی الأوّل دون غیره،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المنشأ لتوهّم جریان الاستصحاب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العلم بوجود فردٍ خاصّ منه فی الخارج یلازم العلم بحدوث الکلّی فی الخارج، فبارتفاع الفرد الخاصّ، و احتمال قیام الکلّی فی فرد آخر، محتمل الحدوث حین وجود الفرد الأوّل المعلوم حدوثه و ارتفاعه؛ یشکّ فی بقاء الکلّی فی الزمان اللاحق، فلم یختلّ رکنا الاستصحاب من الیقین السابق و الشکّ اللاحق بالنسبة إلی الکلّی، فیجری الاستصحاب کالقسم الثانی من أقسام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واضح الفساد؛ بداهة أنّ العلم بوجود الفرد الخاصّ فی الخارج، إنّما یلازم العلم بوجود حصّة من الکلّی فی ضمن الفرد الخاصّ، لا الکلّی بما هو هو، بل للفرد الخاصّ دَخْل فی وجود الحصّة حدوثاً و بقاءً، و الحصّة الموجودة فی ضمن فرد خاصّ، تغایر الحصّة الموجودة فی ضمن فرد آخر، و الحصّة التی تعلّق بها الیقین سابقاً إنّما هی الحصّة التی کانت فی ضمن الفرد الذی علم بارتفاعه، و یلزمه العلم بارتفاع الحصّة التی تخصّه أیضاً، و لا علم بوجود حصّة اخری فی ضمن فرد آخر، فالمشکوک بقاؤه غیر المتیقَّن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الفرق بین هذا القسم و بین القسم الثانی؛ حیث إنّه فی القسم الثانی یشکّ فی بقاء نفس الحصّة من الکلّی التی علم بحدوثها فی ضمن الفرد المردّد، بخلاف ما نحن فیه، کما عرفت، فما بینهما أبعد ممّا بین المشرق و المغرب</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الطبیعة کذلک فی هذا القسم أیضاً، فإنّ المقصود استصحاب نفس</w:t>
      </w:r>
    </w:p>
    <w:p>
      <w:pPr>
        <w:pStyle w:val="BookText"/>
        <w:rPr/>
      </w:pPr>
      <w:r>
        <w:rPr>
          <w:rFonts w:ascii="IRNazanin" w:hAnsi="IRNazanin" w:eastAsia="IRNazanin"/>
          <w:color w:val="111111"/>
          <w:sz w:val="28"/>
          <w:sz w:val="28"/>
          <w:szCs w:val="28"/>
          <w:rtl w:val="true"/>
          <w:lang w:bidi="fa-IR"/>
        </w:rPr>
        <w:t>الکلّی الموجود سابقاً، لا الحصّة المعیّنة منه؛ لأنّ وجود الطبیعة و الکلّی فی فرد خاص قد علم به سابقاً و قد شکّ فی بقائه، فالطبیعی کان معلوم الوجود سابقاً فی ضمن زید فیما نحن فیه، و شکّ فی بقائه لأجل احتمال وجود فرد آخر و بقاء الکلّی فی ضمنه، مع العلم بارتفاع الفرد الأوّل، فإنّ الطبیعی الموجود فی ضمن زید هو بعینه الموجود فی ضمن عمرو، و ضمّ بعض الأفراد إلی بعض آخر، لا یفید و لا یوجب کثرة الطبیعی بحسب النوع، و إلّا یلزم عدم جریانه فی القسم الثانی منه أیضاً، و منشأ الاشتباه هنا هو الخلط بین ما هو الواقع و ما هو المعلوم، فإنّ المستصحب المشکوک بقاؤه هو المعلوم الوجود سابقاً، لا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 الطبیعی و إن کان بوجود فرده، إلّا أنّ وجوده فی ضمن المتعدّد من أفراده لیس من نحو وجود واحد له، بل متعدّد حسب تعدّدها، فلو قطع بارتفاع وجوده منها لقطع بارتفاع وجوده، و إن شکّ فی وجود فردٍ آخر مقارناً لوجود ذاک الفرد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ما ذکره یلزم عدم جریانه فی القسم الثانی أیضاً، مع أنّه لا یلتزم به، و لکنّه غیر صحیح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لو کان الشکّ فی بقاء الکلّی مستنداً إلی احتمال وجود فرد آخر مع الفرد المعلوم حدوثه و ارتفاعه، و بین ما یحتمل حدوثه بعده؛ أی بین القسم الأوّل و الثانی من القسم الثالث؛ بجریان الاستصحاب فی الأوّل؛ نظراً إلی تیقُّن وجود الکلّی سابقاً و عدم العلم بارتفاعه، و إن علم بارتفاع بعض وجوداته و عدم جریانه فی الثانی؛ لأنّ بقاء الکلّی فی الخارج عبارة عن استمرار وجوده الخارجی المتیقّن سابقاً، و هو معلوم العدم، و هو الفارق بین ما نحن فیه و القسم</w:t>
      </w:r>
    </w:p>
    <w:p>
      <w:pPr>
        <w:pStyle w:val="BookText"/>
        <w:rPr/>
      </w:pPr>
      <w:r>
        <w:rPr>
          <w:rFonts w:ascii="IRNazanin" w:hAnsi="IRNazanin" w:eastAsia="IRNazanin"/>
          <w:color w:val="111111"/>
          <w:sz w:val="28"/>
          <w:sz w:val="28"/>
          <w:szCs w:val="28"/>
          <w:rtl w:val="true"/>
          <w:lang w:bidi="fa-IR"/>
        </w:rPr>
        <w:t>الثانی؛ حیث إنّ الباقی فی الآن اللّاحق بالاستصحاب هو عین الوجود المتیقّن سابقاً</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قضیّتان مسلّمتان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و العرف متطابقان و متّفقان علی أنّ الطبیعة متکثّرة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لا یُوافق العقل فی بعض الموارد، فإنّ نوع الإنسان غیر باقٍ عند العقل بتبدّل الأفراد و انعدام فرد منه و وجود فرد آخر، فإنّ هذا المفهوم الذهنی الصادق علی الأفراد الکثیرة و إن کان واحداً، و لکن أفراده الخارجیّة التدریجیّة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بالانوجاد و التحقّق و الانعدام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بقاء لها، بل کلّ فرد منها یوجد و ینعدم، و حینئذٍ فلیس المراد استصحاب مفهوم الإنسان الموجود فی الذهن، و أمّا فی الخارج فلیس فیه إلّا الأفراد التی لا بقاء لها و إن قلنا بعدم تناهیها، و لیس فیه معنیً واحد جامع بین الأفراد بنعت الاشتراک،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نظر العقل الدقّی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المتفاهم العرفی فلیس الأمر کذلک، فإنّ نوع الإنسان فی محیط العرف باقٍ مع تبدّل الأفراد و وجود بعضها بعد انعدام البعض الآخر، فالعقل و العرف مختلفان فی ذلک مع اتّفاقهما فی القضیّة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قد یلاحظ الأفراد فی بعض الموارد بخصوصیّاتها الفردیّة، کما فی ملاحظة أنّ زیداً فی الدار، فإنّ طبیعیّ الإنسان و إن کان موجوداً فیها بوجود زید، لکنّه مغفول عنه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یلاحظ نفس الکلّی بدون الالتفات إلی الأفراد بخصوصیّاتها المفرّدة، کما إذا کانت الخصوصیّات الفردیّة مبهمة فی الخارج غیر معلومة، کما إذا علم بوجود</w:t>
      </w:r>
    </w:p>
    <w:p>
      <w:pPr>
        <w:pStyle w:val="BookText"/>
        <w:rPr/>
      </w:pPr>
      <w:r>
        <w:rPr>
          <w:rFonts w:ascii="IRNazanin" w:hAnsi="IRNazanin" w:eastAsia="IRNazanin"/>
          <w:color w:val="111111"/>
          <w:sz w:val="28"/>
          <w:sz w:val="28"/>
          <w:szCs w:val="28"/>
          <w:rtl w:val="true"/>
          <w:lang w:bidi="fa-IR"/>
        </w:rPr>
        <w:t>الإنسان فی الدار، و لم یعلم أنّه زید أو عمرو، فإنّ المعلوم المتوجَّه إلیه هو الکلّی، و کما إذا رأی الفوج، فإنّ الملتفت إلیه ابتداءً هو النوع، لا الأفراد إلّا بلحاظ ثانویّ، فلو تردّد الفوج بین الأقلّ و الأکثر، و علم بأنّه لو کان الأقلّ لما بقی إلی الآن، و لو کان الأکثر فهو باقٍ، یحکم بالبقاء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یُقصر النظر فیه من هذا القسم علی نفس الطبیعة و الکلّی فی المتفاهم العرفی جری فیه الاستصحاب، و کلّما کان الملحوظ و الملتفت إلیه هو الأفراد فإنّه لا یصدق فیه البقاء و الإبقاء، و قضیّة ذلک عدم انضباط القسم الثالث من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الشیخ الأعظم قدس سره إلی جریان الاستصحاب فیه</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کذلک دائماً؛ لأنّه لو کان الملتفت إلیه و الملحوظ هی الخصوصیّات الشخصیّة عند العرف، لا الجامع الکلّی، فالمعلوم وجوده هو مصداق و فرد قد علم بارتفاعه، و المصداق الآخر مشکوک الحدوث، فلیس الشکّ فیه فی بقاء ما علم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الملحوظ هو نفس الطبیعة بدون الالتفات إلی الخصوصیّات 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القسم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إلی عدم جریانه فیه</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ذکره قدس سره بنحو الإطلاق، فإنّ التکلّم مع أنّه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و ینعدم، فیوجد الجزء الثانی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فیه الاستصحاب؛ حیث إنّ الملتفت إلیه فی المتفاهم العرفی هی سلسلة الألفاظ، و هی باقیة عندهم، فمع الشکّ فی بقائه یستصحب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المطر النازل من السماء مع دوام زوال القطرات النازلة، فإنّه لا یلاحظ</w:t>
      </w:r>
    </w:p>
    <w:p>
      <w:pPr>
        <w:pStyle w:val="BookText"/>
        <w:rPr/>
      </w:pPr>
      <w:r>
        <w:rPr>
          <w:rFonts w:ascii="IRNazanin" w:hAnsi="IRNazanin" w:eastAsia="IRNazanin"/>
          <w:color w:val="111111"/>
          <w:sz w:val="28"/>
          <w:sz w:val="28"/>
          <w:szCs w:val="28"/>
          <w:rtl w:val="true"/>
          <w:lang w:bidi="fa-IR"/>
        </w:rPr>
        <w:t>القطرات الخاصّة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الصُّبْرة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حیث إنّ الملحوظ فیها لیس هی الحبّات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جمیع هذه الأمثلة یجری الاستصحاب لتحقّق أرکانه من الیقین السابق، و الشکّ اللّاحق فی بقاء ما کان علی یقین منه، مع أنّها من القسم الثانی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المقام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 الاستصحاب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احتمل المکلّف حدوث الاحتلام حال النوم، و توضّأ بعد الانتباه، لزم عدم جواز الصلاة بهذا الوضوء، و کذلک مسّ کتابة القرآن؛ ما لم یغتسل؛ لاستصحاب کلّی الحدث، فإنّ الحدث المسبّب عن النوم و إن کان مقطوع الارتفاع بالوضوء، لکن حیث إنّه یحتمل حدوث الجنابة حال النوم فهو یحتمل بقاء کلّی الحدث، و یترتّب علیه ما ذکرنا، مع أنّ الفتوی علی خلاف ذلک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فی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واحد من النوم و الجنابة حدث، لکن لم یقم دلیل فی الشریعة علی أنّ الجامع بین الأصغر و الأکبر أیضاً حدث، فإنّه و إن کان هناک أثر مشترک بین الجنابة و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الآثار المختصّة بکلّ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یدلّ علی أنّ الجامع بینهما أیضاً حدث،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إلّا من الواحد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غیر مرتبط بما نحن فیه، کما أشرنا إلیه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أربع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ascii="IRNazanin" w:hAnsi="IRNazanin" w:eastAsia="IRNazanin"/>
          <w:color w:val="111111"/>
          <w:sz w:val="28"/>
          <w:sz w:val="28"/>
          <w:szCs w:val="28"/>
          <w:rtl w:val="true"/>
          <w:lang w:bidi="fa-IR"/>
        </w:rPr>
        <w:t>، فلو أنّ الجامع بین الأربع أیضاً حدث فالناقض 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الجامع، و هو ذو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متعدِّد، 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بین وجوب الظهر و وجوب الجمعة لیس من الأحکام، بل المجعول هو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الحدثین لیس من المجعولات الشرعیّة، و لا من الموضوعات التی یترتّب علیها الآثار الشرعیّة، فلا یصحّ استصحابه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المیرزا النائینی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المثال خصوصیّة توجب عدم إیجاب الغسل، لا لأنّ المثال لیس من القسم الثالث، بل لأجل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من حیث إنّ التفصیل قاطع للشرکة، یدلّ علی وجوب الوضوء علی من نام و لم یکن جُنُباً، فقد اخذ فی موضوع وجوب الوضوء قید وجودیّ، و هو النوم، و قید عدمیّ، و هو عدم الجنابة، فإنّ هذا القید و إن لم یذکر فی الآیة الشریفة صریحاً إلّا أنّه یُستفاد منها ذلک؛ حیث إنّه جعل الوضوء فیها مقابلًا للغسل، فإنّ التفصیل بینهما قاطع للشرکة؛ بمعنی أنّه لا یشارک الوضوء الغسل، و لا الغُسْلُ الوضوء، کما یستفاد نظیر ذلک من آیة الوضوء و التیمّم،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وجدان الماء قید فی موضوع وجوب الوضوء، و إن لم یذکر فی آیة الوضوء صریحاً، إلّا أنّ من مقابلة الوضوء بالتیمّم یستفاد ذلک؛ لأنّ التفصیل قاطع للشرکة، و 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شرطیّة القدرة علی الماء فی باب الوضوء شرعیّة، و حینئذٍ فإذا وجب علی النائم المذکور الوضوء لا یجب علیه الغسل؛ لما عرفت من أنّه لا یجتمع علی المکلّف وجوب الوضوء و الغسل معاً؛ لأنّ سبب الوضوء لا یمکن أن یجتمع مع سبب الغسل، فإنّ من أجزاء سبب الوضوء عدمَ الجنابة، فلا یعقل أن یجتمع مع الجنابة التی هی سبب وجوب الغسل، فإنّه یستلزم اجتماع النقیضین</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و إن جاءک عمرو فأهنه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وجوب الإکرام بما إذا جاء زید منفرداً، و وجوب الإهانة بما إذا جاء عمرو منفرداً، و أنّه لا یجب الإکرام و لا الإهانة عند مجیئهما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أحدهما لا یجتمع مع الآخر، و أنّ المراد من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مع عدم الجنابة سبب للوضوء و أنّ لعدم الجنابة أیضاً سببیّة لوجوب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ممّا لا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موجب للوضوء، و الجنابة موجبة للغسل، و مع اجتماعهما یترتّب علی واحد منهما مسبّبه و یغنی عن الثانی، فهو خلاف ما ذکره؛ لأنّه لا یستفاد من الآیة کفایة الغسل عن الوضوء، و أنّ النوم مع عدم الجنابة موجب للوضوء، و أنّ لعدم الجنابة دَخْلًا فی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استفادة القیدیّة الشرعیّة لوجدان الماء لوجوب الوضوء، ممنوع؛ لعدم ذکر هذا القید فیها، و علی فرض ذکره لا یُستفاد من مثله القیدیّة؛ لأنّه ممّا لا یمکن الامتثال إلّا به؛ لعدم إمکان الوضوء بدون الماء حتّی یُقیّد به، مضافاً إلی أنّه لو کان الماء قیداً شرعیّاً فهو یستلزم جواز إراقة الماء بعد دخول الوقت، و لا أظنّ أن یلتزم هو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جمیع ذلک، لکنّه لا یُنتج ما هو بصدده، فإنّه لا یلزم منه مجعولیّة عدم وجوب الوضوء عند تحقّق سبب الغسل، أو عدم وجوب الغسل عند تحقّق موجب الوضوء شرعاً، بل العقل هو الحاکم بعدم وجود المسبّب عند عدم سببه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یلزم من اجتماع سبب الوضوء مع الجنابة اجتماع المتناقضین</w:t>
      </w:r>
      <w:r>
        <w:rPr>
          <w:rFonts w:eastAsia="IRNazanin" w:cs="IRNazanin"/>
          <w:color w:val="111111"/>
          <w:sz w:val="28"/>
          <w:szCs w:val="28"/>
          <w:rtl w:val="true"/>
          <w:lang w:bidi="fa-IR"/>
        </w:rPr>
        <w:t>.</w:t>
      </w:r>
      <w:bookmarkStart w:id="146" w:name="pg12898_147875"/>
    </w:p>
    <w:p>
      <w:pPr>
        <w:pStyle w:val="BookText"/>
        <w:rPr/>
      </w:pPr>
      <w:bookmarkEnd w:id="146"/>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لزومه بحسب الواقع و نفس الأمر فهو مسلم، لکنّه لا یضرّ صحّته فی الظاهر و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لزومه فی الظاهر و مقام العمل و الإتیان بالوظیفة فلا مانع منه، و لذا یستصحب الکلّی، و صحّ استصحابه مع عدم جریانه بالنسبة إلی أفراده؛ یعنی فی القسم الثانی و الثالث من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جریان استصحاب الکلّی فی القسم الأوّل و الثانی و من قسمی الکلّی القسم الثالث، تابعٌ لصدق الشکّ فی البقاء و عدمه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کالسواد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من القسم الأوّل من أقسام استصحاب الکلّی، لو کان الملحوظ مجموع المراتب، و لحاظ أنّها وجود واحد متدرِّج، کما استظهرناه فی مثل التکلّم و المطر، فیجری فیه استصحاب الکلّی و الفرد جمیعاً، و إمّا ممّا لا یجری فیه الاستصحاب من القسم الثالث و قد عرفت بما لا مزید علیه</w:t>
      </w:r>
      <w:r>
        <w:rPr>
          <w:rFonts w:eastAsia="IRNazanin" w:cs="IRNazanin"/>
          <w:color w:val="111111"/>
          <w:sz w:val="28"/>
          <w:szCs w:val="28"/>
          <w:rtl w:val="true"/>
          <w:lang w:bidi="fa-IR"/>
        </w:rPr>
        <w:t>.</w:t>
      </w:r>
    </w:p>
    <w:p>
      <w:pPr>
        <w:pStyle w:val="Heading5"/>
        <w:numPr>
          <w:ilvl w:val="4"/>
          <w:numId w:val="1"/>
        </w:numPr>
        <w:rPr/>
      </w:pPr>
      <w:bookmarkStart w:id="147" w:name="__RefHeading___Toc3234772_3224264995"/>
      <w:bookmarkStart w:id="148" w:name="_Toc55"/>
      <w:bookmarkEnd w:id="147"/>
      <w:r>
        <w:rPr>
          <w:rtl w:val="true"/>
        </w:rPr>
        <w:t>تذییل</w:t>
      </w:r>
      <w:r>
        <w:rPr>
          <w:rtl w:val="true"/>
        </w:rPr>
        <w:t xml:space="preserve">: </w:t>
      </w:r>
      <w:r>
        <w:rPr>
          <w:rtl w:val="true"/>
        </w:rPr>
        <w:t>حول أصالة عدم التذکیة</w:t>
      </w:r>
      <w:bookmarkEnd w:id="148"/>
    </w:p>
    <w:p>
      <w:pPr>
        <w:pStyle w:val="Heading6"/>
        <w:numPr>
          <w:ilvl w:val="5"/>
          <w:numId w:val="1"/>
        </w:numPr>
        <w:rPr/>
      </w:pPr>
      <w:bookmarkStart w:id="149" w:name="__RefHeading___Toc3234774_3224264995"/>
      <w:bookmarkStart w:id="150" w:name="_Toc56"/>
      <w:bookmarkEnd w:id="149"/>
      <w:r>
        <w:rPr>
          <w:rtl w:val="true"/>
        </w:rPr>
        <w:t>اشارة</w:t>
      </w:r>
      <w:bookmarkEnd w:id="1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الشیخ الأعظم کلاماً عن الفاضل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الردّ علی تمسّک المشهور علی نجاسة الجلد المطروح باستصحاب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المذبوحیّة لازم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الحیوان حال حیاته، الثانی هو حال موته حتف الأنف، فهو لازم أعمّ لموجب النجاسة، فعدم المذبوحیّة اللازمة للحیوان الحیّ، مغایر لعدم المذبوحیّة العارض للموت حتف أنفه، و المعلوم ثبوته فی الزمان السابق هو الأوّل لا الثانی، و استصحاب الأعمّ لا یُثبت الأخصّ؛ یعنی استصحاب عدم المذبوحیّة المطلقة لا یثبت عدم المذبوحیّة العارض للحیوان حال الموت حتف الأنف، کما أنّ استصحاب</w:t>
      </w:r>
      <w:bookmarkStart w:id="151" w:name="pg12898_147876"/>
    </w:p>
    <w:p>
      <w:pPr>
        <w:pStyle w:val="BookText"/>
        <w:rPr/>
      </w:pPr>
      <w:bookmarkEnd w:id="151"/>
      <w:r>
        <w:rPr>
          <w:rFonts w:ascii="IRNazanin" w:hAnsi="IRNazanin" w:eastAsia="IRNazanin"/>
          <w:color w:val="111111"/>
          <w:sz w:val="28"/>
          <w:sz w:val="28"/>
          <w:szCs w:val="28"/>
          <w:rtl w:val="true"/>
          <w:lang w:bidi="fa-IR"/>
        </w:rPr>
        <w:t>الضاحک المتحقّق بوجود زید فی الدار فی السابق، لا یثبت وجود عمرو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واضح</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عدم جریان الاستصحاب المذکور صحیح، لکن نظر المشهور فی تمسّکهم علی النجاسة لیس إلی ذلک، بل إلی أنّ النجاسة مترتّبة فی الشرع علی مجرّد عدم التذکیة، کما یرشد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الظاهر فی أنّ المحرّم إنّما هو لحم الحیوان الذی لم یُذکَّ واقعاً أو بطریق شرعیّ، و نحو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السبب للحِلّ هو التذکیة، فأصالة عدمها مع الشکّ حاکمة علی أصالتی الطهارة و الحلّ</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الفاضل التونی و 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جریان الاستصحاب هنا، و أنّ موضوع الحرمة و النجاسة هو المیتة، لا الموت حتف الأنف</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المقام هو بیان مقتضی القواعد الاصولیّة، لا تحقیق ما هو الحقّ فی المسألة الفرعیّة، و أنّ موضوعهما فی الشرع هل هذا أو ذاک؟ فإنّه موکول إلی محلّه فی الفقه</w:t>
      </w:r>
      <w:r>
        <w:rPr>
          <w:rFonts w:eastAsia="IRNazanin" w:cs="IRNazanin"/>
          <w:color w:val="111111"/>
          <w:sz w:val="28"/>
          <w:szCs w:val="28"/>
          <w:rtl w:val="true"/>
          <w:lang w:bidi="fa-IR"/>
        </w:rPr>
        <w:t>.</w:t>
      </w:r>
    </w:p>
    <w:p>
      <w:pPr>
        <w:pStyle w:val="Heading6"/>
        <w:numPr>
          <w:ilvl w:val="5"/>
          <w:numId w:val="1"/>
        </w:numPr>
        <w:rPr/>
      </w:pPr>
      <w:bookmarkStart w:id="152" w:name="__RefHeading___Toc3234776_3224264995"/>
      <w:bookmarkStart w:id="153" w:name="_Toc57"/>
      <w:bookmarkEnd w:id="152"/>
      <w:r>
        <w:rPr>
          <w:rtl w:val="true"/>
        </w:rPr>
        <w:t>بیان أنحاء الشبهة فی المقام</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الحقّ فی المقام یحتاج إلی بسط الکلام فی ذلک،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الشکّ فیه یتصوّر علی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تُفرض الشبهة حکمیّة، و أنّ هذا الحیوان قابل للتذکیة فی الشرع أو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تُفرض موضوعیّة؛ لاشتباه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أصل قبول الحیوان للتذکیة، کما لو شکّ فی أنّ الأرنب قابل لها أو لا؟</w:t>
      </w:r>
    </w:p>
    <w:p>
      <w:pPr>
        <w:pStyle w:val="BookText"/>
        <w:rPr/>
      </w:pPr>
      <w:r>
        <w:rPr>
          <w:rFonts w:ascii="IRNazanin" w:hAnsi="IRNazanin" w:eastAsia="IRNazanin"/>
          <w:color w:val="111111"/>
          <w:sz w:val="28"/>
          <w:sz w:val="28"/>
          <w:szCs w:val="28"/>
          <w:rtl w:val="true"/>
          <w:lang w:bidi="fa-IR"/>
        </w:rPr>
        <w:t>و لیعلم أنّ حرمة اللحم غیر عدم القبول للتذکیة، فإنّ السباع محرّمة اللّحم مع قبولها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الشبهة المفهومیّة، کما لو علم أنّ الکلب غیر قابل لها، و الأسد قابل، لکن لم یعلم أنّ المتولِّد منهما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لعدم العلم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یشمل ذلک،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لأجل الشکّ فی 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أو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المتولّد منهما و عدمه، أو انه عنوان ثالث، مع معلومیّة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لأجل الشکّ فی شرطیّة شی‌ء فی التذکیة شرعاً، کبلوغ الذابح و نحوه، مع عدم الشکّ فی قابلیّة الحیوان للتذکیة، و کذلک لو شکّ فی مانعیّة شی‌ءٍ لازمٍ کالمسوخیّة، أو مفارقٍ کالجَلَل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الشبهة الموضوعیّة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الشکّ فی أنّ هذا الحیوان کلب أو ذئب؛ لأجل مانع عن رؤیته کظلمة أو عمیً و نحوهما، و إمّا لأجل عدم تشخیصه للکلب، و إمّا للشکّ فی أنّ هذا اللّحم المطروح من هذا المذکّی، أو من ذاک الغیر المذکّی، أو من مشکوک التذکیة، أو من معلومها کالجلود المجلوبة من بلاد الکفر التی تُجبی إلیها الجلود المذکّاة و غیرها، فیشکّ فی أنّها من المذکّی أو من غیرها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للشکّ فی وجود المانع عن التذکیة، کالجلل مع العلم بمانعیّته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لعدم العلم بأصل وقوع التذکیة و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عدم استفادة حکم هذه الصور من الأدلّة الاجتهادیّة، فالمرجع فیها هو الاصول و القواعد الشرعیّة الموضوعیّة منها و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الاصول الموضوعیّة أصالة عدم قابلیّة الحیوان للتذکیة، فقد یُدّعی أنّ القابلیّة لها و عدمها من الامور الشرعیّة المجعولة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الامور التکوینیّة الثابتة للحیوان کشف عنها الشارع</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أصالة عدمها؛ للعلم بعدم جعلها لعنوان 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فمع الشکّ فیه 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من الامور التکوینیّة الثابتة لذات الحیوان، فذهب بعضهم إلی جریان أصالة عدم القابلیة لها؛ أی أصل العدم الأزلی، نظیر أصالة عدم القرشیّة، و اختاره شیخنا الحائری قدس سره کما تقدّم سابقاً، و ذکر قدس سره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الوجود، و عارض الماهیّة، 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إمّا لازمة، أو 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فالعارض اللازم للماهیّة کالزوجیّة للأربعة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العارض المفارق لها کعروض الوجود للماهیّة بحسب التحلیل، و العارض اللازم للوجود، کالمبدئیّة للآثار، و اللّازم المفارق له کثیر کالأبیضیّة و الأسودیّة و نحوهما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القابلیّة للتذکیة لیست من عوارض الماهیّة، بل من العوارض اللازمة للوجود فی ابتداء تحقّقه، فإنّ وجود الحیوان القابل لها ملازم لها لا ینفکّ عنها، فمع الشکّ فی حیوان خاصّ أنّه قابل للتذکیة أو لا، یمکن الإشارة إلی ماهیّته،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تلبّسها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للتذکیة، فالآن کما کانت، علی ما تقدّم فی أصالة عدم القرشیّة، فلا یرد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استصحاب عدم الرابط فلا حالة سابقة له،</w:t>
      </w:r>
      <w:bookmarkStart w:id="154" w:name="pg12898_147879"/>
    </w:p>
    <w:p>
      <w:pPr>
        <w:pStyle w:val="BookText"/>
        <w:rPr/>
      </w:pPr>
      <w:bookmarkEnd w:id="154"/>
      <w:r>
        <w:rPr>
          <w:rFonts w:ascii="IRNazanin" w:hAnsi="IRNazanin" w:eastAsia="IRNazanin"/>
          <w:color w:val="111111"/>
          <w:sz w:val="28"/>
          <w:sz w:val="28"/>
          <w:szCs w:val="28"/>
          <w:rtl w:val="true"/>
          <w:lang w:bidi="fa-IR"/>
        </w:rPr>
        <w:t>و إن ارید استصحاب العدم المحمولی فهو لا یثبت أنّ هذا الحیوان کذلک</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تحقیق ما هو الحقّ فی استصحاب الأعدام الأزلیّة فی باب العامّ و الخاصّ مفصّلًا، و لا بأس بالإشارة إلیه هنا أیضاً</w:t>
      </w:r>
      <w:r>
        <w:rPr>
          <w:rFonts w:eastAsia="IRNazanin" w:cs="IRNazanin"/>
          <w:color w:val="111111"/>
          <w:sz w:val="28"/>
          <w:szCs w:val="28"/>
          <w:rtl w:val="true"/>
          <w:lang w:bidi="fa-IR"/>
        </w:rPr>
        <w:t>.</w:t>
      </w:r>
    </w:p>
    <w:p>
      <w:pPr>
        <w:pStyle w:val="Heading6"/>
        <w:numPr>
          <w:ilvl w:val="5"/>
          <w:numId w:val="1"/>
        </w:numPr>
        <w:rPr/>
      </w:pPr>
      <w:bookmarkStart w:id="155" w:name="__RefHeading___Toc3234778_3224264995"/>
      <w:bookmarkStart w:id="156" w:name="_Toc58"/>
      <w:bookmarkEnd w:id="155"/>
      <w:r>
        <w:rPr>
          <w:rtl w:val="true"/>
        </w:rPr>
        <w:t>بحث</w:t>
      </w:r>
      <w:r>
        <w:rPr>
          <w:rtl w:val="true"/>
        </w:rPr>
        <w:t xml:space="preserve">: </w:t>
      </w:r>
      <w:r>
        <w:rPr>
          <w:rtl w:val="true"/>
        </w:rPr>
        <w:t>حول استصحاب العدم الأزلی</w:t>
      </w:r>
      <w:bookmarkEnd w:id="156"/>
    </w:p>
    <w:p>
      <w:pPr>
        <w:pStyle w:val="Heading6"/>
        <w:numPr>
          <w:ilvl w:val="5"/>
          <w:numId w:val="1"/>
        </w:numPr>
        <w:rPr/>
      </w:pPr>
      <w:bookmarkStart w:id="157" w:name="__RefHeading___Toc3234780_3224264995"/>
      <w:bookmarkStart w:id="158" w:name="_Toc59"/>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 هو یستدعی رسم امور</w:t>
      </w:r>
      <w:r>
        <w:rPr>
          <w:rFonts w:eastAsia="IRNazanin" w:cs="IRNazanin"/>
          <w:color w:val="111111"/>
          <w:sz w:val="28"/>
          <w:szCs w:val="28"/>
          <w:rtl w:val="true"/>
          <w:lang w:bidi="fa-IR"/>
        </w:rPr>
        <w:t>:</w:t>
      </w:r>
    </w:p>
    <w:p>
      <w:pPr>
        <w:pStyle w:val="Heading6"/>
        <w:numPr>
          <w:ilvl w:val="5"/>
          <w:numId w:val="1"/>
        </w:numPr>
        <w:rPr/>
      </w:pPr>
      <w:bookmarkStart w:id="159" w:name="__RefHeading___Toc3234782_3224264995"/>
      <w:bookmarkStart w:id="160" w:name="_Toc60"/>
      <w:bookmarkEnd w:id="159"/>
      <w:r>
        <w:rPr>
          <w:rtl w:val="true"/>
        </w:rPr>
        <w:t>الأمر الأوّل</w:t>
      </w:r>
      <w:r>
        <w:rPr>
          <w:rtl w:val="true"/>
        </w:rPr>
        <w:t xml:space="preserve">: </w:t>
      </w:r>
      <w:r>
        <w:rPr>
          <w:rtl w:val="true"/>
        </w:rPr>
        <w:t>النسبة فی القضایا</w:t>
      </w:r>
      <w:bookmarkEnd w:id="1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القضایا باعتبارٍ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الحملیّات المؤوّلة، الثانی الحملیّات الغیر المؤوّلة، کما اصطلحنا علیه؛ و نعنی بالثانیة القضایا التی مفادها الهوهویّة، و تحکی عن الاتّحاد فی الخارج،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أو حیوان، أو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ذلک من الحملیّات الأوّلیّة،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 أو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نحوهما من الحملیّات الشائعة الصناعیّة، فإنّ جمیع هذه تحکی عن الاتّحاد و الهوهویّة الخارجیّة، لا ثبوت شی‌ء لشی‌ء،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لا أنّ ذاک ثابت لهذا، فإنّه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یقال من أنّ ثبوت الشی‌ء لنفسه ضروریّ</w:t>
      </w:r>
      <w:r>
        <w:rPr>
          <w:rStyle w:val="FootnoteAnchor"/>
          <w:rtl w:val="true"/>
        </w:rPr>
        <w:footnoteReference w:id="184"/>
      </w:r>
      <w:r>
        <w:rPr>
          <w:rFonts w:ascii="IRNazanin" w:hAnsi="IRNazanin" w:eastAsia="IRNazanin"/>
          <w:color w:val="111111"/>
          <w:sz w:val="28"/>
          <w:sz w:val="28"/>
          <w:szCs w:val="28"/>
          <w:rtl w:val="true"/>
          <w:lang w:bidi="fa-IR"/>
        </w:rPr>
        <w:t>، فاسد بل غلط، و هذه القضایا مرکّبة من جزءین؛ لا نسبة فیها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الکلام إن کان لنسبته خارج تطابقه أو لا تطابقه، فهو خبر، و إلّا فإنشاء</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غیر صحیح، لا فی الخبر، و لا فی الإنشاء؛ لعدم النسبة فی هذه القضایا؛ کی تطابق الخارج أو لا تطابقه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القضیّة المعقولة منها و القضیّة الملفوظة الحاکیة عن الخارج، و إلّا یلزم لغویّة النسبة فی القضیّة الملفوظة؛ لعدم حکایتها عن الخارج لعدم النسبة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 منشأ التوهّم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القضایا مرکّبة من ثلاثة أجزاء</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هو الاغترار من لفظ الحمل المقتضی للحامل و المحمول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توهّم فاسد، فإنّ المناط هو الواقع، فإن کانت النسبة متحقّقة فی الواقع و الخارج، فالقضیّة اللفظیّة الحاکیة عنه لا بدّ أن تشتمل علی النسبة، و إلّا فلا، و لا فرق فی ذلک بین الهیئات المرکّبة و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الکون الرابط بالهیئات المرکّبة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جمیعها لیس کذلک، بل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بالقضایا المؤوّلة المشتملة علی الکون الرابط الحاکیة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 أو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عدم حکایة هذه عن الهوهویّة و الاتّحاد الخارجی، بل عن النسبة الخارجیّة،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و المحمول، و النسبة بینهما، و لعلّه أشار إلی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الإسناد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الظاهر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 حاصل لزید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القیام له أمرٌ متحقّق موجود فی الخارج</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فیما ذکرناه بین الموجبة المحصّلة و المعدولة و الموجبة المعدولة المحمول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الموجبات</w:t>
      </w:r>
      <w:r>
        <w:rPr>
          <w:rFonts w:eastAsia="IRNazanin" w:cs="IRNazanin"/>
          <w:color w:val="111111"/>
          <w:sz w:val="28"/>
          <w:szCs w:val="28"/>
          <w:rtl w:val="true"/>
          <w:lang w:bidi="fa-IR"/>
        </w:rPr>
        <w:t>.</w:t>
      </w:r>
      <w:bookmarkStart w:id="161" w:name="pg12898_147881"/>
    </w:p>
    <w:p>
      <w:pPr>
        <w:pStyle w:val="BookText"/>
        <w:rPr/>
      </w:pPr>
      <w:bookmarkEnd w:id="161"/>
      <w:r>
        <w:rPr>
          <w:rFonts w:ascii="IRNazanin" w:hAnsi="IRNazanin" w:eastAsia="IRNazanin"/>
          <w:color w:val="111111"/>
          <w:sz w:val="28"/>
          <w:sz w:val="28"/>
          <w:szCs w:val="28"/>
          <w:rtl w:val="true"/>
          <w:lang w:bidi="fa-IR"/>
        </w:rPr>
        <w:t>و أمّا السوالب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المتأخّرون إلی أنّها مشتملة علی النسبة السلبیّة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خلاف التحقیق، 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تشتمل علی النسبة أصلًا؛ لأنّ مفادها سلب الربط و النسبة، أو سلب الهوهویّة، فإنّ القضیّة الملفوظة منها إنّما تحکی عمّا هو فی الخارج، و لیس فیه نسبة سلبیّة حتی تحکی عنها القضیّةُ الملفوظة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بدّ فی القضایا المؤوّلة منها من ذکر ما یحکی عن النسبة،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إنّما هو لأجل إفادة سلبها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السوالب من القضایا لا تشتمل علی النسبة أصلًا</w:t>
      </w:r>
      <w:r>
        <w:rPr>
          <w:rFonts w:eastAsia="IRNazanin" w:cs="IRNazanin"/>
          <w:color w:val="111111"/>
          <w:sz w:val="28"/>
          <w:szCs w:val="28"/>
          <w:rtl w:val="true"/>
          <w:lang w:bidi="fa-IR"/>
        </w:rPr>
        <w:t>.</w:t>
      </w:r>
    </w:p>
    <w:p>
      <w:pPr>
        <w:pStyle w:val="Heading6"/>
        <w:numPr>
          <w:ilvl w:val="5"/>
          <w:numId w:val="1"/>
        </w:numPr>
        <w:rPr/>
      </w:pPr>
      <w:bookmarkStart w:id="162" w:name="__RefHeading___Toc3234784_3224264995"/>
      <w:bookmarkStart w:id="163" w:name="_Toc61"/>
      <w:bookmarkEnd w:id="162"/>
      <w:r>
        <w:rPr>
          <w:rtl w:val="true"/>
        </w:rPr>
        <w:t>الأمر الثانی</w:t>
      </w:r>
      <w:r>
        <w:rPr>
          <w:rtl w:val="true"/>
        </w:rPr>
        <w:t xml:space="preserve">: </w:t>
      </w:r>
      <w:r>
        <w:rPr>
          <w:rtl w:val="true"/>
        </w:rPr>
        <w:t>مناط الصدق و الکذب فی القضایا</w:t>
      </w:r>
      <w:bookmarkEnd w:id="163"/>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إن کان لنسبته خارج تطابقه أو لا تطابقه فهو خبر، و إلّا فإنشاء</w:t>
      </w:r>
      <w:r>
        <w:rPr>
          <w:rStyle w:val="FootnoteAnchor"/>
          <w:rtl w:val="true"/>
        </w:rPr>
        <w:footnoteReference w:id="190"/>
      </w:r>
      <w:r>
        <w:rPr>
          <w:rFonts w:ascii="IRNazanin" w:hAnsi="IRNazanin" w:eastAsia="IRNazanin"/>
          <w:color w:val="111111"/>
          <w:sz w:val="28"/>
          <w:sz w:val="28"/>
          <w:szCs w:val="28"/>
          <w:rtl w:val="true"/>
          <w:lang w:bidi="fa-IR"/>
        </w:rPr>
        <w:t>، و قد عرفت عدم اشتمال کثیر من القضایا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ذکرنا فالمناط فی احتمال الصدق و الکذب هو الحکایة التصدیقیّة عن الواقع، فإن أفاد الکلام ذلک فهو خبر یحتمل الصدق و الکذب؛ سواء کان مفاده الهوهویّة التصدیقیّة،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النسبة التصدیقیّة،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الحکایة التصوّریّة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النعتیّة، و السوالب من القضایا کلّها محتملة الصدق و الکذب، مع عدم اشتمال شی‌ء منها علی النسبة، کما عرفت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المناط فی نفس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إن کانت الحکایة التصدیقیّة موافقة للواقع فهو صدق، و إلّا فکذب، فلا بدّ من ملاحظة الواقع و نفس الأمر المحکیّ</w:t>
      </w:r>
      <w:bookmarkStart w:id="164" w:name="pg12898_147882"/>
    </w:p>
    <w:p>
      <w:pPr>
        <w:pStyle w:val="BookText"/>
        <w:rPr/>
      </w:pPr>
      <w:bookmarkEnd w:id="164"/>
      <w:r>
        <w:rPr>
          <w:rFonts w:ascii="IRNazanin" w:hAnsi="IRNazanin" w:eastAsia="IRNazanin"/>
          <w:color w:val="111111"/>
          <w:sz w:val="28"/>
          <w:sz w:val="28"/>
          <w:szCs w:val="28"/>
          <w:rtl w:val="true"/>
          <w:lang w:bidi="fa-IR"/>
        </w:rPr>
        <w:t>عنه، فإن وافقته القضیّة اللفظیّة فهو صدق،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یحکی عن الهوهویّة التصدیقیّة المطابقة للواقع، و کذلک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لیس بموجود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السالبة المحصّلة، و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کذب؛ لعدم موافقة الحکایة لما فی نفس الأمر، و کذلک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لا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المعدولة؛ لاقتضائه ثبوت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 بین الموجبات و السوالب، فلا ارتباط للصدق و الکذب بالنسبة؛ کی یستشکل ذلک فی السوالب من حیث عدم اشتمالها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أو ناطق، أو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ما لم یوجد الموضوع فیه فی الذهن لا یصحّ الحمل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حیوان أو ناطق؛ لأنّ الماهیّة مع قطع النظر عن الوجود لیست شیئاً حتّی یحکم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حیوان، أو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للوجود دَخْل فی حیوانیّته أو ناطقیّته، بل المراد أنّ الماهیّة مع عدم تحلّیها بالوجود و لو ذهناً، لیست شیئاً حتّی یحکم علیها بشی‌ء، لکن تصوّرها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علیها بالحیوانیّة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تحلیة لها بالوجود الذهنی و إن کان ذلک الوجود مغفولًا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للماهیّة تقرّر مع قطع النظر عن الوجود، لکن مجرّد تصوّرها وجود ذهنیّ لها، فالحمل الأوّلی أیضاً یحکی عن الهوهویّة و الاتّحاد</w:t>
      </w:r>
      <w:r>
        <w:rPr>
          <w:rFonts w:eastAsia="IRNazanin" w:cs="IRNazanin"/>
          <w:color w:val="111111"/>
          <w:sz w:val="28"/>
          <w:szCs w:val="28"/>
          <w:rtl w:val="true"/>
          <w:lang w:bidi="fa-IR"/>
        </w:rPr>
        <w:t>.</w:t>
      </w:r>
    </w:p>
    <w:p>
      <w:pPr>
        <w:pStyle w:val="Heading6"/>
        <w:numPr>
          <w:ilvl w:val="5"/>
          <w:numId w:val="1"/>
        </w:numPr>
        <w:rPr/>
      </w:pPr>
      <w:bookmarkStart w:id="165" w:name="__RefHeading___Toc3234786_3224264995"/>
      <w:bookmarkStart w:id="166" w:name="_Toc62"/>
      <w:bookmarkEnd w:id="165"/>
      <w:r>
        <w:rPr>
          <w:rtl w:val="true"/>
        </w:rPr>
        <w:t>الأمر الثالث</w:t>
      </w:r>
      <w:r>
        <w:rPr>
          <w:rtl w:val="true"/>
        </w:rPr>
        <w:t xml:space="preserve">: </w:t>
      </w:r>
      <w:r>
        <w:rPr>
          <w:rtl w:val="true"/>
        </w:rPr>
        <w:t>وجود الموضوع فی القضایا</w:t>
      </w:r>
      <w:bookmarkEnd w:id="166"/>
    </w:p>
    <w:p>
      <w:pPr>
        <w:pStyle w:val="BookText"/>
        <w:rPr/>
      </w:pPr>
      <w:r>
        <w:rPr>
          <w:rFonts w:ascii="IRNazanin" w:hAnsi="IRNazanin" w:eastAsia="IRNazanin"/>
          <w:color w:val="111111"/>
          <w:sz w:val="28"/>
          <w:sz w:val="28"/>
          <w:szCs w:val="28"/>
          <w:rtl w:val="true"/>
          <w:lang w:bidi="fa-IR"/>
        </w:rPr>
        <w:t>القضایا الموجبات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المحصّلة،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ممّا حکم فیه بثبوت أمر</w:t>
      </w:r>
      <w:bookmarkStart w:id="167" w:name="pg12898_147883"/>
    </w:p>
    <w:p>
      <w:pPr>
        <w:pStyle w:val="BookText"/>
        <w:rPr/>
      </w:pPr>
      <w:bookmarkEnd w:id="167"/>
      <w:r>
        <w:rPr>
          <w:rFonts w:ascii="IRNazanin" w:hAnsi="IRNazanin" w:eastAsia="IRNazanin"/>
          <w:color w:val="111111"/>
          <w:sz w:val="28"/>
          <w:sz w:val="28"/>
          <w:szCs w:val="28"/>
          <w:rtl w:val="true"/>
          <w:lang w:bidi="fa-IR"/>
        </w:rPr>
        <w:t>عدمیّ 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السالبة المحمول، و هی التی یکون المحمول فیها قضیّة سالبة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لیست محصّلة؛ لأنّ المحمول فیها سلبیّ، و لا معدولة؛ لأنّ المحمول فی المعدولة لیس بنحو القضیّة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أنّه لا بدّ فی القضیّة الموجبة بأقسامها الثلاثة، من ثبوت الموضوع و وجوده فی الظرف الذی یُراد فیه إثبات الحکم علیه و الإخبار به عنه، ففی القضایا المؤوّلة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لقاعدة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ثبوت شی‌ء لشی‌ء فرع ثبوت المثبت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القضایا الغیر المؤوّلة التی تحکی عن الهوهویّة،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لقاعدة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اتّحاد الشیئین مستلزم لوجودهما بنحو من أنحاء الوجودات، و لا تجری فی هذا القسم من القضایا القاعدةُ الفرعیّة؛ لعدم الحکم فیها بثبوت شی‌ء لشی‌ء، بل مفادها الاتّحاد و الحکم بالهوهویّة، و هو لیس فرع ثبوت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الموجبات مطلقاً من وجود الموضوع، بخلاف السوالب المحصّلة، فإنّها تصدق مع انتفاء الموضوع أیضاً،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لیس بموجود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قد یتّفق فیها وجود الموضوع، فیسلب عنه المحمول، فبناء علی مذهب المتأخّرین من المنطقیّین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اشتمال السوالب علی النسبة السلبیّة</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لا تصدق السالبة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234788_3224264995"/>
      <w:bookmarkStart w:id="169" w:name="_Toc63"/>
      <w:bookmarkEnd w:id="168"/>
      <w:r>
        <w:rPr>
          <w:rtl w:val="true"/>
        </w:rPr>
        <w:t>الأمر الرابع</w:t>
      </w:r>
      <w:r>
        <w:rPr>
          <w:rtl w:val="true"/>
        </w:rPr>
        <w:t xml:space="preserve">: </w:t>
      </w:r>
      <w:r>
        <w:rPr>
          <w:rtl w:val="true"/>
        </w:rPr>
        <w:t>عدم رجوع السالبة إلی المعدولة</w:t>
      </w:r>
      <w:bookmarkEnd w:id="1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فی القضیّة الإخباریّة لا بدّ أن یکون مفرداً أو فی حکم المفرد، ففی</w:t>
      </w:r>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غیر عمرو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یکون فیه الحکم بمغایرة هذا لذلک و هو الذی یحتمل الصدق و الکذب، لا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قائم، فلا یمکن جعل الموضوع قضیّة تامّة، لکن علی فرض الإخبار عنها بالمعنی المذکور فهی موجبة محصّلة، کما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اللاقائم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معدولة الموضوع،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لیس بقائم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سالبة الموضوع، و أمّا جعل الموضوع سالبة محصّلة علی فرض الإخبار عنها،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إذا لم یکن عادلًا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فرضه و صحّته أیضاً لو لم یرجع إلی معدولة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رجوعها إلی المعدولة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الموضوع فی المعدولة متّصف بالعدم النعتی، فلا بدّ من وجود الموضوع فیها، بخلاف السالبة المحصّلة، فإنّ مفادها سلب الاتّصاف، فلا تفتقر إلی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الغیر القرشیّة تری الدم إلی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الموضوع فیها موجبة معدولة الموضوع علی فرض الإخبار عنه، و بنحو السالبة المحمول و بنحو السالبة المحصّلة مع فرض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الامرأة الغیر القرشیّة تری الدم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الامرأة التی لیست بقرشیّة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الامرأة إذا لم تکن قرشیّة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وجودها، و لا یتصوّر فیها الایجاب التحصیلی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للنجاسة و الحرمة فی الحیوان الغیر القابل للتذکیة، لا یخلو عن أحد الأنحاء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بنحو القضیّة المعدولة؛ أی الحیوان الغیر القابل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السالبة المحمول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السالبة المحصّلة مع فرض وجود الموضوع</w:t>
      </w:r>
      <w:r>
        <w:rPr>
          <w:rFonts w:eastAsia="Amiri" w:cs="Amiri" w:ascii="Amiri" w:hAnsi="Amiri"/>
          <w:color w:val="111111"/>
          <w:sz w:val="28"/>
          <w:szCs w:val="28"/>
          <w:rtl w:val="true"/>
          <w:lang w:bidi="ar-SA"/>
        </w:rPr>
        <w:t>.</w:t>
      </w:r>
      <w:bookmarkStart w:id="170" w:name="pg12898_147885"/>
    </w:p>
    <w:p>
      <w:pPr>
        <w:pStyle w:val="BookText"/>
        <w:rPr/>
      </w:pPr>
      <w:bookmarkEnd w:id="170"/>
      <w:r>
        <w:rPr>
          <w:rFonts w:ascii="IRNazanin" w:hAnsi="IRNazanin" w:eastAsia="IRNazanin"/>
          <w:color w:val="111111"/>
          <w:sz w:val="28"/>
          <w:sz w:val="28"/>
          <w:szCs w:val="28"/>
          <w:rtl w:val="true"/>
          <w:lang w:bidi="fa-IR"/>
        </w:rPr>
        <w:t>و أمّا مع انتفاء الموضوع فلا یمکن جعلها موضوعاً للحکم أصلًا، و کذلک الحکم برؤیة الدم إلی خمسین علی المرأة الغیر القرشیّة</w:t>
      </w:r>
      <w:r>
        <w:rPr>
          <w:rFonts w:eastAsia="IRNazanin" w:cs="IRNazanin"/>
          <w:color w:val="111111"/>
          <w:sz w:val="28"/>
          <w:szCs w:val="28"/>
          <w:rtl w:val="true"/>
          <w:lang w:bidi="fa-IR"/>
        </w:rPr>
        <w:t>.</w:t>
      </w:r>
    </w:p>
    <w:p>
      <w:pPr>
        <w:pStyle w:val="Heading6"/>
        <w:numPr>
          <w:ilvl w:val="5"/>
          <w:numId w:val="1"/>
        </w:numPr>
        <w:rPr/>
      </w:pPr>
      <w:bookmarkStart w:id="171" w:name="__RefHeading___Toc3234790_3224264995"/>
      <w:bookmarkStart w:id="172" w:name="_Toc64"/>
      <w:bookmarkEnd w:id="171"/>
      <w:r>
        <w:rPr>
          <w:rtl w:val="true"/>
        </w:rPr>
        <w:t>تحقیق المقام</w:t>
      </w:r>
      <w:bookmarkEnd w:id="172"/>
    </w:p>
    <w:p>
      <w:pPr>
        <w:pStyle w:val="BookText"/>
        <w:rPr/>
      </w:pPr>
      <w:r>
        <w:rPr>
          <w:rFonts w:ascii="IRNazanin" w:hAnsi="IRNazanin" w:eastAsia="IRNazanin"/>
          <w:color w:val="111111"/>
          <w:sz w:val="28"/>
          <w:sz w:val="28"/>
          <w:szCs w:val="28"/>
          <w:rtl w:val="true"/>
          <w:lang w:bidi="fa-IR"/>
        </w:rPr>
        <w:t>إذا عرفت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أفاده الاستاذ الحائری قدس سره</w:t>
      </w:r>
      <w:r>
        <w:rPr>
          <w:rStyle w:val="FootnoteAnchor"/>
          <w:rtl w:val="true"/>
        </w:rPr>
        <w:footnoteReference w:id="192"/>
      </w:r>
      <w:r>
        <w:rPr>
          <w:rFonts w:ascii="IRNazanin" w:hAnsi="IRNazanin" w:eastAsia="IRNazanin"/>
          <w:color w:val="111111"/>
          <w:sz w:val="28"/>
          <w:sz w:val="28"/>
          <w:szCs w:val="28"/>
          <w:rtl w:val="true"/>
          <w:lang w:bidi="fa-IR"/>
        </w:rPr>
        <w:t>فی بیان جریان استصحاب عدم القرشیّة أو عدم التذکیة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الموضوع للحکم الشرعی هنا لا یخلو عن أحد الأنحاء الثلاثة، فلا بدّ من ملاحظة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الموضوع فیها بنحو الموجبة المعدولة، أو بنحو السالبة المحمول، مع وجود الموضوع، فلا حالة سابقة للمستصحب؛ لأنّه بناء علیهما فالموضوع للحکم هی المرأة المتّصفة بعدم القرشیّة بالعدم النعتی أو المحمولی و هی فی الأزل لم تکن متّصفة بهذه الصفة؛ لعدم وجودها فی الأزل لتتّصف بهذه الصفة أو یحکم علیها بها، و إلّا یلزم تقرّرها حال عدمها؛ لاحتیاج الصفة إلی ثبوت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حالة سابقة للمرأة المتّصفة بعدم القرشیّة لتستصحب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اخذ الموضوع بنحو السالبة المحصّلة، فلعدم إمکان جعلها موضوعاً لحکم مع انتفاء الموضوع، فعلی فرض جعلها موضوعاً لحکم لا بدّ أن تفرض مع وجود الموضوع، و حینئذٍ فإن ارید استصحاب عدم القابلیّة للتذکیة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الحیوان الموجود مسلوباً عنه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حالة سابقة متیقّنة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سلبها الصادق مع عدم الحیوان، فهو لا یُثبت أنّ هذا الحیوان الموجود مسلوب عنه القبول للتذکیة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عدمها بنحو السلب التحصیلی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الصادق مع عدم الموضوع</w:t>
      </w:r>
    </w:p>
    <w:p>
      <w:pPr>
        <w:pStyle w:val="BookText"/>
        <w:rPr/>
      </w:pPr>
      <w:r>
        <w:rPr>
          <w:rFonts w:ascii="IRNazanin" w:hAnsi="IRNazanin" w:eastAsia="IRNazanin"/>
          <w:color w:val="111111"/>
          <w:sz w:val="28"/>
          <w:sz w:val="28"/>
          <w:szCs w:val="28"/>
          <w:rtl w:val="true"/>
          <w:lang w:bidi="fa-IR"/>
        </w:rPr>
        <w:t>و وجوده مع سلب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أنّه لیس موضوعاً للحکم بالنجاسة و الحرمة، بل الموضوع 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الحیوان الموجود مسلوباً عنه القابلیّة للتذکیة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استصحاب الأعمّ لا یثبت الأخصّ الذی هو الموضوع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الحالة السابقة للأعمّ، بل الذی له حالة سابقة متیقَّنة هو عدم القابلیّة من جهة عدم 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فاستصحابه لإثبات القسم الآخر للأعمّ القسیم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السالبة بانتفاء المحمول مع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استصحاب أحد أفراد الکلّی کزید لإثبات الفرد الآخر منه کعمرو و هو أسوأ حالًا من استصحاب الکلّی و إثبات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تقریب و وجه آخر لاستصحاب عدم القابلیّة ذکره بعض الأعاظم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موضوع النجاسة و الحرمة هنا مرکّب من الحیوان و عدم القابلیّة عدماً محمولیّاً، لا بنحو التقیید؛ بأن یکون بین الجزءین ارتباط، بل بنحو الترکیب، و حینئذٍ فأحد جزءی الموضوع مُحرَز بالوجدان، و هو الحیوان، و الآخر یحرز بالاستصحاب؛ لأنّه مسبوق بالعدم، و یکفی مجرّد استصحابه من دون افتقار إلی إثبات الارتباط بین الجزءین</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هذا القبیل من الموضوعات مُشکِل، و علی فرض تسلیمه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عدم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أحد جزءی الموضوع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القابلیّة بنحو الإطلاق الصادق مع عدم وجود الحیوان؛ أی عدمها الأعمّ الصادق مع عدم وجود الحیوان، أو المراد هو عدم قابلیّة هذا الحیوان الموجود؟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فمن الواضحات أنّ الموضوع للحرمة و النجاسة لیس هذا المعنی الأعمّ الصادق مع عدم الموضوع أیضاً بالضرورة، بل الموضوع لهما الحیوان الموجود</w:t>
      </w:r>
    </w:p>
    <w:p>
      <w:pPr>
        <w:pStyle w:val="BookText"/>
        <w:rPr/>
      </w:pPr>
      <w:r>
        <w:rPr>
          <w:rFonts w:ascii="IRNazanin" w:hAnsi="IRNazanin" w:eastAsia="IRNazanin"/>
          <w:color w:val="111111"/>
          <w:sz w:val="28"/>
          <w:sz w:val="28"/>
          <w:szCs w:val="28"/>
          <w:rtl w:val="true"/>
          <w:lang w:bidi="fa-IR"/>
        </w:rPr>
        <w:t>مع عدم قبوله للتذکیة، فاستصحاب هذا المعنی الأعمّ لا یثبت أنّ هذا الحیوان غیر قابل لها الذی هو الموضوع الخاصّ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ارید من عدم القابلیّة المعنی الأعمّ الصادق مع عدم الحیوان، یلزم التناقض فی الموضوع لمنافاته للجزء الآخر له، و هو الحیوان، فلا بدّ أن یُراد عدم قابلیّة هذا الحیوان، و لا حالة سابقة له لتستصحب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الوجه أیضاً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استصحاب عدم القابلیّة، و قد عرفت عدم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علی فرض صحّة هذا الاستصحاب فهو مقدّم علی أصالة عدم التذکیة و کافٍ عنها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التذکیة أمر مرکّب من قابلیّة المحلّ لها و فَرْی الأوداج مع الشرائط الاخر؛ لأنّ الشکّ فی التذکیة و عدمها مسبّب عن الشکّ فی القبول للتذکیة و عدمه، و الأصل الجاری فی السبب حاکم علی الأصل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التذکیة عنوان بسیط، و فَرْی الأوداج بالکیفیّة الخاصّة مع القابلیّة للتذکیة من المحصِّلات الشرعیّة،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بقاء المحصِّلات الشرعیّة یثبت العنوان المحصِّل، فلا إشکال أیضاً فی جریان أصالة عدم القابلیّة علی الفرض، و حکومتها علی 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الأسباب و المسبّبات الشرعیّة هو المسبّب عقیب وجود السبب، فاستصحاب عدم القابلیّة أیضاً جارٍ، و لا تصل النوبة إلی أصالة عدم التذکیة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فیها هو السببیّة فلا مجال لاستصحاب عدم القابلیّة، فإنّ السببیّة حینئذٍ و إن کانت شرعیّة مجعولة، لکن ترتّب المسبّب علی السبب الشرعی عقلیّ غیر مجعول شرعاً، فلا یترتّب علی استصحاب وجود السبب وجود المسبّب، و لا علی استصحاب عدمه عدمه، و حینئذٍ فتصل النوبة إلی أصالة عدم التذکیة</w:t>
      </w:r>
      <w:r>
        <w:rPr>
          <w:rFonts w:eastAsia="IRNazanin" w:cs="IRNazanin"/>
          <w:color w:val="111111"/>
          <w:sz w:val="28"/>
          <w:szCs w:val="28"/>
          <w:rtl w:val="true"/>
          <w:lang w:bidi="fa-IR"/>
        </w:rPr>
        <w:t>.</w:t>
      </w:r>
      <w:bookmarkStart w:id="173" w:name="pg12898_147888"/>
    </w:p>
    <w:p>
      <w:pPr>
        <w:pStyle w:val="Heading6"/>
        <w:numPr>
          <w:ilvl w:val="5"/>
          <w:numId w:val="1"/>
        </w:numPr>
        <w:rPr/>
      </w:pPr>
      <w:bookmarkStart w:id="174" w:name="__RefHeading___Toc3234792_3224264995"/>
      <w:bookmarkStart w:id="175" w:name="_Toc65"/>
      <w:bookmarkEnd w:id="173"/>
      <w:bookmarkEnd w:id="174"/>
      <w:r>
        <w:rPr>
          <w:rtl w:val="true"/>
        </w:rPr>
        <w:t>المختار فی أصالة عدم التذکیة</w:t>
      </w:r>
      <w:bookmarkEnd w:id="175"/>
    </w:p>
    <w:p>
      <w:pPr>
        <w:pStyle w:val="BookText"/>
        <w:rPr/>
      </w:pPr>
      <w:r>
        <w:rPr>
          <w:rFonts w:ascii="IRNazanin" w:hAnsi="IRNazanin" w:eastAsia="IRNazanin"/>
          <w:color w:val="111111"/>
          <w:sz w:val="28"/>
          <w:sz w:val="28"/>
          <w:szCs w:val="28"/>
          <w:rtl w:val="true"/>
          <w:lang w:bidi="fa-IR"/>
        </w:rPr>
        <w:t>و أمّا الکلام فی أصالة عدم التذکیة 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معنی التذکیة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عبارة عن معنیً محصَّل من امور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الأوداج الأربعة، و قابلیّة المحلّ، و إسلام الذابح، و الذبح بالحدید، و التسمیة،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مرکّبة من نفس هذه الامور الستّة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عن إزهاق الروح مع هذه الشرائط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عن إزهاق الروح حال وجود هذه الامور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أربعة احتمالات فی معنی التذکیة، و الظاهر هو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إشکال فی أنّ الموضوع للنجاسة و الحرمة لیس هو عدم إزهاق الروح أو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مع عدم وجود الحیوان أو مع وجوده و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ریب و لا إشکال؛ لعدم قیام دلیل علی ذلک، بل لا یمکن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الموضوع للحِلّیّة و الطهارة هو إزهاق الروح مع الشرائط الخاصّة المعتبرة شرعاً، أو الموضوع للطهارة و الحلّیّة هو إزهاق الروح بکیفیّة خاصّة معتبرة فی الشرع، و موضوع النجاسة و الحرمة هو إزهاق الروح لا بکیفیّة خاصّة، المتحقّق بانتفاء أحد هذه الامور الستّة؛ المذکورة بنحو المعدولة أو السالبة المحمول أو السالبة المحصّلة مع فرض وجود الموضوع؛ أی إزهاق الروح، و حینئذٍ فلا حالة سابقة له حتّی یستصحب؛ لأنّه لم یکن سابقاً زمان زهق فیه روح هذا الحیوان بدون الکیفیّة الخاصّة، و شکّ فی بقائه؛ حتّی یستصحب بأحد الاعتبارات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الحیوان الذی زهق روحه لا بکیفیة خاصّة، أو الذی لم یتحقّق معه الکیفیّة الخاصّة، أو مسلوباً عنه الکیفیّة الخاصّة، أو مع نقیض الکیفیّة الخاصّة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له حالة سابقة هو عدم التذکیة بالمعنی الأعمّ؛ الصادق مع عدم الحیوان،</w:t>
      </w:r>
    </w:p>
    <w:p>
      <w:pPr>
        <w:pStyle w:val="BookText"/>
        <w:rPr/>
      </w:pPr>
      <w:r>
        <w:rPr>
          <w:rFonts w:ascii="IRNazanin" w:hAnsi="IRNazanin" w:eastAsia="IRNazanin"/>
          <w:color w:val="111111"/>
          <w:sz w:val="28"/>
          <w:sz w:val="28"/>
          <w:szCs w:val="28"/>
          <w:rtl w:val="true"/>
          <w:lang w:bidi="fa-IR"/>
        </w:rPr>
        <w:t>أو خصوص عدمها بانتفاء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قد عرفت أنّ موضوعهما لیس هذا المعنی العامّ أو الخاصّ، بل عدم التذکیة مع وجود الحیوان و إزهاق روحه لا مع الکیفیة الخاصّة،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المستفاد من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الحرمة الحیوانُ الذی زهق روحه لا بکیفیّة خاصّة، و کذلک الروایات</w:t>
      </w:r>
      <w:r>
        <w:rPr>
          <w:rStyle w:val="FootnoteAnchor"/>
          <w:rtl w:val="true"/>
        </w:rPr>
        <w:footnoteReference w:id="197"/>
      </w:r>
      <w:r>
        <w:rPr>
          <w:rFonts w:ascii="IRNazanin" w:hAnsi="IRNazanin" w:eastAsia="IRNazanin"/>
          <w:color w:val="111111"/>
          <w:sz w:val="28"/>
          <w:sz w:val="28"/>
          <w:szCs w:val="28"/>
          <w:rtl w:val="true"/>
          <w:lang w:bidi="fa-IR"/>
        </w:rPr>
        <w:t>، و حینئذٍ فاستصحاب عدم التذکیة بالمعنی العامّ الصادقة مع انتفاء الموضوع، لا یُثبت هذا المعنی الخاصّ الموضوع للحکم، کما ذکر الفاضل التونی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قبیل استصحاب الضاحک لإثبات وجود زید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ارید استصحاب خصوص عدم التذکیة مع عدم الحیوان لإثبات قسم آخر، و هو عدم التذکیة مع وجود الحیوان المزهوق روحه، فهو أسوأ حالًا من استصحاب الکلّی لإثبات الفرد، و أنّه مثل استصحاب وجود زید لإثبات وجود عمرو، و فساده غنیّ عن البیان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القواعد الاصولیّة عدم جریان أصالة عدم التذکیة، و لا غیرها من الأعدام الأزلیّة</w:t>
      </w:r>
      <w:r>
        <w:rPr>
          <w:rFonts w:eastAsia="IRNazanin" w:cs="IRNazanin"/>
          <w:color w:val="111111"/>
          <w:sz w:val="28"/>
          <w:szCs w:val="28"/>
          <w:rtl w:val="true"/>
          <w:lang w:bidi="fa-IR"/>
        </w:rPr>
        <w:t>.</w:t>
      </w:r>
      <w:bookmarkStart w:id="176" w:name="pg12898_147890"/>
    </w:p>
    <w:p>
      <w:pPr>
        <w:pStyle w:val="Heading6"/>
        <w:numPr>
          <w:ilvl w:val="5"/>
          <w:numId w:val="1"/>
        </w:numPr>
        <w:rPr/>
      </w:pPr>
      <w:bookmarkStart w:id="177" w:name="__RefHeading___Toc3234794_3224264995"/>
      <w:bookmarkStart w:id="178" w:name="_Toc66"/>
      <w:bookmarkEnd w:id="176"/>
      <w:bookmarkEnd w:id="177"/>
      <w:r>
        <w:rPr>
          <w:rtl w:val="true"/>
        </w:rPr>
        <w:t>نقل کلمات الأعلام قدس سرهم و ما فیها</w:t>
      </w:r>
      <w:bookmarkEnd w:id="178"/>
    </w:p>
    <w:p>
      <w:pPr>
        <w:pStyle w:val="BookText"/>
        <w:rPr/>
      </w:pPr>
      <w:r>
        <w:rPr>
          <w:rFonts w:ascii="IRNazanin" w:hAnsi="IRNazanin" w:eastAsia="IRNazanin"/>
          <w:color w:val="111111"/>
          <w:sz w:val="28"/>
          <w:sz w:val="28"/>
          <w:szCs w:val="28"/>
          <w:rtl w:val="true"/>
          <w:lang w:bidi="fa-IR"/>
        </w:rPr>
        <w:t>و ممّا ذکرنا ظهر الإشکال فیما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العدم الأزلی مستمرّ مع حیاة الحیوان و موته حتف أنفه، فلا مانع من استصحابه و ترتُّب أحکامه علیه عند الشکّ و إن قطع بتبادل الوجودات المقارنة 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یقرب ممّا ذکره،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یترتّب أثر شرعیّ علی عدم التذکیة فی الحال السابق، لکنّه یترتّب علیه فی ظرف الشکّ، و هو کافٍ فی جریان الاستصحاب</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لما عرفت من أنّ الموضوع لیس عدم التذکیة بنحو العامّ أو المطلق، بل عدم التذکیة مع إزهاق الروح، و لا یمکن أن تشمل القضیّة المتیقّنة بحیث تشمل بعمومها أو إطلاقها حال الشکّ، و إلّا لم یقع شکّ، فلا بدّ أن یُراد من عدم التذکیة المتیقّنة ما یقابل عدمها حال الموت المشکوک فیه، أی لا بدّ أن یراد من المتیقَّنة ما ینطبق علی حال الحیاة فقط، و حینئذٍ فاستصحابها لإثبات عدم التذکیة مع إزهاق الروح، مثل استصحاب فرد لإثبات فرد آخر، فهذا الذی ذکراه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واقع الأمر و القضیّة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یظهر الإشکال فیما ذکره المیرزا النائینی قدس سره، فإنّه ذکر فی المقام احتمالین لما ذکره الفاضل التونی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لحرمة لحم الحیوان هو المیتة، و هی عبارة عن الحیوان الذی مات حتف أنفه، و لا یثبت ذلک بأصالة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موضوعها هو عدم التذکیة لا مطلقاً، بل فی حال خروج الروح، و عدم التذکیة فی هذا الحال لا حالة سابقة له حتّی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للحرمة و النجاسة لیس هو الموت حتف الأنف؛ لعدم دلالة آیةٍ و لا روایةٍ علی ذلک، بل الموضوع هو المیتة، و لیس معناها الموت حتف الأنف، بل هی عبارة عن الغیر المذکّی، فاستصحاب عدم التذکیة محرِز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الاحتمال الثانی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التغایر بین عدم التذکیة فی حال الحیاة و بینها فی حال زهوق روحه، واضحة الفساد؛ بداهة أنّ نفس عدم التذکیة فی حال الحیاة مستمرّة إلی حال خروج الروح، و لیس حالُ الحیاة و حالُ زهوق الروح قیداً للعدم؛ لینقلب العدم فی حال الحیاة إلی عدم آخر، بل هما من حالات الموضوع، فمعروض عدم التذکیة هو الجسم، و هو باقٍ فی کلا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تذکیة الحیوان من الامور الحادثة المسبوقة بالعدم الأزلی، و هی مستمرّة إلی زمان زهوق الروح، غایة الأمر أنّ عدم التذکیة قبل وجود الحیوان نحو العدم المحمولی، و بعد وجوده نحو العدم النعتی موضوع الحرمة و النجاسة، فاستمرار العدم الأزلی إلی زمان وجود الحیوان یوجب انقلاب العدم من المحمولی إلی النعتی، و من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لا أنّ العدم الأزلی یتبدّل إلی عدم آخر فإنّه واضح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سیجی‌ء أن الموضوع المرکّب من عَرضَین لمحلّ واحد أو من جوهرین أو من جوهر و عرض لمحلّ آخر کوجود زید و قیام عمرو، لا یعتبر فیه الأزید من الاجتماع فی الزمان، و لا یحتاج إلی الإضافة و الارتباط بینهما إلّا أن یدلّ دلیل علی ذلک، بخلاف ما لو کان الموضوع مرکّباً من العرض و محلّه، فإنّه لا یکفی مجرّد اجتماعهما</w:t>
      </w:r>
    </w:p>
    <w:p>
      <w:pPr>
        <w:pStyle w:val="BookText"/>
        <w:rPr/>
      </w:pPr>
      <w:r>
        <w:rPr>
          <w:rFonts w:ascii="IRNazanin" w:hAnsi="IRNazanin" w:eastAsia="IRNazanin"/>
          <w:color w:val="111111"/>
          <w:sz w:val="28"/>
          <w:sz w:val="28"/>
          <w:szCs w:val="28"/>
          <w:rtl w:val="true"/>
          <w:lang w:bidi="fa-IR"/>
        </w:rPr>
        <w:t>ما لم یثبت قیام الوصف بالمحلّ</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الجواب عن الاحتمال الأوّل من أنّ المیتة عبارة عن الغیر المذکّی، مع ما ذکره فی ضمن الجواب عن الاحتمال الثانی من أنّ عدم التذکیة حال حیاة الحیوان، عین عدم التذکیة فی حال الزهوق، و وضوح دعوی فساد التغایر، ینتج أنّ الحیوان حال حیاته میتة؛ و ذلک لأنّ الغیر المذکّی فی حال الموت حتف أنفه میتةٌ، فإذا کان عدم التذکیة حال الموت عین عدمها فی حال الحیاة یلزم ما ذکرناه،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النجاسة لیس عدم التذکیة، و معه لا یستقیم الجواب عن الاحتمال الثانی؛ لما ذکره الفاضل التونی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الغیر المذکّی فی زمان الحیاة عبارة عن عدم زهوق الروح، و الغیر المذکّی الذی یطلق علیه المیتة هو الحیوان المزهوق روحه لا بکیفیّة خاصّة، و کم فرق بین عدم زهاق الروح و بین زهوقه لا بکیفیّة خاصّة، و الأوّل یصدق مع عدم الحیوان، و الثانی لا یصدق إلّا مع وجوده و زهوق روحه، و الذی هو موضوع الحرمة و النجاسة فی لسان الأدلّة و الفقهاء هو الثانی، لا الأوّل، و أنّ المزهوق روحه بکیفیّة خاصّة طاهر و حلال، و لا بهذه الکیفیّة الخاصّة فهو نجس و حرام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أنّ العدم المحمولی ینقلب إلی النعتی، لا أنّه ینقلب إلی عدمٍ آخر، فهو أوضح فساداً من انقلاب عدمٍ إلی عدمٍ آخر؛ لأنّ العدم المحمولی عبارة عن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أی عدم تحقّق عدم التذکیة، و النعتی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مع وجود الموضوع، فاستصحاب الأوّل لا یثبت اتّصاف الحیوان بهذا العدم النعتی؛ لأنّ</w:t>
      </w:r>
    </w:p>
    <w:p>
      <w:pPr>
        <w:pStyle w:val="BookText"/>
        <w:rPr/>
      </w:pPr>
      <w:r>
        <w:rPr>
          <w:rFonts w:ascii="IRNazanin" w:hAnsi="IRNazanin" w:eastAsia="IRNazanin"/>
          <w:color w:val="111111"/>
          <w:sz w:val="28"/>
          <w:sz w:val="28"/>
          <w:szCs w:val="28"/>
          <w:rtl w:val="true"/>
          <w:lang w:bidi="fa-IR"/>
        </w:rPr>
        <w:t>الاتّصاف أثر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یتوهّم أنّ الحیوان حال الحیاة کان غیر مذکًّی بنحو العدم النعتی، فیستصحب ذلک حال زهوق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فاسد؛ لما عرفت من أنّ الغیر المذکّی فی حال حیاة الحیوان عبارة عن الحیوان الذی لم یزهق روحه، و الغیر المذکّی حال الموت هو المزهوق روحه لا بکیفیّة خاصّة، و استصحاب الأوّل لا یثبت الثانی و إن کان الأوّل أیضاً نعتیّاً، لکن الثانی مغایر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أنّه لو کان الموضوع مرکّباً من عَرَضینِ لمحلّ و موضوع واحد، لا یحتاج إلی اثبات الارتباط بینهما، إلّا أن یدلّ 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لیس کذلک، فإنّ العَرَضین فیه لیسا فی عَرْض واحد، بل عَرَضٌ و عَرَض العَرَض، فإنّ زهوق الروح عرض للحیوان بکیفیّة خاصّة فی المذکّی، و بلا کیفیّة خاصّة فی الغیر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استقبال القبلة أو عدمه مع التسمیة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للزهوق، فکما أنّ زهوق الروح بالحدید مع التسمیة مع الشرائط الاخر، موضوعٌ للحِلّیّة و الطهارة، کذلک زهوق روحه بغیر الحدید أو التسمیة موضوع للنجاسة و الحرمة، فالموضوع الذی ذکره مرکّب من الموضوع و العَرَض، و یُعتبر فی جمیع الموضوعات المرکّبة من الموضوع و الصفة الارتباطُ بینهما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الفقیه الهمدانی قدس سره 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الأحکام المترتّبة علی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العدمیّة، کعدم حلّیّته، و عدم جواز الصلاة فیه، و عدم طهارته، و غیرها من الأحکام العدمیّة المنتزعة من الوجودیّات، التی تکون التذکیة شرطاً فی ثبوتها، فهی مترتّبة علی استصحاب عدم التذکیة، و بین الأحکام الوجودیّة المترتّبة علی کون الحیوان غیر مذکًّی، کحرمة أکله و نجاسته</w:t>
      </w:r>
    </w:p>
    <w:p>
      <w:pPr>
        <w:pStyle w:val="BookText"/>
        <w:rPr/>
      </w:pPr>
      <w:r>
        <w:rPr>
          <w:rFonts w:ascii="IRNazanin" w:hAnsi="IRNazanin" w:eastAsia="IRNazanin"/>
          <w:color w:val="111111"/>
          <w:sz w:val="28"/>
          <w:sz w:val="28"/>
          <w:szCs w:val="28"/>
          <w:rtl w:val="true"/>
          <w:lang w:bidi="fa-IR"/>
        </w:rPr>
        <w:t>و نحو ذلک من الأحکام المتعلّقة بعنوان المیتة أو الغیر المذکّی، فإنّها لا تترتّب علی استصحاب عدم التذکیة؛ لأنّ أصالة عدم التذکیة لا تثبت کون الحیوان غیر مذکًّی أو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ترتّب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الأحکام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الحلّیّة و الطهارة و جواز الأکل مترتّبة علی سبب حادث؛ أی إزهاق الروح المقرون بالشرائط الخاصّة، و هو مسبوق بالعدم، فباستصحاب عدمه یترتّب عدم هذه</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إثبات کون الحیوان غیر مُذکّی بأصالة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استصحاب الوجود المحمولی لا یثبت الوجود الرابط، کذلک استصحاب العدم المحمولی لا یثبت العدم الرابط، فکما أنّه لا یثبت باستصحاب العدالة أنّ زیداً عادل، فلا یترتّب علیه آثار عدالته، بل یترتّب علیه ما هو من آثار نفس العدالة، لا عدالة زید، کذلک لا یترتّب علی استصحاب عدم التذکیة إلّا ما یترتّب علی نفس هذا العدم المحمولی من آثاره الشرعیّة، لا الآثار الشرعیّة المترتّبة علی العدم النعتی؛ یعنی الحیوان الذی لیس مذکًّی، و الموضوع لجمیع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العدمیّات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الحیوان الغیر المذکّی بنحو العدم النعتی مع زهوق روحه، فاستصحاب العدم المحمولی لا یثبت ذلک الموضوع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العلّة الخاصّة سبب للأحکام الوجودیّة المذکورة، لکن لا نُسلّم أنّ لعدمها علّة اخری هی عدم التذکیة، بل العقل یحکم بانتفاء المعلول الوجودی عند انتفاء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فی الأسباب و المسبّبات الشرعیّة هی السببیّة، فقد تقدّم أنّه لا یترتّب علی استصحاب عدم السبب عدم المسبّب، کما أنّه لا یترتّب علی استصحاب وجوده وجود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هو المسبَّب عقیب وجود السبب یترتّب علی استصحاب عدم السبب عدم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التذکیة سبب للحلِّیّة و نحوها، یمکن منعه؛ لأنّ الحیوان حال حیاته طاهر یجوز الصلاة معه، بل و کذلک أکله؛ لعدم الدلیل علی حرمة أکله حال حیاته، کما اعترف به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أراد أنّ التذکیة سبب للطهارة المتحقّقة فی حال الحیاة، فهو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سبب لطهارة اخری بعد ارتفاع طهارته الاولی حال الحیاة شرعاً، فهو أیضاً ممّا لا یمکن الالتزام به، فإنّه من المحتمل قریباً کون التذکیة مانعة عن الموت حتف الأنف الذی هو الموضوع للنجاسة؛ للمضادّة بین التذکیة و بین الموت حتف الأنف، و بمجرّد تحقّق المانع عن الموت حتف الأنف تبقی طهارته السابقة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و الحلِّیّة لا تفتقران إلی السبب، فإنّ الأشیاء کلّها طاهرة و حلال إلّا أن یمنع مانع، و المفتقر إلی السبب هی الحرمة و النجاسة، خصوصاً فیما نحن فیه الذی یکون الحیوان مسبوقاً بعدم النجاسة و الحرمة، و حینئذٍ فلا معنی لاستصحاب عدم السبب، بل التذکیة مانعة عن تحقّق موضوع الحرمة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التذکیة سبب للطهارة و الحلّیّة، فلا بدّ أن یکون للطهارة و الحلِّیّة حال حیاته سبب أیضاً، لکن السبب لهما فی حال حیاته غیر السبب لهما حال موته، فکما یستصحب عدم وجود سبب الطهارة و الحلِّیّة المخصوصتین بحال الموت،</w:t>
      </w:r>
    </w:p>
    <w:p>
      <w:pPr>
        <w:pStyle w:val="BookText"/>
        <w:rPr/>
      </w:pPr>
      <w:r>
        <w:rPr>
          <w:rFonts w:ascii="IRNazanin" w:hAnsi="IRNazanin" w:eastAsia="IRNazanin"/>
          <w:color w:val="111111"/>
          <w:sz w:val="28"/>
          <w:sz w:val="28"/>
          <w:szCs w:val="28"/>
          <w:rtl w:val="true"/>
          <w:lang w:bidi="fa-IR"/>
        </w:rPr>
        <w:t>کذلک استصحاب الجامع بین السببین؛ بناءً علی ما اختاره قدس سره من جریان استصحاب الکلّی القسم الثالث للعلم بتحقّق کلّیّ السبب سابقاً؛ لوجوده فی ضمن الخاصّ فی زمان الحیاة، و یشکّ فی بقائه؛ لاحتمال وجود سبب آخر مقارناً لزهوق روحه و حین ارتفاع السبب الخاصّ الأوّل؛ إذ لا یثبت باستصحاب خصوص عدم السبب الثانی عدم بقاء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الشبهات الحکمیّة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 استصحاب عدم التذکیة فیها جمیع ما أوردناه فی الشبهات الحکمیّة، مضافاً إلی إشکالات اخر واردة علی الاستصحاب المذکور فی الشبهات الموضوعیّة، لکن لا طائل لإیرادها بعد ما عرفت الحال فیها</w:t>
      </w:r>
      <w:r>
        <w:rPr>
          <w:rFonts w:eastAsia="IRNazanin" w:cs="IRNazanin"/>
          <w:color w:val="111111"/>
          <w:sz w:val="28"/>
          <w:szCs w:val="28"/>
          <w:rtl w:val="true"/>
          <w:lang w:bidi="fa-IR"/>
        </w:rPr>
        <w:t>.</w:t>
      </w:r>
      <w:bookmarkStart w:id="179" w:name="pg12898_147897"/>
    </w:p>
    <w:p>
      <w:pPr>
        <w:pStyle w:val="Heading4"/>
        <w:numPr>
          <w:ilvl w:val="3"/>
          <w:numId w:val="1"/>
        </w:numPr>
        <w:rPr/>
      </w:pPr>
      <w:bookmarkStart w:id="180" w:name="__RefHeading___Toc3234796_3224264995"/>
      <w:bookmarkStart w:id="181" w:name="_Toc67"/>
      <w:bookmarkEnd w:id="179"/>
      <w:bookmarkEnd w:id="180"/>
      <w:r>
        <w:rPr>
          <w:rtl w:val="true"/>
        </w:rPr>
        <w:t>التنبیه الرابع جریان الاستصحاب فی الامور التدریجیّة</w:t>
      </w:r>
      <w:bookmarkEnd w:id="181"/>
    </w:p>
    <w:p>
      <w:pPr>
        <w:pStyle w:val="Heading5"/>
        <w:numPr>
          <w:ilvl w:val="4"/>
          <w:numId w:val="1"/>
        </w:numPr>
        <w:rPr/>
      </w:pPr>
      <w:bookmarkStart w:id="182" w:name="__RefHeading___Toc3234798_3224264995"/>
      <w:bookmarkStart w:id="183" w:name="_Toc68"/>
      <w:bookmarkEnd w:id="182"/>
      <w:r>
        <w:rPr>
          <w:rtl w:val="true"/>
        </w:rPr>
        <w:t>استصحاب الزمان و الحرکة</w:t>
      </w:r>
      <w:bookmarkEnd w:id="183"/>
    </w:p>
    <w:p>
      <w:pPr>
        <w:pStyle w:val="BookText"/>
        <w:rPr/>
      </w:pPr>
      <w:r>
        <w:rPr>
          <w:rFonts w:ascii="IRNazanin" w:hAnsi="IRNazanin" w:eastAsia="IRNazanin"/>
          <w:color w:val="111111"/>
          <w:sz w:val="28"/>
          <w:sz w:val="28"/>
          <w:szCs w:val="28"/>
          <w:rtl w:val="true"/>
          <w:lang w:bidi="fa-IR"/>
        </w:rPr>
        <w:t>لو کان المستصحب من الامور و الحقائق المتدرّجة الوجود المتصرّمة ففی جریان الاستصحاب فیها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الامور المتصرّمة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و الحرکة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بقاء لها؛ لأنّ البقاء إنّما یتصوّر فی الامور القارّة التی بهویّتها موجودة فی جمیع الحدود، مثل زید، فإنّه بعینه و هویّته باقٍ و موجود فی جمیع الحدود، و لا تتبادل وجوداته و إن تتبادل حالاته و أعراضه، و الزمان و نحوه من المتصرّمات لیس کذلک، فإنّه فی کلّ حدّ یوجد و ینعدم، فحقیقته الانوجاد و الانعدام، و کلّ ما هو کذلک لا یصدق علیه البقاء، مع أنّه یعتبر فی الاستصحاب الشکّ فی البقاء، کما یستفاد ذلک من أخباره، و حینئذٍ فلا مجال لجریان الاستصحاب فی الزمان و نحوه؛ لأنّ ما هو المتیقّن منه مرتفع قطعاً، و المشکوک هو حدوث جزء آخر منه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الشیخ الأعظم قدس سره و استاذنا الحائری فی مقام دفع هذا الإشکال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الشکّ فی البقاء فی الاستصحاب؛ لعدم استفادة ذلک من أخباره،</w:t>
      </w:r>
    </w:p>
    <w:p>
      <w:pPr>
        <w:pStyle w:val="BookText"/>
        <w:rPr/>
      </w:pPr>
      <w:r>
        <w:rPr>
          <w:rFonts w:ascii="IRNazanin" w:hAnsi="IRNazanin" w:eastAsia="IRNazanin"/>
          <w:color w:val="111111"/>
          <w:sz w:val="28"/>
          <w:sz w:val="28"/>
          <w:szCs w:val="28"/>
          <w:rtl w:val="true"/>
          <w:lang w:bidi="fa-IR"/>
        </w:rPr>
        <w:t>بل المعتبر اتّحاد المتیقّن و المشکوک، فیکفی فیه صدق نقض الیقین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مراد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المعتبر فی صدق البقاء هو الأعمّ من البقاء الحقیقی و المسامحی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لا شبهة فی اعتبار الشکّ فی البقاء فی الاستصحاب؛ و ذلک 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اعتبار الیقین و الشکّ الفعلیّین فیه، و لا ریب فی أنّ صدق نقض الیقین الفعلی بالشکّ الفعلی، یتوقّف علی أن یکون هناک شی‌ء متیقّن الوجود فی السابق مشکوک البقاء فی اللاحق، و لیس البقاء إلّا ذلک، و لا یتصوّر وجود الیقین و الشکّ الفعلیّین مع عدم تعلّق الشکّ ببقاء ما کان موجوداً، و إلّا فلو شکّ فی الوجود الأوّل فهو من الشکّ الساری، و لیس الیقین فیه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القول باعتبار الشکّ فی البقاء؛ لعدم صدق نقض الیقین بالشکّ الفعلیّین إلّا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البقاء مأخوذ و معتبر فی الاستصحاب و إن لم یؤخذ بمفهومه فیه فی لسان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بین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الموجود المتحقّق من الحرکة هی الحرکة التوسّطیّة، و هو عنوان کون الشی‌ء بین المبدأ و المنتهی، فما دام المتحرّک فیما بینهما، یصدق علیه هذا العنوان صدق الکلّی علی جزئیّاته، و أنّها فی الخارج و فی کلّ حدٍّ توجد و تنعدم، و لیس هی فی الخارج أمراً ممتدّاً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هی أمر مستمرّ ممتدّ فی الخیال من جهة وجود جزء آخر فی الحسّ المشترک قبل زوال الصورة الاولی منه، نظیر شعاع الجوّالة؛ حیث إنّها فی الخیال أمر ممتدّ مستمرّ، مع عدم کونها کذلک حقیقة و فی الخارج، فهذا الأمر المستمرّ الخیالی</w:t>
      </w:r>
    </w:p>
    <w:p>
      <w:pPr>
        <w:pStyle w:val="BookText"/>
        <w:rPr/>
      </w:pPr>
      <w:r>
        <w:rPr>
          <w:rFonts w:ascii="IRNazanin" w:hAnsi="IRNazanin" w:eastAsia="IRNazanin"/>
          <w:color w:val="111111"/>
          <w:sz w:val="28"/>
          <w:sz w:val="28"/>
          <w:szCs w:val="28"/>
          <w:rtl w:val="true"/>
          <w:lang w:bidi="fa-IR"/>
        </w:rPr>
        <w:t>المتدرّج هی الحرکة القطعیّة، و هی غیر موجودة فی الخارج، بل الموجود فیه راسمها؛ أی الحرکة التوسّطیّة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محقّقوهم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وجود التوسّطیّة بدون القطعیّة فی الخارج مستحیل، بل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 المستمرّ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و محقَّقة فی الخارج؛ و ذلک لأنّ الموجودات الخارجیّة مختلفة فی أنحاء الوجودات، فوجود الجواهر نحو من الوجود مغایر لنحو وجود الأعراض، و وجود الحقائق القارّة نحو آخر منه یغایر نحو وجود الموجودات الغیر القارّة بالذات کالزمان، فإنّ وجودها عبارة عن تدرّجها و تصرّمها و تقضّیها، لا أنّها توجد و تنعدم و إلّا یلزم تتالی الآنات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وجود الحرکة القطعیّة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البرهان قائم علی بطلان تحقّق الجزء الذی لا یتجزّأ فی الخارج، فالحرکة الموجودة فی کلّ حدّ قابلة للقسمة، و حینئذٍ مع قبوله للتجزیة فله بقاء، فالحرکة و إن لیس لها وجود ثابت قارّ، لکنّها موجودة بنحو التصرّم و التدرّج، فهی هویّة واحدة متصرّمة موجودة فیه باقیة حقیقةً، بل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الامور القارّة أیضاً متدرّجة متصرّمة بناء علی الحرکة الجوهریّة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بحسب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العرف فلا ریب فی موافقته لهذا الحکم العقلی، و 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الیوم طویل أو قصیر أو باقٍ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صدق البقاء فی الامور المتدرِّجة عقلًا و عرفاً حقیقة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مثل عنوان اللیل و الیوم و النهار و الشهر و السنة، فاورد علیه</w:t>
      </w:r>
    </w:p>
    <w:p>
      <w:pPr>
        <w:pStyle w:val="BookText"/>
        <w:rPr/>
      </w:pP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لمجموع أجزاء الزمان من أوّل الطلوع إلی الغروب، فما دام لم یتحقّق الجزء الأخیر منه لم یتحقّق بعدُ حتّی یستصحب، و مع تحقّقه لا شکّ فی عدم بقائه حتّی یستصحب، فعلی أیّ تقدیر لا مجال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الأعظم قدس سره فی 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الیوم و إن کان اسماً لمجموع ذلک، لکن حیث إنّ الأجزاء متّصلة، فبمجرّد وجود الجزء الأوّل یکون متحقّقاً عند العرف و العقلاء مسامحة، فهو باقٍ ما لم یتحقّق الجزء الأخیر، فلو شکّ فی تحقّق الجزء الأخیر یستصحب عنوان النهار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وافقه فی ذلک المحقّق العراقی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الحقّ فی الجواب عن الإیراد ما أشار إلیه شیخنا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الیوم عبارة عن مجموع تلک الأجزاء عرفاً، و أنّ إطلاقه علی جزء منها مجاز و مسامحةٌ فی الإطلاق، فلا ریب فی عدم صحّة استصحابه؛ إذ لیس المراد من التسامح العُرفی فی موضوع الاستصحاب، هو التسامح عندهم و فی محیط العقلاء و فی نظرهم مع عدم بقائه عندهم حقیقةً، بل المراد التسامح بنظر العقل مع بقائه حقیقة بنظر العرف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یکن کذلک، بل هو مثل الحجر و الخشب و غیرهما من أسماء الأجناس، یطلق علی مجموع تلک القطعات من الزمان، و علی بعضها حقیقةً، إلّا أنّه اعتبر و جعل له حدّ محدود معیّن، فالحقّ جریان الاستصحاب فیه؛ لصدق نقض الیقین بالشکّ فیما لو علم بتحقّق النهار و شکّ فی بقائه من دون الاحتیاج إلی دعوی التسامح فی صدق البقاء، و لا إشکال فی أنّ الیوم و اللیل عند العقل و العرف، هو هذا</w:t>
      </w:r>
    </w:p>
    <w:p>
      <w:pPr>
        <w:pStyle w:val="BookText"/>
        <w:rPr/>
      </w:pPr>
      <w:r>
        <w:rPr>
          <w:rFonts w:ascii="IRNazanin" w:hAnsi="IRNazanin" w:eastAsia="IRNazanin"/>
          <w:color w:val="111111"/>
          <w:sz w:val="28"/>
          <w:sz w:val="28"/>
          <w:szCs w:val="28"/>
          <w:rtl w:val="true"/>
          <w:lang w:bidi="fa-IR"/>
        </w:rPr>
        <w:t>المعنی الذی له استمرار؛ کیف و لو کان شهر رمضان اسماً لمجموع ثلاثین یوماً، فهو یستلزم عدم صدقه إلّا بعد تحقّق الجزء الأخیر منه؛ أی من الیوم الآخِر منه، و عدم صدقه علی کلّ یوم منه، و هو واضح الفساد، و حینئذٍ فهذا الإیراد غیر متوجِّه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التی اخذ الزمان ظرفاً لها، کالصلاة بالنسبة إلی زوال الشمس إلی غسق اللیل، و الإمساک من الطلوع إلی الغروب، و نحو ذلک، فلظرف الزمان فیها دخل فی المطلوب، فالمطلوب هو الصلاة من الدلوک إلی غسق اللیل، و لا ریب أنّ استصحاب النهار لا یثبت وقوع الصلاة فی هذا الزمان، و کذلک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بمکان من الوهن، و إن کان ظاهر صدر عبارة المیرزا النائینی</w:t>
      </w:r>
      <w:r>
        <w:rPr>
          <w:rStyle w:val="FootnoteAnchor"/>
          <w:rtl w:val="true"/>
        </w:rPr>
        <w:footnoteReference w:id="210"/>
      </w:r>
      <w:r>
        <w:rPr>
          <w:rFonts w:ascii="IRNazanin" w:hAnsi="IRNazanin" w:eastAsia="IRNazanin"/>
          <w:color w:val="111111"/>
          <w:sz w:val="28"/>
          <w:sz w:val="28"/>
          <w:szCs w:val="28"/>
          <w:rtl w:val="true"/>
          <w:lang w:bidi="fa-IR"/>
        </w:rPr>
        <w:t>و ذیل عبارة الشیخ</w:t>
      </w:r>
      <w:r>
        <w:rPr>
          <w:rStyle w:val="FootnoteAnchor"/>
          <w:rtl w:val="true"/>
        </w:rPr>
        <w:footnoteReference w:id="211"/>
      </w:r>
      <w:r>
        <w:rPr>
          <w:rFonts w:ascii="IRNazanin" w:hAnsi="IRNazanin" w:eastAsia="IRNazanin"/>
          <w:color w:val="111111"/>
          <w:sz w:val="28"/>
          <w:sz w:val="28"/>
          <w:szCs w:val="28"/>
          <w:rtl w:val="true"/>
          <w:lang w:bidi="fa-IR"/>
        </w:rPr>
        <w:t>لا یخلوان عن ظهور فی ذلک، لکن لا ینبغی نسبته إلیهما؛ و ذلک لأنّه بناء علی هذا الإشکال یلزم عدم صحّة الاستصحاب فی شی‌ء من الموارد، فإنّ استصحاب عدالة زید لا یثبت أنّه عادل فی الحال؛ حتّی تنفذ شهادته مثلًا، و کذلک استصحاب الوضوء لا یثبت أنّه علی وضوء فی الزمان الحاضر، و أنّ الصلاة وقعت مع الطهارة، مع أنّه مورد روایة زرارة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یُراد من استصحاب النهار إثبات أنّ الصلاة واقعة فیما بین الدلوک و الغروب، فإنّ أصل وجود الصلاة و الإمساک أمر وجدانیّ لا یحتاج إلی الاستصحاب، فیکفی مجرّد استصحاب الیوم، و یترتّب علیه آثاره الشرعیّة، کما أنّ باستصحاب النجاسة یحکم بنجاسة ملاقیها؛ لأنّ الملاقاة أمر وجدانیّ لا یفتقر إلی الاستصحاب</w:t>
      </w:r>
      <w:r>
        <w:rPr>
          <w:rFonts w:eastAsia="IRNazanin" w:cs="IRNazanin"/>
          <w:color w:val="111111"/>
          <w:sz w:val="28"/>
          <w:szCs w:val="28"/>
          <w:rtl w:val="true"/>
          <w:lang w:bidi="fa-IR"/>
        </w:rPr>
        <w:t>.</w:t>
      </w:r>
      <w:bookmarkStart w:id="184" w:name="pg12898_147902"/>
    </w:p>
    <w:p>
      <w:pPr>
        <w:pStyle w:val="BookText"/>
        <w:rPr/>
      </w:pPr>
      <w:bookmarkEnd w:id="184"/>
      <w:r>
        <w:rPr>
          <w:rFonts w:ascii="IRNazanin" w:hAnsi="IRNazanin" w:eastAsia="IRNazanin"/>
          <w:color w:val="111111"/>
          <w:sz w:val="28"/>
          <w:sz w:val="28"/>
          <w:szCs w:val="28"/>
          <w:rtl w:val="true"/>
          <w:lang w:bidi="fa-IR"/>
        </w:rPr>
        <w:t>الثالث من الإیرادات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استصحاب النهار لا یثبت أنّ هذا الجزء من الزمان الحاضر المشکوک فیه متّصف بالنهاریّة؛ لیترتّب علیه آثاره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استصحاب وجود النهار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یثبت أنّ هذا الجزء المشکوک متّصف بالنهاریّة، مضافاً إلی عدم الحالة السابقة لهذا الجزء المشکوک، فإنّ الموجود سابقاً هو الجزء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استصحابه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حالة سابقة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أنّ الیوم عبارة عن مجموع القطعات من الزمان من طلوع الشمس إلی الغروب، و قد عرفت عدم مساعدة العقل و لا العرف علی ذلک؛ لما عرفت من أنّ الیوم عقلًا و عرفاً عبارة عن هویّة واحدة مستمرّة من طلوع الشمس إلی الغروب؛ تتحقّق تلک الهویّة بتحقّق أوّل جزء من النهار، و حینئذٍ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الهویّة کانت متّصفة بالنهاریّة سابقاً، و الآن کما کانت</w:t>
      </w:r>
    </w:p>
    <w:p>
      <w:pPr>
        <w:pStyle w:val="BookText"/>
        <w:rPr/>
      </w:pPr>
      <w:r>
        <w:rPr>
          <w:rFonts w:ascii="IRNazanin" w:hAnsi="IRNazanin" w:eastAsia="IRNazanin"/>
          <w:color w:val="111111"/>
          <w:sz w:val="28"/>
          <w:sz w:val="28"/>
          <w:szCs w:val="28"/>
          <w:rtl w:val="true"/>
          <w:lang w:bidi="fa-IR"/>
        </w:rPr>
        <w:t>و یمکن دفع الإشکال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التعبّد بوجود النهار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عین التعبّد بأنّ هذا الجزء من الزمان نهارٌ فی نظر العرف، لا أنّه مستلزم له، نظیر استصحاب الکلّی لإثبات الفرد، فعلی فرض ثبوت الواسطة بینهما، فهی خفیّة لا یدرکها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استصحاب الزمان و الحرکة</w:t>
      </w:r>
      <w:r>
        <w:rPr>
          <w:rFonts w:eastAsia="IRNazanin" w:cs="IRNazanin"/>
          <w:color w:val="111111"/>
          <w:sz w:val="28"/>
          <w:szCs w:val="28"/>
          <w:rtl w:val="true"/>
          <w:lang w:bidi="fa-IR"/>
        </w:rPr>
        <w:t>.</w:t>
      </w:r>
    </w:p>
    <w:p>
      <w:pPr>
        <w:pStyle w:val="Heading5"/>
        <w:numPr>
          <w:ilvl w:val="4"/>
          <w:numId w:val="1"/>
        </w:numPr>
        <w:rPr/>
      </w:pPr>
      <w:bookmarkStart w:id="185" w:name="__RefHeading___Toc3234800_3224264995"/>
      <w:bookmarkStart w:id="186" w:name="_Toc69"/>
      <w:bookmarkEnd w:id="185"/>
      <w:r>
        <w:rPr>
          <w:rtl w:val="true"/>
        </w:rPr>
        <w:t>استصحاب الزمانیّات</w:t>
      </w:r>
      <w:bookmarkEnd w:id="1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استصحاب الزمانیّات من الامور المتصرّمة فهی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یُعدّ فی المتفاهم العرفی من المتصرّمات؛ لعدم التفات أهل العرف إلی تصرّمها إلّا بعنایة اخری، کشعلة السراج و شعاع الشمس المنعکس فی الجدار مثلًا، فإنّه متصرّم دائماً لا بقاء له حقیقة أصلًا عند العقل، لکن لا یعدّ متصرّماً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من المتصرّمات عرفاً، لکنّه مثل الحرکة فی أنّها حقیقة واحدة و هویّة شخصیّة متصرّمة عرفاً، کالصوت الممتدّ الحاصل من النفخ فی آلات اللهو، و لعلّ نبع الماء و دوام الحیض و الاستحاضة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متصرّم بحسب النظر العرفی، لکن له نحو کثرة أیضاً، کقرعات النبض و قرعات القلب، و تکلّم المتکلّم، و نحوهما ممّا یُدرک العرف لها نحو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أصل جریان الاستصحاب فیه؛ سواء قلنا بجریانه فی نفس الزمان،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القسم الثانی بناء علی جریانه فی الزمان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أیضاً فی أصل جریانه فیه فی الجملة، إنّما الإشکال فی أنّه من أی قسم من أقسام الاستصحاب و أنّه من قبیل القسم الأوّل من أقسام استصحاب الکلی الذی یجری فیه استصحاب الکلّی و الفرد، أو أنّه من قبیل القسم الثانی من استصحاب الکلّی من القسم الثالث أو القسم الثالث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المیرزا النائینی رحمه الله</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من قبیل القسم الأوّل من أقسام استصحاب الکلّی، و قال فی وجهه ما حاصله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قطعات الکلام و إن تعدّدت، لکن لیس نسبتها إلی أصل الکلام نسبة الکلّی إلی مصداقه، بل نسبة الجزء إلی الکلّ، و هو یوجد بوجود أوّل أجزائه و یبقی إلی أن یوجد آخر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عدم کونه من القسم الأوّل، فهو من قبیل القسم الثالث من القسم الثالث من أقسام استصحاب الکلّی، کالسواد الضعیف و الشدید و نحوهما؛ ممّا لا یعدّ الفرد اللّاحق علی تقدیر وجوده موجوداً آخر مغایراً للموجود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الوحدة فی هذه الامور و کثرتها هو وحدة الداعی لها و کثرته، فإذا کان للمتکلّم داعٍ واحد، فلا إشکال فی أنّ مجموع کلامه یُعدّ واحداً یصدق فیه البقاء، فیستصحب مع الشکّ فیه؛ سواء کان الشکّ فی حدوث الصارف، أم من جهة الشکّ فی مقدار اقتضاء الداعی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تکلّم لداعٍ أو دواعٍ، ثمّ شکّ فی بقائه علی صفة التکلّم، فالأصل عدم حدوث الزائد عن المتیقَّن</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ممّا لا یساعد علیه العرف، فإنّ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لداعٍ فاشتغل بالثناء، ثمّ شکّ فی بقائه علی الاشتغال بالثناء أو أخذ فی الوعظ و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المتیقَّن السابق غیر المشکوک اللّاحق، فلیس ذلک من القسم الأوّل من استصحاب الکلّی؛ لأنّ المعتبر فیه الشکّ فی بقاء ما کان موجوداً فی السابق بعینه فی الزمان اللّاحق، و لیس المفروض کذلک؛ للعلم بعدم اشتغاله بالثناء المتیقَّن سابقاً، و کذلک قرع النبض، فإنّ الموجود منه حال الصبا غیر الموجود منه حال الشیخوخة، و لیس مجموعُ القرعات أیّام الحیاة، مثل الصوت الممتدّ الحاصل من النفخ فی کونه هویّة واحدة؛ لأنّ الکثرات ملحوظة فی قرعات النبض عرفاً، و قد عرفت أنّه لیس المراد بالمسامحة فی بقاء الموضوع المسامحة فی محیط العرف و عندهم، بل المراد هی المسامحة عند العقل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مجموع ما یقع فی الخارج من الأجزاء، یوجد فی الزمان</w:t>
      </w:r>
    </w:p>
    <w:p>
      <w:pPr>
        <w:pStyle w:val="BookText"/>
        <w:rPr/>
      </w:pPr>
      <w:r>
        <w:rPr>
          <w:rFonts w:ascii="Amiri" w:hAnsi="Amiri" w:eastAsia="Amiri" w:cs="Amiri"/>
          <w:color w:val="111111"/>
          <w:sz w:val="28"/>
          <w:sz w:val="28"/>
          <w:szCs w:val="28"/>
          <w:rtl w:val="true"/>
          <w:lang w:bidi="ar-SA"/>
        </w:rPr>
        <w:t>الأوّل بوجود أوّل جزء منه، و وجوده فی الزمان اللاحق بوجودِ آخِرِ جزءٍ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یقع فی الزمان الأوّل جزء من المجموع لا مجموعه، فإنّ قرع النبض زمن الصبا غیر قرعه حال الشیخوخة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لجعل هذا الاستصحاب من قبیل القسم الأوّل من استصحاب الکلّی، و کذا القسم الثانی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من القسم الثالث من استصحاب الکلّی، فلا ریب فی أنّه لیس منه أیضاً؛ لعدم کون التکلّم و قرعات النبض من قبیل تبادل الحالات، کما فی تبدّل السواد الشدید إلی الضعیف و نحوه، فهو من قبیل القسم الثانی من القسم الثالث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المناط فی وحدة الکلام و کثرته هو وحدة الداعی و کثرته، و أنّهما تدوران مدارهما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کلّ شی‌ء بنفسه لا بغیره، فإنّ الخطیب یمکن أن یکون له دواعٍ متعدّدة، مع أنّه یعدّ مجموع کلامه خطبة واحدة، فعلی فرض تسلیم وحدة مجموع کلامه، لا مانع من استصحابه مع احتمال وجود داعٍ آخر، فاختلاف الدواعی و تبادلها نظیر تبدیل دعامة السقف إلی دعامة اخری، فإنّ وحدة السقف محفوظة مع تبدّل أرکانه و دعائمه، فکذلک الدواعی بالنسبة إلی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الزمانیّات المتصرّمة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الامور و الأفعال المقیّدة بالزمان، فالذی یناسب المقام من الإشکالات فی استصحابها، هو الإشکال الذی أوردوه علی خصوص استصحاب الزمان و المتصرّمات، و هو أنّه کما یورد علی استصحاب الزمان و نحوه من الامور المتدرّجة الوجود، بعدم صدق البقاء علیها المعتبر فی الاستصحاب، کذلک یرد علی استصحاب الفعل المقیّد بالزمان المتصرّم بما أنّه مقیّد به، کصوم یوم رمضان؛ بأنّه لا بقاء له</w:t>
      </w:r>
      <w:bookmarkStart w:id="187" w:name="pg12898_147906"/>
    </w:p>
    <w:p>
      <w:pPr>
        <w:pStyle w:val="BookText"/>
        <w:rPr/>
      </w:pPr>
      <w:bookmarkEnd w:id="187"/>
      <w:r>
        <w:rPr>
          <w:rFonts w:ascii="IRNazanin" w:hAnsi="IRNazanin" w:eastAsia="IRNazanin"/>
          <w:color w:val="111111"/>
          <w:sz w:val="28"/>
          <w:sz w:val="28"/>
          <w:szCs w:val="28"/>
          <w:rtl w:val="true"/>
          <w:lang w:bidi="fa-IR"/>
        </w:rPr>
        <w:t>لیستصحب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الإشکالات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یظهر من الشیخ الأعظم قدس سره من أنّ الشی‌ء إذا کان مقیّداً بقید لا یجری فیه الاستصحاب بعد زوال القید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مربوطة بالمقام، فإنّه بحث آخر و إشکال یرد علی استصحاب مطلق المقیّدات، حتّی مثل الماء المتقیّد بالتغییر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ارتباط للتفصیل بین أخذ الزمان قیداً و أخذه ظرفاً؛ بعدم جریانه فی الأوّل دون الثانی</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التعرّض لما ذکره النراقی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تعارض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عن طریق البحث فی المقام وقع فی کلماتهم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3234802_3224264995"/>
      <w:bookmarkStart w:id="189" w:name="_Toc70"/>
      <w:bookmarkEnd w:id="188"/>
      <w:r>
        <w:rPr>
          <w:rtl w:val="true"/>
        </w:rPr>
        <w:t>شهبة المحقّق النراقی رحمه الله</w:t>
      </w:r>
      <w:bookmarkEnd w:id="189"/>
    </w:p>
    <w:p>
      <w:pPr>
        <w:pStyle w:val="Heading6"/>
        <w:numPr>
          <w:ilvl w:val="5"/>
          <w:numId w:val="1"/>
        </w:numPr>
        <w:rPr/>
      </w:pPr>
      <w:bookmarkStart w:id="190" w:name="__RefHeading___Toc3234804_3224264995"/>
      <w:bookmarkStart w:id="191" w:name="_Toc71"/>
      <w:bookmarkEnd w:id="190"/>
      <w:r>
        <w:rPr>
          <w:rtl w:val="true"/>
        </w:rPr>
        <w:t>اشارة</w:t>
      </w:r>
      <w:bookmarkEnd w:id="1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نقول تبعاً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الاستصحابات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تکلیفیّة و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باستصحاب العدم الأزلی، کما لو وجب الجلوس یوم الجمعة إلی الزوال، و شکّ فی بقاء الوجوب بعد الزوال، فإنّ استصحاب بقاء وجوبه بعد الزوال معارَض باستصحاب عدم الوجوب الأزلی، فإنّه یعلم بعدم وجوب</w:t>
      </w:r>
    </w:p>
    <w:p>
      <w:pPr>
        <w:pStyle w:val="BookText"/>
        <w:rPr/>
      </w:pPr>
      <w:r>
        <w:rPr>
          <w:rFonts w:ascii="IRNazanin" w:hAnsi="IRNazanin" w:eastAsia="IRNazanin"/>
          <w:color w:val="111111"/>
          <w:sz w:val="28"/>
          <w:sz w:val="28"/>
          <w:szCs w:val="28"/>
          <w:rtl w:val="true"/>
          <w:lang w:bidi="fa-IR"/>
        </w:rPr>
        <w:t>الجلوس یوم الخمیس، و کذلک یوم الجمعة قبل الزوال و بعده قبل جعل الوجوب، فعلم بعد الجعل بوجوبه قبل الزوال یوم الجمعة إلی الزوال، و أمّا بعد الزوال فکما یستصحب وجوب الجلوس فیه الثابت قبله، کذلک یستصحب عدمه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اتّصال زمان الشکّ بزمان الیقین المعتبر فی الاستصحاب، مفقود بالنسبة إلی استصحاب العدم الأزلی، فیبقی استصحاب الوجوب بلا معارض؛ و ذلک لأنّ أصل وجوب الجلوس قد ثبت قبل الزوال یوم الجمعة، فانقلب العدم الأزلی إلی الوجود، فالشکّ اللّاحق متّصل بوجوب الجلوس الفاصل بین العدم الأزلی و الشکّ، فلا مجال فیه لاستصحاب العدم الأزلی، فیبقی استصحاب الجلوس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بما حاصله توضیحاً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إنّما یرد لو ارید استصحاب عدم طبیعة الوجوب بنحو الإطلاق، فإنّه انتقض بإیجاب الجلوس قبل الزوال، لکن لیس المراد ذلک، بل المراد استصحاب عدم وجوب الجلوس المقیّد بما بعد الزوال، فالمستصحب هو عدم وجوب الجلوس المقیّد بما بعد الزوال، فإنّ هذا الوجوب المقیّد لم یکن فی الأزل، و لم ینتقض ذلک، و الیقین به متّصل بزمان الشکّ، فهنا شکّ و یقینان، و یتعارض استصحابهما</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 کلامه المحکیّ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اخذت نفس طبیعة الجلوس موضوعة للوجوب، و کذلک فی عدم وجوبه، فعلی فرض جریان الاستصحابین فهما متعارضان؛ لاتّحاد موضوعهما، لکن لا مجال حینئذٍ لاستصحاب عدم وجوب الجلوس الأزلی؛ لانتقاضه بوجوبه قبل الزوال، فیجری استصحاب وجوبه بلا معارض</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اخذت نفس طبیعة الجلوس موضوعاً لوجوب الجلوس قبل الزوال،</w:t>
      </w:r>
      <w:bookmarkStart w:id="192" w:name="pg12898_147908"/>
    </w:p>
    <w:p>
      <w:pPr>
        <w:pStyle w:val="BookText"/>
        <w:rPr/>
      </w:pPr>
      <w:bookmarkEnd w:id="192"/>
      <w:r>
        <w:rPr>
          <w:rFonts w:ascii="IRNazanin" w:hAnsi="IRNazanin" w:eastAsia="IRNazanin"/>
          <w:color w:val="111111"/>
          <w:sz w:val="28"/>
          <w:sz w:val="28"/>
          <w:szCs w:val="28"/>
          <w:rtl w:val="true"/>
          <w:lang w:bidi="fa-IR"/>
        </w:rPr>
        <w:t>و الجلوس المقیّد بما بعد الزوال موضوعاً لعدم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یکن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فالاستصحابان جاریان، لکن لا معارضة بینهما؛ لعدم اتّحاد موضوعیهما المعتبر فی التعارض، فإنّ الدلیلین إنّما یتعارضان إذا کان بینهما مناقضة و مدافعة، و هی متوقّفة علی وحدة موضوعیهما، و لیس ما نحن فیه کذلک؛ کیف و یمکن القطع بوجوب طبیعة الجلوس قبل الزوال، و القطع بعدم وجوب الجلوس بعد الزوال، فضلًا عن استصحابیهما، نظیر القطع بمطهِّریّة طبیعة الماء و عدم مطهِّریّة الماء المضاف أو ما فی الکوز</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3234806_3224264995"/>
      <w:bookmarkStart w:id="194" w:name="_Toc72"/>
      <w:bookmarkEnd w:id="193"/>
      <w:r>
        <w:rPr>
          <w:rtl w:val="true"/>
        </w:rPr>
        <w:t>أجوبة الأعلام عن شبهة المحقّق النراقی</w:t>
      </w:r>
      <w:bookmarkEnd w:id="194"/>
    </w:p>
    <w:p>
      <w:pPr>
        <w:pStyle w:val="Heading6"/>
        <w:numPr>
          <w:ilvl w:val="5"/>
          <w:numId w:val="1"/>
        </w:numPr>
        <w:rPr/>
      </w:pPr>
      <w:bookmarkStart w:id="195" w:name="__RefHeading___Toc3234808_3224264995"/>
      <w:bookmarkStart w:id="196" w:name="_Toc73"/>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و أجاب الشیخ الأعظم قدس سره عن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الزمان قیداً للوجوب أو متعلَّقه فلا مجال لاستصحاب الوجوب؛ للقطع بارتفاع ما عُلم بوجوبه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ظرفاً له فلا مجال لاستصحاب العدم؛ لانقلابه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یجری استصحاب العدم بلا معارض، و فی الثانی یجری استصحاب الوجوب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وجوب الجلوس بعد الزوال کان ثابتاً حال الیقین بالعدم یوم الخمیس</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أیضاً بأنّ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مفروضاً بعد الیقین بوجوب الجلوس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بحکم الشارع بإبقاء کلّ حادث لا یعلم مدّة بقائه، کما لو شکّ قبل</w:t>
      </w:r>
    </w:p>
    <w:p>
      <w:pPr>
        <w:pStyle w:val="BookText"/>
        <w:rPr/>
      </w:pPr>
      <w:r>
        <w:rPr>
          <w:rFonts w:ascii="IRNazanin" w:hAnsi="IRNazanin" w:eastAsia="IRNazanin"/>
          <w:color w:val="111111"/>
          <w:sz w:val="28"/>
          <w:sz w:val="28"/>
          <w:szCs w:val="28"/>
          <w:rtl w:val="true"/>
          <w:lang w:bidi="fa-IR"/>
        </w:rPr>
        <w:t>حدوث حادث فی مدّة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المتوهِّم ینظر فی دعوی استصحاب الوجوب إلی أنّ الموجود أمر واحد قابل للاستمرار بعد زمان الشکّ، و فی دعوی جریان العدم إلی تقطیع وجودات ذلک الموجود، و جعل کلّ واحد منها بملاحظة تحقّقه فی زمان مغایراً للآخر، فیؤخذ بالمتیقّن منها، و یحکم علی المشکوک منها بالعدم</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استاذنا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یوجّه کلام المعاصر المذکور علی نحوٍ یسلم عن هذا الإیراد؛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یؤخذ بنحو القیدیّة، لکنّه و إن اخذ قیداً فی الموضوع الذی تعلّق به الوجوب، إلّا أنّ نسبة الوجوب إلی الموضوع مهملة عن اعتبار الزمان؛ لاتّحاد المهملة مع الأقسام،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الجلوس المقیّد بما قبل الزوال، فبعد انقضاء الزوال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الجلوس کان واجباً قبل الزوال، و یشکّ فی بقائه، فیحکم ببقاء الوجوب لأصل الجلوس بالاستصحاب، و یعارض باستصحاب عدم وجوب الجلوس المقیّد بما بعد الزوال</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قدس سره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إن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الوجوب إلی الموضوع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هو طبیعة الجلوس و إن کان الحکم متعلِّقاً بالمقیّد فهو کما تری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 المهملة ما لا تنطبق إلّا علی المقیّد، فهو صحیح، لکن لا مجال حینئذٍ لاستصحاب وجوب الجلوس، فیصیر استصحاب العدم بلا معارض</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أفاده الشیخ الأعظم قدس سره أیضاً لا یخلو عن الإشکال؛ لأنّه لو فرض جریان استصحاب الوجوب فلا بدّ أن یؤخذ الزمان بنحو الظرفیّة لدی الشارع، فلنا أن نستصحب عدم وجوب الجلوس المقیّد بما بعد الزوال بنحو التقیید؛ لأنّه تحت</w:t>
      </w:r>
    </w:p>
    <w:p>
      <w:pPr>
        <w:pStyle w:val="BookText"/>
        <w:rPr/>
      </w:pPr>
      <w:r>
        <w:rPr>
          <w:rFonts w:ascii="IRNazanin" w:hAnsi="IRNazanin" w:eastAsia="IRNazanin"/>
          <w:color w:val="111111"/>
          <w:sz w:val="28"/>
          <w:sz w:val="28"/>
          <w:szCs w:val="28"/>
          <w:rtl w:val="true"/>
          <w:lang w:bidi="fa-IR"/>
        </w:rPr>
        <w:t>الاختیار، و هو مسبوق بالعدم، فیعارض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وجوب الجلوس فیما بعد الزوال مهمل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حکومة استصحاب الوجوب علی استصحاب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فسیجی‌ء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مع جریان استصحاب الوجوب لا مجال لاستصحاب العدم، فمجرّد جریانه لا یوجب عدم جریان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 فی الجواب عن إشکال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شمول أخبار الاستصحاب لهذین؛ لکمال المنافرة بین فرض الطبیعة بلا قید و أخذ الزمان ظرفاً، و بین فرضها مقیّدة بالزمان، و لیس فی أخبار الباب ما بمفهومه یشمل کلا النظرین، فلا یکون هناک إلّا استصحاب واحد، و هو استصحاب الوجوب لو اخذ الزمان ظرفاً، و استصحاب العدم فیما لو اخذ قیداً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w:t>
      </w:r>
      <w:r>
        <w:rPr>
          <w:rStyle w:val="FootnoteAnchor"/>
          <w:rtl w:val="true"/>
        </w:rPr>
        <w:footnoteReference w:id="225"/>
      </w:r>
      <w:r>
        <w:rPr>
          <w:rFonts w:ascii="IRNazanin" w:hAnsi="IRNazanin" w:eastAsia="IRNazanin"/>
          <w:color w:val="111111"/>
          <w:sz w:val="28"/>
          <w:sz w:val="28"/>
          <w:szCs w:val="28"/>
          <w:rtl w:val="true"/>
          <w:lang w:bidi="fa-IR"/>
        </w:rPr>
        <w:t>إذا لم یکن فی أخبار الباب ما یشمل النظرین لتنافیهما، فکیف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هنا إلّا استصحاب واحد إمّا هذا أو ذاک، فلا بدّ أن تشمل اللحاظین؟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یقال المراد منها إمّا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بدّ من ملاحظة الأخبار و مدلولها و مفادها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ascii="Amiri" w:hAnsi="Amiri" w:eastAsia="Amiri" w:cs="Amiri"/>
          <w:color w:val="111111"/>
          <w:sz w:val="28"/>
          <w:sz w:val="28"/>
          <w:szCs w:val="28"/>
          <w:rtl w:val="true"/>
          <w:lang w:bidi="ar-SA"/>
        </w:rPr>
        <w:t>إمّا مطلق، أو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المطلق هو أنّ الموضوع نفس الطبیعة المطلقة، فمعناه لا تنقض طبیعة الیقین بطبیعة الشکّ من دون لحاظ الخصوصیّات الواقعیّة، لکنّها تنطبق علی الموضوعات و الخصوصیّات قهراً من دون لحاظها فی المطلق، فإنّ المطلق لا یحکی إلّا عن نفس الطبیعة و حینئذٍ فیشمل إطلاق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وجوب الجلوس قبل الزوال؛ لأنّ فیه یقین سابق و شک لاحق و کذلک استصحاب عدم وجوب الجلوس؛ لأنّه أیضاً ذو شکّ و یقین سابق، و لا یستلزم الجمع بین لحاظین 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قهری الانطباق علی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نقض طبیعة الیقین بطبیعة الشکّ، و لم یلاحظ فیه الخصوصیّات الواقعیّة، فقد یکون المتیقّن وجودیّاً و قد یکون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عامّاً کلیّاً فالأمر فیه أیضاً کذلک؛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لتکثیر ما هو فی تلوه و مدخوله مع جمیع الخصوصیّات، بل هو لتکثیر مدخوله بعنوان نفسه،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لتکثیر العالم بعنوانه من دون لحاظ الخصوصیّات الخارجیّة، و علیه فمفاد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نقض کلّ واحد من أفراد الیقین بالشکّ بما أنّهما یقین و شکّ، و هو شامل للوجودیّات و العدمیّات بدون استلزامه المحذور الذی ذکره قدس سره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ذکر شیخنا الحائری قدس سره فی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وجوب الجلوس فی المثال حاکم علی استصحاب عدمه بعد الزوال؛ لأنّ الشکّ فی وجوب الجلوس و عدمه بعد الزوال، مسبّب عن الشکّ فی بقاء الوجوب الثابت قبل الزوال فیما بعد الزوال، فباستصحاب وجوبه یرتفع الشکّ فی وجوبه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وجوب الجلوس فهو و إن یرفع الشکّ، لکنّه محکوم باستصحاب وجوبه بعد الزوال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 الشکّ فی وجوب الجلوس بعد الزوال و عدمه مسبّب عن الشکّ فی بقاء الوجوب الثابت قبل الزوال، بل هو ناشٍ عن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عن الشکّ فی جعل الشارع له ابتداء، و أنّه جعل الوجوب لخصوص الجلوس قبل الزوال بنحو التقیید، أو أنّه جعل الوجوب یوم الجمعة بنحو الإطلاق الشامل لما بعد الزوال أیضاً، فإنّ الاستصحاب لیس مشرِّعاً، بل هو حکم بإبقاء ما جعله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عن احتمال جعل آخر لوجوبه بعد الزوال، و أنّ هناک جعلین لوجوب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بالوجوب قبل الزوال، و الآخر لما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استصحاب وجوب الجلوس المطلق لا یثبت وجوبه المقیّد بما بعد الزوال؛ لعدم الملازمة بین وجوب الجلوس المطلق و بینه مقیّداً بما بعد الزوال أصلًا، فهو أسوأ حالًا من الاصول المثبِتة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النائینی قدس سره فی الجواب عن إشکال المعارضة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لاستصحاب العدم الأزلی فی المقام و لو مع جعل الزمان قیداً لا ظرفاً، و ذلک فإنّ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العدم المطلق، و هو ینتقض بالوجود، فإذا فرض أنّ عدمه الثانی غیر العدم الأوّل، فإنّه عدم مقیّد، و الأوّل عدم مطلق، و لا تحقّق لهذا العدم المقیّد قبل تحقّق القید، کما أنّ الوجود المقیّد لا تحقّق له قبل وجود القید، و حینئذٍ فإن ارید هنا استصحاب العدم المطلق فهو منتقض بالوجود لا یصحّ استصحابه</w:t>
      </w:r>
      <w:r>
        <w:rPr>
          <w:rFonts w:eastAsia="IRNazanin" w:cs="IRNazanin"/>
          <w:color w:val="111111"/>
          <w:sz w:val="28"/>
          <w:szCs w:val="28"/>
          <w:rtl w:val="true"/>
          <w:lang w:bidi="fa-IR"/>
        </w:rPr>
        <w:t>.</w:t>
      </w:r>
      <w:bookmarkStart w:id="197" w:name="pg12898_147913"/>
    </w:p>
    <w:p>
      <w:pPr>
        <w:pStyle w:val="BookText"/>
        <w:rPr/>
      </w:pPr>
      <w:bookmarkEnd w:id="197"/>
      <w:r>
        <w:rPr>
          <w:rFonts w:ascii="IRNazanin" w:hAnsi="IRNazanin" w:eastAsia="IRNazanin"/>
          <w:color w:val="111111"/>
          <w:sz w:val="28"/>
          <w:sz w:val="28"/>
          <w:szCs w:val="28"/>
          <w:rtl w:val="true"/>
          <w:lang w:bidi="fa-IR"/>
        </w:rPr>
        <w:t>و إن ارید استصحاب العدم المقیّد بما بعد الزوال فلا حالة سابقة له إلّا إذا آن وقت الزوال، و کان عدم وجوب الجلوس المقیّد بما بعد الزوال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جَعْل الوجوب و إنشاؤه إنّما یکون أزلیّاً کعدم الجعل و الإنشاء، فإنّ إنشاء الأحکام الشرعیّة أزلیّ، فیجری استصحاب عدم جعل الوجوب بعد الزوال؛ لکونه مسبوقاً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الشیخ قدس سره من استصحاب العدم الأزلی علی فرض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تقدّم فی مباحث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الجعل لا یثبت عدم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عنها باستصحاب حال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مطلقاً؛ لأنّ العدم الأزلی لیس إلّا عبارة عن اللّاحکمیّة و اللّاحرجیّة، و هذا المعنی بعد وجود المکلّف و اجتماع شرائط التکلیف فیه، قد انتقض قطعاً و لو إلی الإباحة، فإنّ اللّاحرجیّة فی الإباحة بعد اجتماع شرائط التکلیف غیر اللّاحرجیّة قبل وجود المکلّف؛ إذ الاولی تستند إلی الشارع و الثانیة لا تستند إلیه</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Heading6"/>
        <w:numPr>
          <w:ilvl w:val="5"/>
          <w:numId w:val="1"/>
        </w:numPr>
        <w:rPr/>
      </w:pPr>
      <w:bookmarkStart w:id="198" w:name="__RefHeading___Toc3234810_3224264995"/>
      <w:bookmarkStart w:id="199" w:name="_Toc74"/>
      <w:bookmarkEnd w:id="198"/>
      <w:r>
        <w:rPr>
          <w:rtl w:val="true"/>
        </w:rPr>
        <w:t>و فی کلامه قدس سره مواقع للنظر و الإشکال</w:t>
      </w:r>
      <w:r>
        <w:rPr>
          <w:rtl w:val="true"/>
        </w:rPr>
        <w:t>:</w:t>
      </w:r>
      <w:bookmarkEnd w:id="19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وقع الخلط فی کلامه قدس سره الناشئ من عدم مراعاة القیود؛ لأنّه لیس مراد الفاضل النراقی أن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بما بعد الزوال، بل القید إمّا للوجوب أو للجلوس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قید للهیئة أو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قیداً للجلوس فعدمه مطلق لا مقیّد، فإنّ العدم المطلق قد یضاف إلی المقیّد،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الجلوس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مراد الفاضل النراقی أنّ العدم مقیّد، بل المقیّد هو الوجوب المسلوب، أو الجلوس المتعلَّق له، و حینئذٍ فهذا العدم</w:t>
      </w:r>
    </w:p>
    <w:p>
      <w:pPr>
        <w:pStyle w:val="BookText"/>
        <w:rPr/>
      </w:pPr>
      <w:r>
        <w:rPr>
          <w:rFonts w:ascii="IRNazanin" w:hAnsi="IRNazanin" w:eastAsia="IRNazanin"/>
          <w:color w:val="111111"/>
          <w:sz w:val="28"/>
          <w:sz w:val="28"/>
          <w:szCs w:val="28"/>
          <w:rtl w:val="true"/>
          <w:lang w:bidi="fa-IR"/>
        </w:rPr>
        <w:t>مطلق أزلیّ یمکن استصحابه، و لم ینتقض هذا العدم؛ لأنّ وجوب الجلوس قبل الزوال إنّما نقض عدم وجوب طبیعة الجلوس؛ و عدم وجوب الجلوس قبل الزوال، لا عدم وجوب الجلوس المقیّد بما بعد الزوال، فمنشأ الاشتباه إرجاع القید إلی العدم، مع أنّه قدس سره لم یُرد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فهذا العدم المطلق لوجوب الجلوس بعد الزوال أزلیّ فیستصحب، و لیس هذا الاستصحاب مثبتاً أیضاً؛ لترتّب الأثر علی العدم المحمولی المستصحب، نظیر استصحاب عدم 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استصحاب عدم الجعل لا یثبت عدم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لکن لو کان عدم الجعل المطلق غیر عدم جعل المقیّد، لزم تغایر الوجوب المجعول المتعلّق بالأوّل مع المجعول للمقیّد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فالجعل المتعلّق بالمطلق غیر الجعل المتعلّق بالمقیّد، فوجوب الجلوس المطلق غیر وجوب الجلوس المقیّد بما بعد الزوال، و مع تغایرهما کیف ینتقض هذا بذاک، کما ذکره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جریان استصحاب اللّاحرجیّة؛ لانتقاضها بعد وجود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أنّها منتقضة بالعلم بالحرجیّة،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عدم الحکم تبدّل إلی حکم آخر یحتمل کونه حرجیّاً و حرمة، کما یحتمل أیضاً غیره، فلا مانع حینئذٍ من استصحاب عدم الوجوب مع ترتّب الأثر الشرعی علیه، و حینئذٍ تتبدّل اللّاحکمیّة إلی الحکم، لا اللّاحرجیّة إلی الحرجیّة، فلا مانع من استصحاب عدم الوجوب أو الحرمة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هو المعروف بینهم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من واقعة إلّا و قد جعل الشارع لها</w:t>
      </w:r>
    </w:p>
    <w:p>
      <w:pPr>
        <w:pStyle w:val="BookText"/>
        <w:rPr/>
      </w:pPr>
      <w:r>
        <w:rPr>
          <w:rFonts w:ascii="IRNazanin" w:hAnsi="IRNazanin" w:eastAsia="IRNazanin"/>
          <w:color w:val="111111"/>
          <w:sz w:val="28"/>
          <w:sz w:val="28"/>
          <w:szCs w:val="28"/>
          <w:rtl w:val="true"/>
          <w:lang w:bidi="fa-IR"/>
        </w:rPr>
        <w:t>حکماً من الأحکام الخمسة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فهو غیر ثابت؛ لأنّ الموضوعات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 اقتضاء الوجوب، و فی بعضها اقتضاء الحرمة، و فی بعضها اقتضاء لرجحان الفعل لا مع المنع من الترک، و فی بعضها اقتضاء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حدّ الإلزام، و فی بعضها اقتضاء الإباحة المتساویة الطرفین من المصالح و المفاسد، و هی الإباحة الاقتضائیّة التی اقتضتها المصلحة، و لا یلزم وجود المصلحة فی الموضوع؛ لیرد علیه أنّه لا یمکن اجتماع مقتضی الوجود و العدم فی شی‌ء واحد بل یمکن أن تکون المصلحة خارجة عنه سیاسیّة کالمصلحة السیاسیّة فی نجاسة الکفّار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الموضوعات ما لا اقتضاء فیه أصلًا حتی الإباحة، و هی الإباحة المسمّاة بالإباحة اللّااقتضائیّة، و معناها عدم الحکم له، و حینئذٍ فکلّ مورد لم یعلم فیه بتبدّل العدم الأزلی و اللّاحرجیّة إلی الحرجیّة، فإنّه لا مانع من استصحاب هذا العدم</w:t>
      </w:r>
      <w:r>
        <w:rPr>
          <w:rFonts w:eastAsia="IRNazanin" w:cs="IRNazanin"/>
          <w:color w:val="111111"/>
          <w:sz w:val="28"/>
          <w:szCs w:val="28"/>
          <w:rtl w:val="true"/>
          <w:lang w:bidi="fa-IR"/>
        </w:rPr>
        <w:t>.</w:t>
      </w:r>
      <w:bookmarkStart w:id="200" w:name="pg12898_147917"/>
    </w:p>
    <w:p>
      <w:pPr>
        <w:pStyle w:val="Heading4"/>
        <w:numPr>
          <w:ilvl w:val="3"/>
          <w:numId w:val="1"/>
        </w:numPr>
        <w:rPr/>
      </w:pPr>
      <w:bookmarkStart w:id="201" w:name="__RefHeading___Toc3234812_3224264995"/>
      <w:bookmarkStart w:id="202" w:name="_Toc75"/>
      <w:bookmarkEnd w:id="200"/>
      <w:bookmarkEnd w:id="201"/>
      <w:r>
        <w:rPr>
          <w:rtl w:val="true"/>
        </w:rPr>
        <w:t>التنبیه الخامس الاستصحاب التعلیقی</w:t>
      </w:r>
      <w:bookmarkEnd w:id="202"/>
    </w:p>
    <w:p>
      <w:pPr>
        <w:pStyle w:val="Heading5"/>
        <w:numPr>
          <w:ilvl w:val="4"/>
          <w:numId w:val="1"/>
        </w:numPr>
        <w:rPr/>
      </w:pPr>
      <w:bookmarkStart w:id="203" w:name="__RefHeading___Toc3234814_3224264995"/>
      <w:bookmarkStart w:id="204" w:name="_Toc76"/>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اختلفوا فی جریان الاستصحاب التعلیقی مطلقاً، أو عدمه مطلقاً، أو التفصیل بین التعلیق فی الأحکام و بینه فی الموضوعات، أو التفصیل بین التعلیق الشرعی و بین العقلی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 علی وجه یتّضح ما هو الحقّ فی المقام یتوقّف علی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بیان محطّ البحث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یناسب المقام من الإشکال، و هو أنّ تعلیق الحکم أو الموضوع هل یمنع عن جریان الاستصحاب أو لا؟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إشکال عدم بقاء الموضوع هنا؛ لأنّ الزبیب غیر العنب فی المثال المعروف، مع اعتباره فی الاستصحاب</w:t>
      </w:r>
      <w:r>
        <w:rPr>
          <w:rStyle w:val="FootnoteAnchor"/>
          <w:rtl w:val="true"/>
        </w:rPr>
        <w:footnoteReference w:id="231"/>
      </w:r>
      <w:r>
        <w:rPr>
          <w:rFonts w:ascii="IRNazanin" w:hAnsi="IRNazanin" w:eastAsia="IRNazanin"/>
          <w:color w:val="111111"/>
          <w:sz w:val="28"/>
          <w:sz w:val="28"/>
          <w:szCs w:val="28"/>
          <w:rtl w:val="true"/>
          <w:lang w:bidi="fa-IR"/>
        </w:rPr>
        <w:t>، فهو خارج عن محطّ البحث هنا؛ لعدم اختصاصه بالاستصحاب التعلیقی، و کذلک ما صنعه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إرجاع الاستصحاب التعلیقی إلی الاستصحاب التنجیزی، و هو استصحاب سببیّة الغلیان للنجاسة و الحرمة</w:t>
      </w:r>
      <w:r>
        <w:rPr>
          <w:rStyle w:val="FootnoteAnchor"/>
          <w:rtl w:val="true"/>
        </w:rPr>
        <w:footnoteReference w:id="232"/>
      </w:r>
      <w:r>
        <w:rPr>
          <w:rFonts w:ascii="IRNazanin" w:hAnsi="IRNazanin" w:eastAsia="IRNazanin"/>
          <w:color w:val="111111"/>
          <w:sz w:val="28"/>
          <w:sz w:val="28"/>
          <w:szCs w:val="28"/>
          <w:rtl w:val="true"/>
          <w:lang w:bidi="fa-IR"/>
        </w:rPr>
        <w:t>، فإنّه خروج عن محلّ الکلام هنا؛ لأنّ الکلام هنا فی صحّة الاستصحاب</w:t>
      </w:r>
    </w:p>
    <w:p>
      <w:pPr>
        <w:pStyle w:val="BookText"/>
        <w:rPr/>
      </w:pPr>
      <w:r>
        <w:rPr>
          <w:rFonts w:ascii="IRNazanin" w:hAnsi="IRNazanin" w:eastAsia="IRNazanin"/>
          <w:color w:val="111111"/>
          <w:sz w:val="28"/>
          <w:sz w:val="28"/>
          <w:szCs w:val="28"/>
          <w:rtl w:val="true"/>
          <w:lang w:bidi="fa-IR"/>
        </w:rPr>
        <w:t>التعلیقی لا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القضایا التعلیقیّة الواردة فی الشرع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کُرّ لا ینجّسه شی‌ء</w:t>
      </w:r>
      <w:r>
        <w:rPr>
          <w:rFonts w:eastAsia="Amiri" w:cs="Amiri" w:ascii="Amiri" w:hAnsi="Amiri"/>
          <w:color w:val="111111"/>
          <w:sz w:val="28"/>
          <w:szCs w:val="28"/>
          <w:rtl w:val="true"/>
          <w:lang w:bidi="ar-SA"/>
        </w:rPr>
        <w:t>)</w:t>
      </w:r>
    </w:p>
    <w:p>
      <w:pPr>
        <w:pStyle w:val="BookText"/>
        <w:rPr/>
      </w:pPr>
      <w:r>
        <w:rPr>
          <w:rStyle w:val="FootnoteAnchor"/>
          <w:rtl w:val="true"/>
        </w:rPr>
        <w:footnoteReference w:id="233"/>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العنب إذا غلی أو نشّ یحرم</w:t>
      </w:r>
      <w:r>
        <w:rPr>
          <w:rFonts w:eastAsia="IRNazanin" w:cs="IRNazanin"/>
          <w:color w:val="111111"/>
          <w:sz w:val="28"/>
          <w:szCs w:val="28"/>
          <w:rtl w:val="true"/>
          <w:lang w:bidi="fa-IR"/>
        </w:rPr>
        <w:t>)</w:t>
      </w:r>
    </w:p>
    <w:p>
      <w:pPr>
        <w:pStyle w:val="BookText"/>
        <w:rPr/>
      </w:pPr>
      <w:r>
        <w:rPr>
          <w:rStyle w:val="FootnoteAnchor"/>
          <w:rtl w:val="true"/>
        </w:rPr>
        <w:footnoteReference w:id="234"/>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بحسب مقام الثبوت، مع قطع النظر عن مقام الإثبات و الاستظهار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هو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الغلیان، فهنا حکم و موضوع و واسطة لثبوت الحکم علی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هو سببیّة الغلیان للحرمة أو الکرّیّة للاعتصام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هو الملازمة بین غلیان العنب و الحرمة، لا نفس الحرمة و لا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هو الحرمة علی موضوع مرکّب من العنب و الغلیان، فالمراد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المغلیّ منه یحرم، أو 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فلا ریب أنّ المتبادر من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الاحتمال الأوّل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إمّا هو فی الحکم وضعیّاً أو تکلیفیّاً بتعلیقه علی أمر فی لسان الدلیل، و إمّا فی الموضوع؛ أی تحقّقه فی لسان الدلیل، و قد لا یکون فی لسان الدلیل تعلیق أصلًا؛ لا فی الحکم، و لا فی الموضوع، بل جعل الحکم فیه علی موضوع مرکّب، لکن العقل یحکم بتعلیق ثبوت الحکم لأحد جزأیه علی تحقّق الجزء الآخر،</w:t>
      </w:r>
      <w:bookmarkStart w:id="205" w:name="pg12898_147919"/>
    </w:p>
    <w:p>
      <w:pPr>
        <w:pStyle w:val="BookText"/>
        <w:rPr/>
      </w:pPr>
      <w:bookmarkEnd w:id="205"/>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العقل یحکم بوجوب إکرام هذا لو کان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مقدار شموله للموارد و الموضوعات، لا ملاحظة الموضوعات الخارجیّة التی تنطبق تلک القضیّة علیها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الیقین و الشکّ اللّذین تعلّقت بهما حرمة النقض فی تلک القضیّة هما الفعلیّان، کما أنّ جمیع العناوین المتعلَّقة للأحکام کذلک، فکلّ مورد یکون الیقین و الشکّ فیه فعلیّین، و ترتّب أثر شرعیّ علی المستصحب الذی تعلّق به الیقین السابق و الشکّ اللاحق، لا مانع من جریان الاستصحاب فیه و إن لم یکن المتیقَّن فعلیّاً؛ ضرورة أنّ المناط هو فعلیّة نفس الیقین و الشکّ، و إلّا فالمتیقّن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أمر وجودیّ أو عدمیّ، و إمّا حکم تنجیزی، أو تعلیقی</w:t>
      </w:r>
      <w:r>
        <w:rPr>
          <w:rFonts w:eastAsia="IRNazanin" w:cs="IRNazanin"/>
          <w:color w:val="111111"/>
          <w:sz w:val="28"/>
          <w:szCs w:val="28"/>
          <w:rtl w:val="true"/>
          <w:lang w:bidi="fa-IR"/>
        </w:rPr>
        <w:t>.</w:t>
      </w:r>
    </w:p>
    <w:p>
      <w:pPr>
        <w:pStyle w:val="Heading5"/>
        <w:numPr>
          <w:ilvl w:val="4"/>
          <w:numId w:val="1"/>
        </w:numPr>
        <w:rPr/>
      </w:pPr>
      <w:bookmarkStart w:id="206" w:name="__RefHeading___Toc3234816_3224264995"/>
      <w:bookmarkStart w:id="207" w:name="_Toc77"/>
      <w:bookmarkEnd w:id="206"/>
      <w:r>
        <w:rPr>
          <w:rtl w:val="true"/>
        </w:rPr>
        <w:t>تحقیق المقام</w:t>
      </w:r>
      <w:bookmarkEnd w:id="207"/>
    </w:p>
    <w:p>
      <w:pPr>
        <w:pStyle w:val="BookText"/>
        <w:rPr/>
      </w:pPr>
      <w:r>
        <w:rPr>
          <w:rFonts w:ascii="IRNazanin" w:hAnsi="IRNazanin" w:eastAsia="IRNazanin"/>
          <w:color w:val="111111"/>
          <w:sz w:val="28"/>
          <w:sz w:val="28"/>
          <w:szCs w:val="28"/>
          <w:rtl w:val="true"/>
          <w:lang w:bidi="fa-IR"/>
        </w:rPr>
        <w:t>إذا تمهّدت هذه المقدّمات فنقول لو حکم علی شی‌ء بحکم، و عُلِّق الحکم علی شی‌ء آخر، ثمّ عرض لهذا الشی‌ء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تحقّق ذلک الأمر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معها فی ثبوت ذلک الحکم بعد تحقّق المعلّق علیه، مثل المثال المعروف، و هو تعلیق الحکم بحرمة العصیر العنبی علی تقدیر الغلیان، فإنّه لو تغیّر حاله، مثل أنّه تبدّل لونه إلی لون آخر مع کونه عنباً، فشکّ فی ثبوت الحرمة علی تقدیر غلیانه أیضاً، لاحتمال اختصاصه بالحالة الاولی، فهل یمنع مجرّد التعلیق عن جریان الاستصحاب، أو 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عن جریانه؛ لتحقّق أرکانه من الیقین الفعلی بهذا الحکم التعلیقی سابقاً قبل عروض تلک الحالة، و الشکّ الفعلی فی بقائه بعد عروضها؛ لاحتمال تغییر حکمه بتبدّل الحالات مع حفظ بقاء الموضوع، و المستصحب أیضاً من الامور الشرعیّة، فلا مانع من جریان الاستصحاب فیه، و الحکم المذکور و إن لم یکن فعلیّاً، لکن قد عرفت عدم اعتبار فعلیّة المتیقَّن، فلا فرق بینه و بین استصحاب الحکم</w:t>
      </w:r>
      <w:bookmarkStart w:id="208" w:name="pg12898_147920"/>
    </w:p>
    <w:p>
      <w:pPr>
        <w:pStyle w:val="BookText"/>
        <w:rPr/>
      </w:pPr>
      <w:bookmarkEnd w:id="208"/>
      <w:r>
        <w:rPr>
          <w:rFonts w:ascii="IRNazanin" w:hAnsi="IRNazanin" w:eastAsia="IRNazanin"/>
          <w:color w:val="111111"/>
          <w:sz w:val="28"/>
          <w:sz w:val="28"/>
          <w:szCs w:val="28"/>
          <w:rtl w:val="true"/>
          <w:lang w:bidi="fa-IR"/>
        </w:rPr>
        <w:t>التنجیزی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الإشکال علی من منع من جریان هذا الاستصحاب؛ لعدم الیقین السابق بالحکم حتّی یستصحب؛ لأنّه إن أراد أنّ الحکم التعلیقی وجوده کالعدم؛ لیس شیئاً حتّی یستصحب، فلا أظنّ أن یلتزم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أراد أنّه و إن کان أمراً محقَّقاً، لکنّه لیس حکماً فعلیّاً، فقد عرفت أنّ المعتبر فی الاستصحاب هو فعلیّة الیقین و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الیقین طریقیّاً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فعلیّة المتیقَّن، فإنّ المراد استصحاب الحکم المعلَّق علی نحو وجوده السابق، و هو علی یقین فعلیّ بالحکم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أنّه لا یترتّب علیه أثر شرعیّ فالمفروض ترتّبه، فإنّه بعد تحقّق المعلّق علیه یصیر حکماً منجّزاً</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234818_3224264995"/>
      <w:bookmarkStart w:id="210" w:name="_Toc78"/>
      <w:bookmarkEnd w:id="209"/>
      <w:r>
        <w:rPr>
          <w:rtl w:val="true"/>
        </w:rPr>
        <w:t>کلام بعض الأعاظم و ما یرد علیه</w:t>
      </w:r>
      <w:bookmarkEnd w:id="210"/>
    </w:p>
    <w:p>
      <w:pPr>
        <w:pStyle w:val="BookText"/>
        <w:rPr/>
      </w:pPr>
      <w:r>
        <w:rPr>
          <w:rFonts w:ascii="IRNazanin" w:hAnsi="IRNazanin" w:eastAsia="IRNazanin"/>
          <w:color w:val="111111"/>
          <w:sz w:val="28"/>
          <w:sz w:val="28"/>
          <w:szCs w:val="28"/>
          <w:rtl w:val="true"/>
          <w:lang w:bidi="fa-IR"/>
        </w:rPr>
        <w:t>ثمّ إنّه منع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جریان استصحاب الحکم التعلیقی، و أطال الکلام فیه، و المربوط بالمقام منه هو أنّه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تقسیم الحکم إلی الکلّی و الجزئی و بیان الفرق بینهما و تقسیم استصحاب الکلّی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شکّ فی بقاء الحکم الکلّی، المترتّب علی موضوع مرکّب من جزءین؛ عند فرض وجود أحد جزأیه، و تبدّل بعض حالاته قبل فرض وجود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نعنی بالاستصحاب التعلیقی الحکم الثابت علی الموضوع بشرط ما یلحقه من التقادیر، فیستصحب الحکم بعد فرض وجود المشروط و تبدّل بعض حالاته قبل وجود الشرط، کمثال حرمة العنب المعروف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جریان استصحاب الحکم فیه و عدمه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عدم الجریان؛ لأنّ الحکم المترتّب علی الموضوع المرکّب إنّما یکون وجوده و تقرّره بوجود الموضوع بما له</w:t>
      </w:r>
    </w:p>
    <w:p>
      <w:pPr>
        <w:pStyle w:val="BookText"/>
        <w:rPr/>
      </w:pPr>
      <w:r>
        <w:rPr>
          <w:rFonts w:ascii="IRNazanin" w:hAnsi="IRNazanin" w:eastAsia="IRNazanin"/>
          <w:color w:val="111111"/>
          <w:sz w:val="28"/>
          <w:sz w:val="28"/>
          <w:szCs w:val="28"/>
          <w:rtl w:val="true"/>
          <w:lang w:bidi="fa-IR"/>
        </w:rPr>
        <w:t>من الأجزاء و الشرائط؛ لأنّ نسبة الموضوع إلی الحکم نسبة العلّة إلی المعلول، و لا یعقل تقدّم الحکم علی موضوعه، و الموضوع للنجاسة و الحرمة فی مثال العنب مرکّب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 الغلیان؛ من غیر فرق بین أخذ الغلیان وصفاً للعنب،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أخذه شرطاً له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الشرط یرجع إلی الموضوع، و هو من قیوده لا محالة، فقبل فرض غلیان العنب لا یمکن فرض وجود الحکم، و مع عدم فرض وجود الحکم لا معنی لاستصحابه، فإنّ وجود أحد جزءی المرکّب کعدمه لا یترتّب علیه الأثر الشرعی ما لم ینضمّ إلیه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الأثر المترتّب علی أحد جزءی المرکّب هو أنّه لو انضمّ إلیه الجزء الآخر، ترتّب علیه الأثر الشرعی، 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البقاء فی کلّ مرکّب وجد أحد جزأیه، و لا شکّ فیه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الحرمة و النجاسة قبل تحقّق الغلیان و إن لم یکونا فعلیّین، لکن التقدیریّة منهما متحقّقان؛ لأنّه یصدق علی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وجوده و قبل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حرام و نجس علی تقدیر الغلیان، فبعد صیرورة العنب زبیباً یشکّ فی بقاء النجاسة و الحرمة التقدیریّتین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واضح الفساد؛ لأنّه لا معنی لاستصحاب الحرمة التقدیریّة؛ إذ لیست الحرمة الفرضیّة فی العنب الغیر المغلیّ، إلّا عبارة عن أنّ العنب لو انضمّ إلیه الغلیان لترتّبت علیه الحرمة، و هذه القضیّة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أنّها عقلیّة؛ لأنّها لازم جعل الحکم علی الموضوع المرکّب الذی وجد أحد جزأیه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مقطوعة البقاء لا معنی لاستصحابها، کما تقدّم</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المقام هو صدور الحکم من الشارع</w:t>
      </w:r>
    </w:p>
    <w:p>
      <w:pPr>
        <w:pStyle w:val="BookText"/>
        <w:rPr/>
      </w:pPr>
      <w:r>
        <w:rPr>
          <w:rFonts w:ascii="IRNazanin" w:hAnsi="IRNazanin" w:eastAsia="IRNazanin"/>
          <w:color w:val="111111"/>
          <w:sz w:val="28"/>
          <w:sz w:val="28"/>
          <w:szCs w:val="28"/>
          <w:rtl w:val="true"/>
          <w:lang w:bidi="fa-IR"/>
        </w:rPr>
        <w:t>معلّقاً، فلا وجه لإرجاعه إلی جعل الحکم علی موضوع مرکّب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استصحابه مع فرض أحد جزأیه مثبت؛ لأنّ التعلیقیّة عقلیّة، 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القیود و الشروط ترجع إلی الموضوع، لا یصحّ عند العرف؛ للفرق عندهم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الموضوع فی الأوّل مرکّب، بخلاف الثانی، فإنّ الموضوع فیه هو العنب، و الغلیان قید للحکم، نعم ما ذکره صحیح بحسب الدقائق العقلیّة الدقیقة، لا بحسب الانفهامات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المقام أنّ الحکم معلّق فی لسان الشرع و الدلیل، لا أنّه مجعول علی موضوع مرکّب ینتزع العقل منه التعلیقیّة عند وجود جزأیه، فلا إشکال فی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بذلک فساد ما ذکره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قبل فرض وجود الجزء الآخر غیر مفروض الوجود حتّی یستصحب، فإنّه قدس سره إن أراد عدم الحکم الفعلی قبل وجود الغلیان فهو مسلّم، لکن لیس المراد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معدوم مطلقاً فهو ممنوع، بل هو بنحو التعلیق متحقّق،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أنّه بعد تحقّق الجزء الآخر یقطع بالحکم، فهذه القضیّة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الحرمة علی تقدیر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فیها حتّی تستصحب، فهو من الأعاجیب؛ و ذلک لأنّ المفروض أنّه تبدّل بعض حالات الموضوع التی احتمل تغیّر الحکم باختلافها، و إلّا فمع بقاء العنب علی حاله الأوّل، و لم یعرض علیه ما یوجب الشکّ، فهو خارج عن مورد الکلام، بل المفروض أنّه صار زبیباً، فصار ذلک سبباً للشکّ فی بقاء الحکم المعلّق علیه قبل طروّ الحالة الزبیبیّة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هذا الاستصحاب فی مثال العنب استصحاب للحکم الجزئی بعد وجود العنب فی الخارج لا الکلّی، کما یظهر من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فرضه فی الحکم</w:t>
      </w:r>
    </w:p>
    <w:p>
      <w:pPr>
        <w:pStyle w:val="BookText"/>
        <w:rPr/>
      </w:pPr>
      <w:r>
        <w:rPr>
          <w:rFonts w:ascii="Amiri" w:hAnsi="Amiri" w:eastAsia="Amiri" w:cs="Amiri"/>
          <w:color w:val="111111"/>
          <w:sz w:val="28"/>
          <w:sz w:val="28"/>
          <w:szCs w:val="28"/>
          <w:rtl w:val="true"/>
          <w:lang w:bidi="ar-SA"/>
        </w:rPr>
        <w:t>الکلّی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الکلام فیما أجاب به الشیخ الأعظم قدس سره ثانیاً عن الإشکال فی الاستصحاب التعلیقی، فإنّه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ما ذکرناه من التقریر لجریان هذا الاستصحاب دفعاً للإشکال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استصحاب الملازمة الثابتة بین الحرمة و الغلیان أو سببیّة الغلیان للحرمة، فإنّها فعلیّة متحقِّقة قبل وجود الملازم و السبب أیضاً؛ لأنّ صدق الشرطیّة لا یتوقّف علی وجود الشرط، فباستصحاب الملازمة أو السببیّة یترتّب الملزوم الآخر أو المسبّب؛ أی الحرمة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یخفی ما فیه؛ و ذلک لأنّه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المجعول فی المثال هی الحرمة و النجاسة عقیب الغلیان، أو أنّ المجعول هو سببیّة الغلیان لهما ابتداءً، أو بتبع جعل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صحّ استصحاب الحکم التعلیقی کما ذکرناه، و بعد تحقّق الغلیان یصیر فعلیّاً، لکن مرجع ذلک إلی إنکار جعل السببیّة و الملازمة فلا وجه لاستصحابهما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بناء علی جعل الملازمة بین الغلیان و الحرمة، أو سببیّة الغلیان لها، فاستصحاب الملازمة لا یثبت وجود الملازم الآخر؛ أی الحرمة، فإنّه حکم عقلیّ، و کذلک استصحاب السببیّة و إن کانت شرعیّة لا یترتّب علیها وجود المسبّب</w:t>
      </w:r>
      <w:r>
        <w:rPr>
          <w:rStyle w:val="FootnoteAnchor"/>
          <w:rtl w:val="true"/>
        </w:rPr>
        <w:footnoteReference w:id="237"/>
      </w:r>
      <w:r>
        <w:rPr>
          <w:rFonts w:ascii="Amiri" w:hAnsi="Amiri" w:eastAsia="Amiri" w:cs="Amiri"/>
          <w:color w:val="111111"/>
          <w:sz w:val="28"/>
          <w:sz w:val="28"/>
          <w:szCs w:val="28"/>
          <w:rtl w:val="true"/>
          <w:lang w:bidi="ar-SA"/>
        </w:rPr>
        <w:t>لأنّه عقلیّ، کما تقدّم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دائر بین القول بجعل المسبّب عقیب السبب، و إنکار جعل</w:t>
      </w:r>
    </w:p>
    <w:p>
      <w:pPr>
        <w:pStyle w:val="BookText"/>
        <w:rPr/>
      </w:pPr>
      <w:r>
        <w:rPr>
          <w:rFonts w:ascii="IRNazanin" w:hAnsi="IRNazanin" w:eastAsia="IRNazanin"/>
          <w:color w:val="111111"/>
          <w:sz w:val="28"/>
          <w:sz w:val="28"/>
          <w:szCs w:val="28"/>
          <w:rtl w:val="true"/>
          <w:lang w:bidi="fa-IR"/>
        </w:rPr>
        <w:t>السببیّة المستلزم لمخالفة الظاهر فی کثیر من الموارد الفقهیّة، کالضمانات و القصاص و نحوهما، و بین القول بجعل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معنی و لا مجال لاستصحاب السببیّة، و علی الثانی یکون الاستصحاب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لنفس الملازمة و السببیّة أثر شرعیّ ترتّب علیها بالاستصحاب، لکن المراد إثبات المسبّب و الملازم الآخر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المیرزا النائینی قدس سره علی ما أفاده الشیخ قدس سره من استصحاب الملازمة و السببیّة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الشیخ قدس سره؛ حیث إنّه شدّد النکیر علی من قال بجعل السببیّة و الملازمة، و مع ذلک ذهب إلی جریان استصحابهما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علی تقدیر تسلیم کونها من المجعولات الشرعیّة، إنّما هی مجعولة بین تمام الموضوع و الحکم؛ بمعنی أنّ الشارع جعل الملازمة بین العنب المغلیّ و بین نجاسته و حرمته، و الشکّ فی بقاء الملازمة بین تمام الموضوع و الحکم لا یعقل إلّا بالشکّ فی نَسْخ الملازمة، فیرجع إلی استصحاب عدم النَّسْخ، و لا إشکال فیه، و هو غیر الاستصحاب التعلیقی</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المانع و الإشکال علی القول بجعل السببیّة و الإغماض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أنّ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إمّا أن یکون من الأحکام الشرعیّة، أو من الموضوعات الخارجیّة التی تترتّب علیها الآثار الشرعیّة، بل المعتبر أن لا یکون الاستصحاب لغواً لا یترتّب علیه أثر، و حینئذٍ فلو شُکّ فی أنّ الملازمة الأزلیّة المنتزعة من الجعل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باقیة بعد عروض حالة الزبیبیّة أو لا؛ لأجل الشکّ فی أنّ وصف العنبیّة واسطة فی عروض</w:t>
      </w:r>
    </w:p>
    <w:p>
      <w:pPr>
        <w:pStyle w:val="BookText"/>
        <w:rPr/>
      </w:pPr>
      <w:r>
        <w:rPr>
          <w:rFonts w:ascii="IRNazanin" w:hAnsi="IRNazanin" w:eastAsia="IRNazanin"/>
          <w:color w:val="111111"/>
          <w:sz w:val="28"/>
          <w:sz w:val="28"/>
          <w:szCs w:val="28"/>
          <w:rtl w:val="true"/>
          <w:lang w:bidi="fa-IR"/>
        </w:rPr>
        <w:t>الحکم أو ثبوته، فلا مانع من استصحابها؟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أنّه هل جعل الحرمة للعنب بنحو یدور مدار وصف العنبیّة وجوداً و عدماً أو لا؟ فکما یصحّ استصحاب هذا الحکم یصحّ استصحاب الملازمة، فإنّها و إن لم تکن مجعولة بالذات؛ بناء علی ما ذکروه، لکنّها مجعولة بالعرض، فمجرّد عدم مجعولیّتها بالذات لا یمنع عن جریان الاستصحاب فیها، لکن لا یترتّب علی استصحابها وجود الملازم الآخر، کما هو المقصود؛ لما عرفت من أنّه ترتّب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أورده علیه أوّلًا غیر 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علیه ثانیاً فهو من الأعاجیب منه قدس سره، فإنّ الشکّ لیس فی بقاء الملازمة مع بقاء العنب بحاله کما کان، بل الشکّ إنّما هو بعد عروض حالة الزبیبیّة فی بقاء الملازمة، فإنّ ما هو المتیقّن هو ثبوت الملازمة بین العنب المغلی و الحرمة، لا بین الزبیب المغلی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التعلیق شرعیّاً مأخوذاً من لسان الدلیل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عقلیّاً، کما لو جعل الحکم فی لسان الدلیل متعلّقاً علی موضوع مرکّب من جزءین، فإنّ العقل بعد وجود أحد جزأیه یحکم بتحقّق الحکم علی تقدیر وجود الجزء الآخر، فالظاهر أنّ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المیرزا النائینی قدس سره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سواء کان التعلیق فی الحکم أم فی الموضوع، فإنّ استصحاب هذا الحکم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عروض الحالة، لا یُثبت الحرمة بعد تحقّق الغلیان إلّا علی القول باعتبار الأصل المثبت؛ لأنّ نفس المستصحب لیس شرعیّاً، بل المفروض أنّه حکم عقلیّ تعلیقیّ، فلا تثبت به الحرمة العقلیّة بعد تحقّق الغلیان،</w:t>
      </w:r>
      <w:bookmarkStart w:id="211" w:name="pg12898_147926"/>
    </w:p>
    <w:p>
      <w:pPr>
        <w:pStyle w:val="BookText"/>
        <w:rPr/>
      </w:pPr>
      <w:bookmarkEnd w:id="211"/>
      <w:r>
        <w:rPr>
          <w:rFonts w:ascii="IRNazanin" w:hAnsi="IRNazanin" w:eastAsia="IRNazanin"/>
          <w:color w:val="111111"/>
          <w:sz w:val="28"/>
          <w:sz w:val="28"/>
          <w:szCs w:val="28"/>
          <w:rtl w:val="true"/>
          <w:lang w:bidi="fa-IR"/>
        </w:rPr>
        <w:t>و کذلک التعلیق فی الموضوع لو کان عقلیّاً، کما لو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النجس بالکرّ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 ماء أقلّ من الکُرّ بصاع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یحکم بأنّه لو صُبّ علیه صاع صار کرّاً، فإذا عرضت علیه حالة شکّ معها فی بقاء هذا الحکم التعلیقی العقلی، فلا یترتّب علی استصحابه طهارة ما غُسل فیه بعد صبّ هذا المقدار علیه، فإنّه ترتّب عقلیّ علی الکرّ، و حینئذٍ ففرق بین التعلیقات الشرعیّة و بین العقلیّة، و جریان الاستصحاب فی الاولی دون الثانیة</w:t>
      </w:r>
      <w:r>
        <w:rPr>
          <w:rFonts w:eastAsia="IRNazanin" w:cs="IRNazanin"/>
          <w:color w:val="111111"/>
          <w:sz w:val="28"/>
          <w:szCs w:val="28"/>
          <w:rtl w:val="true"/>
          <w:lang w:bidi="fa-IR"/>
        </w:rPr>
        <w:t>.</w:t>
      </w:r>
    </w:p>
    <w:p>
      <w:pPr>
        <w:pStyle w:val="Heading5"/>
        <w:numPr>
          <w:ilvl w:val="4"/>
          <w:numId w:val="1"/>
        </w:numPr>
        <w:rPr/>
      </w:pPr>
      <w:bookmarkStart w:id="212" w:name="__RefHeading___Toc3234820_3224264995"/>
      <w:bookmarkStart w:id="213" w:name="_Toc79"/>
      <w:bookmarkEnd w:id="212"/>
      <w:r>
        <w:rPr>
          <w:rtl w:val="true"/>
        </w:rPr>
        <w:t>تذنیب</w:t>
      </w:r>
      <w:r>
        <w:rPr>
          <w:rtl w:val="true"/>
        </w:rPr>
        <w:t xml:space="preserve">: </w:t>
      </w:r>
      <w:r>
        <w:rPr>
          <w:rtl w:val="true"/>
        </w:rPr>
        <w:t>فی معارضة الاستصحاب التعلیقی مع التنجیزی</w:t>
      </w:r>
      <w:bookmarkEnd w:id="213"/>
    </w:p>
    <w:p>
      <w:pPr>
        <w:pStyle w:val="Heading6"/>
        <w:numPr>
          <w:ilvl w:val="5"/>
          <w:numId w:val="1"/>
        </w:numPr>
        <w:rPr/>
      </w:pPr>
      <w:bookmarkStart w:id="214" w:name="__RefHeading___Toc3234822_3224264995"/>
      <w:bookmarkStart w:id="215" w:name="_Toc80"/>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اورد علی الاستصحابات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یترتّب علیها أثر عملیّ لابتلائها دائماً باستصحاب الخلاف، کاستصحاب الحلّیّة فی مثال العنب المعارض بعد الجفاف لاستصحاب الحرمة التعلیقیّة، فیتساقطان، فیرجع إلی العمومات الدالّة علی حلّیّة الأشیاء و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الشیخ الأعظم قدس سره عن الإشکال بنحو الإجمال بحکومة استصحاب الحرمة التعلیقیّة علی استصحاب الحلّیّة</w:t>
      </w:r>
      <w:r>
        <w:rPr>
          <w:rStyle w:val="FootnoteAnchor"/>
          <w:rtl w:val="true"/>
        </w:rPr>
        <w:footnoteReference w:id="240"/>
      </w:r>
      <w:r>
        <w:rPr>
          <w:rFonts w:ascii="Amiri" w:hAnsi="Amiri" w:eastAsia="Amiri" w:cs="Amiri"/>
          <w:color w:val="111111"/>
          <w:sz w:val="28"/>
          <w:sz w:val="28"/>
          <w:szCs w:val="28"/>
          <w:rtl w:val="true"/>
          <w:lang w:bidi="ar-SA"/>
        </w:rPr>
        <w:t>، و لم یبیِّن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صاحب الکفایة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الإباحة بعد الغلیان و عدمها لیسا من آثار الحرمة علی تقدیره و عدمها بدونه؛ کی یکون الشکّ فیهما ناشئاً من الشکّ فیهما، و بدونه لا یکاد یکون بینهما حکومة أصلًا، بل یکونان علی تقدیره متضادّین و إن لم یکن بینهما تضادّ بدونه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الإباحة و إن لم تکن من آثار عدم حرمة العصیر بعد غلیانه، إلّا أنّها من آثار عدم حرمته قبله المعلّقة علیه؛ ضرورة توقّف إباحته علی عدم</w:t>
      </w:r>
    </w:p>
    <w:p>
      <w:pPr>
        <w:pStyle w:val="BookText"/>
        <w:rPr/>
      </w:pPr>
      <w:r>
        <w:rPr>
          <w:rFonts w:ascii="IRNazanin" w:hAnsi="IRNazanin" w:eastAsia="IRNazanin"/>
          <w:color w:val="111111"/>
          <w:sz w:val="28"/>
          <w:sz w:val="28"/>
          <w:szCs w:val="28"/>
          <w:rtl w:val="true"/>
          <w:lang w:bidi="fa-IR"/>
        </w:rPr>
        <w:t>حرمته کذلک قبله، فیکون الشکّ فی الإباحة بعده ناشئاً من الشکّ فی حرمته قبله، المحکومة بالبقاء بالاستصحاب المستلزمة للحکم بعدم الإباحة بعده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هذا الاستلزام و التوقّف عقلیّ لا شرعیّ، و لا حکومة ما لم یکن المرتّب الشرعیّ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الطرف الحقیقی للتوقّف العقلی أعمّ من الواقعی المستصحب، و الظاهری الناشئ من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الفعلیّة بعد الغلیان من آثار الحرمة التعلیقیّة قبل الغلیان، فالشکّ فی الإباحة بعده ناشٍ من الشکّ فی ثبوت هذه الحرمة التعلیقیّة قبله، فلا مجال لاستصحاب الإباحة مع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کلامه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بین الحلّیّة المُغیّاة بالغلیان و بین الحرمة المعلّقة علیه منافاة قبل عروض الحالة الزبیبیّة، بل یمکن حصول القطع بهما، کذلک لا منافاة بین استصحابیهما، و قضیّة هذین الاستصحابین هو الحکم بالحرمة الفعلیّة بعد الغلیان</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قدس سره لم یصرِّح هنا بالحکومة، لکن مراده ذلک، کما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حکومة استصحاب الحرمة التعلیقیّة علی استصحاب الحلّیّة المطلقة بعد الغلیان لأجل المدافعة بینهما؛ لأنّ تلک المدافعة لازم للأعمّ من الحرمة التعلیقیّة الواقعیّة و الظاهریّة بالاستصحاب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ما ذکره قدس سره لا یصحّح الحکومة؛ لأنّه یعتبر فیها مسبَّبیّة الشکّ فی المحکوم عن الشکّ فی الحاکم و رفع استصحاب الحاکم الشکَّ فی المحکوم فالاستصحاب السببی فی الاستصحابات الموضوعیة حاکم علی الاستصحاب فی الشکّ المسببی و رافع للشکّ فیه و منقح لموضوع الأدلّة الاجتهادیة، و الأدلّة الاجتهادیة حاکمة علی</w:t>
      </w:r>
    </w:p>
    <w:p>
      <w:pPr>
        <w:pStyle w:val="BookText"/>
        <w:rPr/>
      </w:pPr>
      <w:r>
        <w:rPr>
          <w:rFonts w:ascii="IRNazanin" w:hAnsi="IRNazanin" w:eastAsia="IRNazanin"/>
          <w:color w:val="111111"/>
          <w:sz w:val="28"/>
          <w:sz w:val="28"/>
          <w:szCs w:val="28"/>
          <w:rtl w:val="true"/>
          <w:lang w:bidi="fa-IR"/>
        </w:rPr>
        <w:t>الاستصحابات الحکمیّة، و رافعة للشکّ عنها، مثل استصحاب الکُرّیّة المنقِّح لموضوع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طهارة الثوب النجس المغسول به، و الرافع للشکّ فی نجاسته، و أمّا فیما نحن فیه فلازم استصحاب الحرمة التعلیقیّة قبل الغلیان و إن کان هی الحرمة الفعلیّة بعده و عدم حلّیّته، لکنّه لا یرفع الشکّ فی الحلّیّة و عدمها، و حینئذٍ فلأحد أن یدّعی جریان استصحاب الحلّیّة المطلقة، و یلزمه عدم الحرمة الفعلیّة بعد الغلیان، فإنّها و إن کانت بحکم العقل، لکنّها لازم للأعمّ من الحلّیّة الواقعیّة و الظاهریّة بالاستصحاب؛ لمکان المضادّة بینهما، فما ذکره من حکومة استصحاب الحرمة التعلیقیّة علی استصحاب الحلّیّة المطلقة بعد الغلیان یمکن دعوی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استصحاب الحلّیّة المُغیّاة بالغلیان، و عدم منافاتها لاستصحاب الحرمة المعلّقة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استصحابها قبل الغلیان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الحلّیّة قبله مقطوع بها، لا تفتقر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استصحابها لإثباتها بعد الغلیان فهو مثبِت؛ لأنّه استصحاب لأحد الضدّین لنفی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 فی الحکومة مجرّد اللزوم العقلی، بل لا بدّ فیها من رفع الدلیل الحاکم للشکّ عن المحکوم، ففی الاستصحابات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یرفع الاستصحاب الحاکم الشکَّ فی المحکوم کاستصحاب الکُرّیّة المتقدّم ذکره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تحقّق الحکومة فیها أن یرفع الاستصحاب الحاکم الشکَّ فی المحکوم، و لم یکن مجال لاستصحاب المحکوم مع جریان الاستصحاب الحاکم، و هو یتوقّف علی انطباق أدلّة الاستصحاب علی استصحاب الحاکم دون المحکوم، و مجرّد سببیّة الشکّ فی أحدهما الآخر، غیر کافٍ فی الحکومة ما لم یکن أحدهما مُزیلًا و رافعاً للشکّ فی الآخر، و حیث إنّ استصحاب</w:t>
      </w:r>
      <w:bookmarkStart w:id="216" w:name="pg12898_147929"/>
    </w:p>
    <w:p>
      <w:pPr>
        <w:pStyle w:val="BookText"/>
        <w:rPr/>
      </w:pPr>
      <w:bookmarkEnd w:id="216"/>
      <w:r>
        <w:rPr>
          <w:rFonts w:ascii="IRNazanin" w:hAnsi="IRNazanin" w:eastAsia="IRNazanin"/>
          <w:color w:val="111111"/>
          <w:sz w:val="28"/>
          <w:sz w:val="28"/>
          <w:szCs w:val="28"/>
          <w:rtl w:val="true"/>
          <w:lang w:bidi="fa-IR"/>
        </w:rPr>
        <w:t>الحرمة المعلّقة لا یزیل الشکّ فی الحلّیّة و عدمها، فلا مجال لدعوی حکومته علی استصحاب الحلّیّة، بل یمکن دعوی العکس، کما تقدّم</w:t>
      </w:r>
      <w:r>
        <w:rPr>
          <w:rFonts w:eastAsia="IRNazanin" w:cs="IRNazanin"/>
          <w:color w:val="111111"/>
          <w:sz w:val="28"/>
          <w:szCs w:val="28"/>
          <w:rtl w:val="true"/>
          <w:lang w:bidi="fa-IR"/>
        </w:rPr>
        <w:t>.</w:t>
      </w:r>
    </w:p>
    <w:p>
      <w:pPr>
        <w:pStyle w:val="Heading6"/>
        <w:numPr>
          <w:ilvl w:val="5"/>
          <w:numId w:val="1"/>
        </w:numPr>
        <w:rPr/>
      </w:pPr>
      <w:bookmarkStart w:id="217" w:name="__RefHeading___Toc3234824_3224264995"/>
      <w:bookmarkStart w:id="218" w:name="_Toc81"/>
      <w:bookmarkEnd w:id="217"/>
      <w:r>
        <w:rPr>
          <w:rtl w:val="true"/>
        </w:rPr>
        <w:t>حکومة الاستصحاب التعلیقی علی التنجیزی</w:t>
      </w:r>
      <w:bookmarkEnd w:id="218"/>
    </w:p>
    <w:p>
      <w:pPr>
        <w:pStyle w:val="BookText"/>
        <w:rPr/>
      </w:pPr>
      <w:r>
        <w:rPr>
          <w:rFonts w:ascii="IRNazanin" w:hAnsi="IRNazanin" w:eastAsia="IRNazanin"/>
          <w:color w:val="111111"/>
          <w:sz w:val="28"/>
          <w:sz w:val="28"/>
          <w:szCs w:val="28"/>
          <w:rtl w:val="true"/>
          <w:lang w:bidi="fa-IR"/>
        </w:rPr>
        <w:t>و التحقیق فی 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أمکن تعدّد الشکّ فی المقام؛ أی الشکّ فی الحرمة التعلیقیّة و عدمها، و الشکّ فی الحلّیّة المطلقة و عدمها، لکن مرجعهما إلی شکٍّ واحد، و هو أنّ العصیر الزبیبی بعد الغلیان حلال أو حرام، و حیث إنّ الشکّ عبارة عن التردید المتقوّم بالطرفین، فإذا تُعبّد بأحد الطرفین فلا محالة یزول الشکّ و التردید، و حینئذٍ فدلیل هذا التعبّد حاکم علی الآخر، فإذا تعبّدنا باستصحاب الحرمة المعلّقة، و الحکم بالحرمة الفعلیّة بعد الغلیان، و تعیّن أحد طرفی الشکّ و التردید، یزول الشکّ فی الحلّیّة لا محالة، و لا یبقی مجال لاستصحابها، و هو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یزول الشکّ المزبور باستصحاب الحرمة المعلّقة، کذلک یزول باستصحاب الحلّیّة المطلقة بعد الغلیان؛ لتعیّن أحد طرفی التردید و الشکّ تعبّداً و زواله، فلا وجه لجعل استصحاب الحرمة المعلّقة حاکماً علی استصحاب الحلّیّة المطلقة، بل یمکن العکس</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متقوّم بالشکّ الفعلی فی بقاء ما کان سابقاً، و ظرف هذا الشکّ فی استصحاب الحرمة المعلّقة، قبل تحقّق الغلیان، و إلّا فبعد حصوله لا شکّ فی بقاء ما کان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الشکّ فی حرمته الفعلیّة و ظرف الشکّ فی حلّیّته المطلقة إنّما هو بعد تحقّق الغلیان، و إلّا فهی مقطوع بها قبله، لا تفتقر إلی الاستصحاب، فقبل حصول الغلیان یجری استصحاب الحرمة المعلّقة لتحقّق أرکانه من الیقین السابق بها و الشکّ اللّاحق الفعلیّین، و مفاد هذا الاستصحاب حرمة هذا العصیر بعد الغلیان تعبّداً، و الحکم بأنّ هذا حرام، و حینئذٍ یزول الشکّ فی الحلّیّة</w:t>
      </w:r>
    </w:p>
    <w:p>
      <w:pPr>
        <w:pStyle w:val="BookText"/>
        <w:rPr/>
      </w:pPr>
      <w:r>
        <w:rPr>
          <w:rFonts w:ascii="IRNazanin" w:hAnsi="IRNazanin" w:eastAsia="IRNazanin"/>
          <w:color w:val="111111"/>
          <w:sz w:val="28"/>
          <w:sz w:val="28"/>
          <w:szCs w:val="28"/>
          <w:rtl w:val="true"/>
          <w:lang w:bidi="fa-IR"/>
        </w:rPr>
        <w:t>و الحرمة بذلک الاستصحاب تعبّداً، فلا یبقی مجال لاستصحاب الحلّیّة المطلقة بعده، لتقوّمه بالشکّ الفعلی فیها، و المفروض انتفاؤه تعبّداً بجریان استصحاب الحرمة المعلّقة قبل تحقّق الغلیان، و هو معنی الحکومة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تحقّق الغلیان فهو محکوم بالحرمة و النجاسة الفعلیّتین تعبّداً؛ لأنّه نتیجة استصحاب الحرمة المعلّقة، و حینئذٍ فلا یبقی شکّ فی الحلّیّة حتّی تستصحب</w:t>
      </w:r>
      <w:r>
        <w:rPr>
          <w:rFonts w:eastAsia="IRNazanin" w:cs="IRNazanin"/>
          <w:color w:val="111111"/>
          <w:sz w:val="28"/>
          <w:szCs w:val="28"/>
          <w:rtl w:val="true"/>
          <w:lang w:bidi="fa-IR"/>
        </w:rPr>
        <w:t>.</w:t>
      </w:r>
      <w:bookmarkStart w:id="219" w:name="pg12898_147931"/>
    </w:p>
    <w:p>
      <w:pPr>
        <w:pStyle w:val="Heading4"/>
        <w:numPr>
          <w:ilvl w:val="3"/>
          <w:numId w:val="1"/>
        </w:numPr>
        <w:rPr/>
      </w:pPr>
      <w:bookmarkStart w:id="220" w:name="__RefHeading___Toc3234826_3224264995"/>
      <w:bookmarkStart w:id="221" w:name="_Toc82"/>
      <w:bookmarkEnd w:id="219"/>
      <w:bookmarkEnd w:id="220"/>
      <w:r>
        <w:rPr>
          <w:rtl w:val="true"/>
        </w:rPr>
        <w:t>التنبیه السادس استصحاب أحکام الشرائع السابقة</w:t>
      </w:r>
      <w:bookmarkEnd w:id="221"/>
    </w:p>
    <w:p>
      <w:pPr>
        <w:pStyle w:val="BookText"/>
        <w:rPr/>
      </w:pPr>
      <w:r>
        <w:rPr>
          <w:rFonts w:ascii="IRNazanin" w:hAnsi="IRNazanin" w:eastAsia="IRNazanin"/>
          <w:color w:val="111111"/>
          <w:sz w:val="28"/>
          <w:sz w:val="28"/>
          <w:szCs w:val="28"/>
          <w:rtl w:val="true"/>
          <w:lang w:bidi="fa-IR"/>
        </w:rPr>
        <w:t>اختلفوا فی جریان استصحاب أحکام الشرائع السابقة و عدمه علی قولین، و الإشکال فیه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اتّحاد الموضوع المعتبر فی الاستصحاب؛ لأنّ الموضوع فی القضیّة المتیقّنة هو الموجودون فی ذلک الزمان، و فی المشکوکة الموجودون فی هذا الزمان، فاستصحاب أحکامهم إسراء حکم من موضوع إلی موضوع آخر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الإشکال إنّما یتوجّه لو کانت الأحکام مجعولة بنحو القضیّة الخارجیّة، و لیس کذلک، بل هی مجعولة بنحو القضیة الحقیقیّة، أو أنّ الحکم مجعول علی العناوین الکلّیّة</w:t>
      </w:r>
      <w:r>
        <w:rPr>
          <w:rStyle w:val="FootnoteAnchor"/>
          <w:rtl w:val="true"/>
        </w:rPr>
        <w:footnoteReference w:id="244"/>
      </w:r>
      <w:r>
        <w:rPr>
          <w:rFonts w:ascii="IRNazanin" w:hAnsi="IRNazanin" w:eastAsia="IRNazanin"/>
          <w:color w:val="111111"/>
          <w:sz w:val="28"/>
          <w:sz w:val="28"/>
          <w:szCs w:val="28"/>
          <w:rtl w:val="true"/>
          <w:lang w:bidi="fa-IR"/>
        </w:rPr>
        <w:t>، و حینئذٍ فلا فرق بینها و بین أحکام هذه الشریعة المقدّسة لو احتمل نسخها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 معاصر الشیخ الأعظم قدس سره إشکال آخر و شبهة اخری لا تندفع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اخذ الموضوع فی الشرائع السابقة عنوان</w:t>
      </w:r>
    </w:p>
    <w:p>
      <w:pPr>
        <w:pStyle w:val="BookText"/>
        <w:rPr/>
      </w:pPr>
      <w:r>
        <w:rPr>
          <w:rFonts w:ascii="IRNazanin" w:hAnsi="IRNazanin" w:eastAsia="IRNazanin"/>
          <w:color w:val="111111"/>
          <w:sz w:val="28"/>
          <w:sz w:val="28"/>
          <w:szCs w:val="28"/>
          <w:rtl w:val="true"/>
          <w:lang w:bidi="fa-IR"/>
        </w:rPr>
        <w:t>و لو بنحو القضیّة الحقیقیّة، و لم نکن نحن معنونین بهذا العنوان، کعنوان الیهود أو النصاری، مع الشکّ فی بقاء حکمهم بالنسبة إلینا، فاستصحابه إسراء حکم من موضوع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عنوان العنبیّة و الزبیبیّة؛ یعنی من قبیل تبدّل حالات موضوع واحد، فهذا الإشکال یستلزم الإشکال فی استصحاب الحرمة التعلیقیّة فی المثال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بینهما؛ حیث إنّ کلّ زبیب مسبوق بالعنبیّة المحکومة بالحکم المذکور، فبعد صیرورته زبیباً یشکّ فی بقاء الحکم التعلیقی، فیستصحب، بخلاف ما نحن فیه، إلّا إذا کان المسلمون مسبوقین بالنصرانیّة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أسلموا، لکن لیس کذلک، و لهذا لو وجد زبیب بنحو خلق الساعة غیر مسبوق بالعنبیّة لما جری فیه الاستصحاب المذکور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حیث إنّا لا نعلم کیفیّة تعلّق أحکامهم بالموضوعات، و عدم وصول التوراة و الإنجیل الغیر المحرّفین إلینا، و عدم بیان ذلک فی القرآن المجید إلّا عدّة محدودة من أحکامهم؛ من دون بیان کیفیّة جعلها علیهم، لا مجال لاستصحابها، فلا یصحّ الاستدلال لضمان ما لم یجب و لجواز الجهالة فی مال الجعالة، بقوله تعالی فی قصّة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بِیَدِکَ ضِغْثاً فَاضْرِبْ بِهِ وَ لا تَحْنَثْ</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علی برّ الیمین بضرب المستحقّ مائة ضربة بالضِّغْث، و نحو ذلک</w:t>
      </w:r>
      <w:r>
        <w:rPr>
          <w:rFonts w:eastAsia="Amiri" w:cs="Amiri" w:ascii="Amiri" w:hAnsi="Amiri"/>
          <w:color w:val="111111"/>
          <w:sz w:val="28"/>
          <w:szCs w:val="28"/>
          <w:rtl w:val="true"/>
          <w:lang w:bidi="ar-SA"/>
        </w:rPr>
        <w:t>.</w:t>
      </w:r>
      <w:bookmarkStart w:id="222" w:name="pg12898_147933"/>
    </w:p>
    <w:p>
      <w:pPr>
        <w:pStyle w:val="Heading4"/>
        <w:numPr>
          <w:ilvl w:val="3"/>
          <w:numId w:val="1"/>
        </w:numPr>
        <w:rPr/>
      </w:pPr>
      <w:bookmarkStart w:id="223" w:name="__RefHeading___Toc3234828_3224264995"/>
      <w:bookmarkStart w:id="224" w:name="_Toc83"/>
      <w:bookmarkEnd w:id="222"/>
      <w:bookmarkEnd w:id="223"/>
      <w:r>
        <w:rPr>
          <w:rtl w:val="true"/>
        </w:rPr>
        <w:t>التنبیه السابع فی الاصول المثبتة</w:t>
      </w:r>
      <w:bookmarkEnd w:id="224"/>
    </w:p>
    <w:p>
      <w:pPr>
        <w:pStyle w:val="Heading5"/>
        <w:numPr>
          <w:ilvl w:val="4"/>
          <w:numId w:val="1"/>
        </w:numPr>
        <w:rPr/>
      </w:pPr>
      <w:bookmarkStart w:id="225" w:name="__RefHeading___Toc3234830_3224264995"/>
      <w:bookmarkStart w:id="226" w:name="_Toc84"/>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اختلفوا فی وجه حجّیّة مثبتات الأمارات دون الاصول؛ أی لوازمها العقلیّة و العادیّة و الشرعیّة و لوازم لوازمها و ملزوماتها و ملازماتها، فإنّ هذه کلّها مترتّبة تثبت بقیام الأمارة، بخلاف الاصول؛ فإنّه لا یترتّب علیها إلّا اللّوازم الشرعیّة بلا واسطة، دون العقلیّة و العادیّة کذا و الشرعیّة بواسطة العادیّة و العقلیّة و ملزوماتها و ملازماتها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اللوازم العقلیّة و العادیّة غیر قابلة لأن تنالها ید الجعل و التعبّد، و التعبّد بها إنّما یمکن و یصحّ بلحاظ آثارها الشرعیّة، و نبات اللحیة و بیاضها و نحوها من الامور التکوینیّة لیست کذلک حتی تثبت باستصحاب بقاء زید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المحقّق الخراسانی قدس سره فی 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ذلک عدم تمامیّة الإطلاقات، و أن القدر المتیقَّن هو جعل الاصول بلحاظ الآثار الشرعیّة</w:t>
      </w:r>
      <w:bookmarkStart w:id="227" w:name="pg12898_147934"/>
    </w:p>
    <w:p>
      <w:pPr>
        <w:pStyle w:val="BookText"/>
        <w:rPr/>
      </w:pPr>
      <w:bookmarkEnd w:id="227"/>
      <w:r>
        <w:rPr>
          <w:rFonts w:ascii="Amiri" w:hAnsi="Amiri" w:eastAsia="Amiri" w:cs="Amiri"/>
          <w:color w:val="111111"/>
          <w:sz w:val="28"/>
          <w:sz w:val="28"/>
          <w:szCs w:val="28"/>
          <w:rtl w:val="true"/>
          <w:lang w:bidi="ar-SA"/>
        </w:rPr>
        <w:t>بلا واسطة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وجهه انصراف أدلّة الاصول إلی ما یترتّب علیها الآثار الشرعیّة بلا واسطة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ذلک اختلاف المجعول فی الأمارات و الاصول، و أنّ المجعول فی الأمارات هو الطریقیّة، فمثبتاتها حجّة، بخلاف الاصول فإنّ المجعول فیها هو تطبیق العمل علی مؤدّاها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مقامات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الوجه فی حجّیّة مثبتات الأمارات من الملزومات و الملازمات و اللوازم مطلقاً بلا واسطة أو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الوجه فی عدم حجّیّة مثبتات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الآثار الشرعیّة المترتّبة علی الاصول بواسطة أثر شرعیّ آخر</w:t>
      </w:r>
      <w:r>
        <w:rPr>
          <w:rFonts w:eastAsia="IRNazanin" w:cs="IRNazanin"/>
          <w:color w:val="111111"/>
          <w:sz w:val="28"/>
          <w:szCs w:val="28"/>
          <w:rtl w:val="true"/>
          <w:lang w:bidi="fa-IR"/>
        </w:rPr>
        <w:t>.</w:t>
      </w:r>
    </w:p>
    <w:p>
      <w:pPr>
        <w:pStyle w:val="Heading5"/>
        <w:numPr>
          <w:ilvl w:val="4"/>
          <w:numId w:val="1"/>
        </w:numPr>
        <w:rPr/>
      </w:pPr>
      <w:bookmarkStart w:id="228" w:name="__RefHeading___Toc3234832_3224264995"/>
      <w:bookmarkStart w:id="229" w:name="_Toc85"/>
      <w:bookmarkEnd w:id="228"/>
      <w:r>
        <w:rPr>
          <w:rtl w:val="true"/>
        </w:rPr>
        <w:t>حول مثبتات الأمارات</w:t>
      </w:r>
      <w:bookmarkEnd w:id="22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قد تقدّم مراراً أنّ الأمارات کلّها عرفیّة عقلائیّة أمضاها الشارع، و لم یردع عن بنائهم علی العمل بها، و لیست تأسیسیّة، مثل خبر الواحد، و الظواهر، و حجّیّة قول أهل الخبرة فی کلّ فنّ، و أصالة الصحّة فی أفعال المسلمین، و الید، و نحو ذلک؛ لعدم نهوض دلیل من الآیات و الروایات علی جعل الحجّیّة فی شی‌ء من هذه، فإنّ آیة النبأ تدلّ علی الردع عن العمل بخبر الفاسق، أو فی</w:t>
      </w:r>
      <w:bookmarkStart w:id="230" w:name="pg12898_147935"/>
    </w:p>
    <w:p>
      <w:pPr>
        <w:pStyle w:val="BookText"/>
        <w:rPr/>
      </w:pPr>
      <w:bookmarkEnd w:id="230"/>
      <w:r>
        <w:rPr>
          <w:rFonts w:ascii="IRNazanin" w:hAnsi="IRNazanin" w:eastAsia="IRNazanin"/>
          <w:color w:val="111111"/>
          <w:sz w:val="28"/>
          <w:sz w:val="28"/>
          <w:szCs w:val="28"/>
          <w:rtl w:val="true"/>
          <w:lang w:bidi="fa-IR"/>
        </w:rPr>
        <w:t>مقام التنبیه علی فسق الولید، و کذلک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w:t>
      </w:r>
      <w:r>
        <w:rPr>
          <w:rFonts w:eastAsia="IRNazanin" w:cs="IRNazanin"/>
          <w:color w:val="111111"/>
          <w:sz w:val="28"/>
          <w:szCs w:val="28"/>
          <w:rtl w:val="true"/>
          <w:lang w:bidi="fa-IR"/>
        </w:rPr>
        <w:t>)</w:t>
      </w:r>
    </w:p>
    <w:p>
      <w:pPr>
        <w:pStyle w:val="BookText"/>
        <w:rPr/>
      </w:pPr>
      <w:r>
        <w:rPr>
          <w:rStyle w:val="FootnoteAnchor"/>
          <w:rtl w:val="true"/>
        </w:rPr>
        <w:footnoteReference w:id="251"/>
      </w:r>
      <w:r>
        <w:rPr>
          <w:rFonts w:ascii="IRNazanin" w:hAnsi="IRNazanin" w:eastAsia="IRNazanin"/>
          <w:color w:val="111111"/>
          <w:sz w:val="28"/>
          <w:sz w:val="28"/>
          <w:szCs w:val="28"/>
          <w:rtl w:val="true"/>
          <w:lang w:bidi="fa-IR"/>
        </w:rPr>
        <w:t>و نحوه</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فی مقام توثیقه، لا جعل حجّیّة خبره، و حینئذٍ فلا بدّ من ملاحظة بناء العقلاء فی عملهم بها، و الوجه فی عملهم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إفادتها الظنّ و الوثوق النوعی بمؤدّاها و بملزوماتها و ملازماتها و لوازمها مطلقاً؛ عقلیّاً أو عادیّاً أو شرعیّاً، بلا واسطة أو مع الواسطة، و لیس المراد أنّها تثبت بحصول الوثوق علی مؤدّاها فقط، بل المراد أنّه إذا أخبر الثقة بطلوع الشمس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بالوثوق الحاصل من خبره بطلوع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آخر بإضاءة العالَم من جهة الملازمة بینهما، و هکذا وثوق آخر بالنسبة إلی ملزوماته و ملازماته، و المفروض عدم ردع الشارع عن ذلک البناء، فالجمیع حجّة</w:t>
      </w:r>
      <w:r>
        <w:rPr>
          <w:rFonts w:eastAsia="IRNazanin" w:cs="IRNazanin"/>
          <w:color w:val="111111"/>
          <w:sz w:val="28"/>
          <w:szCs w:val="28"/>
          <w:rtl w:val="true"/>
          <w:lang w:bidi="fa-IR"/>
        </w:rPr>
        <w:t>.</w:t>
      </w:r>
    </w:p>
    <w:p>
      <w:pPr>
        <w:pStyle w:val="Heading5"/>
        <w:numPr>
          <w:ilvl w:val="4"/>
          <w:numId w:val="1"/>
        </w:numPr>
        <w:rPr/>
      </w:pPr>
      <w:bookmarkStart w:id="231" w:name="__RefHeading___Toc3234834_3224264995"/>
      <w:bookmarkStart w:id="232" w:name="_Toc86"/>
      <w:bookmarkEnd w:id="231"/>
      <w:r>
        <w:rPr>
          <w:rtl w:val="true"/>
        </w:rPr>
        <w:t>حال مثبتات الاصول</w:t>
      </w:r>
      <w:bookmarkEnd w:id="232"/>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فتوضیحه یحتاج إلی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حصول الیقین بشی‌ء له ملزوم و لازم و ملازم، یتحقّق بتبع الیقین المذکور یقین آخر بالملزوم، و ثالث بلازمه، و رابع بملازمه، بعد الالتفات إلی الملازمة بینهما، فلیس هنا یقین واحد، بل أربع یقینات، غایة الأمر أنّ ثلاثة منها حصلت بتبع الیقین الأوّل، و حکم العقل بتحقّق کلّ واحد منها إنّما هو لأجل أنّ لکلّ واحد منها یقیناً یخصّه متعلّقاً به، لا لأجل الیقین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ascii="Amiri" w:hAnsi="Amiri" w:eastAsia="Amiri" w:cs="Amiri"/>
          <w:color w:val="111111"/>
          <w:sz w:val="28"/>
          <w:sz w:val="28"/>
          <w:szCs w:val="28"/>
          <w:rtl w:val="true"/>
          <w:lang w:bidi="ar-SA"/>
        </w:rPr>
        <w:t>کبری کلّیّة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یراد بها</w:t>
      </w:r>
    </w:p>
    <w:p>
      <w:pPr>
        <w:pStyle w:val="BookText"/>
        <w:rPr/>
      </w:pPr>
      <w:r>
        <w:rPr>
          <w:rFonts w:ascii="IRNazanin" w:hAnsi="IRNazanin" w:eastAsia="IRNazanin"/>
          <w:color w:val="111111"/>
          <w:sz w:val="28"/>
          <w:sz w:val="28"/>
          <w:szCs w:val="28"/>
          <w:rtl w:val="true"/>
          <w:lang w:bidi="fa-IR"/>
        </w:rPr>
        <w:t>إقامة المشکوک مقام المتیقّن بلحاظ الآثار تعبّداً، أو المراد هو الأمر بالبناء العملی علی حصول الیقین و العمل علی طبقه فی عالم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الاحتمالین لا یشمل الآثار مع الواسطة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 الیقین إذا حصل، و تعلّق بشی‌ء له ملزوم و لازم و ملازم یتبعه حصول یقین آخر بلازمه، و ثالث بملزومه، و رابع بملازمه، و أنّ لکلّ واحد منها یقیناً یخصّه حاصلًا بتبع الیقین الأوّل، فلو شکّ فی بقائه یتبعه ثلاثة شکوک اخر؛ کلّ واحد منها مسبوق بالیقین؛ لأنّ الشکّ فی شی‌ء یستتبع الشکّ فی لوازمه و ملزوماته و ملازماته؛ لمکان الملازمة العقلیّة بینها و بین ذلک الشی‌ء، و حینئذٍ فلا ریب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 کلّ واحد منها؛ لأنّ کلّ واحد منها مصداق له، فهنا مصادیق، لا مصداق واحد یشمله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یستلزمه التعبّد بالباقی من اللازم و الملزوم و الملازم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کلّ واحد من هذه الشکوک مسبوقاً بالیقین، و أمّا إذا لم یکن کذلک؛ بأن لم تتحقّق الملازمة فی حال الیقین الأوّل، بل حدثت بعد زوال الیقین بهذا الشی‌ء و شکّ فی بقائه، کنبات اللحیة و بیاضها أو فرض حدوث العلم الإجمالی بین هذا الشی‌ء و شی‌ء آخر کالعلم بحیاة زید أو عمرو، فلا تعمّه هذه الکبری الکلّیّة، بل تشمل کلّ ما کان علی یقین منه و شکّ فی بقائه، و هو الشی‌ء المذکور بلحاظ آثاره الشرعیّة المترتّبة علیه، و أمّا الآثار العقلیّة و العادیّة و الشرعیّة، المترتّبة علی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تلک الآثار العقلیّة و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لأنّ المفروض عدم مسبوقیّة الشکّ فیها بالیقین لتعمّه تلک الکبری الکلّیّة، و هی لا تشمل إلّا موضوع نفسها، و هو ذلک الشی‌ء بلحاظ أثره الشرعیّ، لا الآثار التی تترتّب علی موضوع آخر، أی الواسطة العقلیّة أو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للموضوعات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w:t>
      </w:r>
    </w:p>
    <w:p>
      <w:pPr>
        <w:pStyle w:val="BookText"/>
        <w:rPr/>
      </w:pPr>
      <w:r>
        <w:rPr>
          <w:rFonts w:ascii="IRNazanin" w:hAnsi="IRNazanin" w:eastAsia="IRNazanin"/>
          <w:color w:val="111111"/>
          <w:sz w:val="28"/>
          <w:sz w:val="28"/>
          <w:szCs w:val="28"/>
          <w:rtl w:val="true"/>
          <w:lang w:bidi="fa-IR"/>
        </w:rPr>
        <w:t>بلحاظ الآثار الشرعیّة للیقین الطریقی، أو بلحاظ آثار المتیقّن، لا بلحاظ آثار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الشکّ فی کلّ واحد من اللّازم الغیر الشرعی و الملزوم و الملازم مسبوقاً بالیقین، لشمله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فلکلّ واحد منها استصحاب خاصّ به لو ترتّب أثر شرعیّ علیه، لکن هذا الفرض خارج عن محلّ الکلام؛ لأنّ محطّ البحث هو ما لم یکن الشکّ فیها مسبوقاً بالیقین بها، و ارید إثباتها باستصحاب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عدم حجیّة مثبتات الاصول لیس هو انصراف أدلّتها؛ لعدم الموجب له، و لا عدم تمامیّة إطلاقها فیها و تمامیّتها فی الأمارات؛ لعدم الفرق بین أدلّة الاصول و الأمارات فی ذلک، و لا لأجل أنّ المجعول فی الأمارات هو الطریقیّة، و فی الاصول هو تطبیق العمل علی مؤدّاها، بل لو فرض حجّیّة خبر الواحد بالتعبّد و الجعل الشرعی، لما قلنا بحجّیّة مثبتاته؛ لأنّ التعبّد حینئذٍ إنّما یکون بمؤدّی الخبر، کما لو أخبر بمجی‌ء الأمیر المستلزم لمجی‌ء الجند، فإنّه إخبار واحد، لا أخبار متعدّدة بعدد أفراد الجند، و لذا لو بان کذب الخبر و عدم مطابقته للواقع، فهو کذب واحد، لا أکاذیب متعدّدة، و حینئذٍ فیحکم بحجیّة هذا الخبر و صدوره تعبُّداً و ثبوت المخبر به، لا ثبوت لوازم المخبر به؛ لأنّ المجعول حینئذٍ هو طریقیّته إلی مؤدّاه لا غیره، لکن قد تقدّم أنّ حجّیّة الأمارات عقلائیّة إمضائیّة، لا تأسیسیّة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الاستصحاب قاصرة عن إثبات اللوازم الغیر الشرعیّة أو الشرعیّة مع الواسطة و إن کانت الواسطة شرعیّة؛ و ذلک لأنّ المستفاد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ترتیب الآثار الشرعیّة للعدالة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استصحابها، و أمّا أثر الأثر فهو یفتقر إلی تعبّد آخر، و لا یمکن استفادة ذلک التعبّد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المشهور فی دلالة أدلّة حجّیّة خبر الواحد علی</w:t>
      </w:r>
    </w:p>
    <w:p>
      <w:pPr>
        <w:pStyle w:val="BookText"/>
        <w:rPr/>
      </w:pPr>
      <w:r>
        <w:rPr>
          <w:rFonts w:ascii="IRNazanin" w:hAnsi="IRNazanin" w:eastAsia="IRNazanin"/>
          <w:color w:val="111111"/>
          <w:sz w:val="28"/>
          <w:sz w:val="28"/>
          <w:szCs w:val="28"/>
          <w:rtl w:val="true"/>
          <w:lang w:bidi="fa-IR"/>
        </w:rPr>
        <w:t>حجّیّة الأخبار مع الواسطة، کإخبار الشیخ قدس سره عن المفید قدس سره، عن الصدوق، عن أبیه، 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یستلزم إثبات الموضوع بالحکم بالنسبة إلی الوسائط؛ لعدم إحرازها بالوجدان، بل إنّما یراد إثباتها بالتعبّد، ثمّ الحکم بتصدیقه، فیلزم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 لموضوع نفسه</w:t>
      </w:r>
      <w:r>
        <w:rPr>
          <w:rStyle w:val="FootnoteAnchor"/>
          <w:rtl w:val="true"/>
        </w:rPr>
        <w:footnoteReference w:id="254"/>
      </w:r>
      <w:r>
        <w:rPr>
          <w:rFonts w:ascii="IRNazanin" w:hAnsi="IRNazanin" w:eastAsia="IRNazanin"/>
          <w:color w:val="111111"/>
          <w:sz w:val="28"/>
          <w:sz w:val="28"/>
          <w:szCs w:val="28"/>
          <w:rtl w:val="true"/>
          <w:lang w:bidi="fa-IR"/>
        </w:rPr>
        <w:t>، جارٍ هنا أیضاً، 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یشمل العدالة المشکوک بقاؤها؛ لسبقها بالیقین بها، فیترتّب علیها آثارها، و أمّا الآثار المترتّبة علیها بواسطة فموضوعها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تلک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محرَزاً بالوجدان، بل إنّما یراد إثباته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ثمّ الحکم علیه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الموضوع لا یثبت بحکم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یجاب به عن هذا الإشکال فی الأخبار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مانع من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للوسائط؛ لأنّه بنحو القضیّة الحقیقیّة، و الوسائط أیضاً أخبار تعبّداً أو بإلغاء الخصوصیّة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لا یجری فی المقام؛ لأنّ المفروض أنّ الشکّ فی الواسطة غیر مسبوق بالیقین حتّی یصیر مصداقاً له، و لا یثبت سبقه بالیقین تعبّداً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 مفاده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من کان علی یقین فشکّ فهو علی یقین تعبّداً، لا أنّه علی یقین فی عالم التعبّد و إن لم یکن شکّه مسبوقاً بالیقین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یشمل الشکوک المسبوقة بالیقین الوجدانی، لا الشکوک الغیر المسبوقة به حتّی یصیّرها مصداقاً تعبّدیاً لنفسه و یشمله بنحو القضیّة الحقیقیّة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بموضوع بلحاظ آثاره الشرعیّة لا یثبت به الآثار الغیر</w:t>
      </w:r>
    </w:p>
    <w:p>
      <w:pPr>
        <w:pStyle w:val="BookText"/>
        <w:rPr/>
      </w:pPr>
      <w:r>
        <w:rPr>
          <w:rFonts w:ascii="IRNazanin" w:hAnsi="IRNazanin" w:eastAsia="IRNazanin"/>
          <w:color w:val="111111"/>
          <w:sz w:val="28"/>
          <w:sz w:val="28"/>
          <w:szCs w:val="28"/>
          <w:rtl w:val="true"/>
          <w:lang w:bidi="fa-IR"/>
        </w:rPr>
        <w:t>الشرعیّة و الشرعیّة المترتّبة علیه بواسطة ذلک الأثر الشرعی، و مقتضی ذلک عدم ترتّب غیر الآثار الشرعیّة للعدالة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بل یترتّب علیها الآثار الشرعیّة فقط، کالائتمام به و صحّة الطلاق عنده، لا الآثار المترتّبة علی صحّة الطلاق عنده، کوجوب العدّة علی تلک المرأة، و جواز التزویج بعد العدّة المترتّب علی انقضاء العدّة، و کذلک آثار التزویج من وجوب إطاعتها للزوج الثانی و نحوه و هکذا، فإنّ ترتّب جمیع هذه الآثار یتوقّف علی 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لجمیع هذه الوسائط، التی کلّ واحدة منها موضوع للأثر المتأخّر عنه، و جعلها مصداقاً تعبّدیّاً لنفسه، کما ذکرناه فی الأخبار مع الواسطة، لکن قد عرفت أنّه یمکن ذلک فی الأخبار مع الواسطة، و لا یجری فیما نحن فیه هذا، و لکن التحقیق هو ترتّب الآثار الشرعیّة بواسطة الأثر الشرعی، لا الواسطة العقلیّة و العادیّة، و هو المقام الثالث الذی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 إلّا مفاد واحد، و هو التعبّد ببقاء ما کان من الیقین أو المتیقّن فی الموضوعات أو الأحکام، و لیس مفاده فی الأحکام هو جعل المماثل للحکم السابق، و فی الموضوعات جعل المماثل لحکم موضوعه، فمقتضاه فی الأحکام هو ترتیب آثاره، و هو وجوب الامتثال، و فی الموضوعات وجوب ترتیب الآثار المترتّبة علی ذلک الموضوع و امتثال ما له من الأحکام الثابتة بالأدلّة الاجتهادیّة، فدلیل الاستصحاب فی الموضوعات حاکم علی أدلّة الأحکام، و منقِّح لموضوعها، و لا یفتقر بعد استصحاب الموضوع إلی جعل الحکم ثانیاً، بل هو لغوٌ، لثبوته له بالأدلّة الاجتهادیّة، فمعنی استصحاب العدالة هو الحکم ببقائها، و أمّا جواز الاقتداء و نفوذ الشهادة و صحّة الطلاق فهی ثابتة للعادل بالأدلّة الاجتهادیّة، فمفاد الاستصحاب هو الحکم ببقاء نفس العدالة، و لا یراد إثبات آثارها بالاستصحاب، بل هی مترتّبة علی العدالة بعد إحرازها بالاستصحاب بالأدلّة الاجتهادیّة، و یثبت بهذا الدلیل الاجتهادی موضوع الأثر الشرعی الثانی، کوجوب العدّة علی المطلّقة عنده</w:t>
      </w:r>
      <w:bookmarkStart w:id="233" w:name="pg12898_147940"/>
    </w:p>
    <w:p>
      <w:pPr>
        <w:pStyle w:val="BookText"/>
        <w:rPr/>
      </w:pPr>
      <w:bookmarkEnd w:id="233"/>
      <w:r>
        <w:rPr>
          <w:rFonts w:ascii="IRNazanin" w:hAnsi="IRNazanin" w:eastAsia="IRNazanin"/>
          <w:color w:val="111111"/>
          <w:sz w:val="28"/>
          <w:sz w:val="28"/>
          <w:szCs w:val="28"/>
          <w:rtl w:val="true"/>
          <w:lang w:bidi="fa-IR"/>
        </w:rPr>
        <w:t>و جواز تزویجها بعد العدّة الثابت بدلیل اجتهادیّ آخر، فباستصحاب العدالة یترتّب جمیع تلک الآثار کلّ بدلیله الاجتهادی، لا بالاستصحاب، فإنّ الاستصحاب منقِّح لموضوع الأثر الأوّل، و أمّا الموضوع للآثار المتأخّرة فإنّما هو بالدلیل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الواسطة أمراً عقلیّاً أو عادیّاً له أثر شرعیّ لا یثبت هذا الأثر الشرعی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السرُّ فی عدم حجّیّة استصحاب الموضوعات لإثبات ملزوماتها مطلقاً؛ شرعیّاً کان أم غیره، و کذلک ملازماته و لوازمه العقلیّة و العادیّة، و الآثار المترتّبة علیها بواسطة عقلیّة أو عادیّة و إن کانت شرعیّة، و ترتیب الآثار الشرعیّة بلا واسطة أو بواسطة شرعیّة لتنقیحه موضوع هذه دون تلک، فلا یحتاج فی بیان وجه ترتّب هذه دون تلک إلی التشبّث بما لا یخلو عن الإشکال بل المنع، کما أتعب المحقّق العراقی نفسه الزکیّة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Heading5"/>
        <w:numPr>
          <w:ilvl w:val="4"/>
          <w:numId w:val="1"/>
        </w:numPr>
        <w:rPr/>
      </w:pPr>
      <w:bookmarkStart w:id="234" w:name="__RefHeading___Toc3234836_3224264995"/>
      <w:bookmarkStart w:id="235" w:name="_Toc87"/>
      <w:bookmarkEnd w:id="234"/>
      <w:r>
        <w:rPr>
          <w:rtl w:val="true"/>
        </w:rPr>
        <w:t>تذییل</w:t>
      </w:r>
      <w:r>
        <w:rPr>
          <w:rtl w:val="true"/>
        </w:rPr>
        <w:t xml:space="preserve">: </w:t>
      </w:r>
      <w:r>
        <w:rPr>
          <w:rtl w:val="true"/>
        </w:rPr>
        <w:t>حول الوسائط الخفیّة</w:t>
      </w:r>
      <w:bookmarkEnd w:id="235"/>
    </w:p>
    <w:p>
      <w:pPr>
        <w:pStyle w:val="Heading6"/>
        <w:numPr>
          <w:ilvl w:val="5"/>
          <w:numId w:val="1"/>
        </w:numPr>
        <w:rPr/>
      </w:pPr>
      <w:bookmarkStart w:id="236" w:name="__RefHeading___Toc3234838_3224264995"/>
      <w:bookmarkStart w:id="237" w:name="_Toc88"/>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ذکر جماعة کالشیخ الأعظم</w:t>
      </w:r>
      <w:r>
        <w:rPr>
          <w:rStyle w:val="FootnoteAnchor"/>
          <w:rtl w:val="true"/>
        </w:rPr>
        <w:footnoteReference w:id="257"/>
      </w:r>
      <w:r>
        <w:rPr>
          <w:rFonts w:ascii="IRNazanin" w:hAnsi="IRNazanin" w:eastAsia="IRNazanin"/>
          <w:color w:val="111111"/>
          <w:sz w:val="28"/>
          <w:sz w:val="28"/>
          <w:szCs w:val="28"/>
          <w:rtl w:val="true"/>
          <w:lang w:bidi="fa-IR"/>
        </w:rPr>
        <w:t xml:space="preserve">و المحقّق الخراسانی </w:t>
      </w:r>
      <w:r>
        <w:rPr>
          <w:rFonts w:eastAsia="IRNazanin" w:cs="IRNazanin"/>
          <w:color w:val="111111"/>
          <w:sz w:val="28"/>
          <w:szCs w:val="28"/>
          <w:lang w:bidi="fa-IR"/>
        </w:rPr>
        <w:t>0</w:t>
      </w:r>
      <w:r>
        <w:rPr>
          <w:rStyle w:val="FootnoteAnchor"/>
          <w:rtl w:val="true"/>
        </w:rPr>
        <w:footnoteReference w:id="258"/>
      </w:r>
      <w:r>
        <w:rPr>
          <w:rFonts w:ascii="IRNazanin" w:hAnsi="IRNazanin" w:eastAsia="IRNazanin"/>
          <w:color w:val="111111"/>
          <w:sz w:val="28"/>
          <w:sz w:val="28"/>
          <w:szCs w:val="28"/>
          <w:rtl w:val="true"/>
          <w:lang w:bidi="fa-IR"/>
        </w:rPr>
        <w:t>و غیرهما</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حجّیّة المثبِت من الاستصحاب فیما لو ترتّب الأثر الشرعی علی المستصحب بواسطة عقلیّة أو عادیّة، إنّما هو فیما إذا لم تکن الواسطة خفیّة؛ بحیث لا یری العرف واسطة فی البین، و یعدّ ذلک الأثر أثر المستصحب عندهم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کذلک حتّی فی الواسطة الجلیّة بوساطة ما</w:t>
      </w:r>
    </w:p>
    <w:p>
      <w:pPr>
        <w:pStyle w:val="BookText"/>
        <w:rPr/>
      </w:pPr>
      <w:r>
        <w:rPr>
          <w:rFonts w:ascii="IRNazanin" w:hAnsi="IRNazanin" w:eastAsia="IRNazanin"/>
          <w:color w:val="111111"/>
          <w:sz w:val="28"/>
          <w:sz w:val="28"/>
          <w:szCs w:val="28"/>
          <w:rtl w:val="true"/>
          <w:lang w:bidi="fa-IR"/>
        </w:rPr>
        <w:t>لا یمکن التفکیک عرفاً بینه و بین المستصحب تنزیلًا؛ لأجل وضوح لزومه له أو ملازمته معه بمثابة یعدّ أثره أثراً 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خفاء الواسطة عدم درْک العرف لها و لو بالنظر الدقّی، و یرون أنّ الأثر هو للمستصحب حقیقة، و إنّما یُدرکها العقل بالبراهین، فالحقّ جریان الاستصحاب فیه و عدم عدّه مثبتاً، مثل أنّ الموضوع للحرمة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الشَّیْطانِ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هو عنوان الخمر عرفاً لا غیر، لکن العقل حیث إنّه یمیّز بین الجهات و الحیثیّات التعلیلیّة للحکم، و أنّ للخمر عناوین، و أنّه مائع ملوَّن بلون کذا، و أنّه مُسکر، و نحو ذلک، و یدرک أنّ الحکم بالحرمة إنّما هو لأجل الإسکار، و أنّه لا دَخْل للّون و المائعیّة فی الموضوعیّة للحرمة؛ فإنّ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مائع و لیس بحرام، یفهم و یحکم بأنّ تمام الموضوع للحرمة هو الإسکار، و أنّ الجهة التعلیلیّة هی موضوع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بأنّ هذا المائع کان خمراً، و شکّ فی بقاء خمریّته، فحیث إنّ تمام الموضوع عند العرف هو الخمر لا الإسکار، فلا إشکال فی جریان الاستصحاب و ترتّب الحرمة علیه؛ لاتّحاد القضیّة المتیقَّنة مع المشکوکة عرفاً، و ترتّب الأثر علیه و إن لم یکن کذلک عقلًا؛ لأنّ الموضوع عند العقل هو الإسکار، و لا یثبت ذلک باستصحاب عنوان الخمر، لکن هذه الواسطة خفیّة لا یراها العرف و لو بنظره الدِّقّی الغیر المسامحی، و أنّ الإسکار واسطة فی ثبوت الحکم للخمر، لا تمام الموضوع، فلا إشکال فی جریان الاستصحاب فیه و عدم عدّه مثبتاً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 خفاء الواسطة ما یُدرکه العقل بالنظر الدِّقّی، لکن ینتسب الأثر إلی المستصحب فی محیط العرف بالنظر المسامحی، فالحقّ عدم جریان الاستصحاب</w:t>
      </w:r>
      <w:bookmarkStart w:id="238" w:name="pg12898_147942"/>
    </w:p>
    <w:p>
      <w:pPr>
        <w:pStyle w:val="BookText"/>
        <w:rPr/>
      </w:pPr>
      <w:bookmarkEnd w:id="238"/>
      <w:r>
        <w:rPr>
          <w:rFonts w:ascii="IRNazanin" w:hAnsi="IRNazanin" w:eastAsia="IRNazanin"/>
          <w:color w:val="111111"/>
          <w:sz w:val="28"/>
          <w:sz w:val="28"/>
          <w:szCs w:val="28"/>
          <w:rtl w:val="true"/>
          <w:lang w:bidi="fa-IR"/>
        </w:rPr>
        <w:t>فیه، و أنّه مثبت؛ لأنّ الملاک فی اتّحاد الموضوع و ترتّب الأثر علی المستصحب، هو النظر العرفی الدِّقّی، لا المسامحی فی محیط العرف؛ بحیث یُعدّ مسامحة لدیهم، و ذلک مثل الدم، فإنّه لا یطلق علی لونه الباقی بعد زوال عینه عند العرف، إلّا مسامحة و إن کان باقیاً بنظر العقل من جهة استحالة انتقال العرض من موضوعه إلی موضوع آخر، فلا یجری الاستصحاب فیه بعد زوال عینه مع بقاء لونه؛ لعدم اتّحاد القضیّة المتیقَّنة مع المشکوکة عرفاً إلّا مسامحة عندهم</w:t>
      </w:r>
      <w:r>
        <w:rPr>
          <w:rFonts w:eastAsia="IRNazanin" w:cs="IRNazanin"/>
          <w:color w:val="111111"/>
          <w:sz w:val="28"/>
          <w:szCs w:val="28"/>
          <w:rtl w:val="true"/>
          <w:lang w:bidi="fa-IR"/>
        </w:rPr>
        <w:t>.</w:t>
      </w:r>
    </w:p>
    <w:p>
      <w:pPr>
        <w:pStyle w:val="Heading6"/>
        <w:numPr>
          <w:ilvl w:val="5"/>
          <w:numId w:val="1"/>
        </w:numPr>
        <w:rPr/>
      </w:pPr>
      <w:bookmarkStart w:id="239" w:name="__RefHeading___Toc3234840_3224264995"/>
      <w:bookmarkStart w:id="240" w:name="_Toc89"/>
      <w:bookmarkEnd w:id="239"/>
      <w:r>
        <w:rPr>
          <w:rtl w:val="true"/>
        </w:rPr>
        <w:t>حال الأمثلة التی ذکرها الشیخ الأعظم قدس سره</w:t>
      </w:r>
      <w:bookmarkEnd w:id="240"/>
    </w:p>
    <w:p>
      <w:pPr>
        <w:pStyle w:val="BookText"/>
        <w:rPr/>
      </w:pPr>
      <w:r>
        <w:rPr>
          <w:rFonts w:ascii="IRNazanin" w:hAnsi="IRNazanin" w:eastAsia="IRNazanin"/>
          <w:color w:val="111111"/>
          <w:sz w:val="28"/>
          <w:sz w:val="28"/>
          <w:szCs w:val="28"/>
          <w:rtl w:val="true"/>
          <w:lang w:bidi="fa-IR"/>
        </w:rPr>
        <w:t>و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الأمثلة التی ذکرها الشیخ الأعظم قدس سره لخفاء الواسطة</w:t>
      </w:r>
      <w:r>
        <w:rPr>
          <w:rStyle w:val="FootnoteAnchor"/>
          <w:rtl w:val="true"/>
        </w:rPr>
        <w:footnoteReference w:id="262"/>
      </w: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استصحاب بقاء رطوبة النجس الذی لاقاه جسم جافّ، فإنّ الحکم بنجاسة الملاقی إنّما هو من آثار السرایة من النجس الرطب إلیه، لا الرطوبة، و العرف أیضاً یُدرک هذه الواسطة، و أنّ الحکم بنجاسة الملاقی للنجس الرطب إنّما هو لأجل السرایة و التأثیر و التأثّر بانتقال أجزاء النجاسة منه إلیه، فمجرّد استصحاب بقاء الرطوبة لا یفید و لا یثبت السرایة التی هی الموضوع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استصحاب عدم المانع و الحاجب لو شکّ فی وجودهما فی محلّ الغسل و المسح؛ لإثبات غسل البشرة و مسحها المأمور بهما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للحکم هو غسل البدن عند العرف، و لا یثبت ذلک باستصحاب عدم المانع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الاعتناء باحتمال وجود المانع من الامور التی</w:t>
      </w:r>
    </w:p>
    <w:p>
      <w:pPr>
        <w:pStyle w:val="BookText"/>
        <w:rPr/>
      </w:pPr>
      <w:r>
        <w:rPr>
          <w:rFonts w:ascii="IRNazanin" w:hAnsi="IRNazanin" w:eastAsia="IRNazanin"/>
          <w:color w:val="111111"/>
          <w:sz w:val="28"/>
          <w:sz w:val="28"/>
          <w:szCs w:val="28"/>
          <w:rtl w:val="true"/>
          <w:lang w:bidi="fa-IR"/>
        </w:rPr>
        <w:t>استقرّ بناؤهم علیه، فهو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دخول هلال شوّال یوم الشکّ، المثبت لکونه یوم الثلاثین من شهر رمضان، و إثبات أنّ غده یوم الفطر، فیترتّب علیه أحکامه، و أنّ غدَ الغد، الیوم الثانی من شوّال، و هکذا إلی الیوم الثامن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التاسع و عید الأضحی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الإشکال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لا یثبت هذه،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الشهر مرکّب من الیوم الذی من شوّال و لم یسبق بمثله، أو الیوم الذی منه المسبوق بضدّه، فإنّ أحد الجزءین محرَز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یوماً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بالاستصحاب؛ أی استصحاب عدم هلال شوّال، أو استصحاب بقاء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الشکّ، فالغد أوّل شوّال، و لأنّه یوم مسبوق بعدم مثله و بعده ثانیه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فیترتّب علیه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الشهر لیس مرکّباً، بل عنوان وجودیّ بسیط، و هو مقابل الوسط و الآخِر منه، فإنّ الشهر نظیر سلسلة لها أوّل و وسط و آخر، و لا یثبت هذا العنوان الوجودی باستصحاب عدم هلال شوّال؛ لیترتّب علیه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مرکّب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أحدهما بالوجدان، و الآخر بالأصل، فیثبت أنّه أوّل شوّال، و یترتّب علیه أحکامه، لکن لا یثبت بذلک أنّ ما بعده ثانی شوّال، و هکذا، و لا یثبت یوم الترویة و عرفة و الأضحی بذلک؛ لیترتّب علیها أحکامها، کما ذکره بعض الأعاظم قدس سره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هنا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بناء المسلمین علی العمل بذلک و إثبات یوم الترویة و عرفة و الأضحی به، فلو لم یعتبر هذا الاستصحاب یلزم تعطیل أحکامها فی</w:t>
      </w:r>
    </w:p>
    <w:p>
      <w:pPr>
        <w:pStyle w:val="BookText"/>
        <w:rPr/>
      </w:pPr>
      <w:r>
        <w:rPr>
          <w:rFonts w:ascii="Amiri" w:hAnsi="Amiri" w:eastAsia="Amiri" w:cs="Amiri"/>
          <w:color w:val="111111"/>
          <w:sz w:val="28"/>
          <w:sz w:val="28"/>
          <w:szCs w:val="28"/>
          <w:rtl w:val="true"/>
          <w:lang w:bidi="ar-SA"/>
        </w:rPr>
        <w:t>صورة الشکّ فی أوّل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عنه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لأحکام أوّل الشهر، هو یوم رؤیة الهلال، أو الیوم الذی انقضی قبله من الشهر الماضی ثلاثون یوماً، و کذا المراد من ثامن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انقضی من رؤیة هلال ذی الحجّة ثمانیة أیّام، لا الأوّل و الثامن الواقعیّان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ما یستفاد من الأدلّة، و لما هو المرتکز فی الأذهان؛ إذ لیس للرؤیة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الواقعی، و ثانیهما الشرعی، و کذلک أوّل الشهر و غیره، و لو کان الموضوع للحکم ما ذکره قدس سره لزم عدم وجوب قضاء صوم الیوم الذی حکم بعدم کونه من رمضان، فأفطر، ثمّ بان الخلاف، و أنّه من رمضان، و هو کما تری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تنحسم به مادّة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استقرّ بناء المسلمین من صدر الإسلام إلی زماننا هذا علی ذلک، و ورد به أیضاً روایات دالّة علی أنّ شهر رمضان کسائر الشهور یزید و ینقص</w:t>
      </w:r>
      <w:r>
        <w:rPr>
          <w:rStyle w:val="FootnoteAnchor"/>
          <w:rtl w:val="true"/>
        </w:rPr>
        <w:footnoteReference w:id="265"/>
      </w:r>
      <w:r>
        <w:rPr>
          <w:rFonts w:ascii="IRNazanin" w:hAnsi="IRNazanin" w:eastAsia="IRNazanin"/>
          <w:color w:val="111111"/>
          <w:sz w:val="28"/>
          <w:sz w:val="28"/>
          <w:szCs w:val="28"/>
          <w:rtl w:val="true"/>
          <w:lang w:bidi="fa-IR"/>
        </w:rPr>
        <w:t>، و أمر فیها بصوم ثلاثین یوماً مع الشکّ فی آخره</w:t>
      </w:r>
      <w:r>
        <w:rPr>
          <w:rStyle w:val="FootnoteAnchor"/>
          <w:rtl w:val="true"/>
        </w:rPr>
        <w:footnoteReference w:id="266"/>
      </w:r>
      <w:r>
        <w:rPr>
          <w:rFonts w:ascii="IRNazanin" w:hAnsi="IRNazanin" w:eastAsia="IRNazanin"/>
          <w:color w:val="111111"/>
          <w:sz w:val="28"/>
          <w:sz w:val="28"/>
          <w:szCs w:val="28"/>
          <w:rtl w:val="true"/>
          <w:lang w:bidi="fa-IR"/>
        </w:rPr>
        <w:t>، و عدم وجوب صوم یوم الشکّ فی أوّله</w:t>
      </w:r>
      <w:r>
        <w:rPr>
          <w:rStyle w:val="FootnoteAnchor"/>
          <w:rtl w:val="true"/>
        </w:rPr>
        <w:footnoteReference w:id="267"/>
      </w:r>
      <w:r>
        <w:rPr>
          <w:rFonts w:ascii="IRNazanin" w:hAnsi="IRNazanin" w:eastAsia="IRNazanin"/>
          <w:color w:val="111111"/>
          <w:sz w:val="28"/>
          <w:sz w:val="28"/>
          <w:szCs w:val="28"/>
          <w:rtl w:val="true"/>
          <w:lang w:bidi="fa-IR"/>
        </w:rPr>
        <w:t>، و وجوب صوم ما بعد الثلاثین من شعبان</w:t>
      </w:r>
      <w:r>
        <w:rPr>
          <w:rStyle w:val="FootnoteAnchor"/>
          <w:rtl w:val="true"/>
        </w:rPr>
        <w:footnoteReference w:id="268"/>
      </w:r>
      <w:r>
        <w:rPr>
          <w:rFonts w:ascii="IRNazanin" w:hAnsi="IRNazanin" w:eastAsia="IRNazanin"/>
          <w:color w:val="111111"/>
          <w:sz w:val="28"/>
          <w:sz w:val="28"/>
          <w:szCs w:val="28"/>
          <w:rtl w:val="true"/>
          <w:lang w:bidi="fa-IR"/>
        </w:rPr>
        <w:t>، و حینئذٍ فلا إشکال</w:t>
      </w:r>
      <w:r>
        <w:rPr>
          <w:rFonts w:eastAsia="IRNazanin" w:cs="IRNazanin"/>
          <w:color w:val="111111"/>
          <w:sz w:val="28"/>
          <w:szCs w:val="28"/>
          <w:rtl w:val="true"/>
          <w:lang w:bidi="fa-IR"/>
        </w:rPr>
        <w:t>.</w:t>
      </w:r>
      <w:bookmarkStart w:id="241" w:name="pg12898_147945"/>
    </w:p>
    <w:p>
      <w:pPr>
        <w:pStyle w:val="Heading5"/>
        <w:numPr>
          <w:ilvl w:val="4"/>
          <w:numId w:val="1"/>
        </w:numPr>
        <w:rPr/>
      </w:pPr>
      <w:bookmarkStart w:id="242" w:name="__RefHeading___Toc3234842_3224264995"/>
      <w:bookmarkStart w:id="243" w:name="_Toc90"/>
      <w:bookmarkEnd w:id="241"/>
      <w:bookmarkEnd w:id="242"/>
      <w:r>
        <w:rPr>
          <w:rtl w:val="true"/>
        </w:rPr>
        <w:t>تذنیب حول ما أفاده صاحب الکفایة فی تنبیهه الثامن یذکر فیه امور</w:t>
      </w:r>
      <w:r>
        <w:rPr>
          <w:rtl w:val="true"/>
        </w:rPr>
        <w:t>:</w:t>
      </w:r>
      <w:bookmarkEnd w:id="243"/>
    </w:p>
    <w:p>
      <w:pPr>
        <w:pStyle w:val="Heading6"/>
        <w:numPr>
          <w:ilvl w:val="5"/>
          <w:numId w:val="1"/>
        </w:numPr>
        <w:rPr/>
      </w:pPr>
      <w:bookmarkStart w:id="244" w:name="__RefHeading___Toc3234844_3224264995"/>
      <w:bookmarkStart w:id="245" w:name="_Toc91"/>
      <w:bookmarkEnd w:id="244"/>
      <w:r>
        <w:rPr>
          <w:rtl w:val="true"/>
        </w:rPr>
        <w:t>الأمر الأوّل</w:t>
      </w:r>
      <w:r>
        <w:rPr>
          <w:rtl w:val="true"/>
        </w:rPr>
        <w:t xml:space="preserve">: </w:t>
      </w:r>
      <w:r>
        <w:rPr>
          <w:rtl w:val="true"/>
        </w:rPr>
        <w:t>إن استصحاب العنوان المنطبق علی الخارج لیس بمثبت</w:t>
      </w:r>
      <w:bookmarkEnd w:id="245"/>
    </w:p>
    <w:p>
      <w:pPr>
        <w:pStyle w:val="BookText"/>
        <w:rPr/>
      </w:pPr>
      <w:r>
        <w:rPr>
          <w:rFonts w:ascii="IRNazanin" w:hAnsi="IRNazanin" w:eastAsia="IRNazanin"/>
          <w:color w:val="111111"/>
          <w:sz w:val="28"/>
          <w:sz w:val="28"/>
          <w:szCs w:val="28"/>
          <w:rtl w:val="true"/>
          <w:lang w:bidi="fa-IR"/>
        </w:rPr>
        <w:t>تقدّم أنّ استصحاب کلّ من الکلّی و الفرد لا یُغنی عن استصحاب الآخر، و لا یترتّب علیه إلّا آثار نفس المستصحب، فإن کان الموضوع للحکم هو الکلّی فاستصحاب فرده لا یفید فی ترتّب ذلک الحکم، فإنّهما و إن اتّحدا فی الخارج، لکنّهما متغایران و متمایزان بحسب العنوان و فی عالم تعلّق الأحکام بهما، و مجرّد اتّحادهما فی الخارج لا یکفی فی ترتّب أحکام الکلّی باستصحاب الفرد؛ لما عرفت من أنّ المناط فی جریان الاستصحابات الموضوعیّة هو تنقیحها لموضوع الأدلّة الاجتهادیة، فإن کان للمستصحب أثر شرعیّ صحّ استصحابه، و إلّا فلا؛ من غیر فرق بین أن یکون الکلّی من العناوین الانتزاعیّة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المنتزع عن مرتبة ذاته، أو بملاحظة أمر آخر فی منشأ انتزاعه ممّا هو المحمول 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العناوین الذاتیّة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خارج المحمول و المحمول 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بترتیب آثار الکلّی؛ باستصحاب منشأ الانتزاع فی الأوّل دون الثانی</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لعدم الفرق بینهما، إلّا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فی المحمول بالضمیمة کأنّه أمر زائد</w:t>
      </w:r>
    </w:p>
    <w:p>
      <w:pPr>
        <w:pStyle w:val="BookText"/>
        <w:rPr/>
      </w:pPr>
      <w:r>
        <w:rPr>
          <w:rFonts w:ascii="IRNazanin" w:hAnsi="IRNazanin" w:eastAsia="IRNazanin"/>
          <w:color w:val="111111"/>
          <w:sz w:val="28"/>
          <w:sz w:val="28"/>
          <w:szCs w:val="28"/>
          <w:rtl w:val="true"/>
          <w:lang w:bidi="fa-IR"/>
        </w:rPr>
        <w:t>علی ذلک الموجود الخارجی فباستصحاب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عنوان الأبیض لیترتّب علیه آثاره، بخلاف خارج المحمول، فإنّه عین وجود الفرد المنشأ لانتزاعه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فارق، فإنّ وجود المنتزع فی المحمول بالضمیمة أیضاً بعین وجود منشأ انتزاعه فی الخارج، و لا وجود له فیه سوی وجوده، لکن قد عرفت أنّ مجرّد الاتّحاد فی الخارج، لا یکفی فی ذلک مع تغایرهما فی عالم الموضوعیّة للأحکام، فالمنتزع فی عالم العنوان غیر المنتزع عنه، فاستصحاب أحدهما لا یُغنی عن الآخر، کما لو فرض ثبوت حکم لعنوان الفوقیّة أو التحتیّة و نحوهما من الانتزاعیّات، فإنّها و إن اتّحدت فی الخارج مع منشأ انتزاعها، لکن منشأ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الجسم الخارجی الذی هو فوق المرکز أو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متعلّق ذلک الحکم و موضوعه، فاستصحابه لا یفید فی ترتّب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وجود هذا العنوان فی الخارج و انطباقه علیه و سریان الحکم إلی الخارج، یحکم العرف بأنّ هذا الموجود فی الخارج موضوع للحکم، کما لو وجد فرد من العالِم الذی تعلّق به الحکم بوجوب الإکرام، فلو شکّ فی بقاء علمه یستصحب بقاء علمه و اتّصافه بعنوان العالم، و یترتّب علیه الحکم بوجوب إکرامه، لکن الحکم بوجوب إکرامه إنّما هو من جهة أنّه عالم، مع احتمال کون هذا العنوان واسطة فی ثبوت الحکم لا العروض</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المأخوذ فی الدلیل الاجتهادی و إن کان هو عنوان العالم بنحو الکلّی، لکن بعد وجوده فی الخارج فهو واجب الإکرام، و لا مانع من استصحاب عالمیّته و ترتّب ذلک الحکم علیه لاتّحاد القضیّة المتیقّنة مع المشکوکة؛ لأنّ الموضوع هو هذا الشخص الخارجی، و هو باقٍ بعد، و لا یراد هنا استصحاب الفرد و إثبات الکلّی، و لا فرق فی ذلک بین کون الکلّی المنطبق علیه من العناوین الذاتیّة لهذا</w:t>
      </w:r>
      <w:bookmarkStart w:id="246" w:name="pg12898_147947"/>
    </w:p>
    <w:p>
      <w:pPr>
        <w:pStyle w:val="BookText"/>
        <w:rPr/>
      </w:pPr>
      <w:bookmarkEnd w:id="246"/>
      <w:r>
        <w:rPr>
          <w:rFonts w:ascii="IRNazanin" w:hAnsi="IRNazanin" w:eastAsia="IRNazanin"/>
          <w:color w:val="111111"/>
          <w:sz w:val="28"/>
          <w:sz w:val="28"/>
          <w:szCs w:val="28"/>
          <w:rtl w:val="true"/>
          <w:lang w:bidi="fa-IR"/>
        </w:rPr>
        <w:t>المصداق؛ ممّا هو من قبیل خارج المحمول، و بین غیره من المحمول بالضمیمة، و لا وجه للفرق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المذکور غیر مستقیم؛ سواء ارید استصحاب الفرد المنتزع عنه و إثبات الکلّی أم لا</w:t>
      </w:r>
      <w:r>
        <w:rPr>
          <w:rFonts w:eastAsia="IRNazanin" w:cs="IRNazanin"/>
          <w:color w:val="111111"/>
          <w:sz w:val="28"/>
          <w:szCs w:val="28"/>
          <w:rtl w:val="true"/>
          <w:lang w:bidi="fa-IR"/>
        </w:rPr>
        <w:t>.</w:t>
      </w:r>
    </w:p>
    <w:p>
      <w:pPr>
        <w:pStyle w:val="Heading6"/>
        <w:numPr>
          <w:ilvl w:val="5"/>
          <w:numId w:val="1"/>
        </w:numPr>
        <w:rPr/>
      </w:pPr>
      <w:bookmarkStart w:id="247" w:name="__RefHeading___Toc3234846_3224264995"/>
      <w:bookmarkStart w:id="248" w:name="_Toc92"/>
      <w:bookmarkEnd w:id="247"/>
      <w:r>
        <w:rPr>
          <w:rtl w:val="true"/>
        </w:rPr>
        <w:t>الأمر الثانی</w:t>
      </w:r>
      <w:r>
        <w:rPr>
          <w:rtl w:val="true"/>
        </w:rPr>
        <w:t xml:space="preserve">: </w:t>
      </w:r>
      <w:r>
        <w:rPr>
          <w:rtl w:val="true"/>
        </w:rPr>
        <w:t>استصحاب الأحکام الوضعیّة</w:t>
      </w:r>
      <w:bookmarkEnd w:id="248"/>
    </w:p>
    <w:p>
      <w:pPr>
        <w:pStyle w:val="BookText"/>
        <w:rPr/>
      </w:pPr>
      <w:r>
        <w:rPr>
          <w:rFonts w:ascii="IRNazanin" w:hAnsi="IRNazanin" w:eastAsia="IRNazanin"/>
          <w:color w:val="111111"/>
          <w:sz w:val="28"/>
          <w:sz w:val="28"/>
          <w:szCs w:val="28"/>
          <w:rtl w:val="true"/>
          <w:lang w:bidi="fa-IR"/>
        </w:rPr>
        <w:t>ثمّ إنّه قدس سره ذکر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الأثر الشرعی المستصحب أو المترتّب علی الموضوع المستصحب؛ بین کونه من الأحکام التکلیفیّة و الوضعیة، و لا بین المجعولة مستقلّاً و غیرها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صحیح، غیر أنّا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الأحکام الوضعیّة قابلة للجعل المستقلّ أیضاً، و لا یمتنع ذلک فی شی‌ء منها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 عویصة یصعب الذبّ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الأمر متعلّق بالصلاة المتقیِّدة بالطهارة و عدم المانع، و استصحاب الطهارة من الحدث و الخبث و سائر الشرائط، لا یثبت أنّ هذه الصلاةَ المأتیّ بها مع استصحاب الطهارة متقیّدةٌ بالطهارة، و هکذا بالنسبة إلی استصحاب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علی استصحاب الطهارة الآثار الشرعیّة المترتّبة علی نفس الطهارة، مع أنّ استصحاب الطهارة من الحدث و الخبث موردا روایتی زرارة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لیست متقیّدة بالطهارة، بل الطهارة و الطهور من الأوصاف المعتبرة فی المصلّی</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عدم وجوب الصلاة علی من لیس علی طهارة، و لا یجب علیه حینئذٍ تحصیلها أیضاً؛ لأنّ مرجعه إلی أنّها شرط التکلیف لا المکلّف به، کالاستطاعة بالنسبة إلی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واجبین و 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الوضوء مثلًا، و ثانیهما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صحّة الصلاة و الخروج عن العهدة بالإتیان بها بدون الطهارة و إن عصی بترک الطهارة و الوضوء علی هذا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مترتّبان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تقیید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الطهارة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بتحقّق الصلاة، و وقوعها بعدها، یلزم عدم صحّة الوضوء مع عدم الإتیان بالصلاة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تقیید الصلاة بوقوعها عقیب الوضوء فهو معنی تقیید الصلاة به، و لا یثبت ذلک التقیید باستصحاب الوضوء من الفاعل، و الإشکال کما تری لا یختصّ باستصحاب المانع و عدمه، بل الشروط أیضاً کذلک، فلا وجه لتخصیصه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بروایتی زرارة بالنسبة إلی استصحاب الطهارة من الحدث و الخبث لخروج الشرائط عن محطّ البحث و الکلام، بخلاف الموانع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عدم اختصاص الأخبار بموردها؛ أی استصحاب الطهارة من الحدث و الخبث؛ لأنّ المستفاد من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نقض الیقین بالشکّ، و لا دَخْل لخصوصیّة موردها، و أنّ الخصوصیّة ملغاة عرفاً، فلو قلنا باعتبار المثبِت</w:t>
      </w:r>
    </w:p>
    <w:p>
      <w:pPr>
        <w:pStyle w:val="BookText"/>
        <w:rPr/>
      </w:pPr>
      <w:r>
        <w:rPr>
          <w:rFonts w:ascii="IRNazanin" w:hAnsi="IRNazanin" w:eastAsia="IRNazanin"/>
          <w:color w:val="111111"/>
          <w:sz w:val="28"/>
          <w:sz w:val="28"/>
          <w:szCs w:val="28"/>
          <w:rtl w:val="true"/>
          <w:lang w:bidi="fa-IR"/>
        </w:rPr>
        <w:t>من الاستصحاب فی خصوص الطهارة من الحدث و الخبث، فغیرهما أیضاً کذلک بإلغاء الخصوصیّة، و مقتضاه حجّیّة المثبِت من الاستصحاب مطلقاً، و هو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یمکن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الآیات و الروایات الواردة فی باب الوضوء، و کذا الإجماع 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273"/>
      </w:r>
      <w:r>
        <w:rPr>
          <w:rFonts w:ascii="Amiri" w:hAnsi="Amiri" w:eastAsia="Amiri" w:cs="Amiri"/>
          <w:color w:val="111111"/>
          <w:sz w:val="28"/>
          <w:sz w:val="28"/>
          <w:szCs w:val="28"/>
          <w:rtl w:val="true"/>
          <w:lang w:bidi="ar-SA"/>
        </w:rPr>
        <w:t>هو أنّ الصلاة مشروطة بصدورها من المتطهّر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الآیة، فإنّ هیئة الأمر فیها و إن استعملت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البعث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یستفاد منها أنّ الصلاة إذا صدرت عن فاعل غیر متطهّر فهی فاسدة، و إذا صدرت من المتطهّر فهی صحیحة، و لیس معنی ذلک إلّا اشتراط الصلاة بصدورها من المتطهّر، و 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الصادرة من المتطهّر صحیحة، و من الغیر المتطهّر فاسدة، فیستفاد منه اشتراطها بصدورها من الفاعل المتطهّر، و حینئذٍ فإذا کان المکلّف متطهّراً سابقاً، و شکّ فی بقائه علی الطهارة، فصلّی باستصحاب الطهارة، فالصلاة الصادرة منه بالوجدان صادرة عن المتطهّر تعبّداً، فهی واجدة للشرط؛ أی صدورها من المتطهّر، و هو کذلک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بالنسبة إلی الموانع فإنّ المستفاد من قوله علیه السلام فی روایة ابن بکیر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فی وَبَر ما لا یُؤکل لحمه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5"/>
      </w:r>
      <w:r>
        <w:rPr>
          <w:rFonts w:ascii="IRNazanin" w:hAnsi="IRNazanin" w:eastAsia="IRNazanin"/>
          <w:color w:val="111111"/>
          <w:sz w:val="28"/>
          <w:sz w:val="28"/>
          <w:szCs w:val="28"/>
          <w:rtl w:val="true"/>
          <w:lang w:bidi="fa-IR"/>
        </w:rPr>
        <w:t>أنّها إذا صدرت من اللّابس لغیر المأکول فهی</w:t>
      </w:r>
    </w:p>
    <w:p>
      <w:pPr>
        <w:pStyle w:val="BookText"/>
        <w:rPr/>
      </w:pPr>
      <w:r>
        <w:rPr>
          <w:rFonts w:ascii="IRNazanin" w:hAnsi="IRNazanin" w:eastAsia="IRNazanin"/>
          <w:color w:val="111111"/>
          <w:sz w:val="28"/>
          <w:sz w:val="28"/>
          <w:szCs w:val="28"/>
          <w:rtl w:val="true"/>
          <w:lang w:bidi="fa-IR"/>
        </w:rPr>
        <w:t>فاسدة، فمع استصحاب کونه لابساً لغیر المأکول، تصیر الصلاة الصادرة منه وجداناً متّصفة بصدورها من اللّابس لغیر المأکول تعبّداً، فهی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الأمر بالنسبة إلی استصحاب عدم المانع و عدم الشرط لإحراز صحّة الصلاة و وقوعها صحیحة فی الأوّل و عدم وقوعها صحیحة فی الثانی؛ حیث إنّه لیس هناک کبری کلّیّة شرعیّة تدلّ علی صحّة الصلاة الصادرة من الفاعل الغیر اللّابس لغیر المأکول، أو علی عدم صحّة الصادرة من الفاعل الغیر الواجد للشرط، بل هو حکم عقلیّ، و الصادر من الشارع عدم صحّة الصلاة الصادرة من اللّابس لغیر المأکول، و صحّة الصلاة الصادرة من المتطهّر، و حینئذٍ فلا تثبت صحّة الصلاة و تحقّقها باستصحاب عدم لبسه لغیر المأکول، و عدم صحّة الصلاة باستصحاب عدم کونه متطهِّراً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مانعیّة شی‌ء للصلاة إلی اشتراط الصلاة بصدورها من الغیر اللّابس لما لا یؤکل لحمه؛ لعدم تصوّر المانعیّة فیما نحن فیه؛ لعدم الضدّیّة التکوینیّة بین الصلاة و بین لبس ما لا یؤکل، فلا بدّ أن یکون عدمه قیداً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حکم عقلیّ لا یساعده فهم العرف المحکّم فهمه فی المقام؛ لوضوح أنّه لا یفهم العرف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فی وَبَر ما لا یُؤکل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مانعیّته للصلاة، لا شرطیّة عدمه لها، کما أنّ المتبادر عرفاً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6"/>
      </w:r>
      <w:r>
        <w:rPr>
          <w:rFonts w:ascii="IRNazanin" w:hAnsi="IRNazanin" w:eastAsia="IRNazanin"/>
          <w:color w:val="111111"/>
          <w:sz w:val="28"/>
          <w:sz w:val="28"/>
          <w:szCs w:val="28"/>
          <w:rtl w:val="true"/>
          <w:lang w:bidi="fa-IR"/>
        </w:rPr>
        <w:t>هو شرطیّة الطهارة من الخبث للصلاة، کتبادر شرطیّة</w:t>
      </w:r>
    </w:p>
    <w:p>
      <w:pPr>
        <w:pStyle w:val="BookText"/>
        <w:rPr/>
      </w:pPr>
      <w:r>
        <w:rPr>
          <w:rFonts w:ascii="Amiri" w:hAnsi="Amiri" w:eastAsia="Amiri" w:cs="Amiri"/>
          <w:color w:val="111111"/>
          <w:sz w:val="28"/>
          <w:sz w:val="28"/>
          <w:szCs w:val="28"/>
          <w:rtl w:val="true"/>
          <w:lang w:bidi="ar-SA"/>
        </w:rPr>
        <w:t>الطهارة من الحدث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الآیة، و حینئذٍ فاستصحاب عدم المانع لا یثبت وقوع الصلاة مع عدم المانع و صحتها؛ لما عرفت أنّه أثر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المستصحب أو المترتِّب علیه بین وجود الأثر و عدمه؛ ضرورة أنّ أمر نفیه بید الشارع کثبوته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لیس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الحکمَ بالبناء العملی علی بقاء المتیقَّن، بل معناه الأمر بعدم نقض الیقین السابق، و التعبّد بأنّه علی یقین، و یعتبر فی استصحاب الموضوعات أن لا یکون التعبّد بذلک لغواً، و لا یعتبر ترتّب الأثر العملی علیه، فقد یکون الشی‌ء مسبوقاً بالوجوب، فباستصحابه یجب الامتثال، و قد یکون مسبوقاً بالعدم، فباستصحابه یکون المکلّف فی السعة، و لیس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المماثل؛ کی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غیر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للشارع رفع الأحکام بمثل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استُکرهوا علیه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ascii="IRNazanin" w:hAnsi="IRNazanin" w:eastAsia="IRNazanin"/>
          <w:color w:val="111111"/>
          <w:sz w:val="28"/>
          <w:sz w:val="28"/>
          <w:szCs w:val="28"/>
          <w:rtl w:val="true"/>
          <w:lang w:bidi="fa-IR"/>
        </w:rPr>
        <w:t>و نحوه، کذلک له الحکم تعبّداً ببقاء عدم الوجوب، خصوصاً علی القول بوجوب الاحتیاط فی الشبهات، کما ذهب إلیه الأخباریّة</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هذه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فی سعة من وجوب الامتثال، و هکذا</w:t>
      </w:r>
      <w:bookmarkStart w:id="249" w:name="pg12898_147952"/>
    </w:p>
    <w:p>
      <w:pPr>
        <w:pStyle w:val="BookText"/>
        <w:rPr/>
      </w:pPr>
      <w:bookmarkEnd w:id="249"/>
      <w:r>
        <w:rPr>
          <w:rFonts w:ascii="IRNazanin" w:hAnsi="IRNazanin" w:eastAsia="IRNazanin"/>
          <w:color w:val="111111"/>
          <w:sz w:val="28"/>
          <w:sz w:val="28"/>
          <w:szCs w:val="28"/>
          <w:rtl w:val="true"/>
          <w:lang w:bidi="fa-IR"/>
        </w:rPr>
        <w:t>الکلام فی الموضوعات، فکما یصحّ استصحاب العالمیّة لزید، و به ینقّح موضوع دلیل وجوب إکرام العلماء، و یکون ذلک توسعة لموضوعه، کذلک یصحّ استصحاب عدم عالمیّته، فیتضیّق به موضوع وجوب إکرام العالم، و فائدته أنّ المکلّف فی سعة من وجوب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مثبِت؛ حیث إنّ المجعول هو وجوب إکرام العالم، و أمّا عدم وجوب إکرام غیر العالم فهو حکم عقلیّ لا شرعیّ، فلا یترتّب علی استصحاب عدم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المقصود إثبات عدم وجوب الإکرام، بل المقصود أنّه یکفی عدم ثبوته لأجل انتفاء موضوعه، و مرجعه أیضاً إلی تنقیح موضوع الدلیل الاجتهادی، کما فی استصحاب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استصحاب عدم المانع لیس من هذا القبیل؛ حیث إنّه لا یثبت باستصحاب عدم کون المصلّی لابساً له وقوع الصلاة و صحتها، کما عرفت توضیحه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أثر شرعیّ مترتّب علی نفس عدم وجود المانع فلا إشکال فی ترتّبه باستصحاب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لاستصحاب عدم الشرط و المانع، بخلاف استصحاب وجودهما</w:t>
      </w:r>
      <w:r>
        <w:rPr>
          <w:rFonts w:eastAsia="IRNazanin" w:cs="IRNazanin"/>
          <w:color w:val="111111"/>
          <w:sz w:val="28"/>
          <w:szCs w:val="28"/>
          <w:rtl w:val="true"/>
          <w:lang w:bidi="fa-IR"/>
        </w:rPr>
        <w:t>.</w:t>
      </w:r>
    </w:p>
    <w:p>
      <w:pPr>
        <w:pStyle w:val="Heading6"/>
        <w:numPr>
          <w:ilvl w:val="5"/>
          <w:numId w:val="1"/>
        </w:numPr>
        <w:rPr/>
      </w:pPr>
      <w:bookmarkStart w:id="250" w:name="__RefHeading___Toc3234848_3224264995"/>
      <w:bookmarkStart w:id="251" w:name="_Toc93"/>
      <w:bookmarkEnd w:id="250"/>
      <w:r>
        <w:rPr>
          <w:rtl w:val="true"/>
        </w:rPr>
        <w:t>الأمر الثالث</w:t>
      </w:r>
      <w:r>
        <w:rPr>
          <w:rtl w:val="true"/>
        </w:rPr>
        <w:t xml:space="preserve">: </w:t>
      </w:r>
      <w:r>
        <w:rPr>
          <w:rtl w:val="true"/>
        </w:rPr>
        <w:t>فی الأثر المترتب علی الأعمّ من الوجود الواقعی و الظاهری</w:t>
      </w:r>
      <w:bookmarkEnd w:id="2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الشرعی الذی یترتّب علی واقع المستصحب یترتّب علی المستصحب، و کذلک الآثار الشرعیّة التی تترتّب علیه بواسطة الأثر</w:t>
      </w:r>
    </w:p>
    <w:p>
      <w:pPr>
        <w:pStyle w:val="BookText"/>
        <w:rPr/>
      </w:pPr>
      <w:r>
        <w:rPr>
          <w:rFonts w:ascii="IRNazanin" w:hAnsi="IRNazanin" w:eastAsia="IRNazanin"/>
          <w:color w:val="111111"/>
          <w:sz w:val="28"/>
          <w:sz w:val="28"/>
          <w:szCs w:val="28"/>
          <w:rtl w:val="true"/>
          <w:lang w:bidi="fa-IR"/>
        </w:rPr>
        <w:t>الشرعی، و أمّا الآثار العقلیّة أو الشرعیّة المترتّبة علی المستصحب بواسطة الأثر العقلی فلا تترتّب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یترتّب علی الحکم الشرعی الأعمّ من الواقعی و الظاهری، فهو أیضاً مترتّب علی استصحابه و إن کان عقلیّاً، مثل صحّة العقوبة علی المخالفة و وجوب الموافقة و حرمة المخالفة العقلیّتین؛ لأنّ موضوع تلک الأحکام العقلیّة محرَز بالاستصحاب حینئذٍ قطعاً، فکما تترتّب هذه الآثار علی حکم اللَّه الواقعی، کذلک تترتّب علی حکم اللَّه الظاهری أیضاً</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الاستصحاب مثبتاً بالنسبة إلی هذه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لکن لا لما ذکره قدس سره، فإنّ الأحکام الظاهریّة کالثابتة بالاستصحاب و خبر الواحد و نحوه أحکام طریقیّة عقلائیّة، أو من قبیل وجوب الاحتیاط للتحفّظ علی الواقع و إحرازه؛ لیس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موافقة و استحقاق عقوبة، بل وجوب موافقتها و حرمة مخالفتها عقلًا إنّما هو لأجل کشفها عن الواقع و عدم العذر فی مخالفة الواقع بترک العمل بها مع إصابتها للواقع؛ بحیث لو لا أصلیة له، لا وجوب للموافقة و لا حرمة للمخالفة، و لا استحقاق للعقوبة، فالواجب فی الحقیقة هو موافقة الحکم الواقعی الذی یحرم مخالفته بلا عذر، و یستحقّ العقوبة علیها، نظیر وجوب الاحتیاط شرعاً أو عقلًا فی موارد الشبهة المقرونة بالعلم الإجمالی، فإنّ وجوب الموافقة فی جمیع تلک الموارد، إنّما هو لقیام الحجّة و البیان و انقطاع العذر و عدم جریان البراءة الشرعیّة و العقلیّة، فعدم کون الاستصحاب مثبتاً بالنسبة إلی المذکورات إنّما هو لما ذکرناه، لا 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تلک الآثار للأعمّ من الحکم الظاهری و الواقعی، فتدبّر</w:t>
      </w:r>
      <w:r>
        <w:rPr>
          <w:rFonts w:eastAsia="IRNazanin" w:cs="IRNazanin"/>
          <w:color w:val="111111"/>
          <w:sz w:val="28"/>
          <w:szCs w:val="28"/>
          <w:rtl w:val="true"/>
          <w:lang w:bidi="fa-IR"/>
        </w:rPr>
        <w:t>.</w:t>
      </w:r>
      <w:bookmarkStart w:id="252" w:name="pg12898_147955"/>
    </w:p>
    <w:p>
      <w:pPr>
        <w:pStyle w:val="Heading4"/>
        <w:numPr>
          <w:ilvl w:val="3"/>
          <w:numId w:val="1"/>
        </w:numPr>
        <w:rPr/>
      </w:pPr>
      <w:bookmarkStart w:id="253" w:name="__RefHeading___Toc3234850_3224264995"/>
      <w:bookmarkStart w:id="254" w:name="_Toc94"/>
      <w:bookmarkEnd w:id="252"/>
      <w:bookmarkEnd w:id="253"/>
      <w:r>
        <w:rPr>
          <w:rtl w:val="true"/>
        </w:rPr>
        <w:t>التنبیه الثامن فی أصالة تأخّر الحادث</w:t>
      </w:r>
      <w:bookmarkEnd w:id="254"/>
    </w:p>
    <w:p>
      <w:pPr>
        <w:pStyle w:val="Heading5"/>
        <w:numPr>
          <w:ilvl w:val="4"/>
          <w:numId w:val="1"/>
        </w:numPr>
        <w:rPr/>
      </w:pPr>
      <w:bookmarkStart w:id="255" w:name="__RefHeading___Toc3234852_3224264995"/>
      <w:bookmarkStart w:id="256" w:name="_Toc95"/>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کما لا إشکال فی جریان الاستصحاب فیما لو شکّ فی بقاء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کحیاة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أجزاء الزمان، کذلک لا إشکال فی جریانه فیما لو شکّ فی بعض أجزاء الزمان مع العلم بعدمه فی جزء آخر منه، کما لو شکّ فی بقاء زید یوم الخمیس مع العلم بموته یوم الجمعة فإنّه لا إشکال فی جریان استصحاب عدم موته یوم الخمیس لو ترتّب الأثر الشرعی علی عدم موته یومه، و کذلک استصحاب حیاته، نعم لا یثبت به حدوث موته یوم الجمعة، أو عنوان تأخّر موته عن الخمیس، فلا یترتّب آثارهما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إشکال فیه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لوحظ ذلک بالنسبة إلی حادث آخر، کما لو علم بموت زید و عمرو، أو حدوث الکرّیة للماء القلیل و ملاقاته للثوب النجس، و شکّ فی المتقدّم و المتأخّر منهما أو فی تقارنهما، فلا إشکال أیضاً فی جریان عدم التقدّم و التأخّر و المقارنة بنحو الکون التامّ، مع ترتّب الأثر الشرعی علی تلک العناوین، فإنّ کلّ واحد من عناوین تقدّم الکرّیّة و تأخّرها عن الملاقاة، أو تقدّم الملاقاة أو تأخّرها عن الکرّیّة و المقارنة، لم یکن متحقّقاً سابقاً بنحو الکون التامّ، فالآن کما کان، فیترتّب علیها آثارها، و یتعارضان</w:t>
      </w:r>
    </w:p>
    <w:p>
      <w:pPr>
        <w:pStyle w:val="BookText"/>
        <w:rPr/>
      </w:pPr>
      <w:r>
        <w:rPr>
          <w:rFonts w:ascii="Amiri" w:hAnsi="Amiri" w:eastAsia="Amiri" w:cs="Amiri"/>
          <w:color w:val="111111"/>
          <w:sz w:val="28"/>
          <w:sz w:val="28"/>
          <w:szCs w:val="28"/>
          <w:rtl w:val="true"/>
          <w:lang w:bidi="ar-SA"/>
        </w:rPr>
        <w:t>علی فرض ترتّب أثرٍ شرعیٍّ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لا إشکال فی جریان عدم هذه العناوین بنحو السلب الناقص البسیط مع ترتّب أثر شرعیّ 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کرّیّة هذا الماء متقدّمة علی الملاقاة، و یشکّ فی ذلک، فیستصحب، نظیر استصحاب عدم عدالة زید کذلک،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لم یکن عادلًا سابقاً، فالآن کما کان، و أمثال ذلک ممّا کان هناک شی‌ء یسلب عنه صفة فی السابق، و یُشکّ فیه بعد ذلک، مثل ما لو علم أنّ زیداً لم یکن متقدّماً علی عمرو فی دخول البیت، و شکّ فیه بعد ذلک، فیستصحب عدم تقدّمه علیه لو ترتّب أثر شرعیّ علی هذا العدم، و کذلک استصحاب عدم تأخّره و مقارنته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أثر شرعیّ مترتّب علی هذا العدم؛ أی الموضوع الذی سلبت عنه صفة، بل یترتّب علی موضوع حادث آخر متّصف بأمر وجودیّ أو عدمیّ، کعنوان تقدّم دخول عمرو فی البیت علی زید أو تأخّر دخوله، فلا حالة سابقة لهذا العنوان؛ لأنّه لم یتحقّق الدخول فی البیت متّصفاً بالتقدّم أو التأخّر، و شکّ فیه بعد ذلک؛ حتّی یستصحب، و لا یثبت هذا العنوان الموضوع للأثر الشرعی باستصحاب عدم تقدّم زید علی عمرو فی الدخول و إن کان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ترتّب الأثر علی وجود أحدهما بنحو خاصّ من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ترتّب علی عدم أحدهما فی زمان الآخر، کنفوذ عقد الأب الواقع فی زمان عدم وجود عقد الجدّ أو بالعکس، فهل یجری استصحاب عدم حدوثه إلی زمان حدوث عقد الآخر و بالعکس، فیتساقطان بالمعارضة، أو لا یجریان أصلًا؟</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أوّلهما الشیخ الأعظم قدس سره، فذهب إلی جریانهما</w:t>
      </w:r>
      <w:r>
        <w:rPr>
          <w:rStyle w:val="FootnoteAnchor"/>
          <w:rtl w:val="true"/>
        </w:rPr>
        <w:footnoteReference w:id="282"/>
      </w:r>
      <w:r>
        <w:rPr>
          <w:rFonts w:ascii="IRNazanin" w:hAnsi="IRNazanin" w:eastAsia="IRNazanin"/>
          <w:color w:val="111111"/>
          <w:sz w:val="28"/>
          <w:sz w:val="28"/>
          <w:szCs w:val="28"/>
          <w:rtl w:val="true"/>
          <w:lang w:bidi="fa-IR"/>
        </w:rPr>
        <w:t>، و ثانیهما المحقّق</w:t>
      </w:r>
      <w:bookmarkStart w:id="257" w:name="pg12898_147957"/>
    </w:p>
    <w:p>
      <w:pPr>
        <w:pStyle w:val="BookText"/>
        <w:rPr/>
      </w:pPr>
      <w:bookmarkEnd w:id="257"/>
      <w:r>
        <w:rPr>
          <w:rFonts w:ascii="IRNazanin" w:hAnsi="IRNazanin" w:eastAsia="IRNazanin"/>
          <w:color w:val="111111"/>
          <w:sz w:val="28"/>
          <w:sz w:val="28"/>
          <w:szCs w:val="28"/>
          <w:rtl w:val="true"/>
          <w:lang w:bidi="fa-IR"/>
        </w:rPr>
        <w:t>الخراسانی قدس سره، و استدلّ علی ذلک بعدم إحراز اتّصال زمان الشکّ بالیقین المعتبر فی الاستصحاب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3234854_3224264995"/>
      <w:bookmarkStart w:id="259" w:name="_Toc96"/>
      <w:bookmarkEnd w:id="258"/>
      <w:r>
        <w:rPr>
          <w:rtl w:val="true"/>
        </w:rPr>
        <w:t>ضابط اتصال زمان الشکّ بالیقین</w:t>
      </w:r>
      <w:bookmarkEnd w:id="2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باتّصال زمان الشکّ بالیقین المستفاد من الأدلّة هو عدم تخلّل یقین آخر بالخلاف بین الیقین السابق و الشکّ اللّاحق، فإنّه حینئذٍ لا یجری استصحاب الیقین السابق، کما لو علم بعدالة زید عند الطلوع، و علم بفسقه عند الزوال و شکّ فی عدالته و فسقه عند الغروب، فإنّه لا ریب فی عدم انطباق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استصحاب عدالته؛ لانتقاض العلم بها بالعلم بفسقه عند الزوال، و الشکّ إنّما هو فی حدوث عدالته عند الغروب، بل یشمله قوله علیه السلام فی ذیل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بأنّه لیس حکماً آخر، بل بیان لحکم الصدر، بل هو مورد استصحاب الفسق، و یشمله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الشکّ بالنسبة إلیه شکّ فی البقاء، و أمّا بالنسبة إلی العدالة فهو شکّ فی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یمکن تصویر الشکّ فی اتّصال زمان الشکّ بالیقین و عدمه أو لا؟ فإنّ تصویر الشبهة المصداقیّة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فرع تصویر ذلک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تصویره، کما ذهب إلیه المیرزا النائینی قدس سره و مثّل له بأمثلة،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ظهورها أو وضوحها، و هو ما إذا کان إناء من الماء فی الجانب الشرقی من البیت، و آخر فی الغربیّ منه، و علم بنجاستهما تفصیلًا، لکن أصاب المطر ما فی الجانب الشرقی بمرأی منه و منظره، فطهّره، ثم اشتبه بالآخر، فإنّه یعلم بأنّ کلّ واحد منهما کان نجساً سابقاً، و شکّ فی طهارته، لکن لا یتّصل الشکّ فیهما بالیقین؛ لتخلّل</w:t>
      </w:r>
    </w:p>
    <w:p>
      <w:pPr>
        <w:pStyle w:val="BookText"/>
        <w:rPr/>
      </w:pPr>
      <w:r>
        <w:rPr>
          <w:rFonts w:ascii="IRNazanin" w:hAnsi="IRNazanin" w:eastAsia="IRNazanin"/>
          <w:color w:val="111111"/>
          <w:sz w:val="28"/>
          <w:sz w:val="28"/>
          <w:szCs w:val="28"/>
          <w:rtl w:val="true"/>
          <w:lang w:bidi="fa-IR"/>
        </w:rPr>
        <w:t>الیقین بالخلاف فی أحدهما، و مع الاشتباه یشکّ فی الاتّصال فی کلّ واحد منهما</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المعتبر عدم تخلّل العلم بالخلاف حال الاستصحاب، لا مطلق عدم تخلّله حتی مع زواله حین الاستصحاب؛ لعدم الدلیل علی ذلک، فلو کان علی یقین من عدالة زید لدی الطلوع، و علم بفسقه لدی الزوال، و زال هذا العلم عند الغروب، فلا علم بانتقاض العلم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و فیما ذکره من المثال لا علم تفصیلی بالخلاف حال الاستصحاب، مع اشتباه أحد الإناءین بالآخر؛ حیث یصدق علی کلّ واحد منهما أنّه کان علی یقین من نجاسته، و شکّ فی بقائها؛ لاحتمال إصابة المطر للآخر، فالشکّ فی کلّ واحد منهما متّصل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بإمکانه بتقریب آخر لعدم إحراز اتّصال زمان الشکّ بالیقین، کما لو علم بالجنابة عند الطلوع، و علم بأنّه اغتسل بعدها، و انّه ارتفعت تلک الجنابة، لکن یحتمل حدوث جنابة اخری، فلو رأی فی ثوبه أثر الجنابة، و شکّ فی أنّه من الاولی المعلوم وجودها و ارتفاعها، أو أنّه من الثانیة المحتمل وجودها و 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شبهة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یمکن جریان الاستصحاب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التی هذا الأثر منها کانت معلومة الوجود، و یشکّ فی بقائها و ارتفاعها، فالآن کما کانت، و یترتّب علیه وجوب الغُسل، مع أنّه لا یمکن الالتزام به؛ لأنّ الجنابة المعلومة قد ارتفعت قطعاً بالاغتسال بعدها، و المحتملة لا توجب الغسل؛ لعدم إحرازها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فاجیب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الاستصحاب المذکور؛ لعدم إحراز اتّصال زمان الشکّ بالیقین؛ لتردّد الجنابة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هذا الأثر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مقطوعة الزوال</w:t>
      </w:r>
    </w:p>
    <w:p>
      <w:pPr>
        <w:pStyle w:val="BookText"/>
        <w:rPr/>
      </w:pPr>
      <w:r>
        <w:rPr>
          <w:rFonts w:ascii="IRNazanin" w:hAnsi="IRNazanin" w:eastAsia="IRNazanin"/>
          <w:color w:val="111111"/>
          <w:sz w:val="28"/>
          <w:sz w:val="28"/>
          <w:szCs w:val="28"/>
          <w:rtl w:val="true"/>
          <w:lang w:bidi="fa-IR"/>
        </w:rPr>
        <w:t>و بین محتملة الحدوث و البقاء، و حیث إنّها مردَّدة بینهما یحتمل تخلّل الیقین بالخلاف فی البین، فتصیر شبهة مصداقیّة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لیس مرجعه إلی الشکّ فی الأمر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نفس الشکّ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یقال بعدم إمکانه، بل الشکّ إنّما هو فی إضافة الیقین إلی هذا الفرد من الجنابة المعلوم حدوثها و زوالها، أو إلی الفرد الآخر المحتمل الحدوث و البقاء، فالإجمال إنّما هو فی إضافة الیقین إلی هذا أو إلی ذاک، لا فی نفسه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المذکور لیس لما ذکر، بل لعدم ترتّب أثرٍ شرعیٍّ علی المستصحب المذکور؛ لأنّ موضوع الأثر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الاغتسال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الجنابة، لا الجنابة التی هذا الأثر لها؛ بأن تکون الجنابة جزء الموضوع للأثر، و الجزء الآخر اتّصافها بأنّ هذا الأثر لها، و لا مجال لاستصحاب الجنابة بدون هذه الإضافة؛ لأنّ المفروض أنّه اغتسل بعدها، و الشکّ إنّما هو فی حدوث جنابة اخری، و مجرّد احتمالها لا یوجب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الجنابة التی هذا الأثر لها بنحو الترکیب، فهی و إن کانت متیقَّنة الحدوث و مشکوکة البقاء، لکن لیس لها کذلک أثر شرعیّ یترتّب علیها باستصحابها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إن ارید استصحاب شخص الجنابة، فشخصها مردّد بین مقطوع الزوال و محتمل الحدوث، فالشخص الأوّل منها مقطوع الزوال، فلا یتمّ فیه أرکان الاستصحاب، و الشخص الثانی منها محتمل الحدوث، و لا یقین سابق به، فعدم جریان الاستصحاب فی الفرض لعدم تمامیّة أرکان الاستصحاب، لا لعدم إحراز اتّصال زمان الشکّ بالیقین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استصحاب الکلّی فلا مجال لجریانه أیضاً؛ لأنّه لا بدّ أن یکون من</w:t>
      </w:r>
      <w:bookmarkStart w:id="260" w:name="pg12898_147960"/>
    </w:p>
    <w:p>
      <w:pPr>
        <w:pStyle w:val="BookText"/>
        <w:rPr/>
      </w:pPr>
      <w:bookmarkEnd w:id="260"/>
      <w:r>
        <w:rPr>
          <w:rFonts w:ascii="IRNazanin" w:hAnsi="IRNazanin" w:eastAsia="IRNazanin"/>
          <w:color w:val="111111"/>
          <w:sz w:val="28"/>
          <w:sz w:val="28"/>
          <w:szCs w:val="28"/>
          <w:rtl w:val="true"/>
          <w:lang w:bidi="fa-IR"/>
        </w:rPr>
        <w:t>القسم الثالث من أقسام استصحاب الکلّی، و لیس منه؛ لأنّه لا بدّ فیه من احتمال وجود فرد من الکلّی مقارناً لارتفاع الفرد الأوّل منه أو مقارناً لزمانه، و المحتمل فیما نحن فیه حدوث جنابة بعد زمان ارتفاع الاولی بالاغتسال لا مقارناً لارتفاعها، فلو اغتسل من الاولی عند الطلوع، و احتمل حدوث جنابة اخری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قبیل القسم الثالث من أقسام استصحاب الکلّی؛ لما عرفت، فعدم اتّصال زمان الشکّ بالیقین معلوم فیه، لا أنّه مشکوک</w:t>
      </w:r>
      <w:r>
        <w:rPr>
          <w:rFonts w:eastAsia="IRNazanin" w:cs="IRNazanin"/>
          <w:color w:val="111111"/>
          <w:sz w:val="28"/>
          <w:szCs w:val="28"/>
          <w:rtl w:val="true"/>
          <w:lang w:bidi="fa-IR"/>
        </w:rPr>
        <w:t>.</w:t>
      </w:r>
    </w:p>
    <w:p>
      <w:pPr>
        <w:pStyle w:val="Heading5"/>
        <w:numPr>
          <w:ilvl w:val="4"/>
          <w:numId w:val="1"/>
        </w:numPr>
        <w:rPr/>
      </w:pPr>
      <w:bookmarkStart w:id="261" w:name="__RefHeading___Toc3234856_3224264995"/>
      <w:bookmarkStart w:id="262" w:name="_Toc97"/>
      <w:bookmarkEnd w:id="261"/>
      <w:r>
        <w:rPr>
          <w:rtl w:val="true"/>
        </w:rPr>
        <w:t>إشکال المحقّق الخراسانی فی مجهولی التأریخ و جوابه</w:t>
      </w:r>
      <w:bookmarkEnd w:id="262"/>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 الخراسانی قدس سره إلی عدم جریان الاستصحاب فی مجهولی التاریخ فی واحد من طرفیه، لا أنّه یجری فی کلّ واحد من الطرفین، و یتساقطان بالمعارضة؛ حیث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لو کان مترتّباً علی عدم هذا إلی زمان ذاک و بالعکس، فلا یجری الاستصحابان؛ لعدم إحراز اتّصال زمان الشکّ بالیقین فیهما؛ و ذلک لأنّ المفروض هنا ثلاثة 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العلم بعدم حدوث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العلم بحدوث أحدهما الغیر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العلم بحدوث الآخر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کالصبح و الزوال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عدم حدوث أحدهما فی عمود الزمان و أجزائه، فاستصحاب عدمه جارٍ فی الزمان الثانی للشکّ فی الوجود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موضوع الأثر هو عدم حدوث هذا فی زمان حدوث الآخر، فهذا الشکّ لا یتحقّق فی الزمان الثانی؛ حیث إنّه ما لم یوجد الآخر لا یمکن تحقّق إضافة عدم هذا إلی زمان وجود الآخر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الزمان الثالث فهذا الشکّ متحقّق فیه، لکنّه یعلم إجمالًا فیه بعدم اتّصال</w:t>
      </w:r>
    </w:p>
    <w:p>
      <w:pPr>
        <w:pStyle w:val="BookText"/>
        <w:rPr/>
      </w:pPr>
      <w:r>
        <w:rPr>
          <w:rFonts w:ascii="IRNazanin" w:hAnsi="IRNazanin" w:eastAsia="IRNazanin"/>
          <w:color w:val="111111"/>
          <w:sz w:val="28"/>
          <w:sz w:val="28"/>
          <w:szCs w:val="28"/>
          <w:rtl w:val="true"/>
          <w:lang w:bidi="fa-IR"/>
        </w:rPr>
        <w:t>أحد الشکّین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بوجود أحدهما المتخلّل بین هذا الزمان و بینه، و یحتمل أن یکون المتخلّل الموجود فی الزمان الثانی کلّ واحد منهما</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قدس سره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أنّ المانع من جریان الاستصحاب هنا هو العلم الإجمالی بحدوث أحدهما فی الزمان الثانی، و الآخر فی الزمان الثالث؛ أی العلم الإجمالی الطولی فی عمود الزمان بتقدّم وجود هذا أو ذاک، کما هو الظاهر من عبارته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اتّصالَ زمان الشکّ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عدم تخلّل العلم التفصیلی بالخلاف بینهما، و أمّا العلم الإجمالی بتقدّم هذا أو ذاک فهو محقِّق للشکّ، و مرجعه إلی احتمال عدم اتّصاله؛ لاحتمال تقدّم هذا أو ذاک، لا الیقین بذلک، و لا فرق بین ذلک و بین سائر موارد العلم الإجمالی و أطرافه، إلّا أنّ العلم الإجمالی هنا 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قدس سره أنّ المانع عن جریان الاستصحاب هنا هو العلم الإجمالی بالخلاف فهو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عدم جریانه لعدم إحراز الاتّصال، و احتمال تخلّل الیقین بالخلاف، فهو ممنوع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الاحتمالات علی بُعد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قدس سره أنّ الزمان الثانی و إن کان زمان الشکّ فی وجوده بالنسبة إلی عمود الزمان و أجزائه، لکنّه لیس ظرفاً للشکّ فی عدمه فی زمان وجود الآخر؛ أی العدم المضاف إلی زمان وجود الآخر؛ حیث إنّه لم یُعلم وجوده، و ما لم یعلم وجوده یمتنع الشکّ المذکور؛ أی المضاف إلی زمان وجود</w:t>
      </w:r>
    </w:p>
    <w:p>
      <w:pPr>
        <w:pStyle w:val="BookText"/>
        <w:rPr/>
      </w:pPr>
      <w:r>
        <w:rPr>
          <w:rFonts w:ascii="IRNazanin" w:hAnsi="IRNazanin" w:eastAsia="IRNazanin"/>
          <w:color w:val="111111"/>
          <w:sz w:val="28"/>
          <w:sz w:val="28"/>
          <w:szCs w:val="28"/>
          <w:rtl w:val="true"/>
          <w:lang w:bidi="fa-IR"/>
        </w:rPr>
        <w:t>الآخر و لا ظرفاً للیقین بوجوده و لا عدمه؛ لأنّ المفروض تردّد الموجود فیه بین هذا و ذاک، نعم الزمان الثالث ظرف للشکّ فی تقدّم هذا أو ذاک، فهو شاکّ فیه فی عدم وجود هذا فی زمان وجود الآخر و بالعکس، لکن حیث إنّ الزمان الثانی الذی لیس ظرفاً للشکّ فی عدمه المضاف إلی زمان وجود الآخر، و لا ظرفاً للعلم بوجوده أو عدمه، فهو فاصل بین الزمان الأوّل الذی هو ظرف للیقین بعدم کلّ واحد منهما، و بین الزمان الثالث الذی هو ظرف للشکّ المذکور، فلا مجال لجریان الاستصحاب المذکور فی الزمان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الشکّ الإضافی متحقّق فی الزمان الثالث و إن لم یکن حاصلًا فی الزمان الثانی، و هو متّصل بزمان الیقین، فإنّه لو رجع بنحو القهقری إلی هذا الزمان، کان الشکّ متحقّقاً فی أجزاء تلک الأزمنة المتخلّلة؛ لأنّه شاکّ فی ظرف الزمان الثالث فی أنّ الموجود فی الزمان الثانی هذا أو ذاک، و المعتبر فی الاستصحاب ملاحظة الیقین و الشکّ و اتّصالهما فی حاله، لا فی الحال الذی قبله و حینئذٍ، فلا إشکال فی جریان الاستصحاب فی الزمان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اعتبار اتّصال زمان الشکّ بزمان الیقین حین الاستصحاب، فهو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لا یقین و لا شکّ فی الزمان الثانی، لکن لا دلیل علی اعتبار عدم تخلُّل ذلک بین زمان الشکّ و الیقین، فإنّ المستفاد من أدلّة الاستصحاب اعتبار عدم تخلّل الیقین بالخلاف فی البین فقط، فکما یحکم بالبقاء إلی زمان الشکّ یحکم بالبقاء إلی زمانٍ لا یقین و لا شکّ فیه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لکنّه إنّما یصحّ فیما لو التفت فی الزمان الأوّل إلی العلم بعدم وجود أحدهما، و فی الزمان الثانی إلی العلم بوجود أحدهما، و فی الزمان الثالث إلی العلم بوجود الآخر، و أمّا لو غفل عن ذلک فی الزمان الأوّل و الثانی، و التفت فی الزمان</w:t>
      </w:r>
    </w:p>
    <w:p>
      <w:pPr>
        <w:pStyle w:val="BookText"/>
        <w:rPr/>
      </w:pPr>
      <w:r>
        <w:rPr>
          <w:rFonts w:ascii="IRNazanin" w:hAnsi="IRNazanin" w:eastAsia="IRNazanin"/>
          <w:color w:val="111111"/>
          <w:sz w:val="28"/>
          <w:sz w:val="28"/>
          <w:szCs w:val="28"/>
          <w:rtl w:val="true"/>
          <w:lang w:bidi="fa-IR"/>
        </w:rPr>
        <w:t>الثالث إلی ذلک، فعلم بعدم وجود واحد منهما فی الزمان الأوّل، و وجود أحدهما الغیر المعیّن فی الزمان الثانی، و بوجود الآخر کذلک فی الثالث الذی هو فیه، و شکّ فی المتقدّم و المتأخّر منهما، فإنّ ما أفاده فی وجه عدم جریان الاستصحاب لا یتمّ و لا یجری فی هذه الصورة، فمقتضی ما ذکره هو التفصیل بین هذین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 فی عبارته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الحائری قدس سره فی درسه، و هو أنّ عدم جریان الاستصحاب فی المقام لیس لأجل عدم اتّصال زمان الشکّ بزمان الیقین، بل لأنّه شبهة مصداقیّة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ذلک لأنّ الحادثین اللّذین عُلم بعدم تحقّقهما فی الزمان الأوّل و بتحقّق أحدهما فی الزمان الثانی، و بتحقّق الآخر فی الزمان الثالث، و شُکّ فی المتقدّم منهما و المتأخّر حدوثاً یعلم بتحقّقهما الأعمّ من الحدوث و البقاء فی الزمان الثالث، لکن یشکّ فی أنّ ظرف حدوث هذا هو الزمان الثانی أو الثالث، و کذلک الآخر، و حیث إنّ الزمان الواقعی لکلّ واحد منهما مردّد بین الزمان الثانی و الثالث، فاستصحاب عدم الآخر إلی الزمان الواقعی لوجود ذلک، مردّدٌ بین کونه من نقض الیقین بالیقین إن کان ظرف وجوده الواقعی هو الزمان الثانی، و بین کونه من نقض الیقین بالشکّ إن کان ظرف وجوده الواقعی هو الزمان الثالث، و مع الشکّ فی ذلک لا یصحّ التمسُّک له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بدّ فیه من إحراز کونه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ذلک فی الزمان الثالث و ترتیب الآثار علیه فیه، فلا معنی له؛ لأنّه ظرف العلم بتحقّقهما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إن ارید استصحاب عدم أحدهما فی عمود الزمان إلی زمان وجود الآخر، فلا مجال لاستصحابه؛ لأنّه نقض الیقین بالیقین للعلم بوجودهما فیه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لوحظ استصحابه لا فی عمود الزمان إلی زمان وجود الآخر، بل</w:t>
      </w:r>
    </w:p>
    <w:p>
      <w:pPr>
        <w:pStyle w:val="BookText"/>
        <w:rPr/>
      </w:pPr>
      <w:r>
        <w:rPr>
          <w:rFonts w:ascii="IRNazanin" w:hAnsi="IRNazanin" w:eastAsia="IRNazanin"/>
          <w:color w:val="111111"/>
          <w:sz w:val="28"/>
          <w:sz w:val="28"/>
          <w:szCs w:val="28"/>
          <w:rtl w:val="true"/>
          <w:lang w:bidi="fa-IR"/>
        </w:rPr>
        <w:t>بالنسبة إلی زمان وجود الآخر، فإنّه نقض للیقین بالشکّ لا بالیقین، فلو فرض قیام البیّنة علی عدم حدوث هذا إلی الزمان الثالث فلا بدّ من تکذیبها؛ لمکان العلم بتحقّقهما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قامت البیِّنة علی عدم حدوث عقد الأب إلی زمان حدوث عقد الجدّ، فلیس لنا تکذیبها؛ لعدم العلم بخلافها، و یلزمه تقدّم عقد الجدّ علی عقد الأب؛ لحجّیّة المثبِتات من الأمارات، و حیث إنّه محتمل نأخذ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 بحجّیة مثبتات الاصول أیضاً، فاستصحاب عدم وقوع عقد الأب إلی الزمان الواقعی لحدوث عقد الجدّ یثبت تقدّم عقد الجدّ علی عقد الأب، و یترتّب علیه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الاستصحاب معارض مع استصحاب عدم حدوث عقد الجدّ إلی الزمان الواقعی لحدوث عقد الأب، فیتساقطان بالمعارضة، و حیث إنّ الحقّ عدم حجّیّة مثبتات الاصول، فالاستصحاب المذکور لا یثبت تقدّم هذا علی ذاک، و لا یترتّب علیه آثار نفس التقدّم و التأخّر، لکن یترتّب علیه آثار نفس العدم فی زمان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واقعیّة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یصحّ التمسّک بالعامّ فی الفرد المردّد بین کونه عالماً و غیر عالم؛ لأنّه تمسّک به فی الشبهة المصداقیّة، و قد لا یکون کذلک، کالشکّ و الیقین المأخوذین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فالشبهة المصداقیّة فیه هو المردّد بین کونه من نقض الیقین بالشکّ أو من نقض الیقین بالیقین، لا المردّد بین کونه من نقض الیقین بالشکّ أو من نقض الیقین بالواقع، ففی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نقض الیقین بالیقین فی الزمان الثانی، و إن احتمل کونه من نقض الیقین بالواقع، لکن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کونه شبهة مصداقیّة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bookmarkStart w:id="263" w:name="pg12898_147965"/>
    </w:p>
    <w:p>
      <w:pPr>
        <w:pStyle w:val="BookText"/>
        <w:rPr/>
      </w:pPr>
      <w:bookmarkEnd w:id="263"/>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استصحاب عدمه إلی الزمان الثالث فهو من نقض الیقین بالیقین، و إن ارید استصحابه إلی زمان الوجود الواقعی للآخر فهو من قبیل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مجهولی التأریخ</w:t>
      </w:r>
      <w:r>
        <w:rPr>
          <w:rFonts w:eastAsia="IRNazanin" w:cs="IRNazanin"/>
          <w:color w:val="111111"/>
          <w:sz w:val="28"/>
          <w:szCs w:val="28"/>
          <w:rtl w:val="true"/>
          <w:lang w:bidi="fa-IR"/>
        </w:rPr>
        <w:t>.</w:t>
      </w:r>
    </w:p>
    <w:p>
      <w:pPr>
        <w:pStyle w:val="Heading5"/>
        <w:numPr>
          <w:ilvl w:val="4"/>
          <w:numId w:val="1"/>
        </w:numPr>
        <w:rPr/>
      </w:pPr>
      <w:bookmarkStart w:id="264" w:name="__RefHeading___Toc3234858_3224264995"/>
      <w:bookmarkStart w:id="265" w:name="_Toc98"/>
      <w:bookmarkEnd w:id="264"/>
      <w:r>
        <w:rPr>
          <w:rtl w:val="true"/>
        </w:rPr>
        <w:t>حول ما کان أحدهما معلوم التأریخ</w:t>
      </w:r>
      <w:bookmarkEnd w:id="265"/>
    </w:p>
    <w:p>
      <w:pPr>
        <w:pStyle w:val="Heading6"/>
        <w:numPr>
          <w:ilvl w:val="5"/>
          <w:numId w:val="1"/>
        </w:numPr>
        <w:rPr/>
      </w:pPr>
      <w:bookmarkStart w:id="266" w:name="__RefHeading___Toc3234860_3224264995"/>
      <w:bookmarkStart w:id="267" w:name="_Toc99"/>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و أمّا لو علم تأریخ حدوث أحدهما المعیّن و جهل تاریخ الآخر، کما لو علم بوقوع عقد الجدّ أوّل الزوال، و علم إجمالًا بوقوع عقد الأب إمّا قبل أوّل الزوال أو بعده، فذکر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عدم أحدهما بالنسبة إلی أجزاء الزمان، و ذهب إلی جریان استصحاب عدم مجهول التأریخ إلی زمان حدوث معلوم التأریخ، مع منعه عن ذلک فی مجهولی التأریخ؛ لإحراز اتّصال زمان الشکّ بزمان الیقین هنا، بخلافه هناک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عدم إحراز اتّصال زمانیهما فی مجهولی التأریخ؛ لأجل العلم الإجمالی بوجود أحدهما فی الزمان الثانی، فهذا العلم الإجمالی متحقّق فی ما نحن فیه أیضاً؛ للعلم بتحقّق عقد الأب إمّا قبل الزوال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الاحتمال الثانی الذی احتملناه من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جارٍ فیما نحن فیه أیضاً؛ لأنّه ما لم یتحقّق الزمان الثالث لا یتحقّق الشکّ الإضافی المذکور بناءً علی مسلکه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أراد الاحتمال الثالث الذی ذکره شیخنا الحائری قدس سره فهو مختصّ بمجهولی التأریخ، و لا یتأتّی فیما نحن فیه؛ لأنّ الزمانَ الواقعی لأحدهما المعیّن معیّنٌ، و یحتمل تحقّق الآخر بعده، فیستصحب عدمه إلی زمان حدوثه المعیّن تأریخه</w:t>
      </w:r>
      <w:r>
        <w:rPr>
          <w:rFonts w:eastAsia="IRNazanin" w:cs="IRNazanin"/>
          <w:color w:val="111111"/>
          <w:sz w:val="28"/>
          <w:szCs w:val="28"/>
          <w:rtl w:val="true"/>
          <w:lang w:bidi="fa-IR"/>
        </w:rPr>
        <w:t>.</w:t>
      </w:r>
      <w:bookmarkStart w:id="268" w:name="pg12898_147966"/>
    </w:p>
    <w:p>
      <w:pPr>
        <w:pStyle w:val="BookText"/>
        <w:rPr/>
      </w:pPr>
      <w:bookmarkEnd w:id="268"/>
      <w:r>
        <w:rPr>
          <w:rFonts w:ascii="IRNazanin" w:hAnsi="IRNazanin" w:eastAsia="IRNazanin"/>
          <w:color w:val="111111"/>
          <w:sz w:val="28"/>
          <w:sz w:val="28"/>
          <w:szCs w:val="28"/>
          <w:rtl w:val="true"/>
          <w:lang w:bidi="fa-IR"/>
        </w:rPr>
        <w:t>و محصّل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الحقّ جریان الاستصحاب فی مجهولی التاریخ؛ أی استصحاب عدم أحدهما إلی زمان حدوث الآخر، و یترتّب علیه الآثار المترتّبة علی نفس هذا العدم، فلو ترتّب علی عدم کلّ واحد منهما فی زمان حدوث الآخر أثرٌ شرعیٌّ تعارض الاستصحابان و تساقطا، و کذا فیما لو علم بتأریخ حدوث أحدهما المعیّن، فإنّه یستصحب عدم الآخر إلی زمان حدوث معلوم التأریخ مع ترتّب الأثر علی نفس هذا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 فرعان</w:t>
      </w:r>
      <w:r>
        <w:rPr>
          <w:rFonts w:eastAsia="IRNazanin" w:cs="IRNazanin"/>
          <w:color w:val="111111"/>
          <w:sz w:val="28"/>
          <w:szCs w:val="28"/>
          <w:rtl w:val="true"/>
          <w:lang w:bidi="fa-IR"/>
        </w:rPr>
        <w:t>:</w:t>
      </w:r>
    </w:p>
    <w:p>
      <w:pPr>
        <w:pStyle w:val="Heading6"/>
        <w:numPr>
          <w:ilvl w:val="5"/>
          <w:numId w:val="1"/>
        </w:numPr>
        <w:rPr/>
      </w:pPr>
      <w:bookmarkStart w:id="269" w:name="__RefHeading___Toc3234862_3224264995"/>
      <w:bookmarkStart w:id="270" w:name="_Toc100"/>
      <w:bookmarkEnd w:id="269"/>
      <w:r>
        <w:rPr>
          <w:rtl w:val="true"/>
        </w:rPr>
        <w:t>الفرع الأوّل</w:t>
      </w:r>
      <w:r>
        <w:rPr>
          <w:rtl w:val="true"/>
        </w:rPr>
        <w:t xml:space="preserve">: </w:t>
      </w:r>
      <w:r>
        <w:rPr>
          <w:rtl w:val="true"/>
        </w:rPr>
        <w:t>فی تعاقب النجاسة و الطهارة</w:t>
      </w:r>
      <w:bookmarkEnd w:id="270"/>
    </w:p>
    <w:p>
      <w:pPr>
        <w:pStyle w:val="BookText"/>
        <w:rPr/>
      </w:pPr>
      <w:r>
        <w:rPr>
          <w:rFonts w:ascii="IRNazanin" w:hAnsi="IRNazanin" w:eastAsia="IRNazanin"/>
          <w:color w:val="111111"/>
          <w:sz w:val="28"/>
          <w:sz w:val="28"/>
          <w:szCs w:val="28"/>
          <w:rtl w:val="true"/>
          <w:lang w:bidi="fa-IR"/>
        </w:rPr>
        <w:t>لو علم بطهارةٍ و حدثٍ، و شکّ فی المتقدّم منهما و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فالمنقول عن المشهور فی خصوص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علیه الطهارة؛ لقاعدة الاشتغال و تعارض الاستصحابین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المحقّق أنّه یأخذ بضدّ الحالة السابقة علیهما، فإن کانت هی الطهارة فهو محدث یجب علیه الطهارة، و إن کانت هی الحدث فهو متطهّر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تبعة المتأخّرون عنه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محقّقوا متأخّری المتأخّرین، کالشیخ الأعظم</w:t>
      </w:r>
      <w:r>
        <w:rPr>
          <w:rStyle w:val="FootnoteAnchor"/>
          <w:rtl w:val="true"/>
        </w:rPr>
        <w:footnoteReference w:id="291"/>
      </w:r>
      <w:r>
        <w:rPr>
          <w:rFonts w:ascii="IRNazanin" w:hAnsi="IRNazanin" w:eastAsia="IRNazanin"/>
          <w:color w:val="111111"/>
          <w:sz w:val="28"/>
          <w:sz w:val="28"/>
          <w:szCs w:val="28"/>
          <w:rtl w:val="true"/>
          <w:lang w:bidi="fa-IR"/>
        </w:rPr>
        <w:t>و الفقیه الهمدانی</w:t>
      </w:r>
      <w:r>
        <w:rPr>
          <w:rStyle w:val="FootnoteAnchor"/>
          <w:rtl w:val="true"/>
        </w:rPr>
        <w:footnoteReference w:id="292"/>
      </w:r>
      <w:r>
        <w:rPr>
          <w:rFonts w:ascii="IRNazanin" w:hAnsi="IRNazanin" w:eastAsia="IRNazanin"/>
          <w:color w:val="111111"/>
          <w:sz w:val="28"/>
          <w:sz w:val="28"/>
          <w:szCs w:val="28"/>
          <w:rtl w:val="true"/>
          <w:lang w:bidi="fa-IR"/>
        </w:rPr>
        <w:t>و المیرزا</w:t>
      </w:r>
    </w:p>
    <w:p>
      <w:pPr>
        <w:pStyle w:val="BookText"/>
        <w:rPr/>
      </w:pPr>
      <w:r>
        <w:rPr>
          <w:rFonts w:ascii="IRNazanin" w:hAnsi="IRNazanin" w:eastAsia="IRNazanin"/>
          <w:color w:val="111111"/>
          <w:sz w:val="28"/>
          <w:sz w:val="28"/>
          <w:szCs w:val="28"/>
          <w:rtl w:val="true"/>
          <w:lang w:bidi="fa-IR"/>
        </w:rPr>
        <w:t>النائینی</w:t>
      </w:r>
      <w:r>
        <w:rPr>
          <w:rStyle w:val="FootnoteAnchor"/>
          <w:rtl w:val="true"/>
        </w:rPr>
        <w:footnoteReference w:id="293"/>
      </w:r>
      <w:r>
        <w:rPr>
          <w:rFonts w:ascii="IRNazanin" w:hAnsi="IRNazanin" w:eastAsia="IRNazanin"/>
          <w:color w:val="111111"/>
          <w:sz w:val="28"/>
          <w:sz w:val="28"/>
          <w:szCs w:val="28"/>
          <w:rtl w:val="true"/>
          <w:lang w:bidi="fa-IR"/>
        </w:rPr>
        <w:t>قدّست أسرارهم وافقوا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مجهولی التأریخ و بین المعلوم تأریخ أحدهما؛ و ذلک لأنّ الحالة السابقة للحادثین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معلومة أوْ لا، 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الأثر المترتّب علی الحالة السابقة مثل الأثر المترتِّب علی أحدهما، کما لو کان الثوب سابقاً متنجِّساً بالبول، ثمّ علم بعروض طهارة و نجاسة بالبول علیه بعد ذلک، أو زائد علیه، کما لو علم فی المثال بعروض طهارة و نجاسة بالدم علیه؛ بناءً علی وجوب الغسل مرّتین فی الدم، و من البول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یکونا مجهولی التأریخ، أو یعلم تأریخ أحدهما،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العلم بالحالة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جریان الاستصحاب فی کلّ منهما و تساقطهما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فالمحکی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حدوث مجهول التأریخ إلی زمان المعلوم التأریخ یثبت تأخّره عنه</w:t>
      </w:r>
      <w:r>
        <w:rPr>
          <w:rStyle w:val="FootnoteAnchor"/>
          <w:rtl w:val="true"/>
        </w:rPr>
        <w:footnoteReference w:id="294"/>
      </w:r>
      <w:r>
        <w:rPr>
          <w:rFonts w:ascii="IRNazanin" w:hAnsi="IRNazanin" w:eastAsia="IRNazanin"/>
          <w:color w:val="111111"/>
          <w:sz w:val="28"/>
          <w:sz w:val="28"/>
          <w:szCs w:val="28"/>
          <w:rtl w:val="true"/>
          <w:lang w:bidi="fa-IR"/>
        </w:rPr>
        <w:t>، لکن قد عرفت عدم حجّیّة المثبِت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ترتّب الأثر فی مجهولی التأریخ علی أحدهما فقط، فلا إشکال فی جریان استصحابه بلا معارض</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فیما لو علمت الحالة السابقة علیهما، کما لو فرض کونه محدثاً بالحدث الأصغر، ثمّ علم بعروض طهارة و حدث أصغر آخر، و شکّ فی المتقدّم و المتأخّر منهما مع الجهل بتأریخهما، فذهب المحقّق قدس سره إلی أنّ الحدث السابق مرتفع قطعاً بالطهارة المعلوم وقوعها بعده، و لم یعلم انتقاض تلک الطهارة؛ لجواز تعاقب الحدثین،</w:t>
      </w:r>
    </w:p>
    <w:p>
      <w:pPr>
        <w:pStyle w:val="BookText"/>
        <w:rPr/>
      </w:pPr>
      <w:r>
        <w:rPr>
          <w:rFonts w:ascii="IRNazanin" w:hAnsi="IRNazanin" w:eastAsia="IRNazanin"/>
          <w:color w:val="111111"/>
          <w:sz w:val="28"/>
          <w:sz w:val="28"/>
          <w:szCs w:val="28"/>
          <w:rtl w:val="true"/>
          <w:lang w:bidi="fa-IR"/>
        </w:rPr>
        <w:t>فتستصحب، و کذلک العکس</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یعلم إجمالًا بحدوث حدث آخر أیضاً لم یعلم ارتفاعه، و المعلوم ارتفاعه هو الحدث الأوّل، فکما أنّه یعلم بارتفاع الحدث الأوّل، کذلک یعلم بحدوث حدث آخر لا یعلم ارتفاعه، فیستصحب أیضاً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الکلام فی المقام علی وجه یندفع به هذا الإشکال یحتاج إلی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الأسباب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کسببیّة النوم لانتقاض الوضوء و أمثالها کأسباب الطهارة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اقتضائیّة و فعلیّتها متوقّفة علی عدم مسبوقیّتها بالمثل، فالسببیّة الفعلیّة للنوم بالنسبة للحدث إنّما هی فیما لو عرض للمتطهّر، فأمّا المسبوق بحدث آخر مثله فلیس مسبّباً فعلیّاً للحدث و انتقاض الطهارة، فإنّه لا معنی للحدث بعد الحدث، و کذا الانتقاض بعد الانتقاض، و کذلک سائر الأسباب الشرعیّة، کالنجاسة و الطهارة، و حینئذٍ ففیما نحن فیه و إن علم المکلّف بحدوث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الحدث الأوّل أیضاً، لکنّه إنّما یؤثّر لو وقع بعد الطهارة المعلوم حصولها إجمالًا، و أمّا النوم أو البول الصادر منه قبلها فلا أثر له؛ لما عرفت، لکنّه حیث یعلم بحصول طهارة منه فلا إشکال فی صحّة استصحابها، بخلاف الحدث؛ لعدم العلم بالمؤثّر منه بالحدث الثانی، فمرجعه إلی ضمّ احتمال الحدث بعد الطهارة إلی العلم التفصیلی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الفقیه الهمدانی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حدوث البول الثانی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بصدور الحدث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السبب السابق إن تأخّرت الطهارة عن الحدث واقعاً، أو من السبب الثانی لو تقدّمت علیه، فهو شاکّ فی ارتفاعه، فیستصحب أیضاً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الخلط فی کلامه قدس سره؛ لأنّ ما ذکره قدس سره عبارة اخری عن العلم</w:t>
      </w:r>
    </w:p>
    <w:p>
      <w:pPr>
        <w:pStyle w:val="BookText"/>
        <w:rPr/>
      </w:pPr>
      <w:r>
        <w:rPr>
          <w:rFonts w:ascii="IRNazanin" w:hAnsi="IRNazanin" w:eastAsia="IRNazanin"/>
          <w:color w:val="111111"/>
          <w:sz w:val="28"/>
          <w:sz w:val="28"/>
          <w:szCs w:val="28"/>
          <w:rtl w:val="true"/>
          <w:lang w:bidi="fa-IR"/>
        </w:rPr>
        <w:t>الإجمالی بحدوث النوم إمّا قبل الوضوء، و إمّا بعده، و قد عرفت أنّه غیر مؤثّر لو صدر قبل الوضوء، فهو نظیر العلم الإجمالی إمّا بوقوع العطسة قبل الوضوء أو بعده، فکما أنّ ضمّ العطسة إلی العلم بالوضوء من قبیل ضمّ الحجر إلی جنب الإنسان لا یؤثّر شیئاً، کذلک العلم بالنوم الثانی، فالمعلوم بالإجمال هو حدوث النوم لا الحدث، و المقصود استصحاب الحدث المسبَّب عن النوم، لا استصحاب السبب، فهذا الشخص یعلم بالحدث تفصیلًا قبل الوضوء، و شاکّ فی حدوث حدث آخر بعد الوضوء بعد ارتفاع الحدث الأوّل قطعاً، فهو نظیر ما تقدّم فی شبهة استصحاب الجنابة فیمن رأی فی ثوبه أثر الجنابة علی التفصیل المتقدّم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الخلط فی کلامه قدس سره بین العلم الإجمالی و بین العلم التفصیلی المنضمّ إلی الشکّ البَدْوی، و اشتبه الأمر بینهما، فإنّ العلم الإجمالی إنّما هو فیما لو کان هناک إجمال فی النفس و تردید بین الأطراف، کالنجاسة المعلومة بین هذا الإناء أو ذاک؛ بحیث لو لم یکن النجس أحدهما فالآخر هو النجس، و أمّا لو علم بأنّ هذا الإناء نجس تفصیلًا، و علم بوقوع قطرة من البول إمّا فیه أو فی طاهر، فإنّه یعلم بوقوع قطرة منه فی أحدهما، لکنّه لا یؤثِّر فی وجوب الاجتناب عن الطاهر؛ لأنّ المفروض أنّه یعلم بنجاسة أحدهما المعیّن تفصیلًا لا إجمال فیه، و یشکّ بدواً فی نجاسة الآخر لاحتمال وقوع القطرة فیه، و کذلک لو علم بالجنابة تفصیلًا، ثمّ علم بحصول جنابة اخری و اغتسالٍ من جنابة، و لم یعلم المتقدّم منهما و المتأخّر، فإنّه و إن یعلم بحدوث جنابة اخری إجمالًا، لکن لا إجمال بالنسبة إلی الجنابة الاولی، و یشکّ فی حصول جنابة مؤثّرة فی وجوب الاغتسال أولا؛ لجواز تعاقب الجنابتین، فکذا فیما نحن فیه، فإنّ المعلوم بالإجمال إنّما هو حدوث السبب، کالنوم إمّا قبل الوضوء أو بعده، و أمّا الحدث الذی هو مسبَّب عن النوم فهو معلوم بالتفصیل قبل الوضوء، و یحتمل حدوث حدث آخر بعد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إن ارید استصحاب شخص الحدث فیما لو کانت الحالة السابقة، الحدث، فالمفروض تردّده بین مقطوع الارتفاع و محتمل الحدوث و البقاء، و لا مجال لاستصحاب واحد منهما لاختلال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کلّیّه فهو إنّما یصحّ إذا احتمل وجود جنابة اخری مقارناً لارتفاع الشخص الأوّل منها؛ لیکون من القسم الثالث من أقسام استصحاب الکلّی، و محل الکلام لیس کذلک، و حینئذٍ فلا یحتمل بقاء الکلّی؛ للعلم بعدم اتّصال زمان الشکّ بزمان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کلام المیرزا النائینی، فإنّه قال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فرق فی جریان الاستصحاب بین أن یکون التردید فی مصداق طبیعة الحدث، و بین التردید فی أجزاء الزمان، و ما نحن فیه من قبیل الثانی</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التردید فیما نحن فیه لیس فی عمود الزمان؛ لأنّ التردید فیه فی تقدّم طبیعة الحدث علی الطهارة و عدمه، و المفروض فیه أنّه یعلم بالحدث قبل الوضوء، و یشکّ فی صدور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الوضوء، فلا مجال لاستصحابه؛ لأنّ الشخص الأوّل منه قد ارتفع قطعاً، و المصداق الثانی منه مشکوک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مجهولی التأریخ</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علم تأریخ أحدهما و جهل الآخر، فالحقّ فیه التفصیل بین ما لو کان المعلوم تأریخه مثل الحالة السابقة علیهما أو نقیضه، و لکن کان أثره أنقص من الأثر المترتّب علی الحالة السابقة، و بین ما لو کان ضدّه أو مثله، و لکن له أثر زائد علی أثر الحالة السابقة، ففی الأوّل یجری استصحاب کلّ واحد منهما، و یتعارضان، کما هو المشهور، بخلاف الثانی فیجری استصحاب المعلوم التأریخ فیه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جریانهما فی الأوّل فلأنّه لو فرض کونه محدثاً عند الطلوع، و علم بحدوث سبب آخر لهذا الحدث عند الزوال، و علم بصدور طهارة منه إمّا قبل الزوال أو بعده، فهو بعد الزوال شاکّ فی أنّه محدث أو متطهّر؛ من جهة تردّد الطهارة بین وقوعها قبل الزوال أو بعده، فهو عالم بکونه مُحدِثاً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بسبب النوم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الطلوع علی فرض وقوع الطهارة بعد الزوال، أو بسبب النوم الثانی لدی الزوال علی فرض وقوع الطهارة قبل الزوال، و شاکّ فی بقائه علی الحدث، فیستصحب کلّیّ الحدث بهذا السبب أو بذاک، و کذلک هو عالم بصدور طهارة منه رافعة و إن لم یعلم أنّها قبل الزوال أو بعده، و شاکّ فی بقائها، فتستصحب، و یتعارضان و یتساقطان، فیجب علیه الطهارة للمشروط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الطهارة فیه؛ لعدم إحراز اتّصال زمانی الشکّ و الیقین؛ لاحتمال وقوعها قبل الزوال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یعتبر فی الاستصحاب إلّا احتمال البقاء مع الیقین السابق، و هو متحقّق هنا مع الشکّ فی الاتّصال، فلا یلزم فیه إحراز الاتّصال، بل یکفی عدم تخلّل الیقین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فیما لو کان أثر الثانی أنقص و أقلّ من الحالة السابقة، کما لو علم بتنجّس ثوبه بالبول عند الطلوع، و علم بإصابة الدم له عند الزوال؛ بناء علی وجوب غسل المتنجّس بالبول مرّتین و بالدم مرّة، و علم بتطهیر الثوب إمّا قبل الزوال أو بعده، فإنّ الاستصحابین یجریان و 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استصحاب الطهارة فلعلمه بها سابقاً و شکّه فی بقائها، و أمّا استصحاب النجاسة فکذلک لعلمه بها سابقاً و شکّه فی بقائها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معلوم التأریخ ضدّ الحالة السابقة فیجری استصحابه بلا معارض؛</w:t>
      </w:r>
    </w:p>
    <w:p>
      <w:pPr>
        <w:pStyle w:val="BookText"/>
        <w:rPr/>
      </w:pPr>
      <w:r>
        <w:rPr>
          <w:rFonts w:ascii="IRNazanin" w:hAnsi="IRNazanin" w:eastAsia="IRNazanin"/>
          <w:color w:val="111111"/>
          <w:sz w:val="28"/>
          <w:sz w:val="28"/>
          <w:szCs w:val="28"/>
          <w:rtl w:val="true"/>
          <w:lang w:bidi="fa-IR"/>
        </w:rPr>
        <w:t>لأنّه لو کان محدِثاً عند الطلوع، و علم بطهارته عند الزوال، و علم بصدور حدث منه إمّا قبل الزوال أو بعده، فإنّ استصحاب الطهارة المتیقَّنة لدی الزوال جارٍ بلا معارض؛ للعلم بها لدی الزوال و الشکّ فی بقائها، و لا مجال فیه لاستصحاب الحدث؛ لا بالنسبة إلی شخصه و لا إلی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شخصه فلأنّ الشخص الأوّل منه عند الطلوع مقطوع الارتفاع عند الزوال بحصول الطهارة المتیقّنة، و الشخص الآخر منه محتمل الحدوث بعد الزوال، فلا یتمّ فیه رکنا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کلّیّه فلا بدّ أن یکون من القسم الثالث من استصحاب الکلّی، و لیس منه؛ لأنّه لا بدّ فی استصحاب الکلّی المذکور من احتمال وجود فرد آخر من الحدث مقارناً لارتفاع الشخص الأوّل منه، و 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معلومُ التأریخ مثلَ الحالة السابقة، لکن أثره أزید من أثر الحالة السابقة، کما لو تنجّس ثوبه بالدم عند الطلوع و علم بتنجسه عند الزوال بالبول؛ بناءً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غسل المتنجّس بالبول مرّتین و بالدم مرّة، و علم بتطهیره الثوب إمّا قبل الزوال أو بعده، و شکّ فی البقاء، فإنّ استصحاب النجاسة فیه جارٍ بلا معارض؛ للعلم بها عند الزوال و الشکّ فی بقائها بعده، و أمّا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فالمحتمل وجودها قبل الزوال مرتفع قطعاً، و أمّا التی بعد الزوال فهی غیر متیقّنة، فلم تتحقّق فیها أرکان الاستصحاب حتّی یعارض استصحاب النجاسة، و أمّا استصحاب کلّیّهما فقد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جمیع ما ذکرناه فی مجهولی التأریخ و المعلوم تأریخ أحدهما أمران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الاستصحاب هو عدم تخلّل العلم التفصیلی بالخلاف بین زمانی الشکّ و الیقین، و لا یضرّ فی جریانه تخلّل العلم الإجمالی بالخلاف بینهما، فإنّه محقِّق للشکّ و التردید بینه و بین الطرف الآخر، و لذا لا إشکال فی جریان الأصل فی أطراف العلم الإجمالی، لکن یسقط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جمیع فروض الحادثین و صورهما من مجهولی التأریخ و المعلوم تأریخ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علمت الحالة السابقة علیهما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أنّه هل یتحقّق فی البین مصداقان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معلوم الحدوث و الارتفاع، و الآخر محتمل الوجود، أو مصداق واحد و التردید إنّما هو فی محلّه، فلا مجال للاستصحاب فی الأوّل لا کلّیّاً و لا شخصیّاً، بخلاف الثانی، ففیما إذا علم بالحدث عند الطلوع، ثمّ علم بحدوث طهارة و حدث، و لم یعلم المتقدّم منهما و المتأخّر، فلیس للطهارة فیه إلّا مصداق واحد علم بتحقّقه إجمالًا؛ إمّا قبل الحدث الثانی أو بعده، و التردید إنّما هو فی محلّه، و احتمل بقائه، فیستصحب، و أمّا الحدث فله فی المثال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الحادث عند الطلوع قبل الحادثین المعلوم وجوده و زواله، و الثانی محتمل الوجود و البقاء، و إن علم بتحقّق سببه، لکن حیث إنّه مردّد بین حدوثه قبل الطهارة عقیب الحدث الأوّل، فلا یؤثّر حینئذٍ فی صیرورته محدثاً، و بین حدوثه بعد الطهارة، فیؤثّر فیها، فهو غیر متیقّن، بل هو محتمل الحدوث، و لیس واحد منهما مجری للاستصحاب لا کلّیّاً و لا شخصیّاً، کما عرفت ذلک مفصّلًا، و حینئذٍ فاستصحاب الطهارة بلا معارض،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الأخذ بضدّ الحالة السابقة فی مجهولی التأریخ، و هو الطهارة فی المثال؛ للعلم بتحقّق مصداق منها إجمالًا، و لا یضرّه التردید فی محلّها من وقوعها قبل الحدث أو بعده؛ لأنّه محقّق للشکّ المعتبر فی الاستصحاب، و أمّا نفس الحالة السابقة فلها مصداقان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معلوم التحقّق و الارتفاع، و الآخر محتمل الحدوث، لا مصداق واحد، فلا مجال للاستصحاب فیه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الکلام فی المعلوم تأریخ أحدهما مع کونه ضدّ الحالة السابقة، أو کان أثره أزید من الأوّل الذی هو مثله، فإنّه لا مجال فیهما إلّا لاستصحاب المعلوم تأریخه، بخلاف ما لو کان المعلوم تأریخه مثل الحالة السابقة، أو کان أثره أنقص، کما لو علم عند الطلوع بالحدث، و علم بحدوث سبب الحدث عند الزوال، و علم بوقوع الطهارة</w:t>
      </w:r>
      <w:bookmarkStart w:id="271" w:name="pg12898_147974"/>
    </w:p>
    <w:p>
      <w:pPr>
        <w:pStyle w:val="BookText"/>
        <w:rPr/>
      </w:pPr>
      <w:bookmarkEnd w:id="271"/>
      <w:r>
        <w:rPr>
          <w:rFonts w:ascii="IRNazanin" w:hAnsi="IRNazanin" w:eastAsia="IRNazanin"/>
          <w:color w:val="111111"/>
          <w:sz w:val="28"/>
          <w:sz w:val="28"/>
          <w:szCs w:val="28"/>
          <w:rtl w:val="true"/>
          <w:lang w:bidi="fa-IR"/>
        </w:rPr>
        <w:t>إمّا قبل الزوال أو بعده، و شکّ فی بقائها فتستصحب، و کذلک الحدث؛ للعلم بکونه محدثاً عند الزوال تفصیلًا؛ إمّا بالسبب الأوّل عند الطلوع، أو بالسبب الثانی لدی الزوال، فیستصحب کلّیّ الحدث</w:t>
      </w:r>
      <w:r>
        <w:rPr>
          <w:rFonts w:eastAsia="IRNazanin" w:cs="IRNazanin"/>
          <w:color w:val="111111"/>
          <w:sz w:val="28"/>
          <w:szCs w:val="28"/>
          <w:rtl w:val="true"/>
          <w:lang w:bidi="fa-IR"/>
        </w:rPr>
        <w:t>.</w:t>
      </w:r>
    </w:p>
    <w:p>
      <w:pPr>
        <w:pStyle w:val="Heading6"/>
        <w:numPr>
          <w:ilvl w:val="5"/>
          <w:numId w:val="1"/>
        </w:numPr>
        <w:rPr/>
      </w:pPr>
      <w:bookmarkStart w:id="272" w:name="__RefHeading___Toc3234864_3224264995"/>
      <w:bookmarkStart w:id="273" w:name="_Toc101"/>
      <w:bookmarkEnd w:id="272"/>
      <w:r>
        <w:rPr>
          <w:rtl w:val="true"/>
        </w:rPr>
        <w:t>الفرع الثانی</w:t>
      </w:r>
      <w:r>
        <w:rPr>
          <w:rtl w:val="true"/>
        </w:rPr>
        <w:t xml:space="preserve">: </w:t>
      </w:r>
      <w:r>
        <w:rPr>
          <w:rtl w:val="true"/>
        </w:rPr>
        <w:t>فی تعاقب الکریّة و الملاقاة</w:t>
      </w:r>
      <w:bookmarkEnd w:id="273"/>
    </w:p>
    <w:p>
      <w:pPr>
        <w:pStyle w:val="BookText"/>
        <w:rPr/>
      </w:pPr>
      <w:r>
        <w:rPr>
          <w:rFonts w:ascii="IRNazanin" w:hAnsi="IRNazanin" w:eastAsia="IRNazanin"/>
          <w:color w:val="111111"/>
          <w:sz w:val="28"/>
          <w:sz w:val="28"/>
          <w:szCs w:val="28"/>
          <w:rtl w:val="true"/>
          <w:lang w:bidi="fa-IR"/>
        </w:rPr>
        <w:t>ذکر المیرزا النائینی فی الفرض الثالث من الفروض الثلاثة التی ذکرها للمعلوم تأریخ أحد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فی مجهول التأریخ، غیر جارٍ أصلًا؛ سواء کان الآخر معلوم التأریخ أم لا، کما لو علم بکرّیّة الماء و ملاقاته للنجاسة، و شکّ فی المتقدّم منهما و المتأخّر؛ فإنّه لا مجال لاستصحاب عدم الملاقاة إلی زمان حصول الکرّیّة؛ و لو مع العلم بزمان حصول الکرّیّة و الجهل بتأریخ الملاقاة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 فی عدوله عمّا اختاره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استصحاب عدم الملاقاة إلی زمان حصول الکرّیّة و طهارة الماء مع العلم بتأریخ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بعدم جریانه و نجاسة الماء المذکور،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کُرٍّ لا ینجسه شی‌ء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Fonts w:ascii="IRNazanin" w:hAnsi="IRNazanin" w:eastAsia="IRNazanin"/>
          <w:color w:val="111111"/>
          <w:sz w:val="28"/>
          <w:sz w:val="28"/>
          <w:szCs w:val="28"/>
          <w:rtl w:val="true"/>
          <w:lang w:bidi="fa-IR"/>
        </w:rPr>
        <w:t>أنّه یعتبر فی العاصمیّة و عدم تأثیر الملاقاة فی نجاسة الماء، سبق الکرّیّة علی الماء و لو آناً ما، فإنّ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الکرّیّة موضوعة للحکم بعدم تنجیس الملاقاة، و کلّ موضوع لا بدّ و أن یتقدّم علی حکمه، فیعتبر فی الحکم بعدم تأثیر الملاقاة للنجاسة من سبق الکرّیّة، و لذلک بنینا علی نجاسة المتمَّم کرّاً بالنجس؛ لأنّه یتّحد فیه زمان الکرّیّة و الملاقاة، فلا محیص عن القول بنجاسة الماء مطلقاً؛ سواء جهل تأریخ</w:t>
      </w:r>
    </w:p>
    <w:p>
      <w:pPr>
        <w:pStyle w:val="BookText"/>
        <w:rPr/>
      </w:pPr>
      <w:r>
        <w:rPr>
          <w:rFonts w:ascii="IRNazanin" w:hAnsi="IRNazanin" w:eastAsia="IRNazanin"/>
          <w:color w:val="111111"/>
          <w:sz w:val="28"/>
          <w:sz w:val="28"/>
          <w:szCs w:val="28"/>
          <w:rtl w:val="true"/>
          <w:lang w:bidi="fa-IR"/>
        </w:rPr>
        <w:t>الملاقاة و الکرّیّة، أو علم تأریخ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صورة الجهل بتأریخهما فلأنّ أصالة عدم کلٍّ منهما فی زمان الآخر لا تقتضی سبق الکرّیّة، و کذا إذا علم تأریخ الملاقاة، فإنّ أصالة عدم الکرّیّة إلی زمان الملاقاة لا تقتضی عدم تحقّق الکرّیّة قبل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تأریخ الکرّیّة فأصالة عدم الملاقاة إلی زمان الکرّیّة لا تثبت تأخّر الملاقاة عن الکرّیّة، و قد عرفت اعتباره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عُلّق شی‌ء علی أمر وجودی، فالحکم به متفرِّع علی إحراز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شیخنا الحائری قدس سره یذکر ذلک فی بعض الموارد، فإنّ الحلیّة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بطیب نفسه</w:t>
      </w:r>
      <w:r>
        <w:rPr>
          <w:rFonts w:eastAsia="IRNazanin" w:cs="IRNazanin"/>
          <w:color w:val="111111"/>
          <w:sz w:val="28"/>
          <w:szCs w:val="28"/>
          <w:rtl w:val="true"/>
          <w:lang w:bidi="fa-IR"/>
        </w:rPr>
        <w:t>)</w:t>
      </w:r>
    </w:p>
    <w:p>
      <w:pPr>
        <w:pStyle w:val="BookText"/>
        <w:rPr/>
      </w:pPr>
      <w:r>
        <w:rPr>
          <w:rStyle w:val="FootnoteAnchor"/>
          <w:rtl w:val="true"/>
        </w:rPr>
        <w:footnoteReference w:id="302"/>
      </w:r>
      <w:r>
        <w:rPr>
          <w:rFonts w:ascii="IRNazanin" w:hAnsi="IRNazanin" w:eastAsia="IRNazanin"/>
          <w:color w:val="111111"/>
          <w:sz w:val="28"/>
          <w:sz w:val="28"/>
          <w:szCs w:val="28"/>
          <w:rtl w:val="true"/>
          <w:lang w:bidi="fa-IR"/>
        </w:rPr>
        <w:t>عُلّقت علی طیب نفس المالک، فمع الشکّ فی الطیب فهو شبهة مصداقیّة لا یجوز التمسّک لجوازه فیه بذلک</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بطهارة الماء الملاقی للنجس معلَّق علی إحراز کرّیّته، فلا یحکم بطهارته مع عدم إحراز الکرّیّة، و استصحاب عدم الملاقاة إلی زمان الکرّیّة قد عرفت أنّه لا یثبت سبق الکرّیّة علی الملاقاة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الحکم بالطهارة هو الماء البالغ حدّ الکرّیّة فی الفرض، لکن موضوع الحکم بانفعال الماء أیضاً هو الماء القلیل الغیر البالغ حدّ الکرّیّة، الذی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مأتی روایة</w:t>
      </w:r>
      <w:r>
        <w:rPr>
          <w:rStyle w:val="FootnoteAnchor"/>
          <w:rtl w:val="true"/>
        </w:rPr>
        <w:footnoteReference w:id="304"/>
      </w:r>
      <w:r>
        <w:rPr>
          <w:rFonts w:ascii="Amiri" w:hAnsi="Amiri" w:eastAsia="Amiri" w:cs="Amiri"/>
          <w:color w:val="111111"/>
          <w:sz w:val="28"/>
          <w:sz w:val="28"/>
          <w:szCs w:val="28"/>
          <w:rtl w:val="true"/>
          <w:lang w:bidi="ar-SA"/>
        </w:rPr>
        <w:t>أو ثلاثمائة</w:t>
      </w:r>
      <w:r>
        <w:rPr>
          <w:rStyle w:val="FootnoteAnchor"/>
          <w:rtl w:val="true"/>
        </w:rPr>
        <w:footnoteReference w:id="305"/>
      </w:r>
      <w:r>
        <w:rPr>
          <w:rFonts w:ascii="IRNazanin" w:hAnsi="IRNazanin" w:eastAsia="IRNazanin"/>
          <w:color w:val="111111"/>
          <w:sz w:val="28"/>
          <w:sz w:val="28"/>
          <w:szCs w:val="28"/>
          <w:rtl w:val="true"/>
          <w:lang w:bidi="fa-IR"/>
        </w:rPr>
        <w:t>، فالماء البالغ حدّ الکرّیّة موضوع للحکم بالطهارة مع ملاقاته للنجس، و الماء الغیر البالغ حدّها موضوع للحکم بنجاسته</w:t>
      </w:r>
    </w:p>
    <w:p>
      <w:pPr>
        <w:pStyle w:val="BookText"/>
        <w:rPr/>
      </w:pPr>
      <w:r>
        <w:rPr>
          <w:rFonts w:ascii="IRNazanin" w:hAnsi="IRNazanin" w:eastAsia="IRNazanin"/>
          <w:color w:val="111111"/>
          <w:sz w:val="28"/>
          <w:sz w:val="28"/>
          <w:szCs w:val="28"/>
          <w:rtl w:val="true"/>
          <w:lang w:bidi="fa-IR"/>
        </w:rPr>
        <w:t>بملاقاته له، و بناء علی ما ذکره من اعتبار تقدّم کلّ موضوع علی حکمه، فکما أنّه لا تثبت الکرّیّة الموضوعة للطهارة بالاستصحاب، لا یثبت به عدمها الموضوع للانفعال، فلا یشمله أدلّة انفعال الماء القلیل بملاقاته النجس، و کذا دلیل عاصمیّته و عدم انفعاله، و المرجع حینئذٍ هو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أصالة عدم الملاقاة إلی زمان الکرّیّة لا تثبت تأخّر الملاقاة عنها، فهو صحیح، لکن لا یفتقر إلی إثبات ذلک فی الحکم بالطهارة، بل یکفی استصحاب عدم الملاقاة إلی زمان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الإشکال علی ذلک فاستصحاب طهارة الماء لا إشکال فیه، مع عدم إحراز نجاسته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 الذی ذکره فلیس له مستند صحیح و رکن وثیق یعتمد علیه، نعم هو کذلک عند العرف و العقلاء فی بعض الموارد؛ لأنّهم یحترزون عن الشبهة المصداقیّة، مثل أکل مال الغیر مع عدم إحراز طیب نفس مالکه، و لعلّه لجهات اخری، و إلّا فلا دلیل علی لزوم الحکم بضدّ الحکم المعلّق علی شی‌ء مع عدم إحراز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یحکم حینئذٍ بالحکم المعلّق علیه</w:t>
      </w:r>
      <w:r>
        <w:rPr>
          <w:rFonts w:eastAsia="IRNazanin" w:cs="IRNazanin"/>
          <w:color w:val="111111"/>
          <w:sz w:val="28"/>
          <w:szCs w:val="28"/>
          <w:rtl w:val="true"/>
          <w:lang w:bidi="fa-IR"/>
        </w:rPr>
        <w:t>.</w:t>
      </w:r>
      <w:bookmarkStart w:id="274" w:name="pg12898_147977"/>
    </w:p>
    <w:p>
      <w:pPr>
        <w:pStyle w:val="Heading4"/>
        <w:numPr>
          <w:ilvl w:val="3"/>
          <w:numId w:val="1"/>
        </w:numPr>
        <w:rPr/>
      </w:pPr>
      <w:bookmarkStart w:id="275" w:name="__RefHeading___Toc3234866_3224264995"/>
      <w:bookmarkStart w:id="276" w:name="_Toc102"/>
      <w:bookmarkEnd w:id="274"/>
      <w:bookmarkEnd w:id="275"/>
      <w:r>
        <w:rPr>
          <w:rtl w:val="true"/>
        </w:rPr>
        <w:t>التنبیه التاسع فی موارد التمسّک بالعموم و استصحاب حکم المخصّص</w:t>
      </w:r>
      <w:bookmarkEnd w:id="276"/>
    </w:p>
    <w:p>
      <w:pPr>
        <w:pStyle w:val="Heading5"/>
        <w:numPr>
          <w:ilvl w:val="4"/>
          <w:numId w:val="1"/>
        </w:numPr>
        <w:rPr/>
      </w:pPr>
      <w:bookmarkStart w:id="277" w:name="__RefHeading___Toc3234868_3224264995"/>
      <w:bookmarkStart w:id="278" w:name="_Toc103"/>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إذا ورد عامّ استغراقیّ، و خُصّص و اخرج عنه فرد منه فی زمان، مع إهماله أو إجماله بالنسبة إلی ما بعده من الأزمنة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فی یوم السبت فی أنّه هل یجب إکرام زید أو یحرم، ففیه اختلاف بین الأعلام فی أنّه مورد التمسّک بالعامّ، أو استصحاب حکم المخصّص مطلقاً، أو التفصیل بین ما اخذ الزمان فی الخاصّ بنحو الظرفیّة أو القیدیّة، کما ذهب إلیه الشیخ الأعظم</w:t>
      </w:r>
      <w:r>
        <w:rPr>
          <w:rStyle w:val="FootnoteAnchor"/>
          <w:rtl w:val="true"/>
        </w:rPr>
        <w:footnoteReference w:id="306"/>
      </w:r>
      <w:r>
        <w:rPr>
          <w:rFonts w:ascii="IRNazanin" w:hAnsi="IRNazanin" w:eastAsia="IRNazanin"/>
          <w:color w:val="111111"/>
          <w:sz w:val="28"/>
          <w:sz w:val="28"/>
          <w:szCs w:val="28"/>
          <w:rtl w:val="true"/>
          <w:lang w:bidi="fa-IR"/>
        </w:rPr>
        <w:t xml:space="preserve">و المحقّق الخراسانی </w:t>
      </w:r>
      <w:r>
        <w:rPr>
          <w:rFonts w:eastAsia="IRNazanin" w:cs="IRNazanin"/>
          <w:color w:val="111111"/>
          <w:sz w:val="28"/>
          <w:szCs w:val="28"/>
          <w:lang w:bidi="fa-IR"/>
        </w:rPr>
        <w:t>0</w:t>
      </w:r>
      <w:r>
        <w:rPr>
          <w:rStyle w:val="FootnoteAnchor"/>
          <w:rtl w:val="true"/>
        </w:rPr>
        <w:footnoteReference w:id="307"/>
      </w:r>
      <w:r>
        <w:rPr>
          <w:rFonts w:ascii="IRNazanin" w:hAnsi="IRNazanin" w:eastAsia="IRNazanin"/>
          <w:color w:val="111111"/>
          <w:sz w:val="28"/>
          <w:sz w:val="28"/>
          <w:szCs w:val="28"/>
          <w:rtl w:val="true"/>
          <w:lang w:bidi="fa-IR"/>
        </w:rPr>
        <w:t>، مع عدم تقطیع الزمان من الابتداء، و کذلک المیرزا النائینی ببیان آخر</w:t>
      </w:r>
      <w:r>
        <w:rPr>
          <w:rStyle w:val="FootnoteAnchor"/>
          <w:rtl w:val="true"/>
        </w:rPr>
        <w:footnoteReference w:id="308"/>
      </w:r>
      <w:r>
        <w:rPr>
          <w:rFonts w:ascii="IRNazanin" w:hAnsi="IRNazanin" w:eastAsia="IRNazanin"/>
          <w:color w:val="111111"/>
          <w:sz w:val="28"/>
          <w:sz w:val="28"/>
          <w:szCs w:val="28"/>
          <w:rtl w:val="true"/>
          <w:lang w:bidi="fa-IR"/>
        </w:rPr>
        <w:t>، و شیخنا الحائری قدس سره فی درسه، و إن لم یفصّل بینهما فی دُرره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لتوضیح المطلب و تحقیقه لا بدّ من تقدیم امور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العامّ الأفرادی الصادر من المولی بالنسبة إلی الأزمان</w:t>
      </w:r>
    </w:p>
    <w:p>
      <w:pPr>
        <w:pStyle w:val="BookText"/>
        <w:rPr/>
      </w:pPr>
      <w:r>
        <w:rPr>
          <w:rFonts w:ascii="IRNazanin" w:hAnsi="IRNazanin" w:eastAsia="IRNazanin"/>
          <w:color w:val="111111"/>
          <w:sz w:val="28"/>
          <w:sz w:val="28"/>
          <w:szCs w:val="28"/>
          <w:rtl w:val="true"/>
          <w:lang w:bidi="fa-IR"/>
        </w:rPr>
        <w:t>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کلّ زمان موضوعاً للحکم؛ بتقطیع أجزاء الزمان و إدخال لفظة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مجموع الأزمنة موضوعاً واحداً،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مجموع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یصرّح فی الکلام بالاستمرار و الدوام،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دائماً أو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الفرض غیر الأوّلین، فإنّ المطلوب فیه واحد مستمرّ فی عمود الزمان، کقیام الرقیب و المحافظ فی باب السلطان دائماً، فإنّه مطلوب واحد مستمرّ من ابتداء الیوم إلی انتهائه مثلًا، لکن لو خالف فی جزء من الزمان فالباقی منه أیضاً مطلوب بالطلب الأوّل، لا بطلب آخر، فلیس له إلّا مثوبة واحدة بامتثال ذلک فی هذا الظرف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یصرّح بذلک أیضاً، لکن استفید الاستمرار و الدوام من إطلاق طلبه و کلامه و جریان مقدّمات الحکمة، کما ذکره المحقّق الکرکی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إذ لو لا إرادة الاستمرار و الدوام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للزم اللَّغویّة؛ لکفایة الوفاء به حینئذٍ فی الجملة و لو فی الزمان الأوّل، و إن لم یَفِ به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الزمان المأخوذ فی الکلام بأیّ وجه من الوجوه المتقدّمة سوی الوجه الأخیر،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قیداً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قیداً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قیداً للنسبة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الأوّل واضح البطلان، و الثانی خلاف الظاهر، فهو مردّد بین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و غیره من الاعتبارات ینحلّ عرفاً إلی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و عام زمانی عند العرف و العقلاء، و حینئذٍ فمفاده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و لیکن إکرامک إیّاهم فی کلّ یوم، و العامّ الأوّل فوقانیّ، و الثانی تحتانیّ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الأوّل أصلیّ، و الثانی فرعیّ، و کیف کان لیس هذان العامّان فی عرض واحد، بل الثانی فی طول الأوّل و متفرّع علیه، و لا فرق فی ذلک بین العموم الاستغراقی و المجموعی، أو مع التصریح بالاستمرار أو استفادته من الإطلاق، بل فی الأخیر ذلک أوضح، فإنّ جریان مقدّمات الحکمة و اقتضاء الإطلاق، الاستمرار 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اللغویّة بدون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متأخّرة عن تحقّق العموم الأوّل مع متعلّقاته، و کذلک فیما لو صرّح بالاستمرار، فإنّ الموضوع للحکم الثانی هو الحکم فی العامّ الأوّل، و لیس مفاد العامّ الثانی إفادة وجوب الإکرام، بل تکثیره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تفرّع العامّ الثانی علی الأوّل و کونه فی طوله، یقتضی رفع موضوع الثانی و انعدامه بتخصیص الأوّل و إخراج فردٍ منه، فإذا خُصِّص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تخصیص للعامّ الأوّل لا الثانی، فلا یوجب إلّا المخالفة فی ظاهر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یرتفع به موضوع العامّ الثانی؛ أی وجوب إکرام زید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فی العموم الأفرادی تصرّف فی ظاهره فقط، لا فی ظاهر العموم الأزمانی أیضاً، فإنّ التصرّف فیه إنّما هو بإخراج فرد منه مع أنّه من أفراد الموضوع، نظیر إخراج زید العالم عن وجوب الإکرام فی العامّ الأوّل، و أمّا خروجه لکونه جاهلًا فلیس ذلک تصرّفاً فیه، فلو فرض استقلالهما،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و لیکن إکرامک لهم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أنّه لا تعرّض فی الأوّل لموضوعه، و أنّ هذا عالم أو لا، کذلک الثانی لا تعرّض فیه لموضوعه، و أنّ وجوب الإکرام فی ما ذا، بل مفاده استمرار وجوب الإکرام فیما یجب، فمع تخصیص العامّ الأوّل یخرج بعض موضوع العامّ</w:t>
      </w:r>
      <w:bookmarkStart w:id="279" w:name="pg12898_147980"/>
    </w:p>
    <w:p>
      <w:pPr>
        <w:pStyle w:val="BookText"/>
        <w:rPr/>
      </w:pPr>
      <w:bookmarkEnd w:id="279"/>
      <w:r>
        <w:rPr>
          <w:rFonts w:ascii="IRNazanin" w:hAnsi="IRNazanin" w:eastAsia="IRNazanin"/>
          <w:color w:val="111111"/>
          <w:sz w:val="28"/>
          <w:sz w:val="28"/>
          <w:szCs w:val="28"/>
          <w:rtl w:val="true"/>
          <w:lang w:bidi="fa-IR"/>
        </w:rPr>
        <w:t>الثانی عن الموضوعیّة له؛ أی وجوب إکرام زید، فکذلک فی الجملة الواحدة المنحلّة إلیهما عرفاً کما فی المقام، کما أنّ تخصیص الثانی إنّما یوجب التصرُّف فیه، لا فی العامّ الأوّل، و لا فرق فی ذلک أیضاً بین کون العامّ الثانی استغراقیّاً، أو مجموعیّاً، أو صرّح فیه بالاستمرار و الدوام، أو استفید الاستمرار منه بمعونة مقدّمات الحکمة و إطلاقه، کما ذکره المحقّق المذکور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بإطلاقه علی استمرار وجوب الوفاء بها؛ بحیث صار کأنّه لازم ماهیّة العقود</w:t>
      </w:r>
      <w:r>
        <w:rPr>
          <w:rFonts w:eastAsia="IRNazanin" w:cs="IRNazanin"/>
          <w:color w:val="111111"/>
          <w:sz w:val="28"/>
          <w:szCs w:val="28"/>
          <w:rtl w:val="true"/>
          <w:lang w:bidi="fa-IR"/>
        </w:rPr>
        <w:t>.</w:t>
      </w:r>
    </w:p>
    <w:p>
      <w:pPr>
        <w:pStyle w:val="Heading5"/>
        <w:numPr>
          <w:ilvl w:val="4"/>
          <w:numId w:val="1"/>
        </w:numPr>
        <w:rPr/>
      </w:pPr>
      <w:bookmarkStart w:id="280" w:name="__RefHeading___Toc3234870_3224264995"/>
      <w:bookmarkStart w:id="281" w:name="_Toc104"/>
      <w:bookmarkEnd w:id="280"/>
      <w:r>
        <w:rPr>
          <w:rtl w:val="true"/>
        </w:rPr>
        <w:t>تحقیق فی المقام</w:t>
      </w:r>
      <w:bookmarkEnd w:id="2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ورد عامّ أفرادی، و خُصِّص ذلک بإخراج فرد منه أو جمیعهم فی زمان 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تکرمهم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إجمال المخصّص أو إهماله بالنسبة إلی ما بعد ذلک الزمان الخاصّ، کقیام الإجماع علی خروج زمان ظهور الغَبْن فی البیع، المخصِّص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فمقتضی ما ذکرناه فی المقدّمات هو جواز التمسّک بالعامّ فیما بعد ذلک الزمان مطلقاً، و لا یجری فیه استصحاب حکم المخصِّص؛ و ذلک لما عرفت من أنّ هنا عمومین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العموم الأفرادی، و ثانیهما العموم الأزمانی، و الموضوع فی کلٍّ منهما غیر موضوع الآخر، فإنّ موضوع الأوّل کلّ فرد فرد، و موضوع الثانی کلّ یوم، و تخصیص الأوّل عبارة عن إخراج مثل زید العالم، و تخصیص الثانی عبارة عن إخراج بعض الأیّام، کیوم الجمعة، فکما لا یضرّ إخراج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بتخصیص العموم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بالفرد الآخر و بقائه تحت العموم؛ لأنّه مصداق مستقلّ للعموم و فی عرض المصداق المخرَج منه، کذلک إخراج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العموم الثانی، لا یضرّ یوم السبت فی بقائه تحته؛ لأنّه مصداق مستقلّ له و فی عرض المخرَج؛ و إن کان الزمان متدرّج الوجود بحسب الذات، لکن المفروض أنّ المتکلّم لاحظ کلّ یوم أو کلّ قطعة منه موضوعاً فی عرض الیوم الآخر و القطعات</w:t>
      </w:r>
    </w:p>
    <w:p>
      <w:pPr>
        <w:pStyle w:val="BookText"/>
        <w:rPr/>
      </w:pPr>
      <w:r>
        <w:rPr>
          <w:rFonts w:ascii="IRNazanin" w:hAnsi="IRNazanin" w:eastAsia="IRNazanin"/>
          <w:color w:val="111111"/>
          <w:sz w:val="28"/>
          <w:sz w:val="28"/>
          <w:szCs w:val="28"/>
          <w:rtl w:val="true"/>
          <w:lang w:bidi="fa-IR"/>
        </w:rPr>
        <w:t>الاخری، فإخراج بعض الأیّام أو القطعات تصرّف فیه خاصّة، لا فی العموم الأفرادی، و هکذا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مستمرّاً أو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استفید الدوام من مقدّمات الحکمة، فإذا خرج یوم الجمعة عن ذلک الحکم بتقیید الاستمرار بغیر یوم الجمعة، یتمسّک بالإطلاق المستفاد منه الاستمرار بالنسبة إلی یوم السبت، فکما أنّه لو خُصّص العموم 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فرد منه یتمسّک بالعموم بالنسبة إلی سائر الأفراد، کذلک فی العموم الأزمانی، و لو دار الأمر فی تخصیص العموم الأفرادی بین الأقلّ و الأکثر، یتمسّک بالعموم بالنسبة إلی غیر المعلوم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الأکثر، کذلک فی العموم الأزمانی، و یتمسّک بإطلاق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علی الاستمرار عند دوران المخصِّص بین الأقلّ و الأکثر؛ لأنّ الأقلّ معلوم الخروج، و الأکثر مشکوکه، فیتمسّک بإطلاقه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تخصیصاً لعموم الاستمرار، کما ذکره الشیخ الأعظم قدس سره</w:t>
      </w:r>
      <w:r>
        <w:rPr>
          <w:rStyle w:val="FootnoteAnchor"/>
          <w:rtl w:val="true"/>
        </w:rPr>
        <w:footnoteReference w:id="313"/>
      </w:r>
      <w:r>
        <w:rPr>
          <w:rFonts w:ascii="IRNazanin" w:hAnsi="IRNazanin" w:eastAsia="IRNazanin"/>
          <w:color w:val="111111"/>
          <w:sz w:val="28"/>
          <w:sz w:val="28"/>
          <w:szCs w:val="28"/>
          <w:rtl w:val="true"/>
          <w:lang w:bidi="fa-IR"/>
        </w:rPr>
        <w:t>، بل هو تقیید لإطلاقه، و أنّه یؤخذ بالقدر المتیقّن من التقیید، و یتمسّک بالإطلاق بالنسبة إلی الأکثر، کما فی العامّ و الخاصّ، فلا فرق بینهما من هذه الجهة، لأنّ التقیید الزائد یحتاج إلی الدلیل، کما أنّ التخصیص الزائد 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أخذ الزمان بنحو الاستمرار تصریحاً، أو بمعونة مقدّمات الحکمة، أو بنحو العموم الاستغراقی، نعم لو اخذ بنحو العموم المجموعی، فبالتخصیص یستکشف عدم وجوب الإکرام فی غیر المخرج من الأزمنة أیضاً، لکن المفروض فی البحث هو أخذه بأحد النحوین الأوّلین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فیما ذکرنا بین أخذ الزمان قیداً أو ظرفاً</w:t>
      </w:r>
      <w:r>
        <w:rPr>
          <w:rFonts w:eastAsia="IRNazanin" w:cs="IRNazanin"/>
          <w:color w:val="111111"/>
          <w:sz w:val="28"/>
          <w:szCs w:val="28"/>
          <w:rtl w:val="true"/>
          <w:lang w:bidi="fa-IR"/>
        </w:rPr>
        <w:t>.</w:t>
      </w:r>
      <w:bookmarkStart w:id="282" w:name="pg12898_147982"/>
    </w:p>
    <w:p>
      <w:pPr>
        <w:pStyle w:val="Heading5"/>
        <w:numPr>
          <w:ilvl w:val="4"/>
          <w:numId w:val="1"/>
        </w:numPr>
        <w:rPr/>
      </w:pPr>
      <w:bookmarkStart w:id="283" w:name="__RefHeading___Toc3234872_3224264995"/>
      <w:bookmarkStart w:id="284" w:name="_Toc105"/>
      <w:bookmarkEnd w:id="282"/>
      <w:bookmarkEnd w:id="283"/>
      <w:r>
        <w:rPr>
          <w:rtl w:val="true"/>
        </w:rPr>
        <w:t>حول کلمات بعض الأعلام و ما فیها</w:t>
      </w:r>
      <w:bookmarkEnd w:id="284"/>
    </w:p>
    <w:p>
      <w:pPr>
        <w:pStyle w:val="BookText"/>
        <w:rPr/>
      </w:pPr>
      <w:r>
        <w:rPr>
          <w:rFonts w:ascii="IRNazanin" w:hAnsi="IRNazanin" w:eastAsia="IRNazanin"/>
          <w:color w:val="111111"/>
          <w:sz w:val="28"/>
          <w:sz w:val="28"/>
          <w:szCs w:val="28"/>
          <w:rtl w:val="true"/>
          <w:lang w:bidi="fa-IR"/>
        </w:rPr>
        <w:t>و أورد شیخنا الحائری قدس سره بعد التفصیل بین أخذ الزمان بنحو العموم الاستغراقی، و جعل کلّ قطعة منه موضوعاً علی حِدة، و بین أخذه بنحو الاستمرار بالتمسُّک بالعامّ فیما عدا المخرَج من الزمان قطعاً فی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یتمسّک بالإطلاقات بعد العلم بالتقیید؛ و یقتصر فی عدم التمسّک بها علی المقدار الذی علم بخروجه؛ و الحال أنّ مفادها واحد، و بعد العلم بالتقیید یعلم أنّه لیس بمراد؟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المطلق و ما نحن فیه؛ لأنّ المطلق یعمّ ما تحته من الجزئیّات فی عرض واحد، و الحکم إنّما تعلّق به بلحاظ الخارج، فاستقرّ ظهور القضیّة فی الحکم علی کلّ ما یدخل تحت المطلق؛ بدلًا أو علی سبیل الاستغراق علی اختلاف المقامات، فإذا خرج بالتقیید المنفصل شی‌ء بقی الباقی بنفس ذلک الظهور الذی استقرّ فیه أوّلًا، بخلاف ما نحن فیه، فإنّ الزمان فی حدّ ذاته أمر واحد مستمرّ، لیس جامعاً لأفراد کثیرة متباینة، إلّا أن یقطّع بالملاحظة، و جعل کلّ قطعة من قطعاته ملحوظاً فی القضیّة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لم یلاحظ هذا النحو،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الإطلاق أنّ هذا الحکم غیر مقیّد بزمان خاصّ، فلازمه الاستمرار من أوّل وجود الفرد إلی آخره، فإذا انقطع الاستمرار بخروج فرد کیوم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لهذا العامّ المفروض دلالة علی دخول ذلک الفرد فی یوم السبت؛ إذ لو کان داخلًا لم یکن استمراراً للحکم السابق، کما هو واضح</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أنّ الجزئیّات التی تحت المطلقات مشمولة لحکم المطلق</w:t>
      </w:r>
    </w:p>
    <w:p>
      <w:pPr>
        <w:pStyle w:val="BookText"/>
        <w:rPr/>
      </w:pPr>
      <w:r>
        <w:rPr>
          <w:rFonts w:ascii="IRNazanin" w:hAnsi="IRNazanin" w:eastAsia="IRNazanin"/>
          <w:color w:val="111111"/>
          <w:sz w:val="28"/>
          <w:sz w:val="28"/>
          <w:szCs w:val="28"/>
          <w:rtl w:val="true"/>
          <w:lang w:bidi="fa-IR"/>
        </w:rPr>
        <w:t>بنحو البدلیّة أو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العامّ و المطلق؛ لما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الأفراد ملحوظة فی العامّ موضوعةً للحکم بنفسها، بخلاف المطلق؛ لأنّ الإطلاق عبارة عن جعل الطبیعة نفسها تمام الموضوع للحکم من دون تقییدها بقید،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بالإتیان بأیّ فرد منها یتحقّق الامتثال، لا لتعلّق الحکم بالأفراد، بل لصدق الإتیان بالطبیعة المتعلّقة للحکم، فالأفراد و المصادیق غیر ملحوظة فی المطلقات أصلًا؛ حتّی یکون لدلیل المطلق ظهورات بعدد الأفراد، بل لیس له إلّا ظهور واحد فی أنّ تمام الموضوع هو نفس الطبیعة بلا قید، و لو قیِّدت بعد ذلک بقید فلا دلیل علی التقیید بالنسبة إلی سائر القیود الاخری، فهو باقٍ علی إطلاقه بالنسبة إلیها، إلّا أن یقوم دلیل علیه، و مع الشکّ فی تقییده بقید یتمسّک بإطلاقه بالنسبة إلیه، فتقیید الاستمرار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زمان خاصّ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الاستمرار عن الصلاحیّة للاحتجاج به فیما بعد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اخذ الزمان بنحو العامّ المجموعی فله إطاعة واحدة؛ بالإتیان به فی مجموع تلک الأزمنة، و تترتّب علیه مثوبة واحدة، و یتحقّق مخالفته بترکه و لو فی جزء من مجموع الأزمنة و إن أتی به فی الباقی منها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صحیح فی هذا الفرض فقط؛ لأنّ القطعة الثانیة من الزمان لیست موضوعة للحکم أصلًا، لکن المفروض فیما نحن فیه أخذ الزمان بنحو الاستمرار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الزمان قد اخذ فیه بنحو الاستمرار بالضرورة؛ حیث إنّه لو کان مأخوذاً فیه بنحو العامّ المجموعی فهو یستلزم عدم وجوب الوفاء بالعقد فی الزمان الثانی لو تخلّف و لم یفِ به فی الزمان الأوّل، و لو فرض قیام الدلیل علی عدم وجوب الوفاء به فی زمان خاصّ، و شکّ فی وجوبه بعد ذلک الزمان، فهو حجّة یصلح الاحتجاج به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المیرزا النائینی قدس سره لتفسیر تفصیل الشیخ الأعظم قدس سره فی المقام مقدّمات، و قال فی المقدّمة الرابعة منها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مصبّ العموم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هو متعلّق الحکم، و اخری هو نفس الحکم؛ بمعنی أنّه یلاحظ الزمان تارة فی ناحیة متعلّق الحکم کالوفاء و الإکرام و نحو ذلک، فآنات الزمان قید للوفاء و الإکرام فیهما فی کلّ آنٍ معروضان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ناحیة نفس الحکم الشرعی کالوجوب، و حینئذٍ فالحکم الشرعی ثابت فی کلّ آنٍ من آنات الزمان، فعلی الأوّل یصیر العموم الزمانی داخل فی دائرة الحکم، و یرد الحکم علیه، و علی الثانی یصیر العموم الزمانی خارجاً عن دائرة الحکم و وارداً علیه، و هذان الوجهان و إن اتّحدا بحسب النتیجة، إلّا أنّهما یفترقان فیما هو المهمّ بالبحث فی المقام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المقدّمة الخامسة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العموم الزمانی قیداً للمتعلّق، أمکن أن یتکفّل اعتباره نفسُ دلیل الحکم،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فی کلّ زمان، أو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لو اخذ قیداً للحکم، فإنّه لا یمکن أن یتکفّل نفس دلیل الحکم لبیانه، بل لا بدّ فی بیانه من دلیل منفصل؛ لأنّ استمرار الحکم أو دوامه فرع ثبوت الحکم و وجوده، فنسبة الحکم إلی عموم أزمنة وجوده، نسبة الموضوع إلی محموله، ففی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فلا یمکن أن یتکفّل الحکم ببیان أزمنة وجوده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مصبّ العموم الزمانی متعلّق الحکم، فعند الشکّ فی التخصیص و خروج بعض الأزمنة و عدمه، یصحّ التمسّک بالعموم الزمانی الذی دلّ</w:t>
      </w:r>
    </w:p>
    <w:p>
      <w:pPr>
        <w:pStyle w:val="BookText"/>
        <w:rPr/>
      </w:pPr>
      <w:r>
        <w:rPr>
          <w:rFonts w:ascii="IRNazanin" w:hAnsi="IRNazanin" w:eastAsia="IRNazanin"/>
          <w:color w:val="111111"/>
          <w:sz w:val="28"/>
          <w:sz w:val="28"/>
          <w:szCs w:val="28"/>
          <w:rtl w:val="true"/>
          <w:lang w:bidi="fa-IR"/>
        </w:rPr>
        <w:t>دلیل الحکم علیه،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فی کلّ زمان، أو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شکّ فی وجوب إکرام العالم فی قطعة من الزمان، فالمرجع هو الدلیل الاجتهادی الذی تکفّل العموم الزمانی به، و لا تصل النوبة إلی استصحاب وجوب الإکرام من غیر فرق بین الألفاظ الدالّة علی العموم، و لا یصحّ استصحاب حکم الجزء السابق من الزمان؛ لأنّه إسراءُ حکمٍ من موضوع إلی موضوع آخر، فالاستصحاب فی هذا القسم ساقط من أصله؛ بحیث لو فرض عدم العموم للدلیل الاجتهادی بالنسبة إلی جمیع الأزمنة، کان المرجع فی زمان الشکّ هو سائر الاصول؛ من غیر فرق بین الشکّ فی أصل التخصیص أو فی مقداره، فلو علم بعدم وجوب إکرام زید یوم الجمعة، و شکّ فیه فی یوم السبت فإنّه یرجع إلی العموم، لا إلی استصحاب حکم الخاصّ، بخلاف ما لو جعل مصبّ العموم الزمانی نفس الحکم، فإنّه لا مجال للتمسّک فیه به إذا شکّ فی التخصیص أو فی مقداره، بل لا بدّ فیه من الرجوع إلی الاستصحاب، علی عکس ما لو جعل مصبّ العموم الزمانی متعلّق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الشکّ فیه یرجع إلی الشکّ فی الحکم، و قد تقدّم أنّ الحکم یصیر بمنزلة الموضوع للعموم الزمانی فی هذا القسم، و لا یمکن أن یتکفّل العمومُ الزمانی وجودَ الحکم مع الشکّ فیه؛ لأنّه حینئذٍ یصیر من قبیل إثبات الموضوع بالحکم، و هو غیر صحیح، بل لا بدّ من الرجوع إلی الاستصحاب من غیر فرق بین الشکّ فی أصل التخصیص أو فی مقداره</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الجهة الاولی للفرق بینهما فهی غیر فارقه؛ فإنّ استمرار الحکم و إن کان متفرّعاً علی ثبوت الحکم، لکنّه لا یستلزم انفصال الدلیل المتکفّل لبیان الاستمرار عن المتکفّل لبیان نفس الحکم و إن جعل الاستمرار قیداً للحکم، بل یمکن إفادة ذلک</w:t>
      </w:r>
    </w:p>
    <w:p>
      <w:pPr>
        <w:pStyle w:val="BookText"/>
        <w:rPr/>
      </w:pPr>
      <w:r>
        <w:rPr>
          <w:rFonts w:ascii="IRNazanin" w:hAnsi="IRNazanin" w:eastAsia="IRNazanin"/>
          <w:color w:val="111111"/>
          <w:sz w:val="28"/>
          <w:sz w:val="28"/>
          <w:szCs w:val="28"/>
          <w:rtl w:val="true"/>
          <w:lang w:bidi="fa-IR"/>
        </w:rPr>
        <w:t xml:space="preserve">بقید متّصل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دائماً أو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قصور فی هذا القید عن إفادة استمرار الحکم، و کذا لو لم یُصرّح بهذا القید فی الکلام، بل استفید من الإطلاق و مقدّمات الحکمة، و لو لم یکن فی عبارته قدس سره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بناءً علی أنّ العموم الزمانی قید للمتعلّق، لم یحتج إلی لحاظه فی نفس الحکم، بخلاف ما لو جعل قیداً للحکم، فإنّ هذا الکلام صحیح، و لکنّه من قبیل توضیح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الجهة الثانیة للفرق بینهما فهو أیضاً غیر فارق؛ و ذلک فإنّه لو صرّح المتکلّم بقید الاستمرار أو العموم الزمانی،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مستمرّاً أو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القضیّة الحقیقیّة، فلا ریب فی أنّ موضوع الحکم بالاستمرار هو نفس وجوب إکرام کلّ عالم بنحو الإهمال و صرف وجوده عرفاً؛ لتبادر ذلک فی أذهان العقلاء فی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7"/>
      </w:r>
      <w:r>
        <w:rPr>
          <w:rFonts w:ascii="IRNazanin" w:hAnsi="IRNazanin" w:eastAsia="IRNazanin"/>
          <w:color w:val="111111"/>
          <w:sz w:val="28"/>
          <w:sz w:val="28"/>
          <w:szCs w:val="28"/>
          <w:rtl w:val="true"/>
          <w:lang w:bidi="fa-IR"/>
        </w:rPr>
        <w:t xml:space="preserve">، فإنّ موضوع الحکم بالاستمرار هو نفس الحلّیّة بنحو الإهمال، لا الحلال المستمرّ، و إلّا یصیر قضیّة ضروریّة و بشرط المحمول؛ لأنّ مرجعه حینئذٍ إلی أنّ الحلال المستمرّ مستمرّ، و إذا کان الموضوع للحکم فی العامّ التحتانی هو صِرف وجود الحکم بنحو الإهمال، لا المقیّد بالاستمرار، و المفروض أنّ القضیّة حقیقیّة اخذ موضوعها مفروض الوجود، فلا بدّ أن یتعلّق الحکم بالاستمرار فی العامّ الثانی بالحکم المفروض الوجود، فلو شکّ فی أصل ثبوت الحکم، کما لو شکّ فی وجوب إکرام زید العالم و عدمه، فرافع الشکّ المذکور هو العامّ الأوّل،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فیتمسّک به لإثبات وجوب إکرام زید بنحو الإهمال، ثمّ بعد ثبوت أصل وجوب إکرامه فی الجملة لو شکّ فی استمراره و عدمه بأن احتمل عدم وجوب إکرام زید یوم السبت، فرافع هذا الشکّ هو العامّ الثانی أو المطلق،</w:t>
      </w:r>
    </w:p>
    <w:p>
      <w:pPr>
        <w:pStyle w:val="BookText"/>
        <w:rPr/>
      </w:pPr>
      <w:r>
        <w:rPr>
          <w:rFonts w:ascii="IRNazanin" w:hAnsi="IRNazanin" w:eastAsia="IRNazanin"/>
          <w:color w:val="111111"/>
          <w:sz w:val="28"/>
          <w:sz w:val="28"/>
          <w:szCs w:val="28"/>
          <w:rtl w:val="true"/>
          <w:lang w:bidi="fa-IR"/>
        </w:rPr>
        <w:t>فیتمسّک به لإثبات وجوب إکرامه یوم السبت أیضاً، و لیس ذلک من قبیل إثبات الموضوع بالحکم؛ کی یرد علیه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لا یتکفّل لإثبات موضوعه و إحرازه، إلّا إذا فرض تقیید موضوعه بالاستمرار الذی یرجع إلی القضیّة بشرط المحمول، و لا ریب أنّ ما نحن فیه لیس کذلک؛ لما عرفت من أنّ الموضوع للحکم بالاستمرار فی العامّ الثانی هو الحکم بنحو الإهمال، لا المقیّد بالاستمرار، و إلّا یلزم عدم استفادة الاستمرار لحلال محمّد صلی الله علیه و آله و سلم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استفادته من الخارج، و هو کما تری؛ لأنّ مفاده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حلاله المستمرّ حلال إلی یوم القیامة، لا مطلق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فیما لو لم یصرّح بقید الاستمرار، بل استفید من الإطلاق بمعونة مقدّمات الحکمة؛ لأنّه لیس موضوع مقدّمات الحکمة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إلّا نفس وجوب الوفاء بنحو الإهمال، لا المقیّد بالاستمرار؛ لاستفادة الاستمرار منه فی مرتبة متأخّرة عن ثبوت أصل وجوب الوفاء، فمع الشکّ فی أصل وجوب الوفاء بعقد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کالعقد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لرفعه بأصالة العموم فی العامّ الأوّل، و مع الشکّ فی خروج زمان خاصّ لعقد؛ لأجل احتمال التقیید بقید، أو فی مقداره مع العلم بأصل التقیید، یتمسّک لرفعه بأصالة الإطلاق أو العموم الثانی بلا إشکال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لاستصحاب حکم المخصِّص فیما لو شکّ فی ثبوت حکم العامّ فیما بعد الزمان المعلوم خروجه عن العموم أصلًا، بل لا بدّ فیه من التمسّک بالعموم الزمانی أو إطلاق قید الاستمرار مطلقاً</w:t>
      </w:r>
      <w:r>
        <w:rPr>
          <w:rFonts w:eastAsia="IRNazanin" w:cs="IRNazanin"/>
          <w:color w:val="111111"/>
          <w:sz w:val="28"/>
          <w:szCs w:val="28"/>
          <w:rtl w:val="true"/>
          <w:lang w:bidi="fa-IR"/>
        </w:rPr>
        <w:t>.</w:t>
      </w:r>
      <w:bookmarkStart w:id="285" w:name="pg12898_147988"/>
    </w:p>
    <w:p>
      <w:pPr>
        <w:pStyle w:val="Heading5"/>
        <w:numPr>
          <w:ilvl w:val="4"/>
          <w:numId w:val="1"/>
        </w:numPr>
        <w:rPr/>
      </w:pPr>
      <w:bookmarkStart w:id="286" w:name="__RefHeading___Toc3234874_3224264995"/>
      <w:bookmarkStart w:id="287" w:name="_Toc106"/>
      <w:bookmarkEnd w:id="285"/>
      <w:bookmarkEnd w:id="286"/>
      <w:r>
        <w:rPr>
          <w:rtl w:val="true"/>
        </w:rPr>
        <w:t>إشکال و تفصّیات</w:t>
      </w:r>
      <w:bookmarkEnd w:id="28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تفرُّع العامّ الثانی أو الإطلاق علی العامّ الأوّل، و أنّ التصرّف فی کلّ واحد منهما بالتخصیص لیس تصرّفاً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فی المقام بما یخالف التفصیل الذی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و هو التفصیل بین منقطع الأوّل و بین منقطع الوسط و الآخر، بل التفصیل فی منقطع الوسط أیضاً بوجه و بینه بوجه آخر؛ بالقول بجریان الاستصحاب فی منقطع الأوّل، و فی قسم من منقطع الوسط، و التمسّک بالعامّ فی منقطع الآخر و فی قسم آخر من منقطع الوسط، فإنّه لو شکّ فی منقطع الأوّل فی أنّ هذا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حکم أصلًا؛ لیلزم التخصیص فی العامّ الأوّل دون الثانی، أو أنّه لیس له حکم فی خصوص هذا الیوم؛ لیلزم التخصیص فی العامّ الثانی أو تقیید الإطلاق، دون العامّ الأوّل، فمقتضی 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هذا المصداق عن هذا الحکم رأساً أو فی هذا الزمان الخاصّ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تعارض أصالتی العموم فی کلٍّ من العامّین أو أصالة العموم فی العامّ الأوّل و أصالة الإطلاق فی الثانی، و تساقطهما، و لا ترجیح لإحدیهما علی الاخری، فالمرجع هو استصحاب حکم المخصّص بالنسبة إلی ما بعد هذا الزمان، مثلًا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من أوّل شهر رمضان إلی آخره فی کلّ یوم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بخروج الفسّاق منهم و عدم وجوب إکرامهم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رأساً بتخصیص العامّ الأوّل و بقاء العموم الثانی بحاله، أو خروج الفسّاق منهم فی الیوم الأوّل منه؛ بتخصیص العموم الثانی بإخراجهم فی الیوم الأوّل منه فقط، و إبقاء الأوّل بحاله، فأصالة العموم فی کلٍّ منهما جاریة بالنسبة إلی ما بعد الیوم الأوّل، و لا ترجیح لإحداهما، فتتساقطان، و المرجع حینئذٍ استصحاب حکم</w:t>
      </w:r>
    </w:p>
    <w:p>
      <w:pPr>
        <w:pStyle w:val="BookText"/>
        <w:rPr/>
      </w:pPr>
      <w:r>
        <w:rPr>
          <w:rFonts w:ascii="IRNazanin" w:hAnsi="IRNazanin" w:eastAsia="IRNazanin"/>
          <w:color w:val="111111"/>
          <w:sz w:val="28"/>
          <w:sz w:val="28"/>
          <w:szCs w:val="28"/>
          <w:rtl w:val="true"/>
          <w:lang w:bidi="fa-IR"/>
        </w:rPr>
        <w:t>الیوم الأوّل القدر المتیقّن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منقطع الوسط فیما لو دار الأمر بین تخصیص العامّ الثانی؛ بخروج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دون ما قبله و ما بعده، و بین تخصیص العموم الأوّل و خروجه مع ما قبل الوسط و ما بعده، فإنّ الأمر حینئذٍ دائر بین المتباینین، و مقتضی القاعدة تساقط الأصلین من الجانبین و الرجوع إلی استصحاب حکم المخصِّص، بخلاف ما لو شکّ و دار الأمر بین خروج الیوم الوسط فقط؛ بتخصیص العموم الثانی، أو هو مع ما بعده، مع العلم بخروج ما قبل الوسط، فإنّ أصالة العموم الزمانی أو الإطلاق محکّمة بلا معارض؛ للعلم بعدم تخصیص العامّ الأوّل، فمقتضی ما ذکرت هو التفصیل الذی ذکرناه، لا التمسّک بالعموم الثانی أو الإطلاق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التفصّی عن هذا الإشکال بوجوه لا یخلو بعضها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العموم الأوّل متقدّم علی العموم الثانی بحسب الرُّتبة؛ لأنّ موضوع الثانی هو حکم العامّ الأوّل، فأصالة العموم فی الأوّل جاریة فی رتبة متقدّمة علی أصالة العموم فی الثانی، و أنّها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الرتبة العقلیّة غیر ملحوظة عند العرف و العقلاء فی باب تعارض الدلیلین أو الأصلین، و أنّهما عندهم متعارضان، و أنّ تقدّم أحدهما علی الآخر بحسب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یفید فی صیرورة أصالة العموم فی الأوّل بلا معارض؛ للعلم الإجمالی بإرادة خلاف الظاهر فی أحد العمومین، فکما یحتمل إرادة خلاف الظاهر فی العموم الثانی، کذلک یحتمل إرادته فی الأوّل المتقدّم رتبة، و حینئذٍ فالأصل فی الأوّل معارض معه فی الثانی؛ لمکان العلم الإجمالی المذکور، فالتقدّم الرُّتبی لا یُفید و لا یثمر فی رفع التعارض بینهما،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الأصل السببی و المسبّبی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دوران الأمر فی المقام بین المتباینین، بل هو من قبیل</w:t>
      </w:r>
    </w:p>
    <w:p>
      <w:pPr>
        <w:pStyle w:val="BookText"/>
        <w:rPr/>
      </w:pPr>
      <w:r>
        <w:rPr>
          <w:rFonts w:ascii="IRNazanin" w:hAnsi="IRNazanin" w:eastAsia="IRNazanin"/>
          <w:color w:val="111111"/>
          <w:sz w:val="28"/>
          <w:sz w:val="28"/>
          <w:szCs w:val="28"/>
          <w:rtl w:val="true"/>
          <w:lang w:bidi="fa-IR"/>
        </w:rPr>
        <w:t>دوران الأمر بین الأقلّ و الأکثر؛ للعلم بخروج یوم الجمعة و الشکّ فی خروج ما بعده من الأیّام، و القدر المعلوم خروجه هو یوم الجمعة، فیتمسّک بالنسبة إلی الزائد عنه من الأیّام التی بعده بالعموم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العلم الإجمالی فیه إلی العلم التفصیلی بخروج یوم الجمعة، و الشکّ البَدْوی بالنسبة إلی الزائد عنه من الأیّام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دوران الأمر بین الأقلّ و الأکثر أن یکون الأقلّ أقل ذلک الأکثر و الأکثر أکثر ذلک الأقلّ،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إمّا بخروج زید فقط عنه، أو هو مع عمرو، فإنّ العلم الإجمالی فیه ینحلّ إلی العلم التفصیلی بخروج زید، و الشکّ البدوی فی خروج عمرو، فیتمسّک فی المشکوک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الأقلّ و الأکثر التی ینحلّ العلم الإجمالی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هناک عامّ مخصَّص بمخصِّص مردّد بین الأقلّ و الأکثر، و ما نحن فیه لیس کذلک، فإنّ فیه عامّین عُلم إجمالًا بتخصیص أحدهما، و لا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بتخصیص العموم الثانی معیناً، و دار أمر مخصِّصه بین الأقلّ و الأکثر، فإنّه ینحلّ العلم الإجمالی فیه إلی العلم التفصیلی بخروج الأقلّ و الشکّ البَدْوی بالنسبة إلی الأکثر، لکنّ المفروض فی المقام دوران الأمر بین تخصیص هذا العامّ الأوّل، و إخراج فرد منه کزید من بین أفراده، و بین تخصیص العامّ الثانی و إخراج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أفراده، و هی قطعات الزمان أو الأیّام، فهو من قبیل دوران الأمر بین المتباینین، و الأصل فی کلٍّ منهما معارَض بالأصل فی الآخر، فیتساقطان، و یرجع إلی استصحاب حکم المخصِّص</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بخروج إکرام زید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من وجوب إکرام العلماء، مع العلم بأنّه عالم، و الشکّ إنّما هو بالنسبة إلی ما بعده من الأیّام، فبالنسبة إلی خروج زید یوم الجمعة من العامّ الثانی، یشکّ فی</w:t>
      </w:r>
    </w:p>
    <w:p>
      <w:pPr>
        <w:pStyle w:val="BookText"/>
        <w:rPr/>
      </w:pPr>
      <w:r>
        <w:rPr>
          <w:rFonts w:ascii="IRNazanin" w:hAnsi="IRNazanin" w:eastAsia="IRNazanin"/>
          <w:color w:val="111111"/>
          <w:sz w:val="28"/>
          <w:sz w:val="28"/>
          <w:szCs w:val="28"/>
          <w:rtl w:val="true"/>
          <w:lang w:bidi="fa-IR"/>
        </w:rPr>
        <w:t>أنّه هل هو بنحو التخصیص له مع بقاء العموم الأوّل، أو بنحو التخصّص و خروجه موضوعاً بتخصیص العموم الأوّل؟ و لا یکشف بأصالة العموم فی الثانی حال الفرد؛ و أنّ خروجه بنحو التخصّص بتخصیص العامّ الأوّل؛ لما تقدّم من أنّ بناء العقلاء علی العمل بتلک الاصول، کأصالة العموم و الإطلاق و الحقیقة، إنّما هو فیما إذا عُلم المعنی الحقیقی و المجازی، و شکّ فی أنّ المتکلّم أیّهما أراد، أو فیما إذا شکّ فی تخصیص العموم أو تقیید المطلق، فإنّه استقرّ بناؤهم علی الاعتماد علی تلک الاصول فی مقام الاحتجاج، و یوم الجمعة بالنسبة إلی العامّ الثانی لیس کذلک؛ للعلم بخروجه، غایة الأمر دوران الأمر فیه بین التخصیص و التخصّص، و عرفت عدم جریان أصالة العموم فیه لاستکشاف حال الفرد؛ و أنّ خروجه بنحو التخصّص لا التخصیص، و حینئذٍ فأصالة العموم فی الأوّل بلا معارض؛ لفرض الشکّ فی تخصیص هذا العامّ، و حیث إنّ الشکّ فی تخصیص العامّ الأوّل، فأصالة العموم فیه محکّمة مع العلم بمعناه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علی العمل بهذه الاصول اللفظیّة و الاحتجاج بها، إنّما هو فیما لو شکّ فی تخصیص العامّ أو تقیید المطلق، و فی صورة الشکّ فی المراد، لا فیما إذا عُلم بخروج فرد و شُکّ فی أنّه بنحو التخصیص أو التخصّص و الخروج الموضوعی، کما فیما نحن فیه بالنسبة إلی العامّ الثانی، فإنّ أصالة العموم فیه و استکشاف حال الفرد غیر جاریة، فلا معارض لأصالة العموم فی العامّ الأوّل، فیتمسّک بها للشکّ فی تخصیصه مع العلم بأنّ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أفراده، و یتحقّق بها موضوع العامّ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یوم الجمعة المعلوم عدم وجوب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ما بعده من الأیّام المشکوک خروجه و عدمه، فأصالة العموم فی الثانی بلا معارض؛ لأنّه بعد جریان أصالة العموم فی الأوّل بالنسبة إلی المصداق المعلوم خروجه، و هو یوم الجمعة فی المثال، مع العلم بأنّه من العلماء، یتحقّق بها موضوع العامّ الثانی؛ أی وجوب إکرام زید، و حیث إنّه علم بعدم وجوب إکرامه یوم</w:t>
      </w:r>
    </w:p>
    <w:p>
      <w:pPr>
        <w:pStyle w:val="BookText"/>
        <w:rPr/>
      </w:pPr>
      <w:r>
        <w:rPr>
          <w:rFonts w:ascii="IRNazanin" w:hAnsi="IRNazanin" w:eastAsia="IRNazanin"/>
          <w:color w:val="111111"/>
          <w:sz w:val="28"/>
          <w:sz w:val="28"/>
          <w:szCs w:val="28"/>
          <w:rtl w:val="true"/>
          <w:lang w:bidi="fa-IR"/>
        </w:rPr>
        <w:t>الجمعة بالدلیل الخاصّ، فهو مخصِّص للعامّ الثانی بالنسبة إلی یوم الجمعة، و أمّا ما بعده من الأیّام المشکوک خروج زید من وجوب الإکرام فیها، فلا مانع من التمسّک بالعامّ الثانی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لأصالة العموم فی العامّ التحتانی بالنسبة إلی إکرام زید یوم الجمعة؛ للعلم بخروجه فیه؛ لأنّه إن ارید منها حفظ العموم فی العامّ الثانی و إثباته،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مضافاً إلی أنّ المفروض العلم بعدم وجوب إکرام زید فیه، یلزم من وجودها عدمها؛ لاستلزام جریان أصالة العموم فیه و عدم تخصیصه التخصیصَ فی العامّ الأوّل؛ بخروج زید عن وجوب الإکرام رأساً، و معه ینتفی موضوع الحکم فی العامّ الثانی بالنسبة إلی زید، و هو ما ذکرناه من المحذور، و هو ناشٍ عن کون الحکم فی العامّ الأوّل موضوعاً للعامّ الثانی، و لو لا هذا الارتباط بینهما لم یلزم هذا المحذور،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أکرم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إمّا بخروج زید التاجر من الثانی، أو زید العالم من الأوّل، فإنّه لا محذور فی جریان أصالة العموم فی کلٍّ منهما، إلّا عدم الترجیح لإحداهما علی الاخری، بخلاف ما نحن فیه، فإنّ إثبات وجوب إکرام زید یوم الجمعة؛ بإجراء أصالة العموم فی الثانی یستلزم عدم وجوبه؛ لأنّ اللازم حینئذٍ ورود التخصیص علی العامّ الأوّل، و خروج زید عن هذا العامّ، و عدم وجوب إکرامه رأساً، فإذا لم تکن أصالة العموم بالنسبة إلی یوم الجمعة جاریة، تصیر أصالة العموم فی العامّ الأوّل بلا معارض، و بها یتحقّق موضوع العامّ الثانی؛ أی وجوب إکرام زید، و حیث إنّ یوم الجمعة خارج عنه بالدلیل، فبالنسبة إلی ما بعده من الأیّام لا مانع من جریانها فی العامّ الثانی بالنسبة إلی زید؛ للشکّ فی خروجه منه، فیحکم بوجوب إکرامه فیها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العموم فی العامّ التحتانی غیر جاریة بالنسبة إلی خصوص وجوب إکرام زید؛ للعلم بعدم وجوب إکرامه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بتخصیص العامّ</w:t>
      </w:r>
      <w:bookmarkStart w:id="288" w:name="pg12898_147993"/>
    </w:p>
    <w:p>
      <w:pPr>
        <w:pStyle w:val="BookText"/>
        <w:rPr/>
      </w:pPr>
      <w:bookmarkEnd w:id="288"/>
      <w:r>
        <w:rPr>
          <w:rFonts w:ascii="IRNazanin" w:hAnsi="IRNazanin" w:eastAsia="IRNazanin"/>
          <w:color w:val="111111"/>
          <w:sz w:val="28"/>
          <w:sz w:val="28"/>
          <w:szCs w:val="28"/>
          <w:rtl w:val="true"/>
          <w:lang w:bidi="fa-IR"/>
        </w:rPr>
        <w:t>الثانی، أو تخصّصه بتخصیص العامّ الأوّل، فتکون أصالة العموم فی العامّ الفوقانی بلا معارض، فیثبت بها فی الثانی؛ وجوب إکرامه فیما بعد یوم الجمعة؛ من الأیّام المشکوک وجوب إکرامه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للتمسّک باستصحاب حکم المخصِّص فی شی‌ء من الموارد</w:t>
      </w:r>
      <w:r>
        <w:rPr>
          <w:rFonts w:eastAsia="IRNazanin" w:cs="IRNazanin"/>
          <w:color w:val="111111"/>
          <w:sz w:val="28"/>
          <w:szCs w:val="28"/>
          <w:rtl w:val="true"/>
          <w:lang w:bidi="fa-IR"/>
        </w:rPr>
        <w:t>.</w:t>
      </w:r>
    </w:p>
    <w:p>
      <w:pPr>
        <w:pStyle w:val="Heading5"/>
        <w:numPr>
          <w:ilvl w:val="4"/>
          <w:numId w:val="1"/>
        </w:numPr>
        <w:rPr/>
      </w:pPr>
      <w:bookmarkStart w:id="289" w:name="__RefHeading___Toc3234876_3224264995"/>
      <w:bookmarkStart w:id="290" w:name="_Toc107"/>
      <w:bookmarkEnd w:id="289"/>
      <w:r>
        <w:rPr>
          <w:rtl w:val="true"/>
        </w:rPr>
        <w:t>تذنیب</w:t>
      </w:r>
      <w:r>
        <w:rPr>
          <w:rtl w:val="true"/>
        </w:rPr>
        <w:t xml:space="preserve">: </w:t>
      </w:r>
      <w:r>
        <w:rPr>
          <w:rtl w:val="true"/>
        </w:rPr>
        <w:t>فی أخذ الزمان بنحو الاستغراق أو الاستمرار</w:t>
      </w:r>
      <w:bookmarkEnd w:id="290"/>
    </w:p>
    <w:p>
      <w:pPr>
        <w:pStyle w:val="BookText"/>
        <w:rPr/>
      </w:pPr>
      <w:r>
        <w:rPr>
          <w:rFonts w:ascii="IRNazanin" w:hAnsi="IRNazanin" w:eastAsia="IRNazanin"/>
          <w:color w:val="111111"/>
          <w:sz w:val="28"/>
          <w:sz w:val="28"/>
          <w:szCs w:val="28"/>
          <w:rtl w:val="true"/>
          <w:lang w:bidi="fa-IR"/>
        </w:rPr>
        <w:t>ذکر الشیخ الأعظم قدس سره فی خلال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اخذ الزمان فی العامّ بنحو الاستغراق؛ بأن جعل کلّ قطعة من قطعاته موضوعاً للحکم، فلا مجال فیه لاستصحاب حکم المخصِّص، بل یتمسّک فیه بالعامّ؛ بحیث لو لم یکن عامّ أیضاً لم یجرِ استصحابه، بل لا بدّ من الرجوع إلی سائر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بنحو الاستمرار تصریحاً، أو لاستفادته من مقدّمات الحکمة، فهو مورد التمسّک باستصحاب حکم المخصِّص لا العامّ؛ بحیث لو لا الاستصحاب لا یرجع فیه إلی العموم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قدس سره جعل المناط و الملاک فی جریان الاستصحاب، لحاظ حال العموم، و أنّه لا مجال للاستصحاب فی الفرض، بخلاف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کذلک، بل المناط ملاحظة حکم المخصِّص، فإن اتّحدت القضیّة المتیقّنة و المشکوکة فیه؛ بأن اخذ الزمان فیه بنحو الظرفیّة، فهو مورد جریان الاستصحاب، و إلّا بأن اخذ مفرِّداً فلا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تقدّم البحث فی استصحاب صحّة الأجزاء السابقة لو شکّ فیها، فلا نعیده</w:t>
      </w:r>
      <w:r>
        <w:rPr>
          <w:rFonts w:eastAsia="IRNazanin" w:cs="IRNazanin"/>
          <w:color w:val="111111"/>
          <w:sz w:val="28"/>
          <w:szCs w:val="28"/>
          <w:rtl w:val="true"/>
          <w:lang w:bidi="fa-IR"/>
        </w:rPr>
        <w:t>.</w:t>
      </w:r>
      <w:bookmarkStart w:id="291" w:name="pg12898_147995"/>
    </w:p>
    <w:p>
      <w:pPr>
        <w:pStyle w:val="Heading4"/>
        <w:numPr>
          <w:ilvl w:val="3"/>
          <w:numId w:val="1"/>
        </w:numPr>
        <w:rPr/>
      </w:pPr>
      <w:bookmarkStart w:id="292" w:name="__RefHeading___Toc3234878_3224264995"/>
      <w:bookmarkStart w:id="293" w:name="_Toc108"/>
      <w:bookmarkEnd w:id="291"/>
      <w:bookmarkEnd w:id="292"/>
      <w:r>
        <w:rPr>
          <w:rtl w:val="true"/>
        </w:rPr>
        <w:t>التنبیه العاشر حول المراد من الشکّ فی الأدلّة</w:t>
      </w:r>
      <w:bookmarkEnd w:id="293"/>
    </w:p>
    <w:p>
      <w:pPr>
        <w:pStyle w:val="BookText"/>
        <w:rPr/>
      </w:pPr>
      <w:r>
        <w:rPr>
          <w:rFonts w:ascii="IRNazanin" w:hAnsi="IRNazanin" w:eastAsia="IRNazanin"/>
          <w:color w:val="111111"/>
          <w:sz w:val="28"/>
          <w:sz w:val="28"/>
          <w:szCs w:val="28"/>
          <w:rtl w:val="true"/>
          <w:lang w:bidi="fa-IR"/>
        </w:rPr>
        <w:t>أنّ الشکّ المأخوذ فی الاستصحاب أعمّ من المتساوی الطرفین و غیره؛ لأنّ الظاهر أنّ جعل الشکّ مقابل الظنّ و الوهم مجرّد اصطلاح ناشٍ من المنطقیّین</w:t>
      </w:r>
      <w:r>
        <w:rPr>
          <w:rStyle w:val="FootnoteAnchor"/>
          <w:rtl w:val="true"/>
        </w:rPr>
        <w:footnoteReference w:id="321"/>
      </w:r>
      <w:r>
        <w:rPr>
          <w:rFonts w:ascii="IRNazanin" w:hAnsi="IRNazanin" w:eastAsia="IRNazanin"/>
          <w:color w:val="111111"/>
          <w:sz w:val="28"/>
          <w:sz w:val="28"/>
          <w:szCs w:val="28"/>
          <w:rtl w:val="true"/>
          <w:lang w:bidi="fa-IR"/>
        </w:rPr>
        <w:t>، و تبعهم فیه غیرهم من أرباب العلوم، و إلّا فهو فی متن اللُّغة لیس کذلک؛ حیث إنّه فسّر فیه بالارتیاب</w:t>
      </w:r>
      <w:r>
        <w:rPr>
          <w:rStyle w:val="FootnoteAnchor"/>
          <w:rtl w:val="true"/>
        </w:rPr>
        <w:footnoteReference w:id="322"/>
      </w:r>
      <w:r>
        <w:rPr>
          <w:rFonts w:ascii="IRNazanin" w:hAnsi="IRNazanin" w:eastAsia="IRNazanin"/>
          <w:color w:val="111111"/>
          <w:sz w:val="28"/>
          <w:sz w:val="28"/>
          <w:szCs w:val="28"/>
          <w:rtl w:val="true"/>
          <w:lang w:bidi="fa-IR"/>
        </w:rPr>
        <w:t>و نحوه</w:t>
      </w:r>
      <w:r>
        <w:rPr>
          <w:rStyle w:val="FootnoteAnchor"/>
          <w:rtl w:val="true"/>
        </w:rPr>
        <w:footnoteReference w:id="323"/>
      </w:r>
      <w:r>
        <w:rPr>
          <w:rFonts w:ascii="IRNazanin" w:hAnsi="IRNazanin" w:eastAsia="IRNazanin"/>
          <w:color w:val="111111"/>
          <w:sz w:val="28"/>
          <w:sz w:val="28"/>
          <w:szCs w:val="28"/>
          <w:rtl w:val="true"/>
          <w:lang w:bidi="fa-IR"/>
        </w:rPr>
        <w:t>الأعمّ من متساوی الطرفین، و علی فرض الإغماض عن ذلک و عدم ثبوته کذلک لغةً، لکن لا ریب فی أنّ المراد منه فی باب الاستصحاب و أخباره هو 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لما تقدّم عند التعرّض لاستصحاب مؤدّی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إقامة الشواهد من الأخبار و ارتکاز ذلک فی أذهان العرف و العقلاء و 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من الیقین و الشکّ المأخوذین فی الاستصحاب فی لسان الأخبار هو الحجّة و اللاحجّة، لا الیقین الاصطلاحی الجازم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لاستفادة ذلک من أخبار الاستصحاب، کما أفاده الشیخ الأعظم قدس سره</w:t>
      </w:r>
      <w:r>
        <w:rPr>
          <w:rStyle w:val="FootnoteAnchor"/>
          <w:rtl w:val="true"/>
        </w:rPr>
        <w:footnoteReference w:id="324"/>
      </w:r>
      <w:r>
        <w:rPr>
          <w:rFonts w:ascii="IRNazanin" w:hAnsi="IRNazanin" w:eastAsia="IRNazanin"/>
          <w:color w:val="111111"/>
          <w:sz w:val="28"/>
          <w:sz w:val="28"/>
          <w:szCs w:val="28"/>
          <w:rtl w:val="true"/>
          <w:lang w:bidi="fa-IR"/>
        </w:rPr>
        <w:t>حیث جعل الشکّ فیها مقابلًا للیقین، و عدم نقضه إلّا بیقین آخر الظاهر فی أنّ المراد</w:t>
      </w:r>
    </w:p>
    <w:p>
      <w:pPr>
        <w:pStyle w:val="BookText"/>
        <w:rPr/>
      </w:pPr>
      <w:r>
        <w:rPr>
          <w:rFonts w:ascii="IRNazanin" w:hAnsi="IRNazanin" w:eastAsia="IRNazanin"/>
          <w:color w:val="111111"/>
          <w:sz w:val="28"/>
          <w:sz w:val="28"/>
          <w:szCs w:val="28"/>
          <w:rtl w:val="true"/>
          <w:lang w:bidi="fa-IR"/>
        </w:rPr>
        <w:t>منه عدم الیقین، و أنّ حدّ حرمة نقض الیقین إنّما هو حصول یقین آخر، و کذلک قوله علیه السلام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جواب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أمارة ربّما یحصل منها الظنّ بالنوم؛ حیث جعل الغایة، حصول الیقین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مفروض السؤال فی الروایة الثانیة لزرارة</w:t>
      </w:r>
      <w:r>
        <w:rPr>
          <w:rStyle w:val="FootnoteAnchor"/>
          <w:rtl w:val="true"/>
        </w:rPr>
        <w:footnoteReference w:id="326"/>
      </w:r>
      <w:r>
        <w:rPr>
          <w:rFonts w:ascii="IRNazanin" w:hAnsi="IRNazanin" w:eastAsia="IRNazanin"/>
          <w:color w:val="111111"/>
          <w:sz w:val="28"/>
          <w:sz w:val="28"/>
          <w:szCs w:val="28"/>
          <w:rtl w:val="true"/>
          <w:lang w:bidi="fa-IR"/>
        </w:rPr>
        <w:t>المفروض فیها کونه فی معرض إصابة الدم للثوب، فیستفاد من مجموع ما ذکر أنّ المراد من الشکّ هو المعنی الأعمّ، و لا یحتاج إلی تجشّم الاستدلال بالإجماع التقدیری؛ بمعنی أنّه لو کان المستند للجمیع فی حجّیّة الاستصحاب هو الأخبار، لأجمعوا علی ذلک</w:t>
      </w:r>
      <w:r>
        <w:rPr>
          <w:rStyle w:val="FootnoteAnchor"/>
          <w:rtl w:val="true"/>
        </w:rPr>
        <w:footnoteReference w:id="327"/>
      </w:r>
      <w:r>
        <w:rPr>
          <w:rFonts w:ascii="IRNazanin" w:hAnsi="IRNazanin" w:eastAsia="IRNazanin"/>
          <w:color w:val="111111"/>
          <w:sz w:val="28"/>
          <w:sz w:val="28"/>
          <w:szCs w:val="28"/>
          <w:rtl w:val="true"/>
          <w:lang w:bidi="fa-IR"/>
        </w:rPr>
        <w:t>، فإنّ حجیّة الإجماع إنّما هی لأجل کشفه عن رأی المعصوم المتوقّف علی إجماع محقّق ثابت، و لا یکفی فیه وجوده التقدیری، کما فیما نحن فیه؛ لعدم استنادهم فیه إلیها إلی زمان والد الشیخ البهائی قدس سره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الظنّ الغیر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لوجود الدلیل علی عدم اعتباره، أو لعدم الدلیل علی اعتباره، فعلی الأوّل فوجوده کعدمه، فیترتّب علیه آثار عدمه، و علی الثانی فمرجعه إلی نقض الیقین بالشکّ</w:t>
      </w:r>
      <w:r>
        <w:rPr>
          <w:rStyle w:val="FootnoteAnchor"/>
          <w:rtl w:val="true"/>
        </w:rPr>
        <w:footnoteReference w:id="329"/>
      </w:r>
      <w:r>
        <w:rPr>
          <w:rFonts w:ascii="IRNazanin" w:hAnsi="IRNazanin" w:eastAsia="IRNazanin"/>
          <w:color w:val="111111"/>
          <w:sz w:val="28"/>
          <w:sz w:val="28"/>
          <w:szCs w:val="28"/>
          <w:rtl w:val="true"/>
          <w:lang w:bidi="fa-IR"/>
        </w:rPr>
        <w:t>، فإنّ ذلک کلّه تبعید للمسافة بلا حاجة إلیه</w:t>
      </w:r>
      <w:r>
        <w:rPr>
          <w:rFonts w:eastAsia="IRNazanin" w:cs="IRNazanin"/>
          <w:color w:val="111111"/>
          <w:sz w:val="28"/>
          <w:szCs w:val="28"/>
          <w:rtl w:val="true"/>
          <w:lang w:bidi="fa-IR"/>
        </w:rPr>
        <w:t>.</w:t>
      </w:r>
      <w:bookmarkStart w:id="294" w:name="pg12898_147997"/>
    </w:p>
    <w:p>
      <w:pPr>
        <w:pStyle w:val="Heading3"/>
        <w:numPr>
          <w:ilvl w:val="2"/>
          <w:numId w:val="1"/>
        </w:numPr>
        <w:rPr/>
      </w:pPr>
      <w:bookmarkStart w:id="295" w:name="__RefHeading___Toc3234880_3224264995"/>
      <w:bookmarkStart w:id="296" w:name="_Toc109"/>
      <w:bookmarkEnd w:id="294"/>
      <w:bookmarkEnd w:id="295"/>
      <w:r>
        <w:rPr>
          <w:rtl w:val="true"/>
        </w:rPr>
        <w:t>خاتمة</w:t>
      </w:r>
      <w:bookmarkEnd w:id="296"/>
    </w:p>
    <w:p>
      <w:pPr>
        <w:pStyle w:val="Heading4"/>
        <w:numPr>
          <w:ilvl w:val="3"/>
          <w:numId w:val="1"/>
        </w:numPr>
        <w:rPr/>
      </w:pPr>
      <w:bookmarkStart w:id="297" w:name="__RefHeading___Toc3234882_3224264995"/>
      <w:bookmarkStart w:id="298" w:name="_Toc110"/>
      <w:bookmarkEnd w:id="297"/>
      <w:r>
        <w:rPr>
          <w:rtl w:val="true"/>
        </w:rPr>
        <w:t>یعتبر فی جریان الاستصحاب امور</w:t>
      </w:r>
      <w:r>
        <w:rPr>
          <w:rtl w:val="true"/>
        </w:rPr>
        <w:t>:</w:t>
      </w:r>
      <w:bookmarkEnd w:id="298"/>
    </w:p>
    <w:p>
      <w:pPr>
        <w:pStyle w:val="Heading5"/>
        <w:numPr>
          <w:ilvl w:val="4"/>
          <w:numId w:val="1"/>
        </w:numPr>
        <w:rPr/>
      </w:pPr>
      <w:bookmarkStart w:id="299" w:name="__RefHeading___Toc3234884_3224264995"/>
      <w:bookmarkStart w:id="300" w:name="_Toc111"/>
      <w:bookmarkEnd w:id="299"/>
      <w:r>
        <w:rPr>
          <w:rtl w:val="true"/>
        </w:rPr>
        <w:t>الأمر الأوّل وحدة القضیّة المتیقّنة و المشکوکة</w:t>
      </w:r>
      <w:bookmarkEnd w:id="300"/>
    </w:p>
    <w:p>
      <w:pPr>
        <w:pStyle w:val="Heading6"/>
        <w:numPr>
          <w:ilvl w:val="5"/>
          <w:numId w:val="1"/>
        </w:numPr>
        <w:rPr/>
      </w:pPr>
      <w:bookmarkStart w:id="301" w:name="__RefHeading___Toc3234886_3224264995"/>
      <w:bookmarkStart w:id="302" w:name="_Toc112"/>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لا إشکال فی اعتبار اتّحاد القضیّة المتیقّنة مع المشکوکة فی الاستصحاب بحسب الموضوع و المحمول مطلقاً؛ سواء کان فی الهلیّات البسیطة أو المرکّبة، و هو من القضایا التی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إحراز وجود الموضوع فلا یعتبر فیه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و الظنّ و الشکّ و الوهم من المعانی التی لا یمکن تعلّقها بالمعانی التصوّریة، بل هی دائماً تتعلّق بالقضایا و المعانی التصدیقیّة، و أمّا الیقین و الشکّ فی 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فمرجعهما إمّا الیقین و الشکّ بتحقّق عدالته علی 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 الهلیّة البسیطة، أو کون زید عادلًا علی 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الهلیّة المرکّبة، و إلّا فنفس العدالة و نحوها من المعانی التصوّریة لا یعقل تعلّق الیقین و الشکّ بها، فالمستصحب دائماً من القضایا، و معنی استصحابها هو البناء علی وجودها المتیقّن فی ظرف الشکّ</w:t>
      </w:r>
      <w:r>
        <w:rPr>
          <w:rFonts w:eastAsia="IRNazanin" w:cs="IRNazanin"/>
          <w:color w:val="111111"/>
          <w:sz w:val="28"/>
          <w:szCs w:val="28"/>
          <w:rtl w:val="true"/>
          <w:lang w:bidi="fa-IR"/>
        </w:rPr>
        <w:t>.</w:t>
      </w:r>
      <w:bookmarkStart w:id="303" w:name="pg12898_147998"/>
    </w:p>
    <w:p>
      <w:pPr>
        <w:pStyle w:val="Heading6"/>
        <w:numPr>
          <w:ilvl w:val="5"/>
          <w:numId w:val="1"/>
        </w:numPr>
        <w:rPr/>
      </w:pPr>
      <w:bookmarkStart w:id="304" w:name="__RefHeading___Toc3234888_3224264995"/>
      <w:bookmarkStart w:id="305" w:name="_Toc113"/>
      <w:bookmarkEnd w:id="303"/>
      <w:bookmarkEnd w:id="304"/>
      <w:r>
        <w:rPr>
          <w:rtl w:val="true"/>
        </w:rPr>
        <w:t>حول اعتبار بقاء الموضوع</w:t>
      </w:r>
      <w:bookmarkEnd w:id="305"/>
    </w:p>
    <w:p>
      <w:pPr>
        <w:pStyle w:val="Heading6"/>
        <w:numPr>
          <w:ilvl w:val="5"/>
          <w:numId w:val="1"/>
        </w:numPr>
        <w:rPr/>
      </w:pPr>
      <w:bookmarkStart w:id="306" w:name="__RefHeading___Toc3234890_3224264995"/>
      <w:bookmarkStart w:id="307" w:name="_Toc114"/>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فما یظهر من الشیخ الأعظم قدس سره من أنّه یعتبر فی الاستصحاب بقاء الموضوع فی الزمان اللّاحق، و أنّ المراد به معروض المستصحب، فإذا ارید استصحاب بقاء وجود زید أو قیامه، فلا بدّ من وجود زید و تحقّقه فی الزمان اللّاحق علی النحو الذی کان معروضاً للمستصحب فی السابق؛ سواء کان تحقّقه فی السابق بتقرّره ذهناً أو بوجوده خارجاً، فزید معروض للقیام فی الخارج بوصف وجوده الخارجی، و للوجود بوصف تقرّره الذهنی، لا بوجوده الخارجی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لا یمکن استصحاب نفس العارض بالمعنی التصوّری؛ لعدم إمکان تعلّق الیقین و الشکّ اللّذین هما من أرکان الاستصحاب به، بل المستصحب دائماً من المعانی التصدیقیّة التی یمکن تعلّق الیقین و الشکّ بها، فلیس المستصحب فی استصحاب العدالة، نفس العدالة بالمعنی العارض علی زید، و کذلک فی استصحاب الوجود، فما ذکره قدس سره خلطٌ بین المستصحب و محمول القضیّة، مع أنّ المستصحب هو القضیّة لا محمولها، فلو ترتّب الأثر علی الکون المحمولی للعدالة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علیه باستصحابه، و أمّا لو ترتّب الأثر علی الکون الرابط، ککونه عادلًا بالنسبة إلی جواز الائتمام به و صحّة الطلاق عنده و نفوذ شهادته تترتّب تلک الآثار باستصحاب ذلک، لا باستصحاب تحقّق العدالة بنحو الکون المحمولی، إلّا علی القول بحجّیّة الأصل المثبت؛ ضرورة أنّ استصحاب تحقّق العدالة لا یثبت اتّصاف زید بالعدالة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إحراز الموضوع و وجوده غیر ممکن فی بعض الموارد، کما فی</w:t>
      </w:r>
    </w:p>
    <w:p>
      <w:pPr>
        <w:pStyle w:val="BookText"/>
        <w:rPr/>
      </w:pPr>
      <w:r>
        <w:rPr>
          <w:rFonts w:ascii="IRNazanin" w:hAnsi="IRNazanin" w:eastAsia="IRNazanin"/>
          <w:color w:val="111111"/>
          <w:sz w:val="28"/>
          <w:sz w:val="28"/>
          <w:szCs w:val="28"/>
          <w:rtl w:val="true"/>
          <w:lang w:bidi="fa-IR"/>
        </w:rPr>
        <w:t>استصحاب الوجود؛ لأنّه إن ارید إحراز موضوعه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و التصدیق بوجوده فیه، فهو لا یجتمع مع الشکّ فی وجوده و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إحراز وجوده فی الذهن، کما صرّح قدس سره به،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للوجود الخارجی الذی یُراد إثباته بالاستصحاب، لیس هو زید المتقرّر فی الذهن بالضرورة، بل الموضوع هو نفس هویّة زید المتّحدة مع الوجود فی الخارج، و إلّا فلا یمکن اتّحاد زید المتقرّر فی الذهن مع الوجود الخارجی، و لعلّ هذا الاشتباه ناشٍ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عارض الماهیّة ذهناً</w:t>
      </w:r>
      <w:r>
        <w:rPr>
          <w:rStyle w:val="FootnoteAnchor"/>
          <w:rtl w:val="true"/>
        </w:rPr>
        <w:footnoteReference w:id="331"/>
      </w:r>
      <w:r>
        <w:rPr>
          <w:rFonts w:ascii="IRNazanin" w:hAnsi="IRNazanin" w:eastAsia="IRNazanin"/>
          <w:color w:val="111111"/>
          <w:sz w:val="28"/>
          <w:sz w:val="28"/>
          <w:szCs w:val="28"/>
          <w:rtl w:val="true"/>
          <w:lang w:bidi="fa-IR"/>
        </w:rPr>
        <w:t>، فتوهّم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المعروض هو زید المتقرّر فی الذهن، مع أنّ مرادهم لیس ذلک، فإنّ الوجود و إن لم یکن عارضاً علیه فی الخارج، لکنّه متّحد معه فیه؛ لأنّ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الخارج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 سره غیر مستقیم، إلّا أن یرید ما ذکرناه، و لکن ظاهر کلامه قدس سره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الاستصحاب اتّحاد القضیّة المتیقّنة مع المشکوکة موضوعاً و محمولًا، و لا یعتبر فیه إحراز بقاء الموضوع</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اعتبار بقاء الموضوع فی جریان الاستصحاب واضح؛ لأنّه لو لم یعلم تحقّقه لاحقاً، فإذا ارید إبقاء المستصحب العارض له المتقوّم 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یبقی فی غیر محلّ و موضوع، فهو محال، و إمّا أن یبقی فی موضوع غیر الموضوع</w:t>
      </w:r>
      <w:bookmarkStart w:id="308" w:name="pg12898_148000"/>
    </w:p>
    <w:p>
      <w:pPr>
        <w:pStyle w:val="BookText"/>
        <w:rPr/>
      </w:pPr>
      <w:bookmarkEnd w:id="308"/>
      <w:r>
        <w:rPr>
          <w:rFonts w:ascii="IRNazanin" w:hAnsi="IRNazanin" w:eastAsia="IRNazanin"/>
          <w:color w:val="111111"/>
          <w:sz w:val="28"/>
          <w:sz w:val="28"/>
          <w:szCs w:val="28"/>
          <w:rtl w:val="true"/>
          <w:lang w:bidi="fa-IR"/>
        </w:rPr>
        <w:t>السابق، فمن المعلوم أنّ هذا لیس إبقاء للعارض السابق، بل هو حکم بحدوث عارض مثله فی موضوع جدید، و الحکم بعدم ثبوت الحکم لهذا الموضوع الجدید لیس نقضاً للمتیقّن السابق</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کلامه قدس سره</w:t>
      </w:r>
      <w:r>
        <w:rPr>
          <w:rFonts w:eastAsia="IRNazanin" w:cs="IRNazanin"/>
          <w:color w:val="111111"/>
          <w:sz w:val="28"/>
          <w:szCs w:val="28"/>
          <w:rtl w:val="true"/>
          <w:lang w:bidi="fa-IR"/>
        </w:rPr>
        <w:t>.</w:t>
      </w:r>
    </w:p>
    <w:p>
      <w:pPr>
        <w:pStyle w:val="Heading6"/>
        <w:numPr>
          <w:ilvl w:val="5"/>
          <w:numId w:val="1"/>
        </w:numPr>
        <w:rPr/>
      </w:pPr>
      <w:bookmarkStart w:id="309" w:name="__RefHeading___Toc3234892_3224264995"/>
      <w:bookmarkStart w:id="310" w:name="_Toc115"/>
      <w:bookmarkEnd w:id="309"/>
      <w:r>
        <w:rPr>
          <w:rtl w:val="true"/>
        </w:rPr>
        <w:t>و أورد علیه المحقّق الخراسانی قدس سره بوجهین</w:t>
      </w:r>
      <w:r>
        <w:rPr>
          <w:rtl w:val="true"/>
        </w:rPr>
        <w:t>:</w:t>
      </w:r>
      <w:bookmarkEnd w:id="31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انتقال العرض من موضوع إلی آخر حقیقة و تکویناً، لا یستلزم استحالته تعبّداً و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الالتزام بآثاره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مرجع استصحاب الموضوعات هو الحکم بترتیب آثارها و البناء العملی علی بقائها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الدلیل أخصّ من المدّعی، فإنّ المستصحب لیس من مقولة الأعراض دائماً، بل ربّما یکون هو الوجود، و لیس هو من المقولات العشر، فلا هو جوهرٌ بالذات، و لا عرض و إن کان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ممّا یعرض علی الماهیّة کالعرض</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تشخّصه لیس بعروضه، فیستحیل بقاؤه مع تبدّله، بل یکون بالعکس و إن تشخّص معروضه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محلّه</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تنثلم وحدته و تشخّصه بتعدّد الموجود و تبدّله من نوع إلی آخر، فینتزع من وجود واحد شخصیّ ماهیّات مختلفة حسب اختلافه نقصاً و کمالًا و ضعفاً و شدّة، فیصحّ استصحاب هذا الموجود عند الشکّ فی بقائه و ارتفاعه؛ و لو مع القطع بتبدّل ما انتُزع عنه سابقاً من الماهیّة إلی غیر ما ینتزع عنه الآن</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11" w:name="pg12898_148001"/>
    </w:p>
    <w:p>
      <w:pPr>
        <w:pStyle w:val="Heading6"/>
        <w:numPr>
          <w:ilvl w:val="5"/>
          <w:numId w:val="1"/>
        </w:numPr>
        <w:rPr/>
      </w:pPr>
      <w:bookmarkStart w:id="312" w:name="__RefHeading___Toc3234894_3224264995"/>
      <w:bookmarkStart w:id="313" w:name="_Toc116"/>
      <w:bookmarkEnd w:id="311"/>
      <w:bookmarkEnd w:id="312"/>
      <w:r>
        <w:rPr>
          <w:rtl w:val="true"/>
        </w:rPr>
        <w:t>توجیه شیخنا الحائری قدس سره کلام الشیخ الأعظم قدس سره</w:t>
      </w:r>
      <w:bookmarkEnd w:id="313"/>
    </w:p>
    <w:p>
      <w:pPr>
        <w:pStyle w:val="BookText"/>
        <w:rPr/>
      </w:pPr>
      <w:r>
        <w:rPr>
          <w:rFonts w:ascii="IRNazanin" w:hAnsi="IRNazanin" w:eastAsia="IRNazanin"/>
          <w:color w:val="111111"/>
          <w:sz w:val="28"/>
          <w:sz w:val="28"/>
          <w:szCs w:val="28"/>
          <w:rtl w:val="true"/>
          <w:lang w:bidi="fa-IR"/>
        </w:rPr>
        <w:t>و قال شیخنا الحائری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 الشیخ قدس سره و إن کان یوهم ما یرد علیه الاعتراض، إلّا أنّه یمکن توجیهه علی وجه یسلم من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یحتاج إلی بیان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القضایا الصادرة من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 سنخ إنشاء الأحکام أو من قبیل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نسب ربطیّة متقوّمة بالموضوعات الخاصّة، مثلًا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إرادة إیقاعیّة مرتبطة بإکرام زید، و کذا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نسبة تصدیقیّة حاکیة متقوّمة بهذا الموضوع الخاصّ و المحمول کذلک، و حال هذه النسب فی الذهن حال الأعراض فی الخارج فی الاحتیاج إلی الغیر فی التحقّق، و کذا فی عدم إمکان انتقالها من محلّ إلی آخر،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المتیقّن فی السابق هو وجوب الصلاة، فالجاعل للحکم فی الزمان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یجعل الوجوب للصلاة، و هو المطلوب هنا من لزوم بقاء اتّحاد الموضوع، و إمّا أن ینشأ هذه الإرادة الحتمیّة الربطیّة من دون موضوع و هو محال؛ ضرورة تقوّمها فی النفس بموضوع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ینشأ لغیر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ینشأ تلک الإرادة المتقوّمة بموضوع الصلاة لغیرها، و إمّا أن ینشأ إرادة مستقلّة، و الأوّل محال؛ لاستحالة انتقال العرض، و الثانی ممکن، لکنّه لیس إبقاءً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الشبهة الحکمیّة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فلنفرض أنّ المتیقّن السابق هو خمریّة هذا المائع الخاصّ، ففی الزمان الثانی لواقع تلک النسبة التصدیقیّة المرتبطة بالخمریّة و هذا المائع تعبّداً، فإن کان طرف النسبة المذکورة هذا المائع فقد ثبت المطلوب، و إلّا فإن لم یکن</w:t>
      </w:r>
    </w:p>
    <w:p>
      <w:pPr>
        <w:pStyle w:val="BookText"/>
        <w:rPr/>
      </w:pPr>
      <w:r>
        <w:rPr>
          <w:rFonts w:ascii="IRNazanin" w:hAnsi="IRNazanin" w:eastAsia="IRNazanin"/>
          <w:color w:val="111111"/>
          <w:sz w:val="28"/>
          <w:sz w:val="28"/>
          <w:szCs w:val="28"/>
          <w:rtl w:val="true"/>
          <w:lang w:bidi="fa-IR"/>
        </w:rPr>
        <w:t>لها طرف یلزم تحقّق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هذه النسبة الربطیّة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محلّ،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لها طرف، فإن أوقع تلک النسبة المتقوّمة بطرف خاصّ لمحلّ آخر، فهو محال؛ للزوم انتقال العرض، و إن أوقعها لمحلّ آخر فهو ممکن، لکنّه لیس إبقاءً للحالة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الذی ذکره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و إن لا یتشخّص بالماهیّة، لکنّه یتشخّص بحدوده الخاصّة، فإنّ وجود زید و وجود عمرو وجودان متعدّدان قطعاً، و کذا السواد الضعیف المنتزع من حدٍّ خاصّ من وجود السواد، و السواد الشدید المنتزع من حدّ خاصّ منه، فإنّ انتزاعهما منه یکشف عن اختلاف الوجودین اللّذین هما منشأ انتزاعهما؛ إذ لا یعقل اختلاف عنوان المنتزع من دون اختلاف فی منشأ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بقاء السواد فیما إذا قطع بتبدّله علی تقدیر البقاء مبنیّ علی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جواز استصحاب القسم الثالث، و إمّا القول بوحدة هذین الوجودین بنظر العرف و إن کانا متعدّدین فی نظر العقل، فاحفظ ذلک</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غیر وجیه؛ و ذلک لأنّه لو تعلّقت إرادة إیجابیّة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صلاة الجمعة، فلا ریب فی أنّه لا یراد بالاستصحاب جرّها إلی زمان الشکّ؛ بإیجاد إرادة واقعیّة فی زمان الشکّ، بل الاستصحاب حکم ظاهریّ مفاده التعبّد بالبقاء، و الحکم بترتیب الآثار منجِّز للواقع علی فرض الإصابة و العذر عند عدمها؛ من دون فرق فیه بین الشبهات الحکمیّة و الموضوعیّة، بل فی الثانیة أوضح؛ حیث إنّه لا معنی لاستصحاب الموضوعات إلّا الحکم بترتیب آثارها، و بناء علی ما ذکره قدس سره</w:t>
      </w:r>
    </w:p>
    <w:p>
      <w:pPr>
        <w:pStyle w:val="BookText"/>
        <w:rPr/>
      </w:pPr>
      <w:r>
        <w:rPr>
          <w:rFonts w:ascii="IRNazanin" w:hAnsi="IRNazanin" w:eastAsia="IRNazanin"/>
          <w:color w:val="111111"/>
          <w:sz w:val="28"/>
          <w:sz w:val="28"/>
          <w:szCs w:val="28"/>
          <w:rtl w:val="true"/>
          <w:lang w:bidi="fa-IR"/>
        </w:rPr>
        <w:t>یلزم أن یکون مؤدّی الاستصحاب حکماً واقعیّاً، و هو کما تری، اما بناءً علی ما ذکرنا فمرجع مثل استصحاب الکرّیّة و الطهارة و نحوهما إلی إسقاط شرطیّتها للصلاة أو لتطهّر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إصابة الواقع، لا جعل الطهارة و الکرّیّة المستصحبتین مثل الطهارة و الکرّیّة الواقعیّتین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و إن کان غیر وجیه بناءً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الاستصحاب هو مجرّد الحکم بترتیب الآثار و البناء العملی علی البقاء، لکنّه وجیه؛ بناء علی ما ذهب إلیه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مفاده جعل الحکم المماثل</w:t>
      </w:r>
      <w:r>
        <w:rPr>
          <w:rStyle w:val="FootnoteAnchor"/>
          <w:rtl w:val="true"/>
        </w:rPr>
        <w:footnoteReference w:id="338"/>
      </w:r>
      <w:r>
        <w:rPr>
          <w:rFonts w:ascii="IRNazanin" w:hAnsi="IRNazanin" w:eastAsia="IRNazanin"/>
          <w:color w:val="111111"/>
          <w:sz w:val="28"/>
          <w:sz w:val="28"/>
          <w:szCs w:val="28"/>
          <w:rtl w:val="true"/>
          <w:lang w:bidi="fa-IR"/>
        </w:rPr>
        <w:t>، فإنّه بناء علیه لا یرد علیه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جدّاً إرادة صاحب الکفایة ذلک و ان عبّر به، بل الظاهر أنّ مراده من المماثل هو الحکم الظاهری بترتیب الآثار المماثلة لآثار الحکم الواقعی، لا أنّ مفاده حکم واقعیّ بتعلّق إرادة حتمیّة واقعیّة به، فإنّ ذلک ممّا یبعد نسبته إلیه قدس سره، و إلّا فیرد علیه إشکال أقوی من الإشکال المذکور، بل لنا أن نقلب الدلیل علی شیخنا الاستاذ الحائری قدس سره؛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للمولی إرادة حتمیّة فی الزمان السابق فتلک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موجودة فی الزمان اللّاحق واقعاً أو لا، فعلی الأوّل فلم تحدث بالاستصحاب إرادة جدیدة فی الزمان اللّاحق، و علی الثانی فإحداث إرادة جدیدة بالاستصحاب لیس إبقاءً للُاولی، بل إحداث إرادة جدیدة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متحقّقة فی الزمان اللّاحق و باقیة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تحدث إرادة جدیدة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بل یراد إیقاعها بالاستصحاب، فعلی الأوّل لا یحتاج إلی الاستصحاب، و علی الثانی فلیس ذلک إبقاء للحالة السابقة، بل إیجاد إرادة اخری و إحداثها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الجواب عن الإشکال الثانی ففیه 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الموجودات المتدرّجة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و الحرکة الاشتدادیّة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بوحدة شخصیّة، و إلّا یلزم المحال، و کذلک هی عند العرف، فإنّ تبدّل السواد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الشدید لیس تبدّلًا فی الوجود بل الشدید المتبدّل إلیه هو الضعیف السابق عرفاً بزیادة الاشتداد، لا أنّه موجود آخر یغایر الأوّل، و قد تقدّم تفصیل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هذا القسم من الموجودات استصحاب للشخص، لا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الأعظم قدس سره حقٌّ 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فرض جواز انتقال العرض أو تحقّقه لا فی موضوع کالعدالة، لکن استصحابه لا یفید شیئاً؛ إذ لا یثبت بذلک اتّصاف الموضوع به، فلا یثبت بالاستصحاب المذکور أنّ زیداً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اتّحاد القضیّة المتیقّنة مع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مُحرَز بالوجدان، کما فی الهلیّات البسیطة، مثل استصحاب وجود زید، فإنّ المحمول قد یترتّب علی الموضوع بلا واسطة فی ترتّبه، مثل حمل الوجود علی زید، فإنّه لا واسطة فی ترتّبه علیه عقلًا و لا عرفاً، و قد یترتّب علیه بواسطة عقلیّة، کحمل المتنفّس و المتحرّک علی زید بواسطة الوجود و الحیاة، فإنّه ما لم یکن موجوداً حیّاً لا یصحّ حمل المتنفّس و المتحرّک علیه، لکن الموضوع لهما نفس زید لا الموصوف بالوجود و الحیاة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یترتّب علیه بواسطة لیست قیداً للموضوع عرفاً، بل هو عندهم بنحو القضیّة الحقیقیّة، کثبوت العدالة لزید بواسطة الوجود، فإنّه لا دخل للوجود فی تحقّق العدالة له عند العرف بنحو التقیید، بل هو عندهم بنحو القضیّة الحینیّة،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 حین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هذه الأقسام اتّحاد القضیّتین مُحرَز بالوجدان، و أنّ</w:t>
      </w:r>
      <w:bookmarkStart w:id="314" w:name="pg12898_148005"/>
    </w:p>
    <w:p>
      <w:pPr>
        <w:pStyle w:val="BookText"/>
        <w:rPr/>
      </w:pPr>
      <w:bookmarkEnd w:id="314"/>
      <w:r>
        <w:rPr>
          <w:rFonts w:ascii="IRNazanin" w:hAnsi="IRNazanin" w:eastAsia="IRNazanin"/>
          <w:color w:val="111111"/>
          <w:sz w:val="28"/>
          <w:sz w:val="28"/>
          <w:szCs w:val="28"/>
          <w:rtl w:val="true"/>
          <w:lang w:bidi="fa-IR"/>
        </w:rPr>
        <w:t>الموضوع فی جمیعها هو زید، لا زید الموجود، و هو بعینه الموضوع فی القضیّة المشکوکة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الشکّ فی المحمول ناشئاً عن الشکّ فی وجود الموضوع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یقیّد الموضوع بقید فالموضوع هو المقیّد بما هو مقیّد،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القید إمّا محرَز بالوجدان، کما لو علم بحیاته بالوجدان، و شکّ فی بقاء عدالته، فإنّه لا إشکال فی صحّة استصحابها لاتحاد القضیّتین</w:t>
      </w:r>
      <w:r>
        <w:rPr>
          <w:rFonts w:eastAsia="IRNazanin" w:cs="IRNazanin"/>
          <w:color w:val="111111"/>
          <w:sz w:val="28"/>
          <w:szCs w:val="28"/>
          <w:rtl w:val="true"/>
          <w:lang w:bidi="fa-IR"/>
        </w:rPr>
        <w:t>.</w:t>
      </w:r>
    </w:p>
    <w:p>
      <w:pPr>
        <w:pStyle w:val="Heading6"/>
        <w:numPr>
          <w:ilvl w:val="5"/>
          <w:numId w:val="1"/>
        </w:numPr>
        <w:rPr/>
      </w:pPr>
      <w:bookmarkStart w:id="315" w:name="__RefHeading___Toc3234896_3224264995"/>
      <w:bookmarkStart w:id="316" w:name="_Toc117"/>
      <w:bookmarkEnd w:id="315"/>
      <w:r>
        <w:rPr>
          <w:rtl w:val="true"/>
        </w:rPr>
        <w:t>عدم کفایة الاستصحاب فی إحراز موضوع القضیة المستصحبة</w:t>
      </w:r>
      <w:bookmarkEnd w:id="316"/>
    </w:p>
    <w:p>
      <w:pPr>
        <w:pStyle w:val="BookText"/>
        <w:rPr/>
      </w:pPr>
      <w:r>
        <w:rPr>
          <w:rFonts w:ascii="IRNazanin" w:hAnsi="IRNazanin" w:eastAsia="IRNazanin"/>
          <w:color w:val="111111"/>
          <w:sz w:val="28"/>
          <w:sz w:val="28"/>
          <w:szCs w:val="28"/>
          <w:rtl w:val="true"/>
          <w:lang w:bidi="fa-IR"/>
        </w:rPr>
        <w:t>و إنّما الإشکال فیما إذا لم یُحرز القید بالوجدان فی ظرف الشکّ، فیقع الإشکال فی أنّه هل یمکن إحراز بقاء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القضیّتین بالاستصحاب؛ بأن یستصحب أوّلًا حیاته المشکوکة فی ظرف الشکّ، ثمّ یستصحب عدالته، أو لا بل لا بدّ من إحرازه بالوجدان فی صحّة استصحاب عدالته، أو التفصیل بین ما إذا کان الشکّ فی المحمول مسبّباً عن الشکّ فی الموضوع مطلقاً أو شرعاً، و بین ما إذا لم یکن کذلک، بل کان الشکّ فی المحمول فی عرض الشکّ فی الموضوع، و مسبّباً عن غیر الشکّ فی الموضوع؟ فیکفی إحراز بقاء الموضوع بالاستصحاب فی الأوّل دون الثانی، فمحطّ البحث و الکلام هو هذا القسم فقط</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کفایة الاستصحاب فی إحراز الموضوع مطلقاً؛ من غیر فرق بین کون القید المأخوذ فی الموضوع سبباً شرعیّاً للمحمول،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قطع النظر عن محکومیة استصحاب المطهریّة، و بین غیره؛ و ذلک 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استصحاب الموضوعات ترتّب أثر شرعیّ علیها، بل لیس استصحابها إلّا عبارة عن ذلک، و الذی یترتّب علی استصحاب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کالحیاة و إطلاق الماء</w:t>
      </w:r>
      <w:bookmarkStart w:id="317" w:name="pg12898_148006"/>
    </w:p>
    <w:p>
      <w:pPr>
        <w:pStyle w:val="BookText"/>
        <w:rPr/>
      </w:pPr>
      <w:bookmarkEnd w:id="317"/>
      <w:r>
        <w:rPr>
          <w:rFonts w:ascii="IRNazanin" w:hAnsi="IRNazanin" w:eastAsia="IRNazanin"/>
          <w:color w:val="111111"/>
          <w:sz w:val="28"/>
          <w:sz w:val="28"/>
          <w:szCs w:val="28"/>
          <w:rtl w:val="true"/>
          <w:lang w:bidi="fa-IR"/>
        </w:rPr>
        <w:t>فی المثالین، و یراد إثباته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اتّحاد القضیّتین و إحراز موضوع الاستصحاب الآخر، و هو لیس من الآثار الشرعیّة؛ لیصحّ بلحاظه استصحابهما، کما أفاد الشیخ الأعظم قدس سره فی خلال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صحّة الاستصحاب الثانی لیست من الآثار الشرعیّة للمستصحب الأوّل، فلا مجال لجریانه بلحاظها</w:t>
      </w:r>
      <w:r>
        <w:rPr>
          <w:rStyle w:val="FootnoteAnchor"/>
          <w:rtl w:val="true"/>
        </w:rPr>
        <w:footnoteReference w:id="339"/>
      </w:r>
      <w:r>
        <w:rPr>
          <w:rFonts w:ascii="IRNazanin" w:hAnsi="IRNazanin" w:eastAsia="IRNazanin"/>
          <w:color w:val="111111"/>
          <w:sz w:val="28"/>
          <w:sz w:val="28"/>
          <w:szCs w:val="28"/>
          <w:rtl w:val="true"/>
          <w:lang w:bidi="fa-IR"/>
        </w:rPr>
        <w:t>و إن کان کلامه قدس سره فی المقام لا یخلو عن الاختلال الناشئ عن الخلط بین ما هو محطّ البحث فی المقام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الحیاة و إطلاق الماء فی المثالین لترتیب الآثار الشرعیّة علیهما، مثل وجوب الإنفاق علی زوجته أو مطهریّة الماء، صحیحٌ و لا إشکال فیه، لکنّه خارج عن محطّ البحث؛ لأنّ المقصود استصحابهما لترتّب إثبات اتحاد القضیّتین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تنقیح محطّ البحث لا یبقی إشکال علی ما ذکرناه، و أنّه من القضایا التی قیاساتها معها</w:t>
      </w:r>
      <w:r>
        <w:rPr>
          <w:rFonts w:eastAsia="IRNazanin" w:cs="IRNazanin"/>
          <w:color w:val="111111"/>
          <w:sz w:val="28"/>
          <w:szCs w:val="28"/>
          <w:rtl w:val="true"/>
          <w:lang w:bidi="fa-IR"/>
        </w:rPr>
        <w:t>.</w:t>
      </w:r>
    </w:p>
    <w:p>
      <w:pPr>
        <w:pStyle w:val="Heading6"/>
        <w:numPr>
          <w:ilvl w:val="5"/>
          <w:numId w:val="1"/>
        </w:numPr>
        <w:rPr/>
      </w:pPr>
      <w:bookmarkStart w:id="318" w:name="__RefHeading___Toc3234898_3224264995"/>
      <w:bookmarkStart w:id="319" w:name="_Toc118"/>
      <w:bookmarkEnd w:id="318"/>
      <w:r>
        <w:rPr>
          <w:rtl w:val="true"/>
        </w:rPr>
        <w:t>الخلط الواقع فی کلام بعض الأعاظم</w:t>
      </w:r>
      <w:bookmarkEnd w:id="31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الإشکال فیما ذکره المیرزا النائینی قدس سره؛ لوقوع الخلط فی کلامه قدس سره بین ما هو محطّ البحث و غیره؛ حیث إنّه قدس سره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تفصیل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ما ذکره الشیخ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للإشکال فی جریان الاستصحاب بالنسبة إلی الحیاة فی المثال؛ حیث إنّ الشکّ فیها و فی العدالة فی عرض واحد، و الموضوع لجواز التقلید مرکّب من الحیاة و العدالة، فکما یحرز کلّ واحد من جزءی الموضوع بالوجدان، کذلک یُحرزان بالاستصحاب، أو أحدهما بالاستصحاب و الآخر بالوجدان، و یترتّب علیهما الحکم الشرعی، کجواز التقلید، کما فی سائر</w:t>
      </w:r>
      <w:bookmarkStart w:id="320" w:name="pg12898_148007"/>
    </w:p>
    <w:p>
      <w:pPr>
        <w:pStyle w:val="BookText"/>
        <w:rPr/>
      </w:pPr>
      <w:bookmarkEnd w:id="320"/>
      <w:r>
        <w:rPr>
          <w:rFonts w:ascii="IRNazanin" w:hAnsi="IRNazanin" w:eastAsia="IRNazanin"/>
          <w:color w:val="111111"/>
          <w:sz w:val="28"/>
          <w:sz w:val="28"/>
          <w:szCs w:val="28"/>
          <w:rtl w:val="true"/>
          <w:lang w:bidi="fa-IR"/>
        </w:rPr>
        <w:t>الموضوعات المرکّبة</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صحیح، لکنّه غیر مربوط بما نحن فیه و خارج عن محطّ البحث؛ إذ لیس البحث فیما إذا ترتّب الأثر الشرعی علی موضوع مرکّب؛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إحراز أحد الجزءین بالوجدان و الآخر بالاستصحاب، بل الکلام فی أنّه هل یمکن إحراز الموضوع لاستصحاب آخر بالاستصحاب، و اتّحاد القضیّتین بالجاری فی الموضوع؛ لیترتّب علیه جریان الاستصحاب فی جانب المحمول أو لا؟ و أین هذا ممّا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إحراز الموضوع و اتّحاد القضیّتین بالاستصحاب، بل لا بدّ من إحرازه بالوجدان أو بقیام البیّنة علیه أو الأمارة؛ لما تقدّم من حجّیّة مُثبتاتها</w:t>
      </w:r>
      <w:r>
        <w:rPr>
          <w:rFonts w:eastAsia="IRNazanin" w:cs="IRNazanin"/>
          <w:color w:val="111111"/>
          <w:sz w:val="28"/>
          <w:szCs w:val="28"/>
          <w:rtl w:val="true"/>
          <w:lang w:bidi="fa-IR"/>
        </w:rPr>
        <w:t>.</w:t>
      </w:r>
    </w:p>
    <w:p>
      <w:pPr>
        <w:pStyle w:val="Heading6"/>
        <w:numPr>
          <w:ilvl w:val="5"/>
          <w:numId w:val="1"/>
        </w:numPr>
        <w:rPr/>
      </w:pPr>
      <w:bookmarkStart w:id="321" w:name="__RefHeading___Toc3234900_3224264995"/>
      <w:bookmarkStart w:id="322" w:name="_Toc119"/>
      <w:bookmarkEnd w:id="321"/>
      <w:r>
        <w:rPr>
          <w:rtl w:val="true"/>
        </w:rPr>
        <w:t>المناط فی تشخیص وجود الموضوع</w:t>
      </w:r>
      <w:bookmarkEnd w:id="322"/>
    </w:p>
    <w:p>
      <w:pPr>
        <w:pStyle w:val="Heading6"/>
        <w:numPr>
          <w:ilvl w:val="5"/>
          <w:numId w:val="1"/>
        </w:numPr>
        <w:rPr/>
      </w:pPr>
      <w:bookmarkStart w:id="323" w:name="__RefHeading___Toc3234902_3224264995"/>
      <w:bookmarkStart w:id="324" w:name="_Toc120"/>
      <w:bookmarkEnd w:id="323"/>
      <w:r>
        <w:rPr>
          <w:rtl w:val="true"/>
        </w:rPr>
        <w:t>اشارة</w:t>
      </w:r>
      <w:bookmarkEnd w:id="32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المناط فی تشخیص وجود الموضوع و صدق اتّحاد القضیّتین، هل هو نظر العقل أو نظر العرف أو لسان الدلیل؟ و الفرق بینها واضح، فإنّه علی الأوّل قلّما یتّفق ذلک فی الأحکام حتّی فی احتمال النسخ؛ لأنّ الأحکام الشرعیّة إنّما تتعلّق بالموضوعات؛ لمکان اشتمالها علی خصوصیّة هی الموضوعة لها عند العقل أو دخیلة فی موضوعها، کالحرمة المتعلّقة بالخمر، و لا یمکن الشکّ فی الحکم إلّا بتغیّر بعض حالات الموضوع و خصوصیّاته، و إلّا فمع حفظ الموضوع بجمیع حالاته و خصوصیّاته فی الزمان اللّاحق، امتنع الشکّ فی حکمه؛ لأنّه لو احتمل زوال الحکم الأوّل، مع وجود الموضوع بجمیع حالاته و خصوصیّاته، و تبدّل حکمه إلی حکم آخر کالإباحة فی مثال الخمر، لزم أن یکون الحکم الأوّل جزافاً و بلا ملاک، فلا بدّ فی فرض الشکّ فیه من طروّ تغیّر فی الموضوع فی بعض حالاته و خصوصیّاته، و معه فلیس الموضوع باقیاً</w:t>
      </w:r>
    </w:p>
    <w:p>
      <w:pPr>
        <w:pStyle w:val="BookText"/>
        <w:rPr/>
      </w:pPr>
      <w:r>
        <w:rPr>
          <w:rFonts w:ascii="IRNazanin" w:hAnsi="IRNazanin" w:eastAsia="IRNazanin"/>
          <w:color w:val="111111"/>
          <w:sz w:val="28"/>
          <w:sz w:val="28"/>
          <w:szCs w:val="28"/>
          <w:rtl w:val="true"/>
          <w:lang w:bidi="fa-IR"/>
        </w:rPr>
        <w:t>عقلًا، فلا تتّحد القضیّتان فیما لو احتمل دَخْل الزمان أو المکان فی موضوع الحکم الأوّل، کما لو فرض حلّیّة شرب الخمر فی ابتداء الإسلام؛ لعدم بسط ید الشارع کاملًا فیه، فمع هذا الاحتمال ففی الزمان اللّاحق لیس الموضوع فیه ذاک الموضوع؛ لانتفاء الزمان الأوّل فیه، فلو کان المناط فی اتّحاد القضیّتین هو نظر العقل، انسدّ باب الاستصحاب فی الأحکام حتّی فی الشکّ فی النَّسْخ؛ لما عرفت من احتمال دَخْل الزمان الأوّل فی الموضوع عقلًا، المفقود فی الزمان اللّاحق، فلا تتّحد القضیّتان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الزمان ملغاة فی باب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فیه لیس اتّحاد القضیّتین عقلًا، و عدم اعتبار تحقّق الموضوع فیه عند العقل، و هکذا الکلام فی کثیر من الاستصحابات الموضوعیّة، فلو کان المناط فیها بقاء الموضوع بنظر العقل لزم عدم جریان تلک الاستصحابات، کما فی استصحاب الکرّیّة عند نقصان قدر یسیر منها فی الحال اللّاحق، فإنّ الموضوع بحسب الدِّقّة العقلیّة غیر محفوظ،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فیه نظر العرف أو لسان الدلیل، فإنّه لا یستلزم هذا الإشکال، و هو واضح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الفرق بین کون الملاک هو نظر العرف أو لسان الدلیل؛ حیث إنّ الأدلّة المتکفّلة لبیان الأحکام منزّلة علی الفهم العرفی و نظر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 أیضاً واضح، فإنّه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الملاک هو لسان الدلیل، فلا بدّ من ملاحظة الأدلّة الاجتهادیّة، و کلّ عنوان اخذ فیها موضوعاً فهو الموضوع بمعناه العرفی، فلا بدّ فی حفظه من صدق ذلک العنوان علیه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إذا نشّ أو غلا یحرم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r>
        <w:rPr>
          <w:rFonts w:ascii="IRNazanin" w:hAnsi="IRNazanin" w:eastAsia="IRNazanin"/>
          <w:color w:val="111111"/>
          <w:sz w:val="28"/>
          <w:sz w:val="28"/>
          <w:szCs w:val="28"/>
          <w:rtl w:val="true"/>
          <w:lang w:bidi="fa-IR"/>
        </w:rPr>
        <w:t>و نحو ذلک، فلو زال علمُ مصداقٍ من العلماء أو صار العنب زبیباً، فلیس</w:t>
      </w:r>
    </w:p>
    <w:p>
      <w:pPr>
        <w:pStyle w:val="BookText"/>
        <w:rPr/>
      </w:pPr>
      <w:r>
        <w:rPr>
          <w:rFonts w:ascii="IRNazanin" w:hAnsi="IRNazanin" w:eastAsia="IRNazanin"/>
          <w:color w:val="111111"/>
          <w:sz w:val="28"/>
          <w:sz w:val="28"/>
          <w:szCs w:val="28"/>
          <w:rtl w:val="true"/>
          <w:lang w:bidi="fa-IR"/>
        </w:rPr>
        <w:t xml:space="preserve">الموضوع المأخوذ فی لسان الدلیل محفوظاً فی الفرض؛ لعدم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زال علمه و صار جاهلًا، و کذا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الزبیب، لکن هذا العنوان المتعلَّق للحکم فی لسان الدلیل، لو وُجد فرد منه فی الخارج و انطبق علیه، مثل زید أو هذا العنب الخاصّ الموجود فیه، یتعلّق بهما حکمهما بالانطباق علیهما، فتتحقّق هنا قضایا متیقّنة، فإنّه کما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العالم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المشار إلیه یجب إکرامه، أو زید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زوال علمه و إن لم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العالم یجب علیه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انطباق العالم علیه حینئذٍ، لکن یصدق أنّ هذا الشخص کان واجب الإکرام، و شکّ فی بقاء وجوبه، فإنّ الموضوع محفوظ عرفاً، و لیس بمحفوظ بحسب لسان الدلیل الاجتهادی، فلا یشمله الدلیل الاجتهادی، لکن یشمله أدلّة الاستصحاب؛ لصدق نقض الیقین بالشکّ علیه لو لم یحکم علیه بما حکم علیه سابقاً؛ من جهة احتمال بقاء وجوب إکرامه و إن زال علمه؛ لاحتمال کون العلم واسطة فی ثبوت وجوبه علیه؛ بحیث لا یدور الحکم مداره، و کذلک لو صار التراب خزفاً أو آجراً، فإنّه لا یصدق علیه عنوان التراب حینئذٍ، فلا یشمله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p>
    <w:p>
      <w:pPr>
        <w:pStyle w:val="BookText"/>
        <w:rPr/>
      </w:pPr>
      <w:r>
        <w:rPr>
          <w:rStyle w:val="FootnoteAnchor"/>
          <w:rtl w:val="true"/>
        </w:rPr>
        <w:footnoteReference w:id="342"/>
      </w:r>
      <w:r>
        <w:rPr>
          <w:rFonts w:ascii="IRNazanin" w:hAnsi="IRNazanin" w:eastAsia="IRNazanin"/>
          <w:color w:val="111111"/>
          <w:sz w:val="28"/>
          <w:sz w:val="28"/>
          <w:szCs w:val="28"/>
          <w:rtl w:val="true"/>
          <w:lang w:bidi="fa-IR"/>
        </w:rPr>
        <w:t>، لکن موضوع دلیل الاستصحاب باقٍ عرفاً؛ لأنّه یصدق أنّ هذا کان أحد الطهورین سابقاً،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اعتبر فی بقاء الموضوع ملاحظة لسان الدلیل فلا بدّ من بقاء العنوان المأخوذ فیه موضوعاً للحکم فی الاستصحاب، فلا بدّ من بقاء ما هو المجعول موضوعاً فی لسان الدلیل الاجتهادی،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المتّبع فیه نظر العرف، فإنّه حینئذٍ لا بدّ من ملاحظة أدلّة الاستصحاب؛ أی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فکلّما صدق علی رفع الید عن الحکم السابق أنّه نقض للیقین بالشکّ، جری فیه</w:t>
      </w:r>
      <w:bookmarkStart w:id="325" w:name="pg12898_148010"/>
    </w:p>
    <w:p>
      <w:pPr>
        <w:pStyle w:val="BookText"/>
        <w:rPr/>
      </w:pPr>
      <w:bookmarkEnd w:id="325"/>
      <w:r>
        <w:rPr>
          <w:rFonts w:ascii="IRNazanin" w:hAnsi="IRNazanin" w:eastAsia="IRNazanin"/>
          <w:color w:val="111111"/>
          <w:sz w:val="28"/>
          <w:sz w:val="28"/>
          <w:szCs w:val="28"/>
          <w:rtl w:val="true"/>
          <w:lang w:bidi="fa-IR"/>
        </w:rPr>
        <w:t>الاستصحاب؛ لبقاء الموضوع عرفاً، و إن لم یکن العنوان المأخوذ فی لسان الدلیل باقیاً قطعاً، کما فی الأمثلة المتقدّمة، مع أنّ حصول الیقین السابق إنّما هو من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أفاده العلّامة شیخنا الحائری فی درسه، لکن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غیر هذا البیان</w:t>
      </w:r>
      <w:r>
        <w:rPr>
          <w:rFonts w:eastAsia="IRNazanin" w:cs="IRNazanin"/>
          <w:color w:val="111111"/>
          <w:sz w:val="28"/>
          <w:szCs w:val="28"/>
          <w:rtl w:val="true"/>
          <w:lang w:bidi="fa-IR"/>
        </w:rPr>
        <w:t>.</w:t>
      </w:r>
    </w:p>
    <w:p>
      <w:pPr>
        <w:pStyle w:val="Heading6"/>
        <w:numPr>
          <w:ilvl w:val="5"/>
          <w:numId w:val="1"/>
        </w:numPr>
        <w:rPr/>
      </w:pPr>
      <w:bookmarkStart w:id="326" w:name="__RefHeading___Toc3234904_3224264995"/>
      <w:bookmarkStart w:id="327" w:name="_Toc121"/>
      <w:bookmarkEnd w:id="326"/>
      <w:r>
        <w:rPr>
          <w:rtl w:val="true"/>
        </w:rPr>
        <w:t>کلام المحقّق الخراسانی و ما یرد علیه</w:t>
      </w:r>
      <w:bookmarkEnd w:id="327"/>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الفرق بین الموضوع العرفی و المأخوذ فی لسان الدلیل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المتّبع فی تعیین مدلول الدلیل، و إن کان هو فهم العرف بحسب ما یرتکز فی أذهانهم؛ بسبب ما تخیّلوه من الجهات و المناسبات بین الموضوع و الحکم؛ فیجعلون الموضوع ذات المعنون لا بما هو معنون بالعنوان الذی اخذ موضوعاً للحکم، فالموضوع فی لسان الدلیل هو الحقیقی کالعنب بما هو عنب، و الموضوع العرفی هو الموضوع الخیالی أی الأعمّ من العنب 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هو فیما إذا لم تکن تلک الجهات و المناسبات بمثابةٍ تصلح قرینةً علی صَرف الدلیل عمّا هو ظاهر فیه</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المتیقّنة الحاصلة من الدلیل الاجتهادی موضوعها هو الموضوع الحقیقی کالعنب بما هو عنب، و القضیة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هو الموضوع التخیّلی، لا الحقیقی، فاستصحاب الحکم حینئذٍ إسراء للحکم من الموضوع الحقیقی إلی الموضوع التخیّلی؛ أی من العنب بما هو عنب إلی الزبیب</w:t>
      </w:r>
    </w:p>
    <w:p>
      <w:pPr>
        <w:pStyle w:val="BookText"/>
        <w:rPr/>
      </w:pPr>
      <w:r>
        <w:rPr>
          <w:rFonts w:ascii="IRNazanin" w:hAnsi="IRNazanin" w:eastAsia="IRNazanin"/>
          <w:color w:val="111111"/>
          <w:sz w:val="28"/>
          <w:sz w:val="28"/>
          <w:szCs w:val="28"/>
          <w:rtl w:val="true"/>
          <w:lang w:bidi="fa-IR"/>
        </w:rPr>
        <w:t>الغیر المعنون بعنوان العنب الذی هو موضوع القضیّة المتیقّنة، و هو کما تری، مع أنّه قدس سره صرّح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هو صدق بقاء الموضوع بنظر العرف</w:t>
      </w:r>
      <w:r>
        <w:rPr>
          <w:rStyle w:val="FootnoteAnchor"/>
          <w:rtl w:val="true"/>
        </w:rPr>
        <w:footnoteReference w:id="345"/>
      </w:r>
      <w:r>
        <w:rPr>
          <w:rFonts w:ascii="IRNazanin" w:hAnsi="IRNazanin" w:eastAsia="IRNazanin"/>
          <w:color w:val="111111"/>
          <w:sz w:val="28"/>
          <w:sz w:val="28"/>
          <w:szCs w:val="28"/>
          <w:rtl w:val="true"/>
          <w:lang w:bidi="fa-IR"/>
        </w:rPr>
        <w:t>، فیلزم أن یکون الاستصحاب دائماً إسراء الحکم من موضوع إلی آخر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المیرزا النائینی بعد تفصیل الکلام فی المقام و تطویله ذکر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فرق بین القول بأنّ المعتبر هو أخذ الموضوع من الدلیل و القول بأخذه من العرف، و إنّ مآل کلاهما إلی واحد؛ و ذلک لأنّ الفرق بینهما إنّما هو فی بدْو النظر و بحسب الظهور الابتدائی، و إلّا فبعد التأمّل یعلم أنّه لا فرق بینهما؛ لأنّ خصوصیّة العنوان المأخوذ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مُلغاة عند العرف بلحاظ الجهات و المناسبات بین الحکم و الموضوع، فالموضوع فی لسان الدلیل أیضاً هو ذات المعنون حقیقة، و لا دَخْل للعنوان فیه، و إن لم تکن مُلغاةً فی نظر العرف، فالموضوع هو المعنون بما هو معنون عند العرف أیضاً، فعلی أیّ تقدیر لا وجه للمقابلة بین الدلیل و العرف</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فی بیان الفرق بینهما اتّضح عدم استقامة ما ذکره قدس سره، فإنّ الموضوع فی لسان الدلیل الاجتهادی، هو العناوین الکلّیّة التی تختلف باختلاف القیود و بانضمامها و عدمه، کالماء المتغیّر، بخلاف الموضوعات العرفیّة الشخصیّة، فإنّه کثیراً ما یتّفق صدق بقاء الموضوع عرفاً مع عدم صدق بقاء العنوان المأخوذ فی لسان</w:t>
      </w:r>
    </w:p>
    <w:p>
      <w:pPr>
        <w:pStyle w:val="BookText"/>
        <w:rPr/>
      </w:pPr>
      <w:r>
        <w:rPr>
          <w:rFonts w:ascii="IRNazanin" w:hAnsi="IRNazanin" w:eastAsia="IRNazanin"/>
          <w:color w:val="111111"/>
          <w:sz w:val="28"/>
          <w:sz w:val="28"/>
          <w:szCs w:val="28"/>
          <w:rtl w:val="true"/>
          <w:lang w:bidi="fa-IR"/>
        </w:rPr>
        <w:t>الدلیل، و قد عرفت أنّ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صدق نقض الیقین بالشکّ فی محیط العرف و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أنّ المناط فی بقاء الموضوع و اتّحاد القضیّتین هو نظر العرف، لا العقل و لا لسان الدلیل؛ من غیر فرق بین المفاهیم و المعانی الکلّیة أو تطبیقها علی المصادیق، فإنّه و إن لم یقیّد الموضوع فی الأدلّة الاجتهادیّة و الخطابات الشرعیّة بالعرفی منه، لکن من الواضح أنّه لیس للشارع المقدّس طریقة خاصّة به فی محاوراته و خطاباته المتضمّنة للأحکام الشرعیّة، المتوجّهة إلی عامة المکلّفین فی مقام جعل القوانین الکلّیّة من العمومات و الإطلاقات، ثمّ ذکر المقیِّدات و المخصِّصات بل هو فی هذا المقام کأحد العرف فی محاوراتهم و خطاب بعضهم بعضاً، کما أنّ المتعارف بین العرف أیضاً جعل القوانین الکلّیّة، ثمّ الإتیان بالمخصِّصات و المقیِّدات، و طریقة الشارع أیضاً هذه الطریقة العرفیّة بعینها، فکما أنّ الألفاظ المستعملة فی المحاورات و الهیئات الترکیبیّة منزّلة علی فهم العرف العامّ و اللغة، کذلک الألفاظ المشتملة علی الخطابات الشرعیّة؛ من غیر فرق بین الآیات القرآنیة المتضمّنة للأحکام الشرعیّة، و بین السُّنّة النبویّة صلی الله علیه و آله و سلم و الأحادیث الولویّة، و من غیر فرق فی ذلک بین المفاهیم الکلّیّة، و بین تشخیص مصادیقها الشخصیّة، فإنّه أیضاً منزَّل و محوَّل علی فهم العرف و العقلاء، و من غیر فرق بین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سائر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یطلق علی ذلک التسامح العرفی فی کلام بعض الأعاظم</w:t>
      </w:r>
      <w:r>
        <w:rPr>
          <w:rStyle w:val="FootnoteAnchor"/>
          <w:rtl w:val="true"/>
        </w:rPr>
        <w:footnoteReference w:id="348"/>
      </w:r>
      <w:r>
        <w:rPr>
          <w:rFonts w:ascii="IRNazanin" w:hAnsi="IRNazanin" w:eastAsia="IRNazanin"/>
          <w:color w:val="111111"/>
          <w:sz w:val="28"/>
          <w:sz w:val="28"/>
          <w:szCs w:val="28"/>
          <w:rtl w:val="true"/>
          <w:lang w:bidi="fa-IR"/>
        </w:rPr>
        <w:t>، و یرید به المعنی الحقیقی العرفی فی قبال فهم العقل الدِّقّی البرهانی، أو المطالب المستکشفة بالآلات المخترعة الدقیقة التی لا یعرفها العرف العامّ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التسامح فی محیط العرف بأن یکون مصداقه الحقیقی العرفی غیره،</w:t>
      </w:r>
      <w:bookmarkStart w:id="328" w:name="pg12898_148013"/>
    </w:p>
    <w:p>
      <w:pPr>
        <w:pStyle w:val="BookText"/>
        <w:rPr/>
      </w:pPr>
      <w:bookmarkEnd w:id="328"/>
      <w:r>
        <w:rPr>
          <w:rFonts w:ascii="IRNazanin" w:hAnsi="IRNazanin" w:eastAsia="IRNazanin"/>
          <w:color w:val="111111"/>
          <w:sz w:val="28"/>
          <w:sz w:val="28"/>
          <w:szCs w:val="28"/>
          <w:rtl w:val="true"/>
          <w:lang w:bidi="fa-IR"/>
        </w:rPr>
        <w:t>فإنّ التعبیر بالتسامح العرفی إنّما هو فی قبال النظر الدقیق العقلی کالدم، فإنّه یصدق علی اللون الباقی فی الجسم بعد زوال عینه عقلًا؛ لاستحالة بقاء العرض بدون المعروض، مع عدم صدقه علیه عرفاً حقیقةً، و کما فی الأوزان و المقادیر، فإنّ المراد هو الوزن العرفی المتعارف فی کلّ زمان، و کما فی مقدار الکُرّ؛ و أنّه ألف و مائتا رِطْل، و حدّ نصاب الغَلّات، و نحو ذلک، فإنّ المراد هو العرفی منها، کما أنّ المراد بالحنطة و غیرها هو المتعارف منها التی یشوبها مقدار من التبن و غیره، لا الخالص الحقیقی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الخطابات المتضمّنة للمطالب الدقیقة و الحقائق اللطیفة و المعانی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الآیات القرآنیّة الشریفة أو الأخبار و الأدعیة الواردة عنهم علیهم السلام، لا یمکن تنزیلها علی الأفهام العرفیّة العامّة؛ لأنّها فوق فهمهم و لا یصل إلیها أفکارهم و أذهانهم، بل و لا فی أفهام الحکماء و الفلاسفة أیضاً، فکیف یمکن حملها علیها؟</w:t>
      </w:r>
      <w:r>
        <w:rPr>
          <w:rFonts w:eastAsia="IRNazanin" w:cs="IRNazanin"/>
          <w:color w:val="111111"/>
          <w:sz w:val="28"/>
          <w:szCs w:val="28"/>
          <w:rtl w:val="true"/>
          <w:lang w:bidi="fa-IR"/>
        </w:rPr>
        <w:t>!</w:t>
      </w:r>
    </w:p>
    <w:p>
      <w:pPr>
        <w:pStyle w:val="Heading5"/>
        <w:numPr>
          <w:ilvl w:val="4"/>
          <w:numId w:val="1"/>
        </w:numPr>
        <w:rPr/>
      </w:pPr>
      <w:bookmarkStart w:id="329" w:name="__RefHeading___Toc3234906_3224264995"/>
      <w:bookmarkStart w:id="330" w:name="_Toc122"/>
      <w:bookmarkEnd w:id="329"/>
      <w:r>
        <w:rPr>
          <w:rtl w:val="true"/>
        </w:rPr>
        <w:t>الأمر الثانی فعلیّة الیقین و الشکّ فی الزمان اللّاحق</w:t>
      </w:r>
      <w:bookmarkEnd w:id="330"/>
    </w:p>
    <w:p>
      <w:pPr>
        <w:pStyle w:val="Heading6"/>
        <w:numPr>
          <w:ilvl w:val="5"/>
          <w:numId w:val="1"/>
        </w:numPr>
        <w:rPr/>
      </w:pPr>
      <w:bookmarkStart w:id="331" w:name="__RefHeading___Toc3234908_3224264995"/>
      <w:bookmarkStart w:id="332" w:name="_Toc123"/>
      <w:bookmarkEnd w:id="331"/>
      <w:r>
        <w:rPr>
          <w:rtl w:val="true"/>
        </w:rPr>
        <w:t>اشارة</w:t>
      </w:r>
      <w:bookmarkEnd w:id="33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یعتبر فی الاستصحاب فعلیّة الیقین و الشکّ فی الزمان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متیقِّناً فی الزمان اللّاحق، بالمستصحب فی الزمان السابق، مع تحقّق الیقین منه فی السابق، و الشکّ فی بقائه فی الزمان اللّاحق، و أمّا لو زال یقینه السابق بأن شکّ فی تحقّق المتیقّن فی السابق، مع کونه فی السابق متیقِّناً به فلیس هو مجری الاستصحاب، بل مجری قاعدة اخری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الیقین و الشکّ الساری</w:t>
      </w:r>
      <w:r>
        <w:rPr>
          <w:rFonts w:eastAsia="IRNazanin" w:cs="IRNazanin"/>
          <w:color w:val="111111"/>
          <w:sz w:val="28"/>
          <w:szCs w:val="28"/>
          <w:rtl w:val="true"/>
          <w:lang w:bidi="fa-IR"/>
        </w:rPr>
        <w:t>».</w:t>
      </w:r>
      <w:bookmarkStart w:id="333" w:name="pg12898_148014"/>
    </w:p>
    <w:p>
      <w:pPr>
        <w:pStyle w:val="Heading6"/>
        <w:numPr>
          <w:ilvl w:val="5"/>
          <w:numId w:val="1"/>
        </w:numPr>
        <w:rPr/>
      </w:pPr>
      <w:bookmarkStart w:id="334" w:name="__RefHeading___Toc3234910_3224264995"/>
      <w:bookmarkStart w:id="335" w:name="_Toc124"/>
      <w:bookmarkEnd w:id="333"/>
      <w:bookmarkEnd w:id="334"/>
      <w:r>
        <w:rPr>
          <w:rtl w:val="true"/>
        </w:rPr>
        <w:t>حول أنّ أخبار الباب هل تختصّ بالاستصحاب أو تعم غیره؟</w:t>
      </w:r>
      <w:bookmarkEnd w:id="335"/>
    </w:p>
    <w:p>
      <w:pPr>
        <w:pStyle w:val="BookText"/>
        <w:rPr/>
      </w:pPr>
      <w:r>
        <w:rPr>
          <w:rFonts w:ascii="IRNazanin" w:hAnsi="IRNazanin" w:eastAsia="IRNazanin"/>
          <w:color w:val="111111"/>
          <w:sz w:val="28"/>
          <w:sz w:val="28"/>
          <w:szCs w:val="28"/>
          <w:rtl w:val="true"/>
          <w:lang w:bidi="fa-IR"/>
        </w:rPr>
        <w:t>و لا إشکال فی اعتبار فعلیّة الیقین و الشکّ فی الاستصحاب، و إنّما الکلام فی أنّه هل یمکن أن یقال باستفادة اعتبارها من أخبار الاستصحاب أیضاً، کما یستفاد منها اعتبار الاستصحاب، بل و استفادة قاعدة ثالثة هی عدم نقض الیقین بالشکّ فیما لو تیقّن بعدالة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ثمّ شکّ فی عدالته یومها، و شکّ فی بقائها علی تقدیر تحقّقها یوم الجمعة؛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قواعد، و هی المذکورات، أو أنّه لا یمکن ذلک؟</w:t>
      </w:r>
    </w:p>
    <w:p>
      <w:pPr>
        <w:pStyle w:val="BookText"/>
        <w:rPr/>
      </w:pPr>
      <w:r>
        <w:rPr>
          <w:rFonts w:ascii="IRNazanin" w:hAnsi="IRNazanin" w:eastAsia="IRNazanin"/>
          <w:color w:val="111111"/>
          <w:sz w:val="28"/>
          <w:sz w:val="28"/>
          <w:szCs w:val="28"/>
          <w:rtl w:val="true"/>
          <w:lang w:bidi="fa-IR"/>
        </w:rPr>
        <w:t>فالکلام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إمکانه ثبوتاً و عدم امتناع الجمع بین تلک القواعد الثلاث فی استعمال واحد أو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استظهار ذلک و إمکانه إثباتاً بعد فرض إثبات إمکانه ثبوتاً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الشیخ الأعظم و استاذنا الحائری قدس سره و المیرزا النائینی و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إمکانه ثبوتاً؛ لعدم إمکان الجمع بین القاعدتین فی اللحاظ؛ لاختلاف المناط فیهما بحیث لا یجتمعان، فإنّ مناط الاستصحاب اتّحاد متعلّق الیقین و الشکّ مع قطع النظر عن الزمان؛ لأنّ المفروض فیه تعلّق الشکّ ببقاء ما تیقّن به سابقاً، و یلزمه کون القضیّة المتیقّنة باقیة علی حالها فی زمان الشکّ أیضاً مع قطع النظر عن الزمان، و مناط هذه القاعدة اتّحاد متعلّقیهما من جهة الزمان و بملاحظته، و مرجعه کونه فی الزمان اللّاحق شاکّاً فیما تیقّن به سابقاً بوصف وجوده فی السابق؛ بمعنی زوال یقینه الحاصل أوّلًا، و إلغاء الشکّ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الحکم ببقاء المتیقّن السابق فی الزمان اللّاحق من غیر تعرّض لزمان حدوثه من حیث إنّه متیقّن به فی السابق، و المناط فی القاعدة هو الحکم بحدوث ما تیقّن به سابقاً من غیر تعرّض</w:t>
      </w:r>
    </w:p>
    <w:p>
      <w:pPr>
        <w:pStyle w:val="BookText"/>
        <w:rPr/>
      </w:pPr>
      <w:r>
        <w:rPr>
          <w:rFonts w:ascii="IRNazanin" w:hAnsi="IRNazanin" w:eastAsia="IRNazanin"/>
          <w:color w:val="111111"/>
          <w:sz w:val="28"/>
          <w:sz w:val="28"/>
          <w:szCs w:val="28"/>
          <w:rtl w:val="true"/>
          <w:lang w:bidi="fa-IR"/>
        </w:rPr>
        <w:t>للحکم فی بقائه فلا یمکن إرادتهما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المُضِیّ بهذا المعنی یغایر المضِیّ بذاک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المُضِیّ علی الیقین عدمُ التوقّف من أجل الشکّ العارض، و فروضُ الشکّ کعدمه، و هو یختلف باختلاف متعلّق الشکّ، فالمُضِیّ مع الشکّ فی الحدوث بمعنی الحکم بالحدوث، و مع الشکّ فی البقاء بمعنی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لا کثرة فیه فی نفسه و لا تعدّد، نعم یمکن تعدّده باعتبار تعدّد متعلّقه، لکن متعلّقه فیما نحن فیه واحد، و هو الیقین بعدالة زید، لا متعدّد حتی یستلزم تعدّد الیقین، و حینئذٍ فلا یمکن إرادتهما فی استعمال واحد و اجتماعهما فی لحاظ واحد، فإن اعتبر المتکلّم فی کلامه الشکّ فی هذا المتیقّن من دون تقییده بیوم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الاستصحاب، و إن اعتبر الشکّ فیه مقیّداً بیوم الجمعة، فالمُضِیّ فیه عبارة عن الحکم بالحدوث، و هو القاعدة</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المیرزا النائینی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کلام الشیخ قدس سره ببیان آخر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من حیث نفسه لا یتعدّد، و متعلّق الیقین فی القاعدة و الاستصحاب واحد غیر متعدّد؛ لأنّ متعلّق الیقین فی کلیهما هو عدالة زید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انحفاظ الیقین فی الاستصحاب و عدم انحفاظه فی القاعدة لا یوجبان تغایر الیقین فیهما، فإنّ الانحفاظ و عدمه من الطوارئ اللّاحقة للیقین بعد وجوده، و لا یمکن أن یکون من مشخّصات أفراده؛ حیث إنّ اختلاف الأفراد إنّما هو باختلاف المشخّصات حال وجودها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الجمع بین القاعدتین فی تلک الأخبار؛ لعدم إمکان الجمع بینهما فی اللحاظ من جمیع الجهات، لا من جهة الیقین و لا من جهة المتیقَّن، و لا من</w:t>
      </w:r>
    </w:p>
    <w:p>
      <w:pPr>
        <w:pStyle w:val="BookText"/>
        <w:rPr/>
      </w:pPr>
      <w:r>
        <w:rPr>
          <w:rFonts w:ascii="IRNazanin" w:hAnsi="IRNazanin" w:eastAsia="IRNazanin"/>
          <w:color w:val="111111"/>
          <w:sz w:val="28"/>
          <w:sz w:val="28"/>
          <w:szCs w:val="28"/>
          <w:rtl w:val="true"/>
          <w:lang w:bidi="fa-IR"/>
        </w:rPr>
        <w:t>جهة النقض، و لا من جهة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الیقین فی الاستصحاب ملحوظ من حیث کونه طریقاً، و فی القاعدة من حیث نفسه؛ لبطلان کاشفیّته بعد تبدّله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فی الاستصحاب معرًّی من الزمان غیر مقیّد به، و فی القاعدة لا بدّ من لحاظه مقیّداً بالزمان، فالشکّ فی القاعدة إنّما هو فی العدالة فی ظرف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الاستصحاب فیما بعده، و هو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نقض الیقین فی الاستصحاب، إنّما هو باعتبار ما یقتضیه المتیقّن من الجری العملی علی طبق المتیقّن، و فی القاعدة إنّما هو باعتبار نفس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المجعول فی القاعدة هو البناء العملی علی ثبوت المتیقّن فی زمان الیقین، و فی الاستصحاب هو الحکم بالبناء العملی علی بقاء المتیقّن فی ظرف الشکّ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الاستاذ الحائری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یلاحظ الزمان قیداً، و إمّا ظرفاً، و إمّا أن یهمل ذلک، فعلی الأوّل فهو لا یشمل الاستصحاب، و علی الثانی لا یشمل القاعدة، و علی الثالث فهو ینطبق علی القاعدة، و لا یشمل الاستصحاب، و لا یمکن الجمع بینهما فی لحاظ واحد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ضمیراً مقدّراً؛ أی بالشکّ فیه؛ أی فی الیقین، و لا یمکن لحاظ القاعدتین فی إرجاع هذا الضمیر إلی الیقین؛ لأنّ رجوعه إلیه فی الاستصحاب إنّما هو بضربٍ من العنایة و المسامحة</w:t>
      </w:r>
    </w:p>
    <w:p>
      <w:pPr>
        <w:pStyle w:val="BookText"/>
        <w:rPr/>
      </w:pPr>
      <w:r>
        <w:rPr>
          <w:rFonts w:ascii="IRNazanin" w:hAnsi="IRNazanin" w:eastAsia="IRNazanin"/>
          <w:color w:val="111111"/>
          <w:sz w:val="28"/>
          <w:sz w:val="28"/>
          <w:szCs w:val="28"/>
          <w:rtl w:val="true"/>
          <w:lang w:bidi="fa-IR"/>
        </w:rPr>
        <w:t>و رجوعه إلیه فی القاعدة إنّما هو بالدِّقة العقلیّة و بلا مسامحة، فلا یمکن الجمع بینهما</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ذکره الشیخ الأعظم و المیرزا النائینی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فمرجعه هو أنّه لا یمکن تطبیق القاعدتین علی مورد واحد من شخص واحد فی زمان واحد، کالیقین الحاصل لزید بعدالة عمرو یوم الجمعة، و أنّه علی فرض تصوّر التعدّد فی الیقین لا مانع من ذلک، و هذا صحیح؛ لأنّه لو لم یکن للیقین إلّا مصداق واحد فقط امتنع انطباق القاعدتین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یتحتم فرض ذلک من شخص واحد فی زمان واحد فی مورد واحد، بل یمکن فرض ذلک من شخصین و أکثر و موردین و زمانین و أکثر، فلو کان شخص علی یقین من عدالة زید یوم الجمعة، و شکّ فی بقائها یوم السبت، و شخص آخر علی یقین من عدالته یوم الجمعة، ثمّ شکّ فی عدالته یومها، و شکّ فی بقائها إلی یوم السبت علی تقدیر ثبوتها یوم الجمعة، و ثالث علی یقین من عدالة زید یوم الجمعة، ثمّ تبدّل یقینه إلی الشکّ فیها یوم الجمعة، فأیّ إشکال یرد علی القول بشمول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الأفراد و الموارد الثلاثة التی یکون کل منهم فیها علی یقین و 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سابقاً أنّ الملحوظ فی المطلقات هو نفس الطبیعة، دون العوارض اللّاحقة للأفراد و المشخّصات الفردیّة و الخصوصیّات المصداقیّة، فکما أنّ الملحوظ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نفس طبیعة البیع، و علّق الحکم بها من دون لحاظ الخصوصیّات الفردیّة و العوارض المفرّدة، کذلک لیس الملحوظ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نفس طبیعة الیقین و الشکّ، فإنّ مفاده أنّ نفس طبیعة</w:t>
      </w:r>
    </w:p>
    <w:p>
      <w:pPr>
        <w:pStyle w:val="BookText"/>
        <w:rPr/>
      </w:pPr>
      <w:r>
        <w:rPr>
          <w:rFonts w:ascii="IRNazanin" w:hAnsi="IRNazanin" w:eastAsia="IRNazanin"/>
          <w:color w:val="111111"/>
          <w:sz w:val="28"/>
          <w:sz w:val="28"/>
          <w:szCs w:val="28"/>
          <w:rtl w:val="true"/>
          <w:lang w:bidi="fa-IR"/>
        </w:rPr>
        <w:t>الیقین من حیث إنّه أمر مبرم مستحکم، لا بدّ و أن لا تنقض بطبیعة الشکّ التی لیست کذلک، و لا مانع من انطباق ذلک علی کلّ واحد من أفراد الیقین و الشکّ، فإنّ کلّ فرد من أفراده مغایر للفرد الآخر؛ لأنّ کلّ واحد من أفراده صفة نفسانیّة قائمة بشخص و إن اتّحد متعلّقها؛ أی عدالة زید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فرض تعدّد متعلّقهما من شخص واحد؛ کأن یکون علی یقین من عدالة زید یوم الجمعة، ثمّ تبدّل یقینه بالشکّ فی عدالته یوم الجمعة، و علی یقین من عدالة عمرو یوم الجمعة و شکّ فی بقائها یوم السبت، فإنّه لا یتوجّه إشکال علی القول بشمول إطلاقه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لهذین الفردین من الیقین و الشکّ إذا لم تلاحظ الخصوصیّات الشخصیّة؛ لیرد علیه عدم إمکان الجمع بین اللحاظین، و إلّا فلو فرض وحدة متعلّق الیقین و الشکّ من شخص واحد، فلا یحتاج فی بیان عدم إمکان الجمع بین القاعدتین إلی ما ذکراه، فإنّ من الواضح أنّ الیقین فی الاستصحاب موجود متحقّق فعلیّ، و فی القاعدة معدوم، و من الواضح عدم إمکان الجمع بینهما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ناحیة الیقین و الشکّ قصور عن الشمول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اخذ الیقین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طریقاً و مرآة لمتعلّقه فی الاستصحاب، و لا یمکن الجمع بین متعلّقه فی القاعدة و بینه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بالیقین فیه هو مفهومه، و لا یحکی هو عن المتعلّقات، و علی فرض طریقیّته فهو طریق إلی أفراد الیقین الحاصلة للمکلّفین لا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بعدم النقض فی الخبر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البناء العملی علی عدم نقض الیقین الحاصل سابقاً بالشکّ من دون لحاظ الحدوث و البقاء؛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هو نفس طبیعة الیقین و الشکّ، و لکن الخصوصیّات الغیر الملحوظة مختلفة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الیقین فی القاعدة اخذ وصفاً؛ لتبدّله</w:t>
      </w:r>
    </w:p>
    <w:p>
      <w:pPr>
        <w:pStyle w:val="BookText"/>
        <w:rPr/>
      </w:pPr>
      <w:r>
        <w:rPr>
          <w:rFonts w:ascii="Amiri" w:hAnsi="Amiri" w:eastAsia="Amiri" w:cs="Amiri"/>
          <w:color w:val="111111"/>
          <w:sz w:val="28"/>
          <w:sz w:val="28"/>
          <w:szCs w:val="28"/>
          <w:rtl w:val="true"/>
          <w:lang w:bidi="ar-SA"/>
        </w:rPr>
        <w:t>إلی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ما لا یخفی، فإنّ معنی طریقیّة الیقین هو طریقیّته فی ظرف وجوده و تحقّقه، لا بعد زواله و انعدامه، و إلّا فمع عدم وجوده و تبدّله إلی الشکّ، کیف یمکن أخذه وصفاً فی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الیقین فی الاستصحاب موجود متحقّق فی الزمان اللّاحق، و فی القاعدة معدوم و مفروض الانتفاء، و لا یمکن الجمع بین مفروض الوجود و التحقّق و مفروض العدم و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فإنّ عنوان الیقین کما هو مَقْسم للموجود و المعدوم،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موجود و إمّا معدوم، و یراد منه طبیعة الیقین، و هو صادق علیهما، کذلک هو صادق علی الموجود فعلًا و الموجود سابقاً مع انعدامه فعلًا فتلخّص أنّه لیس من ناحیة الیقین و الشکّ قصور عن شمولهما للقاعدتین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اخذ مرآة للمتعلّقات و لا یمکن الجمع بین متعلقه فی القاعدة و بین متعلقه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أنّ المراد من الیقین فی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طبیعة الیقین و لا تحکی هی عن المتعلّقات، و علی فرض طریقیّته فهو طریق إلی أفراد الیقین الحاصلة للمکلّفین لا عن المتعلقات، و أمّا الحکم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 فمعناه الحکم بوجوب البناء العملی علی عدم نقض الیقین السابق بالشکّ من دون لحاظ الحدوث و البقاء، فالمراد هو طبیعة الیقین غایة الأمر خصوصیات الموارد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الجواب عمّا ذکره شیخنا الحائری قدس سره فإنّه متفرّع علی أنّ المراد من الیقین، المتیقّن و قد عرفت خلافه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یفتقر فی الحدیث إلی تقدیر الضمیر؛ لعدم تبادر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تقدیره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هو طبیعة الیقین، لا أفراده و خصوصیّاته، کما أنّه لا یتبادر منه الزمان و المتعلّقات و نحوها، سوی نفس طبیعة الیقین و الشکّ، و إلّا فلو لوحظ کلّ فرد من أفراد الیقین و الشکّ مع خصوصیّاتهما الفردیّة المشخّصة لزم لحاظ أفراد غیر متناهیة للطبیعة و تحقّقها فی الخیال المتناهی، فلا یمکن لحاظ الأفراد بخصوصیّاتها حتّی فی العمومات، فضلًا عن المطلقات،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أنّ للیقین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حقیقی، و الآخر مسامحی، لکن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إمکان الجمع بین معنیی الحقیقی و المجازی فی استعمال واحد؛ لأنّ اللفظ فی المجازات أیضاً مستعمل فی معناه الحقیقی بالإرادة الاستعمالیّة، لا فی غیره، لکن بدعوی تطبیقه علی هذا المصداق المجازی، لا بدعوی أنّ للأسد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حقیقیّ، و الآخر مجازیّ، کما ذکره السکّاکی</w:t>
      </w:r>
      <w:r>
        <w:rPr>
          <w:rStyle w:val="FootnoteAnchor"/>
          <w:rtl w:val="true"/>
        </w:rPr>
        <w:footnoteReference w:id="354"/>
      </w:r>
      <w:r>
        <w:rPr>
          <w:rFonts w:ascii="IRNazanin" w:hAnsi="IRNazanin" w:eastAsia="IRNazanin"/>
          <w:color w:val="111111"/>
          <w:sz w:val="28"/>
          <w:sz w:val="28"/>
          <w:szCs w:val="28"/>
          <w:rtl w:val="true"/>
          <w:lang w:bidi="fa-IR"/>
        </w:rPr>
        <w:t>، بل بمعنی ألطف</w:t>
      </w:r>
      <w:r>
        <w:rPr>
          <w:rStyle w:val="FootnoteAnchor"/>
          <w:rtl w:val="true"/>
        </w:rPr>
        <w:footnoteReference w:id="355"/>
      </w:r>
      <w:r>
        <w:rPr>
          <w:rFonts w:ascii="IRNazanin" w:hAnsi="IRNazanin" w:eastAsia="IRNazanin"/>
          <w:color w:val="111111"/>
          <w:sz w:val="28"/>
          <w:sz w:val="28"/>
          <w:szCs w:val="28"/>
          <w:rtl w:val="true"/>
          <w:lang w:bidi="fa-IR"/>
        </w:rPr>
        <w:t>ممّا ذکره؛ لأنّ الأسد علی ما ذکرناه مستعمل فی معناه الحقیقی، لکن ادُّعی بعد الاستعمال تطبیقه علی زید مثلًا،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إمکان الجمع بین القاعدتین ثبوتاً فی استعمال واحد، و أنّه لا مانع من شمول الإطلاقات لهما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الاستظهار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 الظاهر من الأخبار أنّها بصدد بیان أمر واحد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الاستصحاب، و إمّا</w:t>
      </w:r>
    </w:p>
    <w:p>
      <w:pPr>
        <w:pStyle w:val="BookText"/>
        <w:rPr/>
      </w:pPr>
      <w:r>
        <w:rPr>
          <w:rFonts w:ascii="IRNazanin" w:hAnsi="IRNazanin" w:eastAsia="IRNazanin"/>
          <w:color w:val="111111"/>
          <w:sz w:val="28"/>
          <w:sz w:val="28"/>
          <w:szCs w:val="28"/>
          <w:rtl w:val="true"/>
          <w:lang w:bidi="fa-IR"/>
        </w:rPr>
        <w:t xml:space="preserve">القاعدة، حتّی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 الشکّ لا ینقض الیقین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 الیقین لا یدفع الشکّ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الإرشاد،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ذیلها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لا یدفع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اتّحاد مفادها مع مفاد سائر الکُبریات فی سائر الأخبار، فمع أنّ المتبادر منها جمیعاً عرفاً أنّها فی مقام إفادة إحدی القاعدتین، و لا إشکال فی أنّها الاستصحاب، لا قاعدة الیقین؛ لأنّ الظاهر منها إرادة الیقین و الشکّ الموجودین بالفعل، کما فی الاستصحاب، مضافاً إلی ورود الصحیحة الاولی</w:t>
      </w:r>
      <w:r>
        <w:rPr>
          <w:rStyle w:val="FootnoteAnchor"/>
          <w:rtl w:val="true"/>
        </w:rPr>
        <w:footnoteReference w:id="357"/>
      </w:r>
      <w:r>
        <w:rPr>
          <w:rFonts w:ascii="IRNazanin" w:hAnsi="IRNazanin" w:eastAsia="IRNazanin"/>
          <w:color w:val="111111"/>
          <w:sz w:val="28"/>
          <w:sz w:val="28"/>
          <w:szCs w:val="28"/>
          <w:rtl w:val="true"/>
          <w:lang w:bidi="fa-IR"/>
        </w:rPr>
        <w:t>و الثانیة</w:t>
      </w:r>
      <w:r>
        <w:rPr>
          <w:rStyle w:val="FootnoteAnchor"/>
          <w:rtl w:val="true"/>
        </w:rPr>
        <w:footnoteReference w:id="358"/>
      </w:r>
      <w:r>
        <w:rPr>
          <w:rFonts w:ascii="IRNazanin" w:hAnsi="IRNazanin" w:eastAsia="IRNazanin"/>
          <w:color w:val="111111"/>
          <w:sz w:val="28"/>
          <w:sz w:val="28"/>
          <w:szCs w:val="28"/>
          <w:rtl w:val="true"/>
          <w:lang w:bidi="fa-IR"/>
        </w:rPr>
        <w:t>لزرارة فی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القاعدة، و فرض صورة تبدّل الیقین السابق بالشکّ و زواله، و ذیلها و إن کان ظاهراً فی الاستصحاب و إرادة الیقین و الشکّ الفعلیّین، لکنّه معارض بظهور الصدر فی القاعدة، و ظهور الصدر مقدّم علی ظهور الذیل، و قرینة علی التصرّف فی الذیل؛ لأنّه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التعبیر فی صدرها موجود فی الصحیحة الثانیة لزرارة الواردة فی مورد الاستصحاب،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ظهور هذا التعبیر فی مورد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زمان حدوث</w:t>
      </w:r>
      <w:bookmarkStart w:id="336" w:name="pg12898_148022"/>
    </w:p>
    <w:p>
      <w:pPr>
        <w:pStyle w:val="BookText"/>
        <w:rPr/>
      </w:pPr>
      <w:bookmarkEnd w:id="336"/>
      <w:r>
        <w:rPr>
          <w:rFonts w:ascii="IRNazanin" w:hAnsi="IRNazanin" w:eastAsia="IRNazanin"/>
          <w:color w:val="111111"/>
          <w:sz w:val="28"/>
          <w:sz w:val="28"/>
          <w:szCs w:val="28"/>
          <w:rtl w:val="true"/>
          <w:lang w:bidi="fa-IR"/>
        </w:rPr>
        <w:t>الشکّ غالباً بعد زمان حدوث الیقین؛ لوضوح أنّ حصولهما و تحقّقهما فی زمانٍ واحدٍ نادرٌ، فلا یستفاد من هذا التعبیر عدم بقاء الیقین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 المعارضة بینهما فهی لا تصلح للاستدلال بها للاستصحاب، و یکفی ظهور سائر الأخبار فیه</w:t>
      </w:r>
      <w:r>
        <w:rPr>
          <w:rFonts w:eastAsia="IRNazanin" w:cs="IRNazanin"/>
          <w:color w:val="111111"/>
          <w:sz w:val="28"/>
          <w:szCs w:val="28"/>
          <w:rtl w:val="true"/>
          <w:lang w:bidi="fa-IR"/>
        </w:rPr>
        <w:t>.</w:t>
      </w:r>
    </w:p>
    <w:p>
      <w:pPr>
        <w:pStyle w:val="Heading5"/>
        <w:numPr>
          <w:ilvl w:val="4"/>
          <w:numId w:val="1"/>
        </w:numPr>
        <w:rPr/>
      </w:pPr>
      <w:bookmarkStart w:id="337" w:name="__RefHeading___Toc3234912_3224264995"/>
      <w:bookmarkStart w:id="338" w:name="_Toc125"/>
      <w:bookmarkEnd w:id="337"/>
      <w:r>
        <w:rPr>
          <w:rtl w:val="true"/>
        </w:rPr>
        <w:t>الأمر الثالث الشکّ فی بقاء المتیقّن</w:t>
      </w:r>
      <w:bookmarkEnd w:id="338"/>
    </w:p>
    <w:p>
      <w:pPr>
        <w:pStyle w:val="Heading6"/>
        <w:numPr>
          <w:ilvl w:val="5"/>
          <w:numId w:val="1"/>
        </w:numPr>
        <w:rPr/>
      </w:pPr>
      <w:bookmarkStart w:id="339" w:name="__RefHeading___Toc3234914_3224264995"/>
      <w:bookmarkStart w:id="340" w:name="_Toc126"/>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من الامور المعتبرة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البقاء، فمع إحراز بقاء الحالة السابقة أو عدمها، لا مجال للاستصحاب؛ سواء احرزت بالعلم الوجدانی، أو بقیام الأمارة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إشکال فیه</w:t>
      </w:r>
      <w:r>
        <w:rPr>
          <w:rFonts w:eastAsia="IRNazanin" w:cs="IRNazanin"/>
          <w:color w:val="111111"/>
          <w:sz w:val="28"/>
          <w:szCs w:val="28"/>
          <w:rtl w:val="true"/>
          <w:lang w:bidi="fa-IR"/>
        </w:rPr>
        <w:t>.</w:t>
      </w:r>
    </w:p>
    <w:p>
      <w:pPr>
        <w:pStyle w:val="Heading6"/>
        <w:numPr>
          <w:ilvl w:val="5"/>
          <w:numId w:val="1"/>
        </w:numPr>
        <w:rPr/>
      </w:pPr>
      <w:bookmarkStart w:id="341" w:name="__RefHeading___Toc3234916_3224264995"/>
      <w:bookmarkStart w:id="342" w:name="_Toc127"/>
      <w:bookmarkEnd w:id="341"/>
      <w:r>
        <w:rPr>
          <w:rtl w:val="true"/>
        </w:rPr>
        <w:t>المناط فی تقدیم أحد الدلیلین</w:t>
      </w:r>
      <w:bookmarkEnd w:id="3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وجه تقدیم أحد الدلیلین علی الآخر؛ و ذلک لأنّ الدلیلین إذا عُرضا علی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یتوقّفون فی تقدیم أحدهما علی الآخر؛ لمکان التعارض بینهما، کما 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متعارضان فی مادّة الاجتماع عرفاً، و إمّا لا یتوقّفون، بل یقدّم أحدهما علی الآخر عندهم، و لا یُعدّان متعارضین، کما 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جعلت وجوب الإکرام للفسّاق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صلاح فی إکرامهم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فإنّ العرف و العقلاء لا یتوقّفون فی تقدیم الثانی علی الأوّل، مع أنّ بینهما عموماً من 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الملاک و المناط فی تقدیمه علی الأوّل، أظهریّته فی مدلوله من الأوّل؛ لما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تقدیم أحد دلیلین لأجل أظهریّته نادر جدّاً؛ حتّی فی الأعمّ و الأخصّ المطلقین، و لوضوح أنّ الثانی لیس أظهر فی مدلوله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المناط فی 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ما کنت أظنّه فی سابق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الثانی متعرّض لإحدی مقدّمات الآخر أو مؤخّراته أو لموضوعه، و التصرّف فیه بتضیّق دائرته أو توسعته؛ و ذلک لأنّ کلّ دلیل له مقدّمات کالتصوّر و التصدیق بالفائدة و الإرادة، و مؤخّرات و لوازم کلزوم الإطاعة و حرمة المخالفة و وجوب الإعادة عند المخالفة و نحو ذلک، و موضوع یتعلّق به الحکم، فإن لم یتعرّض واحد منهما لواحدة من هذه المذکورات، فهما متعارضان لو کان بین عنوانی موضوعیهما عموم من وجه،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أحدهما متعرّضاً لواحدة من الامور التی ذکرناها، کما لو قال بدل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أردت إکرام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جعلت وجوب الإکرام للفسّاق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الثانی حیث إنّه متعرّض للأوّل فی بعض الجهات المتقدّمة، فهو مقدّم علی الأوّل عند العرف، و لا یُعدّان متعارضین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یُرِیدُ بِکُمُ الْعُسْرَ</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361"/>
      </w:r>
      <w:r>
        <w:rPr>
          <w:rFonts w:ascii="IRNazanin" w:hAnsi="IRNazanin" w:eastAsia="IRNazanin"/>
          <w:color w:val="111111"/>
          <w:sz w:val="28"/>
          <w:sz w:val="28"/>
          <w:szCs w:val="28"/>
          <w:rtl w:val="true"/>
          <w:lang w:bidi="fa-IR"/>
        </w:rPr>
        <w:t>بالنسبة إلی أدلّة الأحکام الأوّلیّة،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2"/>
      </w:r>
      <w:r>
        <w:rPr>
          <w:rFonts w:ascii="IRNazanin" w:hAnsi="IRNazanin" w:eastAsia="IRNazanin"/>
          <w:color w:val="111111"/>
          <w:sz w:val="28"/>
          <w:sz w:val="28"/>
          <w:szCs w:val="28"/>
          <w:rtl w:val="true"/>
          <w:lang w:bidi="fa-IR"/>
        </w:rPr>
        <w:t>بالنسبة إلی أدلّة أحکام</w:t>
      </w:r>
    </w:p>
    <w:p>
      <w:pPr>
        <w:pStyle w:val="BookText"/>
        <w:rPr/>
      </w:pPr>
      <w:r>
        <w:rPr>
          <w:rFonts w:ascii="IRNazanin" w:hAnsi="IRNazanin" w:eastAsia="IRNazanin"/>
          <w:color w:val="111111"/>
          <w:sz w:val="28"/>
          <w:sz w:val="28"/>
          <w:szCs w:val="28"/>
          <w:rtl w:val="true"/>
          <w:lang w:bidi="fa-IR"/>
        </w:rPr>
        <w:t>الشکوک، و 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Style w:val="FootnoteAnchor"/>
          <w:rtl w:val="true"/>
        </w:rPr>
        <w:footnoteReference w:id="363"/>
      </w:r>
      <w:r>
        <w:rPr>
          <w:rFonts w:ascii="IRNazanin" w:hAnsi="IRNazanin" w:eastAsia="IRNazanin"/>
          <w:color w:val="111111"/>
          <w:sz w:val="28"/>
          <w:sz w:val="28"/>
          <w:szCs w:val="28"/>
          <w:rtl w:val="true"/>
          <w:lang w:bidi="fa-IR"/>
        </w:rPr>
        <w:t>بالنسبة إلی أدلّة وجوب أجزاء الصلاة و شرائطها؛ حیث إنّه متعرّض لوجوب الإعادة فی الخمسة، و عدمه فی غیرها، التی من الأحکام العقلیّة لوجوب الأجزاء، فتمام الموضوع و الملاک فی تقدیم أحد الدلیلین علی الآخر، هو تعرّض أحدهما لما لم یتعرّض الآخر له فی جمیع موارد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المناط فی تقدیم أحدهما مختلف فی موارده، کما یبدو فی النظر عاجلًا، و أنّ المناط فی بعض الموارد لتقدیم أحد الدلیلین نفیُ أحد الدلیلین لموضوع الآخر أو إثباته و توسعته،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أدلّة الشکوک،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الدلیل الثانی ینقِّح موضوع الأوّل بتضیقه أو توسعته، و الملاک فی تقدیم أدلّة نفی العسر و الحرج هو نفی الإرادة الجدّیّة فی الأحکام المجعولة فی مواردهما؛ حیث إنّ إطلاق أدلّة الأحکام الأوّلیّة، شامل لموارد استلزامها العسر و الحرج و تعلّق الإرادة الاستعمالیّة بها فی تلک الموارد، و لسانُ دلیل نفی العسر و الحرج و الضرر، نفیُ الإرادة الجدّیّة فی موارد استلزامها لها، و أنّ إرادتها فیها صوریّة لا جدّیّة، فالملاک فی تقدّمها علیها عدم جریان أصالة تطابق الجدّ و الاستعمال مع التصریح بعدم الجدّ، و هذا هو المناط فی تقدیم الخاص علی العام فی العام و الخاص المطلقین علی الآخر،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الثانی لیس أظهر فی مدلوله من الأوّل، فإنّ کلّ واحد من مفرداته مستعمل فی معناه کما فی الأوّل، فلا وجه لأظهریّته من الأوّل، فتقدیمه علی الأوّل إنّما هو لعدم جریان أصالة تطابق الجدّ و الاستعمال؛ لأنّ أصالة الجدّ فی الأوّل ضعیفة، بل المناط فی التقدیم فی أغلب الموارد ذلک، و لا یُعدّ الدلیلان کذلک متنافیین و مختلفین؛ لتعارف ذلک بین العقلاء فی</w:t>
      </w:r>
    </w:p>
    <w:p>
      <w:pPr>
        <w:pStyle w:val="BookText"/>
        <w:rPr/>
      </w:pPr>
      <w:r>
        <w:rPr>
          <w:rFonts w:ascii="Amiri" w:hAnsi="Amiri" w:eastAsia="Amiri" w:cs="Amiri"/>
          <w:color w:val="111111"/>
          <w:sz w:val="28"/>
          <w:sz w:val="28"/>
          <w:szCs w:val="28"/>
          <w:rtl w:val="true"/>
          <w:lang w:bidi="ar-SA"/>
        </w:rPr>
        <w:t>مقام جعل قوانینهم العرفیّة، و لهذا 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لم یعترض أحد علی ذلک، مع وجود هذا النحو من الاختلاف فی الکتاب المجید فی الآیات المشتملة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غیر مقام جعل القوانین الکلّیّة یعدّ ذلک اختلافاً و تنافیاً، فإنّ السالبة الجزئیّة تناقض الموجبة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نفی العسر و الحرج و الضرر، فتقدیمها علی إطلاقات الأحکام أیضاً بهذا الوجه المذکور؛ حیث إنّه لیس المراد من نفی الضرر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تحقّقه و لزومه من إطلاقات أدلّة الأحکام و عموماتها، بل المراد عدم تعلّق الإرادة الجدّیّة بها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السرّ و المناط فی تقدیم بعض الأدلّة علی البعض الآخر باختلاف الموارد، و أنّ التقدیم فی بعض الموارد إنّما هو بملاک خاصّ به لیس فی الآخر، فقد یکون الوجه فی تقدیم الدلیل الحاکم فی موارد التقدیم تعرّضه للجهات المتقدّمة لدلیل المحکوم، و فی کثیر من الموارد الاخر مناط التقدیم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 الشیخ الأعظم قدس سره مما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الدلیل الحاکم لا بدّ أن یکون مفسِّراً للدلیل المحکوم و شارحاً له</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 أحد الدلیل لبعض مقدّمات الدلیل الآخر أو مؤخّراته و لوازمه لا التفسیر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الفرق بین التخصیص و الحکومة؛ لأنّ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سلب الحکم الذی دلّ الدلیل العامّ علی ثبوته لعنوان شامل لجمیع الأفراد عن بعض أفراده بدلیل خاصّ، بخلاف الحکومة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نتیجة الحکومة مختلفة، فقد تکون نتیجتها التقیید، مثل حکومة أدلّة نفی</w:t>
      </w:r>
    </w:p>
    <w:p>
      <w:pPr>
        <w:pStyle w:val="BookText"/>
        <w:rPr/>
      </w:pPr>
      <w:r>
        <w:rPr>
          <w:rFonts w:ascii="IRNazanin" w:hAnsi="IRNazanin" w:eastAsia="IRNazanin"/>
          <w:color w:val="111111"/>
          <w:sz w:val="28"/>
          <w:sz w:val="28"/>
          <w:szCs w:val="28"/>
          <w:rtl w:val="true"/>
          <w:lang w:bidi="fa-IR"/>
        </w:rPr>
        <w:t>الحرج و الضرر بالنسبة إلی إطلاقات الأحکام، و قد تکون نتیجتها التخصیص،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أنّها قد تنتج التوسعة فی موضوع المحکوم، و قد تنتج الورود، کما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أنّک علی یقین فی عالم التعبّد، فإنّه بالنسبة إلی 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الرفع</w:t>
      </w:r>
      <w:r>
        <w:rPr>
          <w:rStyle w:val="FootnoteAnchor"/>
          <w:rtl w:val="true"/>
        </w:rPr>
        <w:footnoteReference w:id="36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علیها، لکن نتیجة هذه الحکومة هو الورود؛ لزوال موضوعها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التقدیم إلی الحکومة و الورود و غیرهما غیر صحیح، فإنّ الورود لیس قسماً للحکومة و قسماً خاصّاً من التقدیم فی قبال الحکومة، بل فی بعض الموارد نتیجة الحکومة هو الورود فتقسیم التقدیم إلیه و إلیها و إلی غیرهما فاقد لملاک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الاصطلاح بأن تسمّی الحکومة فی بعض الموارد بالورود، فلا مُشاحّة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الأدلّة اللفظیّة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الأدلّة اللُّبّیّة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یتحقّق فیها ما هو شبه الورود، مثل بناء العقلاء علی العمل بخبر الواحد بالنسبة إلی حکم العقل بقبح العقاب بلا بیان؛ لانتفاء موضوع هذا الحکم العقلی بقیام خبر الواحد تعبُّداً؛ علی فرض بناء العقلاء علی العمل به تعبّداً و بنائهم علیه ابتداء؛ لأنّه بیان، و لیس ذلک حکومة؛ حیث إنّ الحکومة تحتاج إلی اللسان و اللفظ، و المفروض عدمه فی المقام، بخلاف الدلیلین اللفظیّین، فإنّ تقدیم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تقدیم الأظهر علی الظاهر، أو من باب الحکومة، کما</w:t>
      </w:r>
    </w:p>
    <w:p>
      <w:pPr>
        <w:pStyle w:val="BookText"/>
        <w:rPr/>
      </w:pPr>
      <w:r>
        <w:rPr>
          <w:rFonts w:ascii="IRNazanin" w:hAnsi="IRNazanin" w:eastAsia="IRNazanin"/>
          <w:color w:val="111111"/>
          <w:sz w:val="28"/>
          <w:sz w:val="28"/>
          <w:szCs w:val="28"/>
          <w:rtl w:val="true"/>
          <w:lang w:bidi="fa-IR"/>
        </w:rPr>
        <w:t>أنّ تقسیم الحکومة إلی الواقعیّة و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صنعه المیرزا النائینی قدس سره</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بلا وجه، فإنّ الحکومة فی الأدلّة الظاهریّة لیست نحواً آخر غیر نحو الحکومة فی الأدلّة الواقعیّة، کیف و لو أوجب هذا النحو من الاختلاف اختلافاً فیها و فی أنحائها و تقسیمها إلی قسمین، لکثرت أقسامها أزید من ذلک، فإنّ حکومة أحد الدلیلین علی الآخر قد تتحقّق فی باب الطهارة، و قد تتحقّق فی أبواب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فیلزم کثرة أقسامها، و هو کما تری؛ لما عرفت من أنّ للتقسیم ملاکاً، و هو أن یکون للمَقْسم نوعان مختلفان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التخصیص أیضاً کذلک، فإنّه قد یتّفق فی أدلّة الأحکام الظاهریّة، و قد یقع فی أدلّة الأحکام الواقعیّة، فلا وجه لتخصیص هذا التقسیم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المناط فی تقدیم أحد الدلیلین علی الآخر بنحو الإجمال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تفصیل ذلک فی المقام و بیان نسبة أدلّة الاستصحاب إلی الأمارات و سائر القواعد و الاصول الشرعیّة و العقلیّة فنذکرها فی المباحث الآتیة</w:t>
      </w:r>
      <w:r>
        <w:rPr>
          <w:rFonts w:eastAsia="IRNazanin" w:cs="IRNazanin"/>
          <w:color w:val="111111"/>
          <w:sz w:val="28"/>
          <w:szCs w:val="28"/>
          <w:rtl w:val="true"/>
          <w:lang w:bidi="fa-IR"/>
        </w:rPr>
        <w:t>.</w:t>
      </w:r>
      <w:bookmarkStart w:id="343" w:name="pg12898_148029"/>
    </w:p>
    <w:p>
      <w:pPr>
        <w:pStyle w:val="Heading3"/>
        <w:numPr>
          <w:ilvl w:val="2"/>
          <w:numId w:val="1"/>
        </w:numPr>
        <w:rPr/>
      </w:pPr>
      <w:bookmarkStart w:id="344" w:name="__RefHeading___Toc3234918_3224264995"/>
      <w:bookmarkStart w:id="345" w:name="_Toc128"/>
      <w:bookmarkEnd w:id="343"/>
      <w:bookmarkEnd w:id="344"/>
      <w:r>
        <w:rPr>
          <w:rtl w:val="true"/>
        </w:rPr>
        <w:t>نسبة أدلّة الاستصحاب إلی الأمارات و سائر القواعد و الاصول و یبحث فیها فی مقامات</w:t>
      </w:r>
      <w:r>
        <w:rPr>
          <w:rtl w:val="true"/>
        </w:rPr>
        <w:t>:</w:t>
      </w:r>
      <w:bookmarkEnd w:id="3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 w:name="__RefHeading___Toc3234920_3224264995"/>
      <w:bookmarkStart w:id="347" w:name="_Toc129"/>
      <w:bookmarkEnd w:id="346"/>
      <w:r>
        <w:rPr>
          <w:rtl w:val="true"/>
        </w:rPr>
        <w:t>اشارة</w:t>
      </w:r>
      <w:bookmarkStart w:id="348" w:name="pg12898_148030"/>
      <w:bookmarkEnd w:id="347"/>
    </w:p>
    <w:p>
      <w:pPr>
        <w:pStyle w:val="Heading4"/>
        <w:numPr>
          <w:ilvl w:val="3"/>
          <w:numId w:val="1"/>
        </w:numPr>
        <w:rPr/>
      </w:pPr>
      <w:bookmarkStart w:id="349" w:name="__RefHeading___Toc3234922_3224264995"/>
      <w:bookmarkStart w:id="350" w:name="_Toc130"/>
      <w:bookmarkEnd w:id="348"/>
      <w:bookmarkEnd w:id="349"/>
      <w:r>
        <w:rPr>
          <w:rtl w:val="true"/>
        </w:rPr>
        <w:t>المقام الأوّل فی حال أدلّة الاستصحاب مع أدلّة الأمارات</w:t>
      </w:r>
      <w:bookmarkEnd w:id="350"/>
    </w:p>
    <w:p>
      <w:pPr>
        <w:pStyle w:val="Heading5"/>
        <w:numPr>
          <w:ilvl w:val="4"/>
          <w:numId w:val="1"/>
        </w:numPr>
        <w:rPr/>
      </w:pPr>
      <w:bookmarkStart w:id="351" w:name="__RefHeading___Toc3234924_3224264995"/>
      <w:bookmarkStart w:id="352" w:name="_Toc131"/>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إنّک 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أدلّة حجّیّة الأمارات هو بناء العقلاء و إمضاء الشارع لها و عدم ردعه عنها، و أنّها لیست تأسیسیّة أسّسها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 و قد تقدّم تفصیله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ملاحظة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بناء العقلاء علی العمل بخبر الثقة، فإنّ النسبة لا بدّ و أن تلاحظ بین الدلیلین، و قد تقدّم فی أوّل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الیقین و الشکّ المأخوذین فی دلیل الاستصحاب هو الحجّة و اللّاحجّة؛ لشواهد تدلّ علی ذلک قد تقدّم بیانها، و حینئذٍ فتقدیم الأمارات علی الاستصحاب إنّما هو من قبیل التخصّص؛ لأنّ الأمارة حجّة، فلا یلزم معها نقض الحجّة باللّاحجّة، و إن شئت سمّیت ذلک بالورود، فإنّه لا مشاحّة فی الاصطلاح</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الأمارات تأسیسیّة من الشارع المقدّس، کما لو بنینا علی أنّ حجّیّة خبر الواحد مستفادة من مثل آیة النبأ</w:t>
      </w:r>
      <w:r>
        <w:rPr>
          <w:rStyle w:val="FootnoteAnchor"/>
          <w:rtl w:val="true"/>
        </w:rPr>
        <w:footnoteReference w:id="369"/>
      </w:r>
      <w:r>
        <w:rPr>
          <w:rFonts w:ascii="IRNazanin" w:hAnsi="IRNazanin" w:eastAsia="IRNazanin"/>
          <w:color w:val="111111"/>
          <w:sz w:val="28"/>
          <w:sz w:val="28"/>
          <w:szCs w:val="28"/>
          <w:rtl w:val="true"/>
          <w:lang w:bidi="fa-IR"/>
        </w:rPr>
        <w:t>، فلا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الآیة هو</w:t>
      </w:r>
      <w:bookmarkStart w:id="353" w:name="pg12898_148031"/>
    </w:p>
    <w:p>
      <w:pPr>
        <w:pStyle w:val="BookText"/>
        <w:rPr/>
      </w:pPr>
      <w:bookmarkEnd w:id="353"/>
      <w:r>
        <w:rPr>
          <w:rFonts w:ascii="IRNazanin" w:hAnsi="IRNazanin" w:eastAsia="IRNazanin"/>
          <w:color w:val="111111"/>
          <w:sz w:val="28"/>
          <w:sz w:val="28"/>
          <w:szCs w:val="28"/>
          <w:rtl w:val="true"/>
          <w:lang w:bidi="fa-IR"/>
        </w:rPr>
        <w:t>أنّه لا یجب التبیُّن فی خبر العادل؛ لأنّه واضح و مبیَّن فی نفسه لا یحتاج إلی التبیُّن، و أنّه لیس فیه إصابة بجهالة، لا أنّه إصابة بجهالة غیر منهیٍّ عنها، و حینئذٍ فهذا المفهوم حاکم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لعدم وجود الشکّ معه علی خلاف الحالة السابقة تعبّداً؛ بناءً علی أنّ المراد من الشکّ هو الشکّ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هذا المفهوم حاکم علی کلّ أصل اخذ الشکّ و عدم العلم فی موضوعه، مثل حدیث الرفع و نحوه،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نتیجة هذه الحکومة هو الورود؛ لانتفاء موضوع الدلیل المحکوم و انعدامه حینئذٍ تعبّداً؛ لو ارید من الشکّ فی أدلّة الاستصحاب و نحوه اللّاحجّة، بخلاف ما لو ارید منه الشکّ الاصطلاحی، فلا تکون نتیجتها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استفادة حجّیّة خبر الواحد من الأخبار،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ثقتی ما یؤدّی عنّی فعنّی یؤدّی</w:t>
      </w:r>
      <w:r>
        <w:rPr>
          <w:rFonts w:eastAsia="Amiri" w:cs="Amiri" w:ascii="Amiri" w:hAnsi="Amiri"/>
          <w:color w:val="111111"/>
          <w:sz w:val="28"/>
          <w:szCs w:val="28"/>
          <w:rtl w:val="true"/>
          <w:lang w:bidi="ar-SA"/>
        </w:rPr>
        <w:t>)</w:t>
      </w:r>
    </w:p>
    <w:p>
      <w:pPr>
        <w:pStyle w:val="BookText"/>
        <w:rPr/>
      </w:pPr>
      <w:r>
        <w:rPr>
          <w:rStyle w:val="FootnoteAnchor"/>
          <w:rtl w:val="true"/>
        </w:rPr>
        <w:footnoteReference w:id="370"/>
      </w:r>
      <w:r>
        <w:rPr>
          <w:rFonts w:ascii="IRNazanin" w:hAnsi="IRNazanin" w:eastAsia="IRNazanin"/>
          <w:color w:val="111111"/>
          <w:sz w:val="28"/>
          <w:sz w:val="28"/>
          <w:szCs w:val="28"/>
          <w:rtl w:val="true"/>
          <w:lang w:bidi="fa-IR"/>
        </w:rPr>
        <w:t>، فمفاده إلغاء احتمال الخلاف فی خبر الثقة، و هو حاکم علی دلیل الاستصحاب، و نتیجتها الورود؛ لأنّه إعدام للشکّ تعبّداً لو ارید من الشکّ الحالة النفسانیّة، بخلاف ما لو ارید منه اللّاحجّة، فإنّه لیس نتیجتها حینئذٍ الورود</w:t>
      </w:r>
      <w:r>
        <w:rPr>
          <w:rFonts w:eastAsia="IRNazanin" w:cs="IRNazanin"/>
          <w:color w:val="111111"/>
          <w:sz w:val="28"/>
          <w:szCs w:val="28"/>
          <w:rtl w:val="true"/>
          <w:lang w:bidi="fa-IR"/>
        </w:rPr>
        <w:t>.</w:t>
      </w:r>
    </w:p>
    <w:p>
      <w:pPr>
        <w:pStyle w:val="Heading5"/>
        <w:numPr>
          <w:ilvl w:val="4"/>
          <w:numId w:val="1"/>
        </w:numPr>
        <w:rPr/>
      </w:pPr>
      <w:bookmarkStart w:id="354" w:name="__RefHeading___Toc3234926_3224264995"/>
      <w:bookmarkStart w:id="355" w:name="_Toc132"/>
      <w:bookmarkEnd w:id="354"/>
      <w:r>
        <w:rPr>
          <w:rtl w:val="true"/>
        </w:rPr>
        <w:t>کلام شیخنا الحائری فی المقام</w:t>
      </w:r>
      <w:bookmarkEnd w:id="35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شیخنا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بتقدیم الأمارات علی الاستصحاب و نحوه من قبیل الحکومة، مبنیّ علی أن یکون دلیل حجّیّتها متعرّضاً لحکم الشکّ، و أنّ مرجع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الشکّ لیس شکّاً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یدلّ دلیل الحجّیّة إلّا علی جعل مدلول الخبر واقعاً، و إیجاب معاملة الواقع معه، و أمّا أنّ حکم الشکّ لا یترتّب علی الشکّ الموجود، فلیس هو مدلول دلیلها، نعم هو لازم الحجّیّة، کما أنّ لازم ترتّب حکم الشکّ عدم حجّیّة الأمارة الدالّة علی الخلاف، و هذا معنی التعارض</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ببالی أنّه قال فی درسه فی توجیه ما ذکره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الأمارات علی الاصول العملیّة</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حجّیّة خبر الواحد و إن وردت فی مورد الشکّ، و کذلک الاستصحاب و سائر الاصول العملیّة، لکن أدلّة حجّیّة خبر الواحد سیقت لإزالة الشکّ و رفعه، و لم یؤخذ الشکّ فی موضوعها، بخلاف أدلّة الاستصحاب و نحوه، فإنّ الشکّ مأخوذ فی موضوعها، و حینئذٍ فتصحّ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من الشکّ التحیّر کان ذلک وروداً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التوجیه الذی ذکره قدس سره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وفاقاً لسیّدنا الاستاذ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الأدلّة و الأمارات علی الاستصحاب و سائر الاصول التعبّدیّة؛ لأنّک قد عرفت فی باب حجّیّة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إذا اخذ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یعتبر علی نحو الطریقیّة، و اخری علی نحو الصفتیّة، و المراد من اعتباره بنحو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هو الجامع بینه و بین الطرق المعتبرة، کما أنّ المراد من اعتباره علی الصفتیّة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خصوصیّته المختصّة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الکشف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الطرق، و الشکّ فی مقابل العلم؛ یعنی کما أنّ العلم المأخوذ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یُلحظ علی وجه الطریقیّة، و اخری علی وجه الصفتیّة، کذلک الشکّ قد یلاحظ بمعنی أنّه عدم الطریق، و قد یلاحظ بمعنی صفة التردید القائمة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اخذ العلم طریقاً فمعنی الشکّ الذی فی مقابله هو عدم</w:t>
      </w:r>
    </w:p>
    <w:p>
      <w:pPr>
        <w:pStyle w:val="BookText"/>
        <w:rPr/>
      </w:pPr>
      <w:r>
        <w:rPr>
          <w:rFonts w:ascii="IRNazanin" w:hAnsi="IRNazanin" w:eastAsia="IRNazanin"/>
          <w:color w:val="111111"/>
          <w:sz w:val="28"/>
          <w:sz w:val="28"/>
          <w:szCs w:val="28"/>
          <w:rtl w:val="true"/>
          <w:lang w:bidi="fa-IR"/>
        </w:rPr>
        <w:t>الطریق، و إن لوحظ صفة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الأدلّة الدالّة علی الاستصحاب و سائر الاصول أنّ العلم المأخوذ فیها اخذ طریقاً، فمعنی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عدم الطریق إلی الواقع یجب إبقاء ما کان ثابتاً بطریق، و هکذا کلّ ما دلّ علی ثبوت الحکم علی الشکّ، فإنّ مفاده دوران الحکم مدار عدم الطریق، فإنْ دلَّ دلیل علی حجّیّة دلیل أو أمارة یرتفع موضوع الحکم الذی کان معلَّقاً علی 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ذلک، و لکن ورود الطریق علی الاصول موقوف علی شمول دلیل الحجّیّة لمواردها، و أیّ ترجیح لشمول دلیل الحجّیّة علی شمول أدلّة الاصول، مع أنّ المورد قابل لهما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أدلّة الطریق لا مانع منه أصلًا لوجود موضوعها مطلقاً و عدم ما یدلّ علی التخصیص، بخلاف أدلّة الاصول، فإنّ موضوعها متوقّف علی عدم شمول دلیل حجّیّة الطریق، و لا وجه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دائر بین التخصیص و التخصّص، و الأوّل خلاف الأصل، دون الثانی</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أدلّة حجّیّة خبر الواحد، کآیة النبأ</w:t>
      </w:r>
      <w:r>
        <w:rPr>
          <w:rStyle w:val="FootnoteAnchor"/>
          <w:rtl w:val="true"/>
        </w:rPr>
        <w:footnoteReference w:id="37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یؤدّی عنّی فعنّی یؤدّی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نسبة دلیل استصحاب الطهارة بالنسبة إلی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375"/>
      </w:r>
      <w:r>
        <w:rPr>
          <w:rFonts w:ascii="IRNazanin" w:hAnsi="IRNazanin" w:eastAsia="IRNazanin"/>
          <w:color w:val="111111"/>
          <w:sz w:val="28"/>
          <w:sz w:val="28"/>
          <w:szCs w:val="28"/>
          <w:rtl w:val="true"/>
          <w:lang w:bidi="fa-IR"/>
        </w:rPr>
        <w:t>، و لا ریب أنّ لسان دلیل استصحاب الطهارة بالنسبة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لسان</w:t>
      </w:r>
    </w:p>
    <w:p>
      <w:pPr>
        <w:pStyle w:val="BookText"/>
        <w:rPr/>
      </w:pPr>
      <w:r>
        <w:rPr>
          <w:rFonts w:ascii="IRNazanin" w:hAnsi="IRNazanin" w:eastAsia="IRNazanin"/>
          <w:color w:val="111111"/>
          <w:sz w:val="28"/>
          <w:sz w:val="28"/>
          <w:szCs w:val="28"/>
          <w:rtl w:val="true"/>
          <w:lang w:bidi="fa-IR"/>
        </w:rPr>
        <w:t>الحکومة؛ لأنّ مفاد الاستصحاب هو تحقّق الطهارة تعبّداً، فهو حاکم علی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فکذلک فیما نحن فیه؛ لما عرفت من أنّ مفهوم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العمل بخبر العادل لیس جهالة، و أنّ خبره مبیَّن بنفسه؛ لا یفتقر إلی التبیُّن، و کذا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فعنّی یؤدّی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قولی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فینتفی حینئذٍ موضوع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تکون نتیجة الحکومة هی الورود کما عرفت، و المظنون أنّ مراد السیّد الاستاذ أیضاً ذلک</w:t>
      </w:r>
      <w:r>
        <w:rPr>
          <w:rFonts w:eastAsia="IRNazanin" w:cs="IRNazanin"/>
          <w:color w:val="111111"/>
          <w:sz w:val="28"/>
          <w:szCs w:val="28"/>
          <w:rtl w:val="true"/>
          <w:lang w:bidi="fa-IR"/>
        </w:rPr>
        <w:t>.</w:t>
      </w:r>
      <w:bookmarkStart w:id="356" w:name="pg12898_148035"/>
    </w:p>
    <w:p>
      <w:pPr>
        <w:pStyle w:val="Heading4"/>
        <w:numPr>
          <w:ilvl w:val="3"/>
          <w:numId w:val="1"/>
        </w:numPr>
        <w:rPr/>
      </w:pPr>
      <w:bookmarkStart w:id="357" w:name="__RefHeading___Toc3234928_3224264995"/>
      <w:bookmarkStart w:id="358" w:name="_Toc133"/>
      <w:bookmarkEnd w:id="356"/>
      <w:bookmarkEnd w:id="357"/>
      <w:r>
        <w:rPr>
          <w:rtl w:val="true"/>
        </w:rPr>
        <w:t>المقام الثانی وجه تقدیم الاستصحاب علی الاصول</w:t>
      </w:r>
      <w:bookmarkEnd w:id="358"/>
    </w:p>
    <w:p>
      <w:pPr>
        <w:pStyle w:val="BookText"/>
        <w:rPr/>
      </w:pPr>
      <w:r>
        <w:rPr>
          <w:rFonts w:ascii="IRNazanin" w:hAnsi="IRNazanin" w:eastAsia="IRNazanin"/>
          <w:color w:val="111111"/>
          <w:sz w:val="28"/>
          <w:sz w:val="28"/>
          <w:szCs w:val="28"/>
          <w:rtl w:val="true"/>
          <w:lang w:bidi="fa-IR"/>
        </w:rPr>
        <w:t>و أمّا تقدیم الاستصحاب علی الاصول العقلیّة کالبراءة العقلیّة و الاحتیاط العقلی أو التخییر العقلی، فإنّما هو لأجل انتفاء موضوعها بالاستصحاب؛ لأنّ الاستصحاب بیان، فلیس العقاب فی مورده بلا بیان، و هو مؤمِّن من العقاب من طرف الشارع، فترک الاحتیاط فی مورده و العمل به لیس بلا مؤمّن، کما هو مورد حکم العقل بوجوب الاحتیاط، و هو مرجّح لأحد الاحتمالین، فلیس الاحتمالان متساویین بدون ترجیح لأحدهما، کما هو مورد حکم العقل بالتخییر، و لا مانع من تسمیة هذا التقدیم بالورود؛ لأنّ حکم العقل فی تلک الموارد معلّق علی عدم البیان و عدم الترجیح و عدم المؤمِّن، و الاستصحاب بیان و مرجِّح و مؤمِّن من العقوبة، و حیث إنّه لا لسان لحکم العقل فی هذه الاصول، فلا یسمّی هذا التقدیم حکومة؛ لتقوّمها علی اللسان و اللفظ فی کلّ واحد من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الاستصحاب علی الاصول الشرعیّة، فذهب الشیخ الأعظم قدس سره إلی أنّه بنحو الحکومة؛ و ذلک 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مطلق</w:t>
      </w:r>
      <w:r>
        <w:rPr>
          <w:rFonts w:eastAsia="Amiri" w:cs="Amiri" w:ascii="Amiri" w:hAnsi="Amiri"/>
          <w:color w:val="111111"/>
          <w:sz w:val="28"/>
          <w:szCs w:val="28"/>
          <w:rtl w:val="true"/>
          <w:lang w:bidi="ar-SA"/>
        </w:rPr>
        <w:t>)</w:t>
      </w:r>
    </w:p>
    <w:p>
      <w:pPr>
        <w:pStyle w:val="BookText"/>
        <w:rPr/>
      </w:pPr>
      <w:r>
        <w:rPr>
          <w:rStyle w:val="FootnoteAnchor"/>
          <w:rtl w:val="true"/>
        </w:rPr>
        <w:footnoteReference w:id="376"/>
      </w:r>
      <w:r>
        <w:rPr>
          <w:rFonts w:ascii="IRNazanin" w:hAnsi="IRNazanin" w:eastAsia="IRNazanin"/>
          <w:color w:val="111111"/>
          <w:sz w:val="28"/>
          <w:sz w:val="28"/>
          <w:szCs w:val="28"/>
          <w:rtl w:val="true"/>
          <w:lang w:bidi="fa-IR"/>
        </w:rPr>
        <w:t xml:space="preserve">معمِّمٌ لموضوعه، فإنّه لو کان علی یقین من حرمة شرب النبیذ، فشکّ فیها، فمفاد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بقاء النهی و الحرمة فی زمان الشکّ، فالغایة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النهی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مطلق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بالاستصحاب تعبُّداً، و هو معنی الحکومة</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مبنیّ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الیقین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مختاره قدس سره</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طریقیّ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المتیقّن ذاته بعنوانه الأوّلی الواقعی، لا بوصف أنّه متیقّن، و أنّ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بحرمة نقض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بحرمة شی‌ء و شک فی بقائها، و الحکم بإبقائها بعنوانها الواقعی فی ظرف الشکّ، فمرجعه إلی تحقّق النهی تعبّداً حال الشکّ، الذی هو الغایة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الحکومة علی هذا التقدیر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الیقین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المتیقّن،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ذلک لا نسلّم إرادة المتیقّن منه بعنوانه الواقعی؛ لا بما أنّه متیقّن، و المعتبر فی ملاحظة النسبة بین الدلیلین هو ملاحظة لسانهما و مدلولهما اللفظی، لا نتیجة الدلیلین، و النهی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بنفس الیقین، هذا مضافاً إلی أنّ الدلیل علی البراءة الشرعیّة لا ینحصر فی هذه المرسلة، بل العمدة فی أدلّتها هو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حدیث الرفع و نحوه ممّا علّق الحکم بالبراءة فیه علی عدم العلم، و ما أفاده قدس سره لا یستقیم فی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أدلّة البراءة الشرعیّة هو تعیین الوظیفة للمکلّفین عند الشکّ فی الحکم الواقعی، فمفادها أحکام ظاهریّة، کأصالتی الحلّیّة و الطهارة عند الشکّ فیهما و عدم العلم بالحکم الواقعی منهما، و لیس مفادها الحکم الواقعی و تعیینه، کما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 هو أنّ العلم و الیقین متحقّق و موجود تعبّداً، و أنّه علی یقین بحکم الشارع فی ظرف الشکّ، فهو من أوضح أفراد الحکومة علی البراءة الشرعیّة؛ حیث إنّ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الشکّ فی الحکم الواقعی و عدم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بالاستصحاب تعبّداً، و علی تقدیر إرادة عدم الحجّة من الشکّ و عدم العلم فی أدلّة البراءة، فنتیجة هذه الحکومة هی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النهی عن النقض العملی و حرمته، و البناء العملی علی بقاء ما کان، فإن استفید منه عرفاً حرمة نقض ما کان بعنوانه الواقعی، لا نفس عنوان الیقین، و لا المتیقَّن بما هو متیقَّن، فالاستصحاب حینئذٍ حجّة علی الواقع، فإن ارید من عدم العلم فی أدلّة البراءة،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عدم الحجّة، فالاستصحاب حینئذٍ حاکم أیضاً علی أدلّة البراءة الشرعیّة، و نتیجة هذه الحکومة هی الورود أیضاً؛ لتحقّق الغایة المأخوذة فی أدلّة البراءة المتکفّلة لبیان جعل الوظیفة، و هی عدم الحجّة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عدم العلم فی 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الوجدانی لا عدم الحجّة، فالاستصحاب حاکم علی أدلّة البراءة أیضاً، لکن لیس نتیجتها الورود؛ لعدم حصول العلم الوجدانی بالاستصحاب</w:t>
      </w:r>
      <w:r>
        <w:rPr>
          <w:rFonts w:eastAsia="IRNazanin" w:cs="IRNazanin"/>
          <w:color w:val="111111"/>
          <w:sz w:val="28"/>
          <w:szCs w:val="28"/>
          <w:rtl w:val="true"/>
          <w:lang w:bidi="fa-IR"/>
        </w:rPr>
        <w:t>.</w:t>
      </w:r>
      <w:bookmarkStart w:id="359" w:name="pg12898_148038"/>
    </w:p>
    <w:p>
      <w:pPr>
        <w:pStyle w:val="Heading4"/>
        <w:numPr>
          <w:ilvl w:val="3"/>
          <w:numId w:val="1"/>
        </w:numPr>
        <w:rPr/>
      </w:pPr>
      <w:bookmarkStart w:id="360" w:name="__RefHeading___Toc3234930_3224264995"/>
      <w:bookmarkStart w:id="361" w:name="_Toc134"/>
      <w:bookmarkEnd w:id="359"/>
      <w:bookmarkEnd w:id="360"/>
      <w:r>
        <w:rPr>
          <w:rtl w:val="true"/>
        </w:rPr>
        <w:t>المقام الثالث فی تعارض الاستصحابین</w:t>
      </w:r>
      <w:bookmarkEnd w:id="361"/>
    </w:p>
    <w:p>
      <w:pPr>
        <w:pStyle w:val="Heading5"/>
        <w:numPr>
          <w:ilvl w:val="4"/>
          <w:numId w:val="1"/>
        </w:numPr>
        <w:rPr/>
      </w:pPr>
      <w:bookmarkStart w:id="362" w:name="__RefHeading___Toc3234932_3224264995"/>
      <w:bookmarkStart w:id="363" w:name="_Toc135"/>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و فیه موضعان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 مورد أحد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ناشئ عن الشکّ فی مورد الاستصحاب الآخر و مسبّب عنه بسببیّة شرعیّة، کسببیّة الکرّیّة لطهارة المغسول به، أو عادیّة، کسببیّة بقاء زید إلی ثلاثین سنة لنبات لحیته، أو عقلیّة، کسببیّة العلّة و أجزائها للمعلول، کطلوع الشمس بالنسبة إلی وجود النهار، أو لا یکون الشکّ فی أحدهما ناشئاً و مسبّباً عن الآخر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یترتّب الأثر الشرعی علی المستصحب بلا واسطة، کصحّة الطلاق عنده المترتّبة علی بقاء عدالته و نفوذ شهادته، و قد تترتّب بواسطة أو وسائط، مثل جواز تزویج المطلّقة عنده من آخر و وجوب التربّص علی المطلّقة عنده، فإنّ الأوّل مترتّب أوّلًا علی صحّة الطلاق، المترتّبة علی بقاء عدالته، و جواز تزویجها مترتّب علی مضیّ مدّة التربّص، المترتّب علی صحّة الطلاق، المترتّبة علی بقاء عدالته، و کوجوب نفقتها علی الزوج الثانی بعد نکاحها منه، و وجوب إطاعتها له، و نحو ذلک من الأحکام الشرعیّة المترتّبة علی بقاء عدالة زید مع واسطة أو وسائط</w:t>
      </w:r>
      <w:r>
        <w:rPr>
          <w:rFonts w:eastAsia="IRNazanin" w:cs="IRNazanin"/>
          <w:color w:val="111111"/>
          <w:sz w:val="28"/>
          <w:szCs w:val="28"/>
          <w:rtl w:val="true"/>
          <w:lang w:bidi="fa-IR"/>
        </w:rPr>
        <w:t>.</w:t>
      </w:r>
      <w:bookmarkStart w:id="364" w:name="pg12898_148039"/>
    </w:p>
    <w:p>
      <w:pPr>
        <w:pStyle w:val="Heading5"/>
        <w:numPr>
          <w:ilvl w:val="4"/>
          <w:numId w:val="1"/>
        </w:numPr>
        <w:rPr/>
      </w:pPr>
      <w:bookmarkStart w:id="365" w:name="__RefHeading___Toc3234934_3224264995"/>
      <w:bookmarkStart w:id="366" w:name="_Toc136"/>
      <w:bookmarkEnd w:id="364"/>
      <w:bookmarkEnd w:id="365"/>
      <w:r>
        <w:rPr>
          <w:rtl w:val="true"/>
        </w:rPr>
        <w:t>حول ما کان الشکّ مسبّباً عن الشکّ فی الآخر</w:t>
      </w:r>
      <w:bookmarkEnd w:id="366"/>
    </w:p>
    <w:p>
      <w:pPr>
        <w:pStyle w:val="Heading6"/>
        <w:numPr>
          <w:ilvl w:val="5"/>
          <w:numId w:val="1"/>
        </w:numPr>
        <w:rPr/>
      </w:pPr>
      <w:bookmarkStart w:id="367" w:name="__RefHeading___Toc3234936_3224264995"/>
      <w:bookmarkStart w:id="368" w:name="_Toc137"/>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أمّا 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متمحّض فی خصوص السببیّة الشرعیّة، و یظهر منه حکم بقیّة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مورد أحد الاستصحابین ناشئاً عن الشکّ فی الآخر؛ لسببیّة شرعیّة محقّقة أو محتملة، کما إذا غسل الثوب النجس بالماء المشکوک کرّیّته مع سبق الکرّیّة، فإنّ الشکّ فی بقاء نجاسة الثوب المذکور، مسبّب عن الشکّ فی بقاء کرّیّته، التی جعلها الشارع سبباً لطهارة المغسول به، فلا إشکال فی تقدّم الاستصحاب السببی علی المسبّبی، و إنّما الإشکال فی وجه التقدیم؛ لاختلاف أنظار الأعلام فیه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3234938_3224264995"/>
      <w:bookmarkStart w:id="370" w:name="_Toc138"/>
      <w:bookmarkEnd w:id="369"/>
      <w:r>
        <w:rPr>
          <w:rtl w:val="true"/>
        </w:rPr>
        <w:t>المناط فی تقدیم الأصل السببی علی المسبّبی</w:t>
      </w:r>
      <w:bookmarkEnd w:id="3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لیس معنی الاستصحابات الموضوعیّة هو الحکم بترتیب الآثار، کما أفاده بعضهم</w:t>
      </w:r>
      <w:r>
        <w:rPr>
          <w:rStyle w:val="FootnoteAnchor"/>
          <w:rtl w:val="true"/>
        </w:rPr>
        <w:footnoteReference w:id="381"/>
      </w:r>
      <w:r>
        <w:rPr>
          <w:rFonts w:ascii="IRNazanin" w:hAnsi="IRNazanin" w:eastAsia="IRNazanin"/>
          <w:color w:val="111111"/>
          <w:sz w:val="28"/>
          <w:sz w:val="28"/>
          <w:szCs w:val="28"/>
          <w:rtl w:val="true"/>
          <w:lang w:bidi="fa-IR"/>
        </w:rPr>
        <w:t>، بل لیس مفادها إلّا التعبّد ببقاء المتیقّن سابقاً، کما فی الاستصحابات الحکمیّة، فمعنی استصحاب العدالة هو الحکم ببقائها تعبّداً، و ینقّح به موضوع الأدلّة الاجتهادیّة المثبتة للتکالیف علی عنوان العادل، کالدلیل الاجتهادی الدالّ علی جواز الطلاق عنده، و به ینقَّح موضوع هذا الدلیل، فهو حاکم علی الدلیل الاجتهادی؛ لعدم تعرّض هذا الدلیل الاجتهادی لموضوع نفسه، و تعرُّض الاستصحاب لذلک، کما أنّ مفاد استصحاب العدم علی القول به إعدام</w:t>
      </w:r>
    </w:p>
    <w:p>
      <w:pPr>
        <w:pStyle w:val="BookText"/>
        <w:rPr/>
      </w:pPr>
      <w:r>
        <w:rPr>
          <w:rFonts w:ascii="IRNazanin" w:hAnsi="IRNazanin" w:eastAsia="IRNazanin"/>
          <w:color w:val="111111"/>
          <w:sz w:val="28"/>
          <w:sz w:val="28"/>
          <w:szCs w:val="28"/>
          <w:rtl w:val="true"/>
          <w:lang w:bidi="fa-IR"/>
        </w:rPr>
        <w:t>موضوعه فهو 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متحقّق بالوجدان، و إمّا بالأمارة کالبیّنة، و إمّا بالتعبّد من قِبَل الشارع به،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السببی لیس حاکماً علی الأصل المسبّبی بلا واسطة، بل هو حاکم علی الدلیل الاجتهادی، و الدلیل الاجتهادی حاکم علی الأصل المسبّبی و رافع للشکّ فیه، فالأصل السببی رافع للشکّ فی الأصل المسببی بواسطة الدلیل الاجتهادی الدالّ علی خلاف الأصل المسبّبی، کاستصحاب نجاسة الثوب فی المثال، و لا یرتفع الشکّ فی بقاء کرّیّة الماء، إلّا أن یفرض هناک دلیل اجتهادیّ یدلّ علی أنّ کلّ ماء حکم ببقاء نجاسة المغسول به فهو لیس بکُرّ، و لیس فی الشرع دلیل اجتهادی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أیضاً من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الإشکال المتوجّه فی المقام بالنسبة إلی الآثار المترتّبة علی المستصحب بواسطة شرعیّة أو وسائط، کترتّب جواز تزویج المطلّقة من الغیر علی خروجها عن العدّة، المترتّب علی وجوب التربُّص علیها، المترتّب علی صحّة طلاقها، المترتّبة علی بقاء عدالة زید الذی هو أحد الشاهدین العدلین، فإنّه بناء علی أنّ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استصحاب الموضوعات هو الأمر بترتیب الآثار، یرد علیه الإشکال بالنسبة إلی الآثار مع الواسطة، فإنّه یلزم ترتُّب تلک الآثار بلا وجه بدون تحقّق موضوعها؛ لا وجداناً و 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ترتیب الأثر فی مثل استصحاب العدالة، هو ترتیب أثرها مع جمیع ما یلزمه و یتبعه من اللوازم و التوابع، فیشمل الآثار مع الواسطة أیضاً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هذا یلزم ترتّب الآثار العقلیّة و العادیّة أیضاً، و لا یلتزم</w:t>
      </w:r>
    </w:p>
    <w:p>
      <w:pPr>
        <w:pStyle w:val="BookText"/>
        <w:rPr/>
      </w:pPr>
      <w:r>
        <w:rPr>
          <w:rFonts w:ascii="IRNazanin" w:hAnsi="IRNazanin" w:eastAsia="IRNazanin"/>
          <w:color w:val="111111"/>
          <w:sz w:val="28"/>
          <w:sz w:val="28"/>
          <w:szCs w:val="28"/>
          <w:rtl w:val="true"/>
          <w:lang w:bidi="fa-IR"/>
        </w:rPr>
        <w:t>القائل بذلک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هنا ما اجیب به عنه مثل هذا الإشکال الذی أوردوه فی الأخبار مع الواسطة أو الوسائط</w:t>
      </w:r>
      <w:r>
        <w:rPr>
          <w:rStyle w:val="FootnoteAnchor"/>
          <w:rtl w:val="true"/>
        </w:rPr>
        <w:footnoteReference w:id="383"/>
      </w:r>
      <w:r>
        <w:rPr>
          <w:rFonts w:ascii="IRNazanin" w:hAnsi="IRNazanin" w:eastAsia="IRNazanin"/>
          <w:color w:val="111111"/>
          <w:sz w:val="28"/>
          <w:sz w:val="28"/>
          <w:szCs w:val="28"/>
          <w:rtl w:val="true"/>
          <w:lang w:bidi="fa-IR"/>
        </w:rPr>
        <w:t>، کخبر الصدوق عن الولید عن الصفّار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خبر الولید و من قبله من المصادیق التعبّدیّة لخبر الواحد، بعد الحکم بوجوب تصدیق خبر الصدوق الوجدانی، فیشمله دلیل حجّیّة خبر الواحد بنحو القضیّة الحقیقیّة؛ و ذلک لأنّه لیس 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المکلّف علی یقین من تلک الآثار مع الواسطة و المتأخّرة و الشکّ فیها؛ لیشمله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القضیّة الحقیقیّة؛ إذ لیس ذلک من مصادیقه التعبّدیّة، کما هو واضح، بخلاف دلیل حجّیّة خبر الواحد، فإنّ مقتضی وجوب تصدیق خبر الصدوق الوجدانی، هو أنّ الأخبار المتقدّمة علیه من مصادیقه تعبّداً،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لیس علی یقین من تلک الآثار و أن الشکّ فیها متحقّق وجداناً، فیلزم ترتّب تلک الآثار علی استصحاب العدالة بلا وجه، و بدون تحقّق موضوعها لا وجداناً و 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اخترناه فی وجه حکومة الأصل السببی علی المسبّبی، فاندفاع هذا الإشکال بمکان من الوضوح؛ و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استصحاب العدالة فی المثال حاکم علی الدلیل الاجتهادی الدالّ علی صحّة الطلاق عند العادل، و ینقّح به موضوعه، و هذا الدلیل الاجتهادی منقِّح لموضوع المتأخّر عنه، لا أنّ جمیع تلک الآثار یترتّب علی استصحاب العدالة، و یتحقّق موضوعها به، بل یتحقّق موضوع الدلیل الاجتهادی الأوّل حسب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 من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و المیزان فی تقدیم الأصل السببی علی الأصل المسبّبی، و أنّه إنّما یقدّم إذا کان هناک کبری شرعیّة یُنقَّح موضوعها بالاستصحاب</w:t>
      </w:r>
      <w:bookmarkStart w:id="371" w:name="pg12898_148042"/>
    </w:p>
    <w:p>
      <w:pPr>
        <w:pStyle w:val="BookText"/>
        <w:rPr/>
      </w:pPr>
      <w:bookmarkEnd w:id="371"/>
      <w:r>
        <w:rPr>
          <w:rFonts w:ascii="IRNazanin" w:hAnsi="IRNazanin" w:eastAsia="IRNazanin"/>
          <w:color w:val="111111"/>
          <w:sz w:val="28"/>
          <w:sz w:val="28"/>
          <w:szCs w:val="28"/>
          <w:rtl w:val="true"/>
          <w:lang w:bidi="fa-IR"/>
        </w:rPr>
        <w:t>السببی، و أمّا 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السببیّة بینهما عقلیّة أو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لتقدیم الاستصحاب السببی، کاستصحاب بقاء زید بالنسبة إلی الشکّ فی نبات لحیته و عدمه،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اتّحاد الحاکم و المحکوم؛ بناء علی حکومة الاستصحاب السببی علی المسبّبی</w:t>
      </w:r>
      <w:r>
        <w:rPr>
          <w:rStyle w:val="FootnoteAnchor"/>
          <w:rtl w:val="true"/>
        </w:rPr>
        <w:footnoteReference w:id="384"/>
      </w:r>
      <w:r>
        <w:rPr>
          <w:rFonts w:ascii="IRNazanin" w:hAnsi="IRNazanin" w:eastAsia="IRNazanin"/>
          <w:color w:val="111111"/>
          <w:sz w:val="28"/>
          <w:sz w:val="28"/>
          <w:szCs w:val="28"/>
          <w:rtl w:val="true"/>
          <w:lang w:bidi="fa-IR"/>
        </w:rPr>
        <w:t>، و لا یفتقر إلی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بانحلال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قضایا متعدّدة بعدد الموضوعات</w:t>
      </w:r>
      <w:r>
        <w:rPr>
          <w:rStyle w:val="FootnoteAnchor"/>
          <w:rtl w:val="true"/>
        </w:rPr>
        <w:footnoteReference w:id="385"/>
      </w:r>
      <w:r>
        <w:rPr>
          <w:rFonts w:ascii="IRNazanin" w:hAnsi="IRNazanin" w:eastAsia="IRNazanin"/>
          <w:color w:val="111111"/>
          <w:sz w:val="28"/>
          <w:sz w:val="28"/>
          <w:szCs w:val="28"/>
          <w:rtl w:val="true"/>
          <w:lang w:bidi="fa-IR"/>
        </w:rPr>
        <w:t>و ذلک لأنّ الأصل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الدلیل الاجتهادی، و هو حاکم علی الأصل المسبّبی، لا أنّ الأصل السببی حاکم علی الأصل المسبّبی بلا واسطة</w:t>
      </w:r>
      <w:r>
        <w:rPr>
          <w:rFonts w:eastAsia="IRNazanin" w:cs="IRNazanin"/>
          <w:color w:val="111111"/>
          <w:sz w:val="28"/>
          <w:szCs w:val="28"/>
          <w:rtl w:val="true"/>
          <w:lang w:bidi="fa-IR"/>
        </w:rPr>
        <w:t>.</w:t>
      </w:r>
    </w:p>
    <w:p>
      <w:pPr>
        <w:pStyle w:val="Heading6"/>
        <w:numPr>
          <w:ilvl w:val="5"/>
          <w:numId w:val="1"/>
        </w:numPr>
        <w:rPr/>
      </w:pPr>
      <w:bookmarkStart w:id="372" w:name="__RefHeading___Toc3234940_3224264995"/>
      <w:bookmarkStart w:id="373" w:name="_Toc139"/>
      <w:bookmarkEnd w:id="372"/>
      <w:r>
        <w:rPr>
          <w:rtl w:val="true"/>
        </w:rPr>
        <w:t>نقل کلام الشیخ الأعظم قدس سره و نقده</w:t>
      </w:r>
      <w:bookmarkEnd w:id="373"/>
    </w:p>
    <w:p>
      <w:pPr>
        <w:pStyle w:val="BookText"/>
        <w:rPr/>
      </w:pPr>
      <w:r>
        <w:rPr>
          <w:rFonts w:ascii="IRNazanin" w:hAnsi="IRNazanin" w:eastAsia="IRNazanin"/>
          <w:color w:val="111111"/>
          <w:sz w:val="28"/>
          <w:sz w:val="28"/>
          <w:szCs w:val="28"/>
          <w:rtl w:val="true"/>
          <w:lang w:bidi="fa-IR"/>
        </w:rPr>
        <w:t>و ذکر الشیخ الأعظم قدس سره وجوهاً مختلفة لتقدیم الأصل السببی علی الأصل المسبّبی، لا یخلو بعضها عن الإشکال، فإنّه قدس سره استدلّ فی صدر کلامه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باعتبار دلالته علی جریان الاستصحاب فی الشکّ السببی مانعٌ للعامّ عن قابلیّته و صلاحیّته للشمول بالنسبة للشکّ المسبّبی؛ یعنی یصیر نقض الیقین فیه نقضاً بالیقین، لا بالشکّ؛ لعدم بقاء الشکّ فیه حینئذٍ، فلا یشمله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من شموله للشکّ المسبّبی،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لدلیلٍ شرعیٍّ یدلّ علی ارتفاع الحالة السابقة فیه، فیلزم منه طرح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الشکّ السببی من غیر دلیل مخصِّص، و اللّازم من إهمال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المسبّبی عدم قابلیّة العموم لشموله لهذا المورد، و هو غیر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الیقین بالنجاسة فی المثال المعروف أیضاً من أفراد العامّ، فلا وجه لطرحه و إدخال الیقین بطهارة الماء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بوجهین یرجع حاصل ثانیهما إلی ما اخترناه فی وجه تقدیم الأصل السببی؛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نقض الیقین بالنجاسة إنّما هو بالدلیل الدالّ علی أنّ کلّ متنجّس غسل بالماء الکرّ یطهر، و فائدة استصحاب الکرّیّة إثباتُ أنّ الماء کرّ، بخلاف نقض الیقین بالکرّیّة باستصحاب نجاسة الثوب، فإنّه بلا دلیل، فإنّه یوجب زوال الکرّیّة عن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الإشکال الأوّل بعینه، و أجاب عنه بوجهین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للشکّ المسبّبی دون السببی مستلزم للدّور، فإنّ فردیّته له متوقّفة علی خروج الشکّ السببی عن تحت العموم، المتوقّف علی شموله للشکّ المسبّبی، و هو دور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السببی فی مرتبة متقدّمة علی حکمه تقدّم الموضوع علی حکمه، و علی الشکّ المسبّبی تقدّم العلّة علی معلولها، فکلّ واحد من حکم العامّ و الشکّ المسبّبی لازم لوجود الشکّ السببی فی مرتبة واحدة و لا زمان لملزوم ثالث، فلا یجوز لأحدهما أن یکون موضوعاً للآخر؛ لتقدّم الموضوع بالطبع</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المیرزا النائینی قدس سره ما ذکره فی صدر کلامه من الوجه الأوّل؛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السببی رافعٌ و مُعدِمٌ للشکّ المأخوذ فی المسبّب فی عالم التشریع؛ لأنّ</w:t>
      </w:r>
    </w:p>
    <w:p>
      <w:pPr>
        <w:pStyle w:val="BookText"/>
        <w:rPr/>
      </w:pPr>
      <w:r>
        <w:rPr>
          <w:rFonts w:ascii="IRNazanin" w:hAnsi="IRNazanin" w:eastAsia="IRNazanin"/>
          <w:color w:val="111111"/>
          <w:sz w:val="28"/>
          <w:sz w:val="28"/>
          <w:szCs w:val="28"/>
          <w:rtl w:val="true"/>
          <w:lang w:bidi="fa-IR"/>
        </w:rPr>
        <w:t>التعبّد بمؤدّی الأصل السببی بمدلوله المطابقی، یقتضی إلغاء الشکّ المسبّبی، بخلاف التعبّد بنجاسة الثوب فی المثال، فإنّه بمدلوله المطابقی لا یقتضی ذلک، نعم اللّازم من بقاء النجاسة فی الثوب هو نجاسة الماء، فإنّه لو کان طاهراً لم تبقَ النجاسة فی الثوب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شیخنا الاستاذ الحائری قدس سره ما ذکره فی ذیل کلامه</w:t>
      </w:r>
      <w:r>
        <w:rPr>
          <w:rStyle w:val="FootnoteAnchor"/>
          <w:rtl w:val="true"/>
        </w:rPr>
        <w:footnoteReference w:id="388"/>
      </w:r>
      <w:r>
        <w:rPr>
          <w:rFonts w:ascii="IRNazanin" w:hAnsi="IRNazanin" w:eastAsia="IRNazanin"/>
          <w:color w:val="111111"/>
          <w:sz w:val="28"/>
          <w:sz w:val="28"/>
          <w:szCs w:val="28"/>
          <w:rtl w:val="true"/>
          <w:lang w:bidi="fa-IR"/>
        </w:rPr>
        <w:t>من اختلاف الرتبة؛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الشکّ السببی علی المسبّبی طبیعیٌّ؛ لأنّ الثانی معلول للأوّل، ففی رتبة وجود الأوّل لم یکن الثانی موجوداً، و إنّما هو فی مرتبة الحکم المترتّب علی الأوّل، فالأوّل فی مرتبة وجوده لیس له معارض أصلًا، فإذا ثبت الحکم فی الأوّل لم یبقَ للثانی موضوع</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المختار هو ما ذکره الشیخ قدس سره فی أواسط کلامه، و أمّا غیره فلا یخلو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فی صدر کلامه، و اختاره المیرزا النائینی، فلأنّ الحکم بطهارة الثوب المغسول بالماء المشکوک طهارته أو کرّیّته، لیس معنیً مطابقیّاً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الشکّ السببی، بل معناه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بطهارة الماء أو کرّیّته، نعم یستلزم ذلک الحکمُ، الحکمَ بطهارة الثوب أیضاً، و حینئذٍ فالمعارضة إنّما هی بین لازم جریان الاستصحاب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بطهارة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لازم جریانه فی المسبّب، و هو نجاسة الثوب، و لا وجه لتقدیم أحدهما علی الآخر، فلأحد أن یقول بجریان الأصلین فی کلّ واحد من الشکّ السببی و المسبّبی، و الحکم بمعناهما المطابقی؛ أی طهارة الماء أو کرّیّته و نجاسة الثوب و طرح لازم جریانه فی الأصل السببی، فهذا</w:t>
      </w:r>
    </w:p>
    <w:p>
      <w:pPr>
        <w:pStyle w:val="BookText"/>
        <w:rPr/>
      </w:pPr>
      <w:r>
        <w:rPr>
          <w:rFonts w:ascii="IRNazanin" w:hAnsi="IRNazanin" w:eastAsia="IRNazanin"/>
          <w:color w:val="111111"/>
          <w:sz w:val="28"/>
          <w:sz w:val="28"/>
          <w:szCs w:val="28"/>
          <w:rtl w:val="true"/>
          <w:lang w:bidi="fa-IR"/>
        </w:rPr>
        <w:t>الوجه غیر وجیه أی طهارة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ذیل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فی 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توقّف فردیّة الشکّ المسبّبی للعامّ علی عدم فردیّة الشکّ السببی له و خروجه عنه، بل لا تتوقّف فردیّة شی‌ء لعامّ إلّا علی وجدانه للعنوان المأخوذ فی موضوع ذلک العامّ و انطباق العامّ علیه، ففردیّة مصداق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تتوقّف إلّا علی تحقّق الیقین السابق و الشکّ اللاحق فیه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التعارض بین حکم الشکّ السببی بمعناه المطابقی و بین حکم الشکّ المسبّبی، بل التعارض إنّما هو بین لازمیهما، فعلی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تقدیم تقیید الإطلاق علی تخصیص العموم، لو دار الأمر بینهما لزم رفع الید عن الإطلاق فی جانب السبب مع إبقاء عمومه علی حاله، و إبقاء المسبّب علی عمومه أیضاً بإبقاء مصداقه الذاتی تحت عمومه، فیحکم بنجاسة الثوب فی المثال و إن کان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تقیید الإطلاق علی تخصیص العامّ عند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ثانیاً 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الإطلاقات و العمومات الشرعیّة منزّلة علی الأفهام العرفیّة، و الرتب العقلیّة غیر ملحوظة فیها، و تقدّم الشکّ السببی علی الشکّ المسبّبی، إنّما هو فی الرُّتبة العقلیّة من حیث العلّیّة و المعلولیّة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الشکّ السببی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طهارة الماء أو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حکم الشکّ المسبّبی، و لازم حکم الشکّ السببی؛ أی طهارة الثوب أو نجاسته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التعارض إنّما هو فی المرتبة الثالثة بین لازم حکم الشکّ السببی و بین حکم</w:t>
      </w:r>
    </w:p>
    <w:p>
      <w:pPr>
        <w:pStyle w:val="BookText"/>
        <w:rPr/>
      </w:pPr>
      <w:r>
        <w:rPr>
          <w:rFonts w:ascii="IRNazanin" w:hAnsi="IRNazanin" w:eastAsia="IRNazanin"/>
          <w:color w:val="111111"/>
          <w:sz w:val="28"/>
          <w:sz w:val="28"/>
          <w:szCs w:val="28"/>
          <w:rtl w:val="true"/>
          <w:lang w:bidi="fa-IR"/>
        </w:rPr>
        <w:t>الشکّ المسبّبی، و هما فی رتبة واحدة لا تقدّم لأحدهما علی الآخر، و لیس التعارض بین حکمی الشکّ السببی و المسبّبی، ففی مورد التعارض 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اختلاف فی الرتبة، و فی مورد الاختلاف فی الرتبة 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الشکّ السببی و حکم الشکّ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لما عرفت من عدم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وجه تقدیم الاستصحاب فی الشکّ السببی علی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منقِّح لموضوع دلیل اجتهادیّ هو حاکم علی الاستصحاب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ما ذکروه فی وجه طهارة الملاقی لبعض أطراف العلم الإجمالی بنجاسة بعض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مسبَّباً و ناشئاً عن الشکّ فی أنّ النجس هو هذا الطرف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الآخر، لکن حیث إنّ الأصل فی جانب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لابتلائه بالمعارضة معه فی الجانب الآخر، فلا مانع من جریانه فی المسبّب؛ أی الملاقی بالکسر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الإشکال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فی جانب السبب إنّما یجری إذا کان هناک دلیل اجتهادیّ ینقَّح موضوعه بهذا الأصل، و یکون هذا الدلیل الاجتهادی حاکماً علی الأصل المسبّبی، و لیس فی المقام کبری کلّیّة فی الأدلّة الشرعیّة کذلک؛ إذ لم یرد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لاقی طاهراً فهو طاهر؛ لینقّح بالاستصحاب فی السبب موضوعها، و إنّما هو حکم عقلیّ منشؤه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ما لاقی نجساً فهو نجس، و مع عدم وجود کبری کلّیّة شرعیّة کذلک، لا یجری الأصل فی جانب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یجری، و یسقط بالمعارضة</w:t>
      </w:r>
      <w:r>
        <w:rPr>
          <w:rFonts w:eastAsia="IRNazanin" w:cs="IRNazanin"/>
          <w:color w:val="111111"/>
          <w:sz w:val="28"/>
          <w:szCs w:val="28"/>
          <w:rtl w:val="true"/>
          <w:lang w:bidi="fa-IR"/>
        </w:rPr>
        <w:t>.</w:t>
      </w:r>
      <w:bookmarkStart w:id="374" w:name="pg12898_148047"/>
    </w:p>
    <w:p>
      <w:pPr>
        <w:pStyle w:val="BookText"/>
        <w:rPr/>
      </w:pPr>
      <w:bookmarkEnd w:id="374"/>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الإشکال المتقدّم فی الصحیحة الاولی لزرارة</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یظهر من بعض 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الجاری هو استصحاب الوضوء، و بعضها الآخر مشعر بأنّه استصحاب عدم النوم، و من الواضح أنّ الشکّ فی بقاء الوضوء مسبّب عن تحقّق النوم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استصحاب الوضوء فقط فهو مخالف 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السببی مقدّم علی الأصل المسبّبی، و لا مجال لجریان الأصل المسبّبی معه، و إن ارید جریانهما معاً، فهو أیضاً مخالف لما تقرّر و ثبت من أنّهما لا یجریان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الجواب عن هذا الإشکال عند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علیه السلام فی هذه الروایة فی مقام بیان الحکم الشرعی و وظیفة الراوی، لا إعمال الصناعة العلمیّة و الدقائق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ممّا ذکرنا هنا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هذا الإشکال رأساً، فإنّ الأصل فی جانب السبب إنّما یقدّم إذا کان هناک کبری شرعیّة ینقّح به موضوعها، و هی مفقودة فی المقام، فإنّه لم یرد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لم یتحقّق النوم فالمکلّف علی وضوء، بل الوارد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و غیره من الأحداث نواقض للوضوء، فما لم یعلم بتحقّقه فالوضوء باقٍ تعبّداً، فالأصل فی جانب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أصلًا لعدم ترتّب الأثر الشرعی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الموضع الثانی</w:t>
      </w:r>
      <w:r>
        <w:rPr>
          <w:rFonts w:eastAsia="IRNazanin" w:cs="IRNazanin"/>
          <w:color w:val="111111"/>
          <w:sz w:val="28"/>
          <w:szCs w:val="28"/>
          <w:rtl w:val="true"/>
          <w:lang w:bidi="fa-IR"/>
        </w:rPr>
        <w:t>:</w:t>
      </w:r>
    </w:p>
    <w:p>
      <w:pPr>
        <w:pStyle w:val="Heading5"/>
        <w:numPr>
          <w:ilvl w:val="4"/>
          <w:numId w:val="1"/>
        </w:numPr>
        <w:rPr/>
      </w:pPr>
      <w:bookmarkStart w:id="375" w:name="__RefHeading___Toc3234942_3224264995"/>
      <w:bookmarkStart w:id="376" w:name="_Toc140"/>
      <w:bookmarkEnd w:id="375"/>
      <w:r>
        <w:rPr>
          <w:rtl w:val="true"/>
        </w:rPr>
        <w:t>حول ما کان الشکّ فیهما ناشئاً عن ثالث</w:t>
      </w:r>
      <w:bookmarkEnd w:id="376"/>
    </w:p>
    <w:p>
      <w:pPr>
        <w:pStyle w:val="Heading6"/>
        <w:numPr>
          <w:ilvl w:val="5"/>
          <w:numId w:val="1"/>
        </w:numPr>
        <w:rPr/>
      </w:pPr>
      <w:bookmarkStart w:id="377" w:name="__RefHeading___Toc3234944_3224264995"/>
      <w:bookmarkStart w:id="378" w:name="_Toc141"/>
      <w:bookmarkEnd w:id="377"/>
      <w:r>
        <w:rPr>
          <w:rtl w:val="true"/>
        </w:rPr>
        <w:t>اشارة</w:t>
      </w:r>
      <w:bookmarkEnd w:id="37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ما لو کان الشکّان فی الاستصحابین مسبّبین عن ثالث، و لم یکن أحدهما</w:t>
      </w:r>
    </w:p>
    <w:p>
      <w:pPr>
        <w:pStyle w:val="BookText"/>
        <w:rPr/>
      </w:pPr>
      <w:r>
        <w:rPr>
          <w:rFonts w:ascii="IRNazanin" w:hAnsi="IRNazanin" w:eastAsia="IRNazanin"/>
          <w:color w:val="111111"/>
          <w:sz w:val="28"/>
          <w:sz w:val="28"/>
          <w:szCs w:val="28"/>
          <w:rtl w:val="true"/>
          <w:lang w:bidi="fa-IR"/>
        </w:rPr>
        <w:t>مسبّباً عن الآخر، کما لو علم بوقوع قطرة من البول فی أحد الإناءین،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یستلزم من جریان الأصلین مخالفة عملیّة قطعیّة للعلم الإجمالی، کاستصحاب طهارة الإناءین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یستلزم ذلک،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یقوم هنا دلیل من إجماع و غیره علی أنّ الحکم فی المورد واحد، کالماء المتمَّم کرّاً مع نجاسة أحدهما و اتّصال أحدهما بالآخر، فإنّ مقتضی الاستصحاب طهارة هذا و نجاسة ذاک، لکن الإجماع قائم علی أنّ حکمهما واحد بالاتّصال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یترتّب علی کلٍّ من المستصحبین أثر شرعیّ، کاستصحاب طهارة أعضاء الوضوء من الخَبَث و بقاء الحَدث فیما إذا توضّأ بمائع مردّد بین البول و الماء، فإنّه لم یقم دلیل علی وحدة الحکم فیه، فیمکن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طهارة البدن من الخبث و بقاء الحدث، و لا یلزم من جریان الاستصحابین مخالفة عملیّة قطعیّة أیضاً، أو یترتّب الأثر الشرعیّ علی أحدهما دون الآخر، کما لو اشتری الوکیل عبداً، و ادّعی الموکِّل أنّه وکّله فی شراء الجاریة دون العبد، فإنّه 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أصالة عدم توکیله لشراء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فضولیّةُ هذا العقد أو بطلانه، بخلاف أصالة عدم توکیله فی شراء الجاریة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القسمین الأخیرین خارجان عن محطّ البحث فی المقام؛ لعدم التعارض بین الاستصحابین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جریان الاستصحاب فیما لیس له أثر شرعیّ، فالاستصحاب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بین الاستصحابین فیه؛ لعدم استلزامهما المخالفة</w:t>
      </w:r>
      <w:bookmarkStart w:id="379" w:name="pg12898_148049"/>
    </w:p>
    <w:p>
      <w:pPr>
        <w:pStyle w:val="BookText"/>
        <w:rPr/>
      </w:pPr>
      <w:bookmarkEnd w:id="379"/>
      <w:r>
        <w:rPr>
          <w:rFonts w:ascii="IRNazanin" w:hAnsi="IRNazanin" w:eastAsia="IRNazanin"/>
          <w:color w:val="111111"/>
          <w:sz w:val="28"/>
          <w:sz w:val="28"/>
          <w:szCs w:val="28"/>
          <w:rtl w:val="true"/>
          <w:lang w:bidi="fa-IR"/>
        </w:rPr>
        <w:t>العملیّة القطعیّة، و عدم الدلیل علی الخلاف، فیحکم بمؤدّاهما فی ظاهر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المقام ممحّض فی القسمین الأوّلین،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ترجیح أحد الاستصحابین فیهما علی الآخر بأحد المرجِّحات، أو لا؟</w:t>
      </w:r>
    </w:p>
    <w:p>
      <w:pPr>
        <w:pStyle w:val="BookText"/>
        <w:rPr/>
      </w:pPr>
      <w:r>
        <w:rPr>
          <w:rFonts w:ascii="IRNazanin" w:hAnsi="IRNazanin" w:eastAsia="IRNazanin"/>
          <w:color w:val="111111"/>
          <w:sz w:val="28"/>
          <w:sz w:val="28"/>
          <w:szCs w:val="28"/>
          <w:rtl w:val="true"/>
          <w:lang w:bidi="fa-IR"/>
        </w:rPr>
        <w:t>و علی فرض عدم الترجیح فمقتضی القواعد هو التساقط أو التخییر؟ وجوه</w:t>
      </w:r>
      <w:r>
        <w:rPr>
          <w:rFonts w:eastAsia="IRNazanin" w:cs="IRNazanin"/>
          <w:color w:val="111111"/>
          <w:sz w:val="28"/>
          <w:szCs w:val="28"/>
          <w:rtl w:val="true"/>
          <w:lang w:bidi="fa-IR"/>
        </w:rPr>
        <w:t>:</w:t>
      </w:r>
    </w:p>
    <w:p>
      <w:pPr>
        <w:pStyle w:val="Heading6"/>
        <w:numPr>
          <w:ilvl w:val="5"/>
          <w:numId w:val="1"/>
        </w:numPr>
        <w:rPr/>
      </w:pPr>
      <w:bookmarkStart w:id="380" w:name="__RefHeading___Toc3234946_3224264995"/>
      <w:bookmarkStart w:id="381" w:name="_Toc142"/>
      <w:bookmarkEnd w:id="380"/>
      <w:r>
        <w:rPr>
          <w:rtl w:val="true"/>
        </w:rPr>
        <w:t>عدم جواز الترجیح لأحد الاستصحابین</w:t>
      </w:r>
      <w:bookmarkEnd w:id="381"/>
    </w:p>
    <w:p>
      <w:pPr>
        <w:pStyle w:val="BookText"/>
        <w:rPr/>
      </w:pPr>
      <w:r>
        <w:rPr>
          <w:rFonts w:ascii="IRNazanin" w:hAnsi="IRNazanin" w:eastAsia="IRNazanin"/>
          <w:color w:val="111111"/>
          <w:sz w:val="28"/>
          <w:sz w:val="28"/>
          <w:szCs w:val="28"/>
          <w:rtl w:val="true"/>
          <w:lang w:bidi="fa-IR"/>
        </w:rPr>
        <w:t>أمّا الکلام فی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وجود مورد یمکن ترجیح أحد الاستصحابین فیه علی الآخر بمزیّة من المزایا؛ لأنّ الترجیح بها یتوقّف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الأصلین فی أنفسهما فی أطراف العلم الإجمالی، کما أنّ الترجیح فی الأمارات و الأدلّة أیضاً یتوقّف علی حجّیّتهما فی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المزیّة مع ذیها و الطرف الآخر المعارض فی التحقّق، و إلّا فلو لم یمکن اجتماعها معهما أو مع أحدهما، فلا یمکن الترجیح بها، کما لو کانت المزیّة ممّا ینعدم بوجود ذی المزیّة أو الطرف الآخر أو بالعکس؛ لأجل حکومتها علیه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مضمونهما فلو اختلفا بأن یکون أحدهما طریقاً إلی الواقع، و مؤدّی الآخر حکماً ظاهریّاً، فلا یمکن الترجیح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اشتراط الأمر الثانی و الثالث المذکورین ینتفی الترجیح بجُلّ المرجّحات أو کلّها فی المقام؛ و ذلک لأنّ ترجیح أحد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بالأمارات و الأدلّة الاجتهادیّة، أو بالأُصول الشرعیّة، أو العقلیّة المعتبرة، أو الظنّ الغیر المعتبر شرعاً، کالقیاس و خبر الواحد فی الموضوعات؛ بناء علی عدم حجّیّته فیها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الأدلّة الاجتهادیّة فمع وجودها لا مجال لجریان الاستصحاب؛ لحکومتها علیه، کما لو قامت البیّنة علی أنّ الطاهر من الإناءین هو هذا الطرف من أطراف العلم الإجمالی بنجاسة أحدها، فلا یجری واحد من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الاستصحاب الموافق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فلانتفائه بقیام البیّنة و الدلیل، و عدم اجتماعهما فی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المخالف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 تلک البیّنة أو الدلیل الاجتهادی أنّ النجس هو الطرف الآخر، و یثبت بها ذلک لحجّیّة مثبتات الأمارات و الأدلّة الاجتهادیّة، فهی حاکمة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الاصول الشرعیّة المقدّمة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کقاعدتی الفراغ و التجاوز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فیها و نسبتها إلی الاستصحاب، هو الکلام بعینه فی الأدلّة الاجتهادیّة و نسبتها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بالأصل الشرعی فیکون الاستصحاب مقدّماً علیه، کأصالة البراءة و الحلّیّة و نحوهما، فلا یمکن الترجیح بها أیضاً؛ لحکومة الاستصحاب علیها و لعدم تحقّقها و جریانها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العقلیّة، کأصالة البراءة العقلیّة و أصالة الصحّة و نحوهما، فالاستصحاب حاکم علیها أیضاً، فلا یجتمعان فی التحقّق و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الغیر المعتبر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التعبّد بالبناء العملی علی بقاء الیقین، فهو أیضاً کذلک لا یمکن ترجیح أحد الاستصحابین به؛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رتبتهما؛ بحیث لا یجتمعان فی التحقّق؛ لأخذ الشکّ فی موضوع الاستصحاب، بخلاف الظنّ، فإنّه طریق إلی الواقع و إن لم یکن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مضمونهما و مفادهما؛ حیث إنّ الظنّ و إن کان غیر معتبر، لکن مؤدّاه بیان الواقع، بخلاف الاستصحاب علی هذا التقدیر، فإنّ مؤدّاه هو الحکم الظاهری و الوظیفة العملیّة، فلا یمکن الترجیح به أیضاً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أصل محرِز للواقع، فالحقّ إمکان ترجیح أحدهما به؛ لاعتضاد الاستصحاب الموافق له و تقویته به؛ لاجتماعهما فی التحقّق و اتّحاد مضمونها</w:t>
      </w:r>
      <w:r>
        <w:rPr>
          <w:rFonts w:eastAsia="IRNazanin" w:cs="IRNazanin"/>
          <w:color w:val="111111"/>
          <w:sz w:val="28"/>
          <w:szCs w:val="28"/>
          <w:rtl w:val="true"/>
          <w:lang w:bidi="fa-IR"/>
        </w:rPr>
        <w:t>.</w:t>
      </w:r>
      <w:bookmarkStart w:id="382" w:name="pg12898_148051"/>
    </w:p>
    <w:p>
      <w:pPr>
        <w:pStyle w:val="BookText"/>
        <w:rPr/>
      </w:pPr>
      <w:bookmarkEnd w:id="382"/>
      <w:r>
        <w:rPr>
          <w:rFonts w:ascii="IRNazanin" w:hAnsi="IRNazanin" w:eastAsia="IRNazanin"/>
          <w:color w:val="111111"/>
          <w:sz w:val="28"/>
          <w:sz w:val="28"/>
          <w:szCs w:val="28"/>
          <w:rtl w:val="true"/>
          <w:lang w:bidi="fa-IR"/>
        </w:rPr>
        <w:t>و من هنا یظهر الإشکال فیما اختاره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الترجیح به، مع أنّ الاستصحاب عنده قدس سره من الاصول المحرِزة</w:t>
      </w:r>
      <w:r>
        <w:rPr>
          <w:rStyle w:val="FootnoteAnchor"/>
          <w:rtl w:val="true"/>
        </w:rPr>
        <w:footnoteReference w:id="393"/>
      </w:r>
      <w:r>
        <w:rPr>
          <w:rFonts w:ascii="IRNazanin" w:hAnsi="IRNazanin" w:eastAsia="IRNazanin"/>
          <w:color w:val="111111"/>
          <w:sz w:val="28"/>
          <w:sz w:val="28"/>
          <w:szCs w:val="28"/>
          <w:rtl w:val="true"/>
          <w:lang w:bidi="fa-IR"/>
        </w:rPr>
        <w:t>، مضافاً إلی المناقضة بین کلماته؛ حیث إنّه ذهب إلی عدم جریان الاستصحاب فی أطراف العلم الإجمالی مطلقاً؛ و إن لم یستلزم المخالفة العملیّة، و أنّه کیف یُعقل التعبّد بطهارة کلّ واحد من الإناءین مع العلم الإجمالی بنجاسة أحدهما؟</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فإنّه مناقض لما اختاره هنا من عدم ترجیح أحدهما بالظنّ فی المقام، فإنّه لا وجه له إلّا اختلافهما فی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مثل العلم فی أنّه طریق إلی الواقع، فإنّ مفاده بیان الواقع، غایة الأمر أنّ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العلم کاشف تامّ، و الظنّ ناقص، فعدم جریان الاستصحاب فی أطراف العلم الإجمالی، إنّما هو لأجل مخالفة أحد الاستصحابین للعلم الإجمالی؛ لأنّ الاستصحاب عنده قدس سره من الاصول المحرِزة، و الظنّ مثل العلم فی ذلک؛ أی فی مخالفته لأحد الأصلین، و لازم ذلک ترجیح الأصل الموافق له به؛ لاعتضاده و تقویته به و اتّحاد مضمونیهما، فما ذهب إلیه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ترجیح أحدهما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الأصل فی أطراف العلم الإجمالی أصلًا لأجل المناقضة بینهما، لکن الکلام فی مناقضة العلم الإجمالی للاستصحاب فی الأطراف، فإنّه محلّ إشکال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لأحد الاستصحابین غیر ممکن</w:t>
      </w:r>
      <w:r>
        <w:rPr>
          <w:rFonts w:eastAsia="IRNazanin" w:cs="IRNazanin"/>
          <w:color w:val="111111"/>
          <w:sz w:val="28"/>
          <w:szCs w:val="28"/>
          <w:rtl w:val="true"/>
          <w:lang w:bidi="fa-IR"/>
        </w:rPr>
        <w:t>.</w:t>
      </w:r>
    </w:p>
    <w:p>
      <w:pPr>
        <w:pStyle w:val="Heading6"/>
        <w:numPr>
          <w:ilvl w:val="5"/>
          <w:numId w:val="1"/>
        </w:numPr>
        <w:rPr/>
      </w:pPr>
      <w:bookmarkStart w:id="383" w:name="__RefHeading___Toc3234948_3224264995"/>
      <w:bookmarkStart w:id="384" w:name="_Toc143"/>
      <w:bookmarkEnd w:id="383"/>
      <w:r>
        <w:rPr>
          <w:rtl w:val="true"/>
        </w:rPr>
        <w:t>بیان وجه تساقطهما</w:t>
      </w:r>
      <w:bookmarkEnd w:id="38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هو تساقط الاستصحابین لا التخییر؛</w:t>
      </w:r>
      <w:bookmarkStart w:id="385" w:name="pg12898_148052"/>
    </w:p>
    <w:p>
      <w:pPr>
        <w:pStyle w:val="BookText"/>
        <w:rPr/>
      </w:pPr>
      <w:bookmarkEnd w:id="385"/>
      <w:r>
        <w:rPr>
          <w:rFonts w:ascii="IRNazanin" w:hAnsi="IRNazanin" w:eastAsia="IRNazanin"/>
          <w:color w:val="111111"/>
          <w:sz w:val="28"/>
          <w:sz w:val="28"/>
          <w:szCs w:val="28"/>
          <w:rtl w:val="true"/>
          <w:lang w:bidi="fa-IR"/>
        </w:rPr>
        <w:t>لأنّه لیس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مفادان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حرمة نقض هذا الفرد بعینه و ذاک الفرد بعینه، و ثانیهما حرمة النقض فی أحدهما تخییراً، بل لیس له إلّا مفاد واحد، و هو النهی عن نقض الیقین بالشکّ و حرمته، و لا دلالة له علی الحکم التخییری، و الفرد المردّد لیس مصداقاً علی حِدة سوی سائر المصادیق، فمع العلم بمخالفة أحد الأصلین للواقع، مع عدم الترجیح فی البین، لا بدّ من تساقطهما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3234950_3224264995"/>
      <w:bookmarkStart w:id="387" w:name="_Toc144"/>
      <w:bookmarkEnd w:id="386"/>
      <w:r>
        <w:rPr>
          <w:rtl w:val="true"/>
        </w:rPr>
        <w:t>حول وجهی التخییر و الجواب عنهما</w:t>
      </w:r>
      <w:bookmarkEnd w:id="387"/>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هنا التخییر بینهما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سائر العمومات،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أنّه مع إمکان الامتثال فی جمیع الأفراد یجب الجمع بینها؛ لوجود الملاک فی کلّ واحد منها، و مع تعذّر الجمع بین الأفراد یسقط عموم هذا العامّ، لکن کما یستکشف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تخییریّ بوجوب إنقاذ هذا أو ذاک؛ لإمکان إنقاذ أحدهما مع تحقّق الملاک فی کلّ واحد منهما، کذلک یستکشف فیما نحن فیه حکم شرعیّ تخییریّ بحرمة نقض الیقین بالشکّ إمّا فی هذا المصداق أو ذاک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حیث إنّ الملاک لوجوب الإنقاذ متحقّق فی إنقاذ کلّ واحد من الغریقین فعلًا، فالمقتضی لوجوبه فی کلّ واحد من الغریقین موجود بالفعل، فمع تعذّر الجمع بینهما یستکشف خطاب شرعیّ تخییریّ، بعد فرض تمکُّنه من إنقاذ أحدهما و بقاء الملاک، بخلاف ما نحن فیه، فإنّ المقتضی لحرمة نقض الیقین، و إن کان موجوداً فی کلّ واحد</w:t>
      </w:r>
    </w:p>
    <w:p>
      <w:pPr>
        <w:pStyle w:val="BookText"/>
        <w:rPr/>
      </w:pPr>
      <w:r>
        <w:rPr>
          <w:rFonts w:ascii="IRNazanin" w:hAnsi="IRNazanin" w:eastAsia="IRNazanin"/>
          <w:color w:val="111111"/>
          <w:sz w:val="28"/>
          <w:sz w:val="28"/>
          <w:szCs w:val="28"/>
          <w:rtl w:val="true"/>
          <w:lang w:bidi="fa-IR"/>
        </w:rPr>
        <w:t>من أطراف العلم الإجمالی، لکن المفروض أنّ التکلیف الواقعی المعلوم بالإجمال أیضاً یقتضی موافقته و امتثاله، و مع احتمال أقوائیّة اقتضائه من اقتضاء ما فی کلّ واحد من أطرافه من ملاک الاستصحاب، لا یستکشف الخطاب الشرعی التخییری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لیس للاستصحاب ملاک ذاتیّ نفسیّ یقتضی حرمة نقض الیقین، کسائر المحرّمات کحرمة شرب الخمر و نحوها من الأحکام الفرعیّة، بل هو قاعدة اصولیّة جعل التعبّد به لمراعاة الواقع و حفظه، کما فی وجوب الاحتیاط فی الأعراض و النفوس، بل نعلم بعدم الملاک فی أحد طرفی العلم الإجمالی لحرمة النقض واقعاً؛ للعلم الإجمالی بمخالفة أحدهما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أفرادیّاً بالنسبة إلی أفراد الیقین و الشکّ و مصادیقه الذاتیّة، و إطلاقاً أحوالیّاً؛ بمعنی أنّ کلّ واحد من المصادیق محکوم بحرمة النقض؛ سواء نُقض الیقین بالشکّ فی المصداق الآخر أم لا، و التعارض بینهما ناشٍ عن الإطلاق المذکور؛ لأنّه لو رفع الید عنه، و قُیِّدت حرمة النقض فی کلّ واحد من الطرفین بصورة جواز انتقاض الیقین بالشکّ فی الطرف الآخر، لم یلزم منه محذور المناقضة، فترفع الید عن الإطلاق، و حینئذٍ یصیر مفاده حرمة نقض الیقین بالشکّ فی کلّ واحد من أفراد العام مخیّراً بینها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عامّاً له أفراد و مصادیق، بل مفاده الحکم بحرمة نقض طبیعة الیقین بطبیعة الشکّ، و أنّهما تمام الموضوع للحکم بدون قید له، فلا إطلاق أحوالیّ له؛ لتوقّفه علی أن یکون عامّاً له مصادیق و أفراد، یحکم فیه بحرمة نقض الیقین فی کلّ واحد من الأفراد؛ سواء انتقض فی الفرد الآخر أم لا، و لیس کذلک، بل هو مطلق، و علیه فلا یتمّ البیان المذکور للتخییر، و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الموضوع فی المطلق هو نفس الطبیعة، و هی عین الأفراد فی الخارج، مثل طبیعة البیع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یراد من الإطلاق الأحوالیّ لحاظ أنّه سواء کان کذا أو کذا، بل یراد أنّ معناه أنّ تمام الموضوع للحکم بحرمة النقض هو طبیعة الیقین و الشکّ، و محذور المخالفة إنّما یلزم من عدم تقییده عقلًا، و أمّا مع حکم العقل بتقیید الإطلاق المذکور فلا یلزم ذلک، فیقیّد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تعارض الاستصحابین</w:t>
      </w:r>
      <w:r>
        <w:rPr>
          <w:rFonts w:eastAsia="IRNazanin" w:cs="IRNazanin"/>
          <w:color w:val="111111"/>
          <w:sz w:val="28"/>
          <w:szCs w:val="28"/>
          <w:rtl w:val="true"/>
          <w:lang w:bidi="fa-IR"/>
        </w:rPr>
        <w:t>.</w:t>
      </w:r>
      <w:bookmarkStart w:id="388" w:name="pg12898_148055"/>
    </w:p>
    <w:p>
      <w:pPr>
        <w:pStyle w:val="Heading4"/>
        <w:numPr>
          <w:ilvl w:val="3"/>
          <w:numId w:val="1"/>
        </w:numPr>
        <w:rPr/>
      </w:pPr>
      <w:bookmarkStart w:id="389" w:name="__RefHeading___Toc3234952_3224264995"/>
      <w:bookmarkStart w:id="390" w:name="_Toc145"/>
      <w:bookmarkEnd w:id="388"/>
      <w:bookmarkEnd w:id="389"/>
      <w:r>
        <w:rPr>
          <w:rtl w:val="true"/>
        </w:rPr>
        <w:t>المقام الرابع فی تعارض الاستصحاب مع سائر القواعد</w:t>
      </w:r>
      <w:bookmarkEnd w:id="390"/>
    </w:p>
    <w:p>
      <w:pPr>
        <w:pStyle w:val="Heading5"/>
        <w:numPr>
          <w:ilvl w:val="4"/>
          <w:numId w:val="1"/>
        </w:numPr>
        <w:rPr/>
      </w:pPr>
      <w:bookmarkStart w:id="391" w:name="__RefHeading___Toc3234954_3224264995"/>
      <w:bookmarkStart w:id="392" w:name="_Toc146"/>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و البحث فی نفس تلک القواعد؛ لأنّها فی نفسها من القواعد الفرعیّة المهمّة التی لها فوائد کثیرة و فروعات خطیرة؛ لعدم وقوع البحث عنها فی غیر هذا المقام و إن کان خارجاً عن المباحث الاصولیّة، ثمّ بیان حالها مع الاستصحاب؛ لا بنحو الإجمال المخلّ، و لا التفصیل الموجب للملال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فیها فی مباحث</w:t>
      </w:r>
      <w:r>
        <w:rPr>
          <w:rFonts w:eastAsia="IRNazanin" w:cs="IRNazanin"/>
          <w:color w:val="111111"/>
          <w:sz w:val="28"/>
          <w:szCs w:val="28"/>
          <w:rtl w:val="true"/>
          <w:lang w:bidi="fa-IR"/>
        </w:rPr>
        <w:t>:</w:t>
      </w:r>
      <w:bookmarkStart w:id="393" w:name="pg12898_148056"/>
    </w:p>
    <w:p>
      <w:pPr>
        <w:pStyle w:val="Heading5"/>
        <w:numPr>
          <w:ilvl w:val="4"/>
          <w:numId w:val="1"/>
        </w:numPr>
        <w:rPr/>
      </w:pPr>
      <w:bookmarkStart w:id="394" w:name="__RefHeading___Toc3234956_3224264995"/>
      <w:bookmarkStart w:id="395" w:name="_Toc147"/>
      <w:bookmarkEnd w:id="393"/>
      <w:bookmarkEnd w:id="394"/>
      <w:r>
        <w:rPr>
          <w:rtl w:val="true"/>
        </w:rPr>
        <w:t>المبحث الأوّل فی قاعدة الید و الکلام فیها فی امور</w:t>
      </w:r>
      <w:r>
        <w:rPr>
          <w:rtl w:val="true"/>
        </w:rPr>
        <w:t>:</w:t>
      </w:r>
      <w:bookmarkEnd w:id="395"/>
    </w:p>
    <w:p>
      <w:pPr>
        <w:pStyle w:val="Heading6"/>
        <w:numPr>
          <w:ilvl w:val="5"/>
          <w:numId w:val="1"/>
        </w:numPr>
        <w:rPr/>
      </w:pPr>
      <w:bookmarkStart w:id="396" w:name="__RefHeading___Toc3234958_3224264995"/>
      <w:bookmarkStart w:id="397" w:name="_Toc148"/>
      <w:bookmarkEnd w:id="396"/>
      <w:r>
        <w:rPr>
          <w:rtl w:val="true"/>
        </w:rPr>
        <w:t>الأمر الأوّل</w:t>
      </w:r>
      <w:r>
        <w:rPr>
          <w:rtl w:val="true"/>
        </w:rPr>
        <w:t xml:space="preserve">: </w:t>
      </w:r>
      <w:r>
        <w:rPr>
          <w:rtl w:val="true"/>
        </w:rPr>
        <w:t>فی تحقیق معناها</w:t>
      </w:r>
      <w:bookmarkEnd w:id="397"/>
    </w:p>
    <w:p>
      <w:pPr>
        <w:pStyle w:val="BookText"/>
        <w:rPr/>
      </w:pPr>
      <w:r>
        <w:rPr>
          <w:rFonts w:ascii="IRNazanin" w:hAnsi="IRNazanin" w:eastAsia="IRNazanin"/>
          <w:color w:val="111111"/>
          <w:sz w:val="28"/>
          <w:sz w:val="28"/>
          <w:szCs w:val="28"/>
          <w:rtl w:val="true"/>
          <w:lang w:bidi="fa-IR"/>
        </w:rPr>
        <w:t>و هی عبارة عن نحوٍ من السلطنة و الاستیلاء الاعتباری لا الحقیقیّ، و منشأ انتزاع هذا الأمر الاعتباریّ مختلف؛ لأنّه إمّا لأجل مالکیّة ذی الید لشی‌ء لابس له، کالثوب من القمیص و العمامة و الرداء الذی لبسه فعلًا، فإنّ له الاستیلاء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لمالکیّته للأراضی و العقار و نحوها؛ بحیث یتوقّف تصرّف غیره فیه علی إذنه، حتّی فی مثل الدخول فیه و العبور علیه، و إمّا باعتبار مالکیّته للهواء المسامت لملکه، فإنّه نحو ملکیّة اخری غیر السابقة، و لذا لا یتوقّف بعض تصرّفات الغیر فیه علی إذنه، کعبور المراکب الجویّة کالطیّارات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باعتبار مالکیّة أهل القریة لمراتعها و مرافقها فإنّها نحو آخر من الملکیّة، لا یتوقّف بعض تصرّفات غیر أهل القریة فیها علی إذن 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رعیُ غیر أرباب القریة أغنامهم فیها یتوقّف علی إذنهم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باعتبار مالکیّة خاصّة اخری سوی المتقدّمة کمالکیّة السلطان لمملکته، و لا یتوقّف جمیع تصرّفات غیره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العبور فی 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إذن سلطانها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 ذلک الأمر الاعتباریّ مختلف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هذا المعنی للید معنیً حقیقیّ لها، أو مجازیّ، و معناها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الید بمعنی الجارحة المخصوصة، فلا یهمّنا التعرّض له بعد وضوح المراد منها فی المقام</w:t>
      </w:r>
      <w:r>
        <w:rPr>
          <w:rFonts w:eastAsia="IRNazanin" w:cs="IRNazanin"/>
          <w:color w:val="111111"/>
          <w:sz w:val="28"/>
          <w:szCs w:val="28"/>
          <w:rtl w:val="true"/>
          <w:lang w:bidi="fa-IR"/>
        </w:rPr>
        <w:t>.</w:t>
      </w:r>
      <w:bookmarkStart w:id="398" w:name="pg12898_148057"/>
    </w:p>
    <w:p>
      <w:pPr>
        <w:pStyle w:val="Heading6"/>
        <w:numPr>
          <w:ilvl w:val="5"/>
          <w:numId w:val="1"/>
        </w:numPr>
        <w:rPr/>
      </w:pPr>
      <w:bookmarkStart w:id="399" w:name="__RefHeading___Toc3234960_3224264995"/>
      <w:bookmarkStart w:id="400" w:name="_Toc149"/>
      <w:bookmarkEnd w:id="398"/>
      <w:bookmarkEnd w:id="399"/>
      <w:r>
        <w:rPr>
          <w:rtl w:val="true"/>
        </w:rPr>
        <w:t>الأمر الثانی</w:t>
      </w:r>
      <w:r>
        <w:rPr>
          <w:rtl w:val="true"/>
        </w:rPr>
        <w:t xml:space="preserve">: </w:t>
      </w:r>
      <w:r>
        <w:rPr>
          <w:rtl w:val="true"/>
        </w:rPr>
        <w:t>فی أنّ الید من الأمارات العقلائیّة</w:t>
      </w:r>
      <w:bookmarkEnd w:id="400"/>
    </w:p>
    <w:p>
      <w:pPr>
        <w:pStyle w:val="BookText"/>
        <w:rPr/>
      </w:pPr>
      <w:r>
        <w:rPr>
          <w:rFonts w:ascii="IRNazanin" w:hAnsi="IRNazanin" w:eastAsia="IRNazanin"/>
          <w:color w:val="111111"/>
          <w:sz w:val="28"/>
          <w:sz w:val="28"/>
          <w:szCs w:val="28"/>
          <w:rtl w:val="true"/>
          <w:lang w:bidi="fa-IR"/>
        </w:rPr>
        <w:t>لا ریب فی أنّ الید من الأمارات العقلائیّة، لا الاصول العقلائیّة، کأصالة الصحّة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الاصول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استقرّ بناؤهم علی العمل بها تعبّداً بجعل منهم؛ لتوقّف بقائهم و بقاء نظامهم و معاشهم و نظام العالم علیها، لکن لا ریب فی أنّ بناء العقلاء فی الاعتماد علی الید إنّما هو لأنّها طریق إلی الواقع عندهم، و أنّ ما بید کلّ شخص ملک له؛ بحیث لا یلتفتون إلی احتمال خلافه، إلّا مع قیام البیّنة علیه، بل لیس فیما بین الأمارات ما هو بمثابتها فی اعتماد جمیع العقلاء علیها؛ من جمیع أرباب الملل و الأدیان و غیرهم فی جمیع الأعصار و الأمصار، حتّی قبل ظهور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تکون فی الابتداء أصلًا من الاصول العقلائیّة و بناء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ابتداء خلقته و تمدّنه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العمل بها تعبّداً؛ لعلّة عدم بقاء نظامهم و معاشهم بدونها من دون أن یکون لها أماریّة عندهم للواقع، لکنّه مجرّد احتمال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کونها کذلک فی الابتداء، فلا ریب فی أنّها فی هذه الأعصار أمارة علی الملکیّة و الواقعیّة عندهم، بل و کذلک فی الأعصار السابقة علی الإسلام أیضاً؛ من غیر فرق بین أن یکون منشأ اعتمادهم علیها إفادتها الظنّ النوعیّ، أو لغلبة مصادفتها للواقع، أو لبنائهم علی العمل بها تعبّداً، بل المنشأ فی ذلک غیر معلوم، لا فیها و لا فی سائر الأمارات العقلائیّة، و لا حاجة إلی معرفة ذلک</w:t>
      </w:r>
      <w:r>
        <w:rPr>
          <w:rFonts w:eastAsia="IRNazanin" w:cs="IRNazanin"/>
          <w:color w:val="111111"/>
          <w:sz w:val="28"/>
          <w:szCs w:val="28"/>
          <w:rtl w:val="true"/>
          <w:lang w:bidi="fa-IR"/>
        </w:rPr>
        <w:t>.</w:t>
      </w:r>
    </w:p>
    <w:p>
      <w:pPr>
        <w:pStyle w:val="Heading6"/>
        <w:numPr>
          <w:ilvl w:val="5"/>
          <w:numId w:val="1"/>
        </w:numPr>
        <w:rPr/>
      </w:pPr>
      <w:bookmarkStart w:id="401" w:name="__RefHeading___Toc3234962_3224264995"/>
      <w:bookmarkStart w:id="402" w:name="_Toc150"/>
      <w:bookmarkEnd w:id="401"/>
      <w:r>
        <w:rPr>
          <w:rtl w:val="true"/>
        </w:rPr>
        <w:t>الأمر الثالث</w:t>
      </w:r>
      <w:r>
        <w:rPr>
          <w:rtl w:val="true"/>
        </w:rPr>
        <w:t xml:space="preserve">: </w:t>
      </w:r>
      <w:r>
        <w:rPr>
          <w:rtl w:val="true"/>
        </w:rPr>
        <w:t>فی الأخبار الواردة فیها</w:t>
      </w:r>
      <w:bookmarkEnd w:id="402"/>
    </w:p>
    <w:p>
      <w:pPr>
        <w:pStyle w:val="BookText"/>
        <w:rPr/>
      </w:pPr>
      <w:r>
        <w:rPr>
          <w:rFonts w:ascii="IRNazanin" w:hAnsi="IRNazanin" w:eastAsia="IRNazanin"/>
          <w:color w:val="111111"/>
          <w:sz w:val="28"/>
          <w:sz w:val="28"/>
          <w:szCs w:val="28"/>
          <w:rtl w:val="true"/>
          <w:lang w:bidi="fa-IR"/>
        </w:rPr>
        <w:t>و هی علی ثلاث طوائف</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 علی أنّها من الأمارات، و أنّها قاعدة 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مجرّد ترتیب آثار الملکیّة علیها من دون أن تدلّ علی أماریّتها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بعضهم علی أنّها أصل لا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w:t>
      </w:r>
      <w:r>
        <w:rPr>
          <w:rStyle w:val="FootnoteAnchor"/>
          <w:rtl w:val="true"/>
        </w:rPr>
        <w:footnoteReference w:id="399"/>
      </w:r>
      <w:r>
        <w:rPr>
          <w:rFonts w:ascii="IRNazanin" w:hAnsi="IRNazanin" w:eastAsia="IRNazanin"/>
          <w:color w:val="111111"/>
          <w:sz w:val="28"/>
          <w:sz w:val="28"/>
          <w:szCs w:val="28"/>
          <w:rtl w:val="true"/>
          <w:lang w:bidi="fa-IR"/>
        </w:rPr>
        <w:t>الشیخ قدس سره بإسناده عن علیّ بن الحسن، عن محمّد بن الولید، عن یونس بن یعقوب،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تموت قبل الرجل، أو رجل قبل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متاع النساء فهو للمرأة، و ما کان من متاع الرجال و النساء فهو بینهما، و من استولی علی شی‌ء منه فهو له</w:t>
      </w:r>
      <w:r>
        <w:rPr>
          <w:rFonts w:eastAsia="IRNazanin" w:cs="IRNazanin"/>
          <w:color w:val="111111"/>
          <w:sz w:val="28"/>
          <w:szCs w:val="28"/>
          <w:rtl w:val="true"/>
          <w:lang w:bidi="fa-IR"/>
        </w:rPr>
        <w:t>)</w:t>
      </w:r>
    </w:p>
    <w:p>
      <w:pPr>
        <w:pStyle w:val="BookText"/>
        <w:rPr/>
      </w:pP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هذه الروایة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أمارة؛ حیث إنّ کون الشی‌ء من متاع النساء أمارةٌ علی الید، و هی أمارة علی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قاعدة کلّیّة؛ لدلالتها علی أنّ کلّ من استولی علی شی‌ء فهو له، و دلالتها علی الکلّیّة أقوی من دلالة روایة زرارة</w:t>
      </w:r>
      <w:r>
        <w:rPr>
          <w:rStyle w:val="FootnoteAnchor"/>
          <w:rtl w:val="true"/>
        </w:rPr>
        <w:footnoteReference w:id="401"/>
      </w:r>
      <w:r>
        <w:rPr>
          <w:rFonts w:ascii="IRNazanin" w:hAnsi="IRNazanin" w:eastAsia="IRNazanin"/>
          <w:color w:val="111111"/>
          <w:sz w:val="28"/>
          <w:sz w:val="28"/>
          <w:szCs w:val="28"/>
          <w:rtl w:val="true"/>
          <w:lang w:bidi="fa-IR"/>
        </w:rPr>
        <w:t>علی کلّیّة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محمّد بن یعقوب عن علیّ، عن أبیه، عن ابن محبوب، عن العلاء بن رزین،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الدار یوجد</w:t>
      </w:r>
    </w:p>
    <w:p>
      <w:pPr>
        <w:pStyle w:val="BookText"/>
        <w:rPr/>
      </w:pPr>
      <w:r>
        <w:rPr>
          <w:rFonts w:ascii="Amiri" w:hAnsi="Amiri" w:eastAsia="Amiri" w:cs="Amiri"/>
          <w:color w:val="111111"/>
          <w:sz w:val="28"/>
          <w:sz w:val="28"/>
          <w:szCs w:val="28"/>
          <w:rtl w:val="true"/>
          <w:lang w:bidi="ar-SA"/>
        </w:rPr>
        <w:t>فیه الوَرِق؟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معمورة فیها أهلها فهی لهم، و إن کان خَرِبة قد جلا عنها أهلها، فالذی وجد المال فهو أحقّ</w:t>
      </w:r>
      <w:r>
        <w:rPr>
          <w:rFonts w:eastAsia="IRNazanin" w:cs="IRNazanin"/>
          <w:color w:val="111111"/>
          <w:sz w:val="28"/>
          <w:szCs w:val="28"/>
          <w:rtl w:val="true"/>
          <w:lang w:bidi="fa-IR"/>
        </w:rPr>
        <w:t>)</w:t>
      </w:r>
    </w:p>
    <w:p>
      <w:pPr>
        <w:pStyle w:val="BookText"/>
        <w:rPr/>
      </w:pP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روایته الاخری</w:t>
      </w:r>
      <w:r>
        <w:rPr>
          <w:rStyle w:val="FootnoteAnchor"/>
          <w:rtl w:val="true"/>
        </w:rPr>
        <w:footnoteReference w:id="403"/>
      </w:r>
      <w:r>
        <w:rPr>
          <w:rFonts w:ascii="IRNazanin" w:hAnsi="IRNazanin" w:eastAsia="IRNazanin"/>
          <w:color w:val="111111"/>
          <w:sz w:val="28"/>
          <w:sz w:val="28"/>
          <w:szCs w:val="28"/>
          <w:rtl w:val="true"/>
          <w:lang w:bidi="fa-IR"/>
        </w:rPr>
        <w:t>، بل و روایة دعائم الإسلام</w:t>
      </w:r>
      <w:r>
        <w:rPr>
          <w:rStyle w:val="FootnoteAnchor"/>
          <w:rtl w:val="true"/>
        </w:rPr>
        <w:footnoteReference w:id="404"/>
      </w:r>
      <w:r>
        <w:rPr>
          <w:rFonts w:ascii="IRNazanin" w:hAnsi="IRNazanin" w:eastAsia="IRNazanin"/>
          <w:color w:val="111111"/>
          <w:sz w:val="28"/>
          <w:sz w:val="28"/>
          <w:szCs w:val="28"/>
          <w:rtl w:val="true"/>
          <w:lang w:bidi="fa-IR"/>
        </w:rPr>
        <w:t>فی المستدرک</w:t>
      </w:r>
      <w:r>
        <w:rPr>
          <w:rStyle w:val="FootnoteAnchor"/>
          <w:rtl w:val="true"/>
        </w:rPr>
        <w:footnoteReference w:id="405"/>
      </w:r>
      <w:r>
        <w:rPr>
          <w:rFonts w:ascii="IRNazanin" w:hAnsi="IRNazanin" w:eastAsia="IRNazanin"/>
          <w:color w:val="111111"/>
          <w:sz w:val="28"/>
          <w:sz w:val="28"/>
          <w:szCs w:val="28"/>
          <w:rtl w:val="true"/>
          <w:lang w:bidi="fa-IR"/>
        </w:rPr>
        <w:t>فی أبواب اللُّقَطَة، فإنّ الظاهر أنّ هذه الثلاثة روایة واحدة، و هی مع صحّة سندها تدلّ علی أماریّة الید، و أنّها قاعدة کلّیّة؛ لعدم خصوصیّة البیت و الوَرِق فی ذلک عرفاً، بل 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الحکم بملکیّة صاحب الدار و البیت، کونه صاحبهم ذا ید و استیلاء علیه، و أنّه تمام الموضوع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قدس سره، عن علیّ بن إبراهیم، عن أبیه، و عن محمّد بن إسماعیل، عن الفضل بن شاذان جمیعاً، عن ابن أبی عمیر،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یقضی ابن أبی لیلی بالقضاء ثمّ یرجع عنه؟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قضی فی متاع الرجل و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قضی بقضاء بعد ذلک لو لا أنّی شهدته لم أروِهِ عنه، ماتت امرأة منّا، و لها زوج، و ترکت متاعاً، فرفعته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المتاع؟ فلمّا قرأه 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للرجال و المرأة، فقد جعلناه للمرأة، إلّا المیزان، فإنّه من متاع الرجل، فهو 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أیّ شی‌ء هو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أن قال بقول إبراهیم النخعی؛ أن جعل البیت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سألته علیه السلام عن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فیه؟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الذی أخبرتنی أنّک شهدته و إن کان قد 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المتاع للمرأة؟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إن أقامت بیّنة إلی کم کانت تحتاج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سألت مَن بین لابتَیْها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الجبلین، و نحن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لأخبروک أنّ الجهاز و المتاع یُهدی علانیة من بیت المرأة إلی بیت زوجها، فهی التی جاءت به، و هذا المدّعی، فإن زعم أنّه أحدث فیه شیئاً فلْیأتِ علیه البیّنة</w:t>
      </w:r>
      <w:r>
        <w:rPr>
          <w:rFonts w:eastAsia="IRNazanin" w:cs="IRNazanin"/>
          <w:color w:val="111111"/>
          <w:sz w:val="28"/>
          <w:szCs w:val="28"/>
          <w:rtl w:val="true"/>
          <w:lang w:bidi="fa-IR"/>
        </w:rPr>
        <w:t>)</w:t>
      </w:r>
    </w:p>
    <w:p>
      <w:pPr>
        <w:pStyle w:val="BookText"/>
        <w:rPr/>
      </w:pP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تدلّ علی أنّ الید أمارة الملکیّة، و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متاع البیت للمرأة إنّما هو لاستیلائها علیه، و لیعلم أنّ المراد من الحکم بأنّ المال لذی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و غیرها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یحکم بذلک القاضی عند القضاء، إلّا أنّ یقیم غیره البیّنة،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عدّة من أصحابنا، عن سهل بن زیاد و أحمد بن محمّد جمیعاً، عن ابن محبوب، عن جمیل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فی منزله دیناراً؟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منزلَه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فی صندوقه دیناراً؟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أحد یده فی صندوق غیره، أو یضع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p>
    <w:p>
      <w:pPr>
        <w:pStyle w:val="BookText"/>
        <w:rPr/>
      </w:pP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موثّقة من غیر ناحیة سهل، و الأمر فیه سهل؛ بملاحظة متانة روایاته فی أبواب الفقه و عمل الفقهاء بها، مضافاً إلی أنّ الشیخ قدس سره</w:t>
      </w:r>
      <w:r>
        <w:rPr>
          <w:rStyle w:val="FootnoteAnchor"/>
          <w:rtl w:val="true"/>
        </w:rPr>
        <w:footnoteReference w:id="408"/>
      </w:r>
      <w:r>
        <w:rPr>
          <w:rFonts w:ascii="IRNazanin" w:hAnsi="IRNazanin" w:eastAsia="IRNazanin"/>
          <w:color w:val="111111"/>
          <w:sz w:val="28"/>
          <w:sz w:val="28"/>
          <w:szCs w:val="28"/>
          <w:rtl w:val="true"/>
          <w:lang w:bidi="fa-IR"/>
        </w:rPr>
        <w:t>رواها بسند صحیح عن ابن محبوب، و کذلک الصدوق قدس سره</w:t>
      </w:r>
      <w:r>
        <w:rPr>
          <w:rStyle w:val="FootnoteAnchor"/>
          <w:rtl w:val="true"/>
        </w:rPr>
        <w:footnoteReference w:id="409"/>
      </w:r>
      <w:r>
        <w:rPr>
          <w:rFonts w:ascii="IRNazanin" w:hAnsi="IRNazanin" w:eastAsia="IRNazanin"/>
          <w:color w:val="111111"/>
          <w:sz w:val="28"/>
          <w:sz w:val="28"/>
          <w:szCs w:val="28"/>
          <w:rtl w:val="true"/>
          <w:lang w:bidi="fa-IR"/>
        </w:rPr>
        <w:t>، و هی تدلّ علی اعتبار الید، و أنّها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مجرّد اعتبار الید من دون أن تدلّ علی أنّها أمارة أو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قدس سره بإسناده عن الحسین بن سعید، عن صفوان بن یحیی، عن العیص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ادّعی أنّه حرّ، و لم یأتِ ببیّنة علی ذلک، أشتریه؟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أیضاً 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عنه، عن ابن أبی عمیر، عن جمیل،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السوق، و ارید أشتری جاریة،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إلّا أن یکون لها بیّنة</w:t>
      </w:r>
      <w:r>
        <w:rPr>
          <w:rFonts w:eastAsia="Amiri" w:cs="Amiri" w:ascii="Amiri" w:hAnsi="Amiri"/>
          <w:color w:val="111111"/>
          <w:sz w:val="28"/>
          <w:szCs w:val="28"/>
          <w:rtl w:val="true"/>
          <w:lang w:bidi="ar-SA"/>
        </w:rPr>
        <w:t>)</w:t>
      </w:r>
    </w:p>
    <w:p>
      <w:pPr>
        <w:pStyle w:val="BookText"/>
        <w:rPr/>
      </w:pP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قدس سره عن محمّد بن یحیی، عن محمّد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رحیً علی نهر قریة، و القریة لرجل، فأراد صاحب القریة أن یسوق إلی قریته الماء فی غیر هذا النهر، و یعطّل هذه الرحی، أ له ذلک 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یتّقی اللَّه، و یعمل فی ذلک بالمعروف، و لا یضرّ أخاه المؤمن</w:t>
      </w:r>
      <w:r>
        <w:rPr>
          <w:rFonts w:eastAsia="IRNazanin" w:cs="IRNazanin"/>
          <w:color w:val="111111"/>
          <w:sz w:val="28"/>
          <w:szCs w:val="28"/>
          <w:rtl w:val="true"/>
          <w:lang w:bidi="fa-IR"/>
        </w:rPr>
        <w:t>)</w:t>
      </w:r>
    </w:p>
    <w:p>
      <w:pPr>
        <w:pStyle w:val="BookText"/>
        <w:rPr/>
      </w:pP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علیه السلام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المتعارفَ بین الناس، فهی من قبیل الفرقة الاولی من الروایات فی دلالتها علی أماریّة الید؛ لأنّ المعروف بینهم ذلک، و إلّا فتدلّ علی مجرّد اعتبار الید، من دون أن تدلّ علی أماریّتها، و الاستیلاء المفروض فیها لصاحب الرحی إنّما هو علی الانتفاع بالماء، لا علی أصل الماء؛ إذ لا فرق فی ذلک بین الاستیلاء علی عین أو علی منفعة؛ فی دلالتها علی أنّ المستولی علیه للمستولی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إبراهیم فی تفسیره عن أبیه، عن ابن أبی عمیر، عن عثمان بن عیسی و حمّاد بن عثمان جمیعاً، عن أبی عبد اللَّه علیه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تحکم فینا بخلاف حکم اللَّه فی المسلمین؟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ید المسلمین شی‌ء یملکونه، ادّعیتُ أنا فیه، من تسأل البیّنة؟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البیّنة علی ما تدّعیه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یدی شی‌ء فادّعی فیه المسلمون، تسألنی البیّنة علی ما فی یدی، و قد ملکتُه فی حیاة رسول اللَّه صلی الله علیه و آله و سلم و بعده، و لم تسأل المؤمنین البیّنة علی ما ادّعوا علَیّ، کما سألتنی البیّنة علی ما ادّعیتُ علیهم</w:t>
      </w:r>
      <w:r>
        <w:rPr>
          <w:rFonts w:eastAsia="IRNazanin" w:cs="IRNazanin"/>
          <w:color w:val="111111"/>
          <w:sz w:val="28"/>
          <w:szCs w:val="28"/>
          <w:rtl w:val="true"/>
          <w:lang w:bidi="fa-IR"/>
        </w:rPr>
        <w:t>)</w:t>
      </w:r>
    </w:p>
    <w:p>
      <w:pPr>
        <w:pStyle w:val="BookText"/>
        <w:rPr/>
      </w:pPr>
      <w:r>
        <w:rPr>
          <w:rStyle w:val="FootnoteAnchor"/>
          <w:rtl w:val="true"/>
        </w:rPr>
        <w:footnoteReference w:id="41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بملکیّة المسلمین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ید المسلمین شی‌ء یملکونه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الملکیّة المستندة إلی الید، لا الملکیّة الیقینیّة الجزمیّة، بل ربّما یُشعر ذلک بأنّ الید أمارة، فتکون من الفرقة الاولی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الطائفة الثالثة التی تُوهِّم دلالتها علی أنّها أصل لا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علیّ بن إبراهیم، عن أبیه و علیّ بن محمّد القاسانی جمیعاً، عن القاسم بن یحیی، عن سلیمان بن داود، عن حفص بن غیاث،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شیئاً فی یدی رجل یجوز لی أن أشهد أنّه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فی یده، و لا أشهد أنّه له، فلعلّه لغیره؟</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فیحلّ الشراء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فلعلّه لغیره فمن أین جاز لک أن تشتریه، و یصیر ملکاً لک، ثمّ تقول بعد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و تحلف علیه، و لا یجوز أن تنسبه إلی من صار ملکه من قبله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یجز هذا ما قامت للمسلمین سوق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حفص بن غیاث من قضاة العامّة، لکنّه موثّق، و الروایة ضعیفة بقاسم بن یحیی، و حیث إنّه ادُّعی فی باب القضاء الإجماع علی العمل بها</w:t>
      </w:r>
      <w:r>
        <w:rPr>
          <w:rStyle w:val="FootnoteAnchor"/>
          <w:rtl w:val="true"/>
        </w:rPr>
        <w:footnoteReference w:id="415"/>
      </w:r>
      <w:r>
        <w:rPr>
          <w:rFonts w:ascii="IRNazanin" w:hAnsi="IRNazanin" w:eastAsia="IRNazanin"/>
          <w:color w:val="111111"/>
          <w:sz w:val="28"/>
          <w:sz w:val="28"/>
          <w:szCs w:val="28"/>
          <w:rtl w:val="true"/>
          <w:lang w:bidi="fa-IR"/>
        </w:rPr>
        <w:t>، فضعفها منجبر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تُوهّم دلالة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أصل تعبّدیّ جُعل دفعاً لاختلال السوق؛ إذ لا یناسب هذا التعلیل للأماریّة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یدفعه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أنّه فی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یدلّ علی خلاف ذلک؛ حیث إنّ الشهادة فی جمیع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الشهادة علی رؤیة الهلال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علی الواقع و إخبار عنه، و لیس معناه أنّ اعتبار الید إنّما هو لحفظ النظام و السوق، فهذه الروایة أیضاً تدلّ علی أماریّة الید، بل لا تقصر فی دلالتها علی ذلک عن الروایات المتقدّمة فی الفرقة الاولی، و إنّما ذکرناها فی هذا المقام لتوهّم دلالتها علی أنّها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مَسعَدة بن صَدَقة، رواها الکلینی قدس سره عن علیّ بن إبراهیم، عن هارون بن مسلم،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 و المملوک عندک لعلّه حرّ باع نفسه، أو خُدع فبیع قهراً، أو امرأة تحتک و هی اختک أو رضیعتک، و الأشیاء کلّها علی هذا حتّی یستبین لک غیره، أو تقوم به البیّنة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مسعدة بن صدقة و إن لم یوثّقه علماء الرجال، لکن الظاهر من متانة روایاته فی أبواب الفقه و موافقتها للقواعد، وثاقتُه و حصول الاطمئنان بروایاته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الکلّیّة المذکورة فی صدرها، و کذلک فی ذیلها، لسانهما لسان الأصل؛ لأنّه علیه السلام جعل تمامَ الموضوع للحکم بالحلّیّة الشکَّ فی الحلّیّة، لکن الأمثلة المذکورة فیما بینهما غیر مربوطة بهما، فإنّ منها مثال الثوب و العبد یکون الشخص ذا ید و استیلاء علیهما، فلا یمکن جعلهما من أمثلة الکلّیّة المذکورة؛ لأنّ تمام الموضوع فیها هو الشکّ لا غیر، و المثالان لیسا کذلک، فإنّ موضوع الحکم فیهما هو کونه ذا ید و استیلاء؛ سواء جعلنا الید أصلًا أو أمارة، فإنّ لها دخلًا فی موضوع الحکم فیهما، فمع اختلاف موضوع الحکم فی الکلّیّة مع موضوعهما لا یمکن جعلهما من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مثال الاخت و الرضیعة؛ حیث إنّ الحکم فی حلّیّة المحتمل کونها رضیعة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أصالة الصحّة فی فعل المرأة، أو قاعدة الفراغ فی فعلها، المقدمتین علی أصالة الحلّیّة، و الموضوع فی قاعدة الفراغ هو الشکّ بعد الفراغ من العمل، لا مطلق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مثال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بجریان استصحاب العدم الأزلی فالحکم بالحلّیّة فیها مستند إلیه، و هو مقدّم علی أصالة الحلّیّة مع اختلاف موضوعیهما؛ لأنّ موضوع أصالة الحلّیّة و الإباحة هو الشکّ المطلق، بخلاف الاستصحاب؛ لاعتبار وجود الیقین السابق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نقل بجریان استصحاب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بالحلّیّة فیها مستند إلی أصالة الصحّة فی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قاعدة الفراغ فی فعل نفسه؛ بناءً علی عمومیّتها لغیر الصلاة، و قد عرفت تقدّمهما علی أصالة الحلّیّة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المراد من ذکر الأمثلة التنظیر، و أنّه کما یحکم بالحلّیّة لأجل الید أو أصالة الصحّة و نحوهما من الاصول العقلائیّة، کذلک أصالة الإباحة، فالأمثلة المذکورة إنّما ذکرت لرفع وسوسة المخاطب، و حینئذٍ فلا تنافی بین هذه الروایة و بین سائر الروایات الدالّة علی أماریّة الید</w:t>
      </w:r>
      <w:r>
        <w:rPr>
          <w:rFonts w:eastAsia="IRNazanin" w:cs="IRNazanin"/>
          <w:color w:val="111111"/>
          <w:sz w:val="28"/>
          <w:szCs w:val="28"/>
          <w:rtl w:val="true"/>
          <w:lang w:bidi="fa-IR"/>
        </w:rPr>
        <w:t>.</w:t>
      </w:r>
      <w:bookmarkStart w:id="403" w:name="pg12898_148066"/>
    </w:p>
    <w:p>
      <w:pPr>
        <w:pStyle w:val="BookText"/>
        <w:rPr/>
      </w:pPr>
      <w:bookmarkEnd w:id="403"/>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أمارة علی الملکیّة، لا أصل تعبّدیّ، و ظهر منه وجه تقدّمها علی الاستصحاب؛ لحکومة الأمارات علی الاصول الشرعیّة، و ورودها علی الاصول العقلیّة</w:t>
      </w:r>
      <w:r>
        <w:rPr>
          <w:rFonts w:eastAsia="IRNazanin" w:cs="IRNazanin"/>
          <w:color w:val="111111"/>
          <w:sz w:val="28"/>
          <w:szCs w:val="28"/>
          <w:rtl w:val="true"/>
          <w:lang w:bidi="fa-IR"/>
        </w:rPr>
        <w:t>.</w:t>
      </w:r>
    </w:p>
    <w:p>
      <w:pPr>
        <w:pStyle w:val="Heading6"/>
        <w:numPr>
          <w:ilvl w:val="5"/>
          <w:numId w:val="1"/>
        </w:numPr>
        <w:rPr/>
      </w:pPr>
      <w:bookmarkStart w:id="404" w:name="__RefHeading___Toc3234964_3224264995"/>
      <w:bookmarkStart w:id="405" w:name="_Toc151"/>
      <w:bookmarkEnd w:id="404"/>
      <w:r>
        <w:rPr>
          <w:rtl w:val="true"/>
        </w:rPr>
        <w:t>الأمر الرابع</w:t>
      </w:r>
      <w:r>
        <w:rPr>
          <w:rtl w:val="true"/>
        </w:rPr>
        <w:t xml:space="preserve">: </w:t>
      </w:r>
      <w:r>
        <w:rPr>
          <w:rtl w:val="true"/>
        </w:rPr>
        <w:t>حکم الید علی المنفعة</w:t>
      </w:r>
      <w:bookmarkEnd w:id="405"/>
    </w:p>
    <w:p>
      <w:pPr>
        <w:pStyle w:val="BookText"/>
        <w:rPr/>
      </w:pPr>
      <w:r>
        <w:rPr>
          <w:rFonts w:ascii="IRNazanin" w:hAnsi="IRNazanin" w:eastAsia="IRNazanin"/>
          <w:color w:val="111111"/>
          <w:sz w:val="28"/>
          <w:sz w:val="28"/>
          <w:szCs w:val="28"/>
          <w:rtl w:val="true"/>
          <w:lang w:bidi="fa-IR"/>
        </w:rPr>
        <w:t>الاستیلاء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استقلالیّ</w:t>
      </w:r>
      <w:r>
        <w:rPr>
          <w:rStyle w:val="FootnoteAnchor"/>
          <w:rtl w:val="true"/>
        </w:rPr>
        <w:footnoteReference w:id="418"/>
      </w:r>
      <w:r>
        <w:rPr>
          <w:rFonts w:ascii="IRNazanin" w:hAnsi="IRNazanin" w:eastAsia="IRNazanin"/>
          <w:color w:val="111111"/>
          <w:sz w:val="28"/>
          <w:sz w:val="28"/>
          <w:szCs w:val="28"/>
          <w:rtl w:val="true"/>
          <w:lang w:bidi="fa-IR"/>
        </w:rPr>
        <w:t>کما فی الید علی الأعیان الخارجیّة، و إمّا تبعیّ کالاستیلاء علی المنافع بتبع الاستیلاء علی الأعیان، و کاستیلاء أهل القریة علی مرافقها و مراتعها، و هی أیضاً أمارة علی نحوٍ من الملکیّة الخاصّة؛ لما عرفت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للملکیّة عند العرف و العقلاء مراتب متفاوتة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الاستیلاء علی المنافع یتصوّر فی مقام الثبوت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بالأصالة 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الاستیلاء علی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المنافع ثانیاً و بالعرض؛ تبعاً للاستیلاء علی الأعیان أوّلًا 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الاستیلاء علی العین فقط، دون المنافع؛ لا بالأصالة و لا بالتبع، لکن فرض کشفها عن ملکیّة المنفعة فی عرض کشفها عن ملکیّة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العین و کشفه عن ملکیّة العین أوّلًا و بالذات، و حیث إنّ المنفعة تابعة للعین، فالید علی العین کاشفة عن ملکیّة المنفعة ثانیاً و بالعرض؛ أی کشفاً تبعیّاً فی طول کشفها عن ملکیّة العین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استیلاء علی المنفعة؛ لا أصالة و لا تبعاً، و لا لأجل</w:t>
      </w:r>
    </w:p>
    <w:p>
      <w:pPr>
        <w:pStyle w:val="BookText"/>
        <w:rPr/>
      </w:pPr>
      <w:r>
        <w:rPr>
          <w:rFonts w:ascii="IRNazanin" w:hAnsi="IRNazanin" w:eastAsia="IRNazanin"/>
          <w:color w:val="111111"/>
          <w:sz w:val="28"/>
          <w:sz w:val="28"/>
          <w:szCs w:val="28"/>
          <w:rtl w:val="true"/>
          <w:lang w:bidi="fa-IR"/>
        </w:rPr>
        <w:t>الکشف عن ملکیّتها لا بالأصالة و لا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إشکالًا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الاستیلاء من العناوین الإضافیّة التی تفتقر فی تحقّقها إلی وجود المتضایفین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المستولی و المستولی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العناوین الإضافیّة کالأُبوّة و البُنوّة، و لا یعقل تحقّقها بدون وجود المتضایفین، و حینئذٍ فالاستیلاء علی الأعیان الموجودة متصوّر صحیح، لکنّه فی المنافع غیر معقول؛ لأنّها لیست من الامور المتحقّقة الموجودة بالفعل؛ کی یتحقّق الاستیلاء علیها، و علی فرض کونها من الامور الوجودیّة فهی متدرّجة الوجود، و الموجود فعلًا هو جزء منها، و أمّا الأجزاء اللّاحقة فهی معدومة فعلًا، و قد عرفت أنّه مع عدم وجود المستولی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طرف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الاستیلاء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بملکیّة المنافع، فإنّها أیضاً من العناوین النسبیّة المفتقرة إلی المنتسبین فی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المالک و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وجود المملوک و تحقّقه لا معنی لتحقّق عنوان الملکیّة، فیلزم عدم مالکیّة مستأجرِ عینٍ لمنافعها؛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تسلیط المالک للمستأجر علی العین للانتفاع بها، أم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عبارة عن تملیک المنفعة و نقلها إلی المستأجر، أم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إیجاد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إضافة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المستأجر و المنافع، فیلزم عدم تحقّق ملکیّته للمنفعة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الاستیلاء فی المقام لیس من المقولات الحقیقیّة لیرد علیه ما ذکر، بل هو أمر اعتباریّ یعتبره العقلاء، کما أنّ الملکیّة أیضاً من العناوین الاعتباریّة التی یعتبرها العقلاء، و العناوین الاعتباریّة الإضافیّة یکفی فیها اعتبار وجود طرف الإضافة، و لا یلزم فیها تحقّقه حقیقةً، فکما یکفی فی اعتبار الملکیّة تحقّق المملوک فی عالم الاعتبار، کذلک الاستیلاء علی المنافع یکفی فیه وجود المستولی علیه فی عالم الاعتبار، لا الوجود الحقیقی، فالإشکال غیر وجیه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مقام التصوّر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الخامس من الوجوه المتقدّمة مخالف لما هو المرتکز فی أذهان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الید و الاستیلاء علی المنافع، و مخالف لمدلول روایة محمّد بن الحسین أبی الخطّاب، المتقدّمة فی قضیّة الرحی، فإنّ مالک الرحی مستولٍ علی منفعة الماء، لا علی أصله، و قد حکم الإمام علیه السلام بملکیّته لتلک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الوجه الرابع؛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المرتکز فی أذهان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لإطلاق الأدلّة الدالّة علی ملکیّة المنافع استقلالًا فی بعض الموارد، مع أنّه یستلزم عدم إمکان انفکاک ملکیّة المنافع عن ملکیّة الأعیان، مع أنّه لیس کذلک؛ إذ لو استولی شخص علی عین لها منافع، فادّعی شخص آخر أنّ منافعها له، فأقرّ مالک العین بذلک، فإنه یمکن ملکیّته للمنافع فقط، بل یمکن ملکیّته للمنافع ابتداءً؛ بأن یهب شخص ملکه لشخص و منافعه مطلقاً، أو إلی مدّة معیّنة لشخص آخر، فلا ریب فی أنّه یحکم فی باب القضاء بملکیّة الثانی للمنفعة دون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ملکیّته للمنافع فلاستیلائه علیها، و عدم ملکیّته للعین فلاستیلاء الشخص الأوّل علیها، و بناءً علی هذا الوجه لا بدّ أن لا یحکم بملکیّته للمنافع، و أنّها تابعة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الوجوه الثلاثة الباقیة هو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الاستیلاء علی المنافع بتبع الاستیلاء علی الأعیان و فی عرضه، و لا یرد علیه لزوم إشکال عدم إمکان التفکیک بین ملکیّة العین و المنفعة فی مثل إجارة الأعیان و نحوها؛ حیث إنّ استیلاء المستأجر علی المنافع حینئذٍ لیس تابعاً لاستیلائه علی العین، و یده علی المنافع لیست تابعة لیده علی العین؛ لعدم ملکیّته للعین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فی الفرض المذکور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ید مالک العین علیها، و الثانیة ید المستأجر علیها؛ لأنّ المستأجر مستولٍ علی العین لاستیفاء المنفعة منها، و بتبعها یده</w:t>
      </w:r>
      <w:bookmarkStart w:id="406" w:name="pg12898_148069"/>
    </w:p>
    <w:p>
      <w:pPr>
        <w:pStyle w:val="BookText"/>
        <w:rPr/>
      </w:pPr>
      <w:bookmarkEnd w:id="406"/>
      <w:r>
        <w:rPr>
          <w:rFonts w:ascii="IRNazanin" w:hAnsi="IRNazanin" w:eastAsia="IRNazanin"/>
          <w:color w:val="111111"/>
          <w:sz w:val="28"/>
          <w:sz w:val="28"/>
          <w:szCs w:val="28"/>
          <w:rtl w:val="true"/>
          <w:lang w:bidi="fa-IR"/>
        </w:rPr>
        <w:t>علی المنفعة، فیده و استیلاؤه علی المنافع بتبع یده علی العین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3234966_3224264995"/>
      <w:bookmarkStart w:id="408" w:name="_Toc152"/>
      <w:bookmarkEnd w:id="407"/>
      <w:r>
        <w:rPr>
          <w:rtl w:val="true"/>
        </w:rPr>
        <w:t>الأمر الخامس</w:t>
      </w:r>
      <w:r>
        <w:rPr>
          <w:rtl w:val="true"/>
        </w:rPr>
        <w:t xml:space="preserve">: </w:t>
      </w:r>
      <w:r>
        <w:rPr>
          <w:rtl w:val="true"/>
        </w:rPr>
        <w:t>حول کون ذی الید شاکّاً فی ملکیّته</w:t>
      </w:r>
      <w:bookmarkEnd w:id="408"/>
    </w:p>
    <w:p>
      <w:pPr>
        <w:pStyle w:val="BookText"/>
        <w:rPr/>
      </w:pPr>
      <w:r>
        <w:rPr>
          <w:rFonts w:ascii="IRNazanin" w:hAnsi="IRNazanin" w:eastAsia="IRNazanin"/>
          <w:color w:val="111111"/>
          <w:sz w:val="28"/>
          <w:sz w:val="28"/>
          <w:szCs w:val="28"/>
          <w:rtl w:val="true"/>
          <w:lang w:bidi="fa-IR"/>
        </w:rPr>
        <w:t>مقتضی إطلاقات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المرتکز فی أذهان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أماریّة الید علی الملکیّة بین تصرّف المستولی و تقلّبه فیه و عدمه، فإنّ الکاشف عن الملکیّة هو مجرّد الاستیلاء علیه، و لذا تری أنّ العرف و العقلاء لا یتوقّفون عند المعاملات فی شراء ما بید البائع علی ثبوت تصرّفه فیه و تقلّبه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الإطلاقات عدم اعتبار انضمام دعواه الملکیّة، بل یکتفون بالسکوت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عدم أماریّتها مع إقراره بعدم ملکیّته له، فإنّ إقراره مقدّم علی یده، بل علی سائر الأمارات و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لو کان ذو الید شاکّاً، و لم یعلم أنّه ملکه أو لا، بالنسبة إلی حکم نفسه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النراقی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اشتراط انضمام عدم دعواه عدم العلم بالملکیّة؛ لأنّ الثابت من الأدلّة فی أماریّة الید علی الملکیّة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طلب البیّنة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یونس بن یعقوب</w:t>
      </w:r>
      <w:r>
        <w:rPr>
          <w:rStyle w:val="FootnoteAnchor"/>
          <w:rtl w:val="true"/>
        </w:rPr>
        <w:footnoteReference w:id="420"/>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لإمکان منع صدق الاستیلاء مع الشکّ فی ملکیّته 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روایة جمیل المتقدّمة؛ حیث إنّه علیه السلام حکم فیها فی الدینار الذی</w:t>
      </w:r>
    </w:p>
    <w:p>
      <w:pPr>
        <w:pStyle w:val="BookText"/>
        <w:rPr/>
      </w:pPr>
      <w:r>
        <w:rPr>
          <w:rFonts w:ascii="IRNazanin" w:hAnsi="IRNazanin" w:eastAsia="IRNazanin"/>
          <w:color w:val="111111"/>
          <w:sz w:val="28"/>
          <w:sz w:val="28"/>
          <w:szCs w:val="28"/>
          <w:rtl w:val="true"/>
          <w:lang w:bidi="fa-IR"/>
        </w:rPr>
        <w:t>وجده فی داره مع دخول الغیر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لقطة؛ و لیس ذلک إلّا لأجل شکّه فی أنّه ملکه مع استیلائه علیه، و أیضاً علّل علیه السلام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وجد فی صندوقه له؛ بما یفید العلم بأنّه لیس لغیره من عدم إدخال غیره یده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روایة</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نزل فی بعض بیوت مکّة، فوجد فیها نحواً من سبعین درهماً مدفونة، فلم تزل معه، و لم یذکرها حتّی قدِم الکوفة، کیف یصنع؟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 عنها أهل المنزل لعلّهم یعرفونها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یعرفوها؟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بها</w:t>
      </w:r>
      <w:r>
        <w:rPr>
          <w:rFonts w:eastAsia="IRNazanin" w:cs="IRNazanin"/>
          <w:color w:val="111111"/>
          <w:sz w:val="28"/>
          <w:szCs w:val="28"/>
          <w:rtl w:val="true"/>
          <w:lang w:bidi="fa-IR"/>
        </w:rPr>
        <w:t>)</w:t>
      </w:r>
    </w:p>
    <w:p>
      <w:pPr>
        <w:pStyle w:val="BookText"/>
        <w:rPr/>
      </w:pP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لا شکّ فی أنّ الدراهم کانت فی تصرّف أهل المنزل علی ما عرفت، و لو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نعلم أنّها لنا أو لغیرنا، یصدق أنّهم لا یعرفونها، فلا یحکم بملکیّتها لهم، و من ذلک یعلم أنّ الید لا تکفی بمجرّدها فی الحکم لملکیّة ذی الید لما فی یده إن لم یعلم بملکیّته له</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دعواه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الاستیلاء مع عدم علمه بملکیّته لما فی یده، و عدم شمول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ذیل روایة یونس بن یعقوب فی قضیّة متاع البیت، فهی غریبة، و لو أنّه ادّعی انصرافه عن مثل هذا الاستیلاء فله وجه، مع أنّه ممنوع أیضاً، فلا ریب فی شموله لما نحن فیه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فتفصیلُ الإمام فیها بین دخول غیر صاحب البیت فیه أیضاً و عدمه، ظاهرٌ فی اختلاف حکمی الشِّقّین، و أنّه مع دخول غیره فیه لا یتحقّق استیلاء</w:t>
      </w:r>
      <w:bookmarkStart w:id="409" w:name="pg12898_148071"/>
    </w:p>
    <w:p>
      <w:pPr>
        <w:pStyle w:val="BookText"/>
        <w:rPr/>
      </w:pPr>
      <w:bookmarkEnd w:id="409"/>
      <w:r>
        <w:rPr>
          <w:rFonts w:ascii="IRNazanin" w:hAnsi="IRNazanin" w:eastAsia="IRNazanin"/>
          <w:color w:val="111111"/>
          <w:sz w:val="28"/>
          <w:sz w:val="28"/>
          <w:szCs w:val="28"/>
          <w:rtl w:val="true"/>
          <w:lang w:bidi="fa-IR"/>
        </w:rPr>
        <w:t>صاحب البیت علی مثل الدرهم و الدینار المطروحین فیه، مع أنّ لهما مکاناً خاصّاً بحسب المتعارف من الصندوق و الکیس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الاستیلاء علی مثل الفروش و نحوها، و لهذا حکم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الدینار المطروح فیه لُقَطة، بخلاف ما إذا لم یدخل غیره فیه، فإنّ الظاهر أنّه له، و أنّ الحکم بأنّه له لأجل استیلائه علیه مع دعواه عدم العلم بذلک، فهذه الروایة دلیل علیه قدس سره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التعلیل المذکور فیها، فواضح أنّ حکمه بأنّ ما فی الصندوق له مع شکّه فیه، إنّما هو لأجل استیلائه علیه، لا لعلمه به، و إلّا لما احتاج إلی السؤال و الجواب؛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إسحاق بن عمّار و استدلاله قدس سره بها لما اختاره،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بیوت مکّة کانت مُعدّة لنزول الحجّاج و المسافرین و إقامتهم فیها مدّة قلیلة، و معه یمکن منع تحقّق استیلاء مالکها علی ما یوجد فیها مدفوناً، و لا أقلّ من الشکّ فیه، فإنّ الظاهر أنّه لا یراد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مثل الکنز تحت الأرض، و إلّا لم یطّلع علیها النازلون فیها إلّا بعد حفرها بالأسباب و الآلات، و لیس ذلک متعارفاً بین المسافرین، بل الظاهر کونها مدفونة تحت تراب یسیر و نحوه؛ بنحو یظهر بقلب التراب بالمراودة و المرور علیها، و من المعلوم أنّ أصحاب البیوت المذکورة لا یدفنون دنانیرهم فیها کذلک، بل ربّما یصنع ذلک المسافرون النازلون فیها، فالحکم بعدم کونه لصاحب البیت لیس مستنداً إلی دعوی عدم علمه و معرفته به، بل لأجل عدم تحقّق استیلائه و یده علیه، فهذه الروایة أجنبیّة عمّا نحن فیه</w:t>
      </w:r>
      <w:r>
        <w:rPr>
          <w:rFonts w:eastAsia="IRNazanin" w:cs="IRNazanin"/>
          <w:color w:val="111111"/>
          <w:sz w:val="28"/>
          <w:szCs w:val="28"/>
          <w:rtl w:val="true"/>
          <w:lang w:bidi="fa-IR"/>
        </w:rPr>
        <w:t>.</w:t>
      </w:r>
    </w:p>
    <w:p>
      <w:pPr>
        <w:pStyle w:val="Heading6"/>
        <w:numPr>
          <w:ilvl w:val="5"/>
          <w:numId w:val="1"/>
        </w:numPr>
        <w:rPr/>
      </w:pPr>
      <w:bookmarkStart w:id="410" w:name="__RefHeading___Toc3234968_3224264995"/>
      <w:bookmarkStart w:id="411" w:name="_Toc153"/>
      <w:bookmarkEnd w:id="410"/>
      <w:r>
        <w:rPr>
          <w:rtl w:val="true"/>
        </w:rPr>
        <w:t>الأمر السادس</w:t>
      </w:r>
      <w:r>
        <w:rPr>
          <w:rtl w:val="true"/>
        </w:rPr>
        <w:t xml:space="preserve">: </w:t>
      </w:r>
      <w:r>
        <w:rPr>
          <w:rtl w:val="true"/>
        </w:rPr>
        <w:t>حال الیدین علی شی‌ء واحد</w:t>
      </w:r>
      <w:bookmarkEnd w:id="411"/>
    </w:p>
    <w:p>
      <w:pPr>
        <w:pStyle w:val="Heading6"/>
        <w:numPr>
          <w:ilvl w:val="5"/>
          <w:numId w:val="1"/>
        </w:numPr>
        <w:rPr/>
      </w:pPr>
      <w:bookmarkStart w:id="412" w:name="__RefHeading___Toc3234970_3224264995"/>
      <w:bookmarkStart w:id="413" w:name="_Toc154"/>
      <w:bookmarkEnd w:id="412"/>
      <w:r>
        <w:rPr>
          <w:rtl w:val="true"/>
        </w:rPr>
        <w:t>اشارة</w:t>
      </w:r>
      <w:bookmarkEnd w:id="41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الحکم بالملکیّة مع انفراد الید علیه لا إشکال فیه، و أمّا مع عدم انفرادها؛ بأن استولی اثنان علی شی‌ء واحد، فهل هما متعارضتان، أو یحکم بملکیّته لهما</w:t>
      </w:r>
      <w:bookmarkStart w:id="414" w:name="pg12898_148072"/>
    </w:p>
    <w:p>
      <w:pPr>
        <w:pStyle w:val="BookText"/>
        <w:rPr/>
      </w:pPr>
      <w:bookmarkEnd w:id="414"/>
      <w:r>
        <w:rPr>
          <w:rFonts w:ascii="IRNazanin" w:hAnsi="IRNazanin" w:eastAsia="IRNazanin"/>
          <w:color w:val="111111"/>
          <w:sz w:val="28"/>
          <w:sz w:val="28"/>
          <w:szCs w:val="28"/>
          <w:rtl w:val="true"/>
          <w:lang w:bidi="fa-IR"/>
        </w:rPr>
        <w:t>بالاشتراک؟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المفروض یتصوّر فی مقام الثبوت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یستولی کلّ واحد منهما علیه استیلاءً تامّاً علی تمام هذا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یستولی کلّ واحد منهما علی تمام هذا الشی‌ء استیلاءً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یستولی کلّ واحد منهما استیلاءً تامّاً علی نصفه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یستولی کلّ واحد منهما علی نصفه المشاع استیلاءً ناقصاً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أربعة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یکشف کلّ واحد من الاستیلاءین علی تمامه عن الملکیّة التامّة بلا معارضة، و أنّ هذا بتمامه ملک لهذا و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کذلک مع المعارضة بینهما؛ لعدم إمکان الجمع بینهما، نظیر ما لو قامت بیّنة علی أنّه لزید، و بیّنة اخری علی أنّه لعمرو، فإنّه لا یمکن الجمع بین مؤدّاهما، فتتعارضان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یکشف کلّ واحد من الاستیلاءین التامّین علی ملکیّة نصفه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یکشف کلّ واحد من الاستیلاءین الناقصین علی تمامه عن الملکیّة الناقصة لتمامه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یکشف عن ملکیّة النصف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الثبوت و التصوّر</w:t>
      </w:r>
      <w:r>
        <w:rPr>
          <w:rFonts w:eastAsia="IRNazanin" w:cs="IRNazanin"/>
          <w:color w:val="111111"/>
          <w:sz w:val="28"/>
          <w:szCs w:val="28"/>
          <w:rtl w:val="true"/>
          <w:lang w:bidi="fa-IR"/>
        </w:rPr>
        <w:t>.</w:t>
      </w:r>
    </w:p>
    <w:p>
      <w:pPr>
        <w:pStyle w:val="Heading6"/>
        <w:numPr>
          <w:ilvl w:val="5"/>
          <w:numId w:val="1"/>
        </w:numPr>
        <w:rPr/>
      </w:pPr>
      <w:bookmarkStart w:id="415" w:name="__RefHeading___Toc3234972_3224264995"/>
      <w:bookmarkStart w:id="416" w:name="_Toc155"/>
      <w:bookmarkEnd w:id="415"/>
      <w:r>
        <w:rPr>
          <w:rtl w:val="true"/>
        </w:rPr>
        <w:t>حول کلام المحقّق السیّد الطباطبائی رحمه الله و ما یرد علیه</w:t>
      </w:r>
      <w:bookmarkEnd w:id="416"/>
    </w:p>
    <w:p>
      <w:pPr>
        <w:pStyle w:val="Heading6"/>
        <w:numPr>
          <w:ilvl w:val="5"/>
          <w:numId w:val="1"/>
        </w:numPr>
        <w:rPr/>
      </w:pPr>
      <w:bookmarkStart w:id="417" w:name="__RefHeading___Toc3234974_3224264995"/>
      <w:bookmarkStart w:id="418" w:name="_Toc156"/>
      <w:bookmarkEnd w:id="417"/>
      <w:r>
        <w:rPr>
          <w:rtl w:val="true"/>
        </w:rPr>
        <w:t>اشارة</w:t>
      </w:r>
      <w:bookmarkEnd w:id="41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السیّد فی ملحقات العروة إلی إمکان التصوّر الأوّل، بل وقوعه، و هو أن یستولی اثنان کلّ واحد منهما استیلاءً تامّاً علی شی‌ء</w:t>
      </w:r>
    </w:p>
    <w:p>
      <w:pPr>
        <w:pStyle w:val="BookText"/>
        <w:rPr/>
      </w:pPr>
      <w:r>
        <w:rPr>
          <w:rFonts w:ascii="IRNazanin" w:hAnsi="IRNazanin" w:eastAsia="IRNazanin"/>
          <w:color w:val="111111"/>
          <w:sz w:val="28"/>
          <w:sz w:val="28"/>
          <w:szCs w:val="28"/>
          <w:rtl w:val="true"/>
          <w:lang w:bidi="fa-IR"/>
        </w:rPr>
        <w:t>واحد و مالکاً له کذلک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نحو إضافة بین المالک و المملوک یستتبعها الاختصاص عند العقلاء، و الاختصاص من أحکامها العقلائیّة، و لا معنی لاختصاص شی‌ء واحد باثنین، فإنّه ضدّ الاشتراک، فإنّ معنی الاختصاص هو أنّه ملک تامّ له، و معنی الاشتراک أنّه لیس ملکاً تامّاً له، فاجتماعهما مستحیل، و إلّا یلزم ثبوت الملکیّة التامّة لشی‌ء لأحدٍ و عدمها له فی زمان واحد، و هو تناقض فی عالم الاعتبار، و کما لا یمکن التناقض فی التکوینیّات، کذلک لا یمکن فی الاعتباریّات؛ یعنی لا یمکن اعتبار العقلاء لهما معاً فی زمان واحد، و مجرّد تصوّره فی الواهمة و فرضه، غیر اعتبار العقلاء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استنکار العقلاء ذلک، بل المتبادر عندهم من ملکیّة اثنین لشی‌ء واحد هو اشتراکهما بنحو الإشاعة، لا ملکیّة کلّ واحد منهما له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ذکر لما ذهب إلیه موارد ادّعی أنّها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أوصی بشی‌ء لزید و عمرو علی أن یکونا مَصْرفین له، فإنّ کلّ واحد منهما مالک لتمامه، و کذلک الزکوات و الأخماس، فإنّ کلّ واحدٍ من الفقراء و السادات مالک لتمامه، و لذا یجوز إعطاؤه لواحد منهم حتّی یستغنی، و لا یجب البسط بین الأصناف، و کذلک الوقف العامّ و الخاصّ، فإنّ کلّ واحد من الموقوف علیهم مالک لتمامه، فیما لو قصد الواقف کون الموقوف علیهم مَصرفاً له، بل یتحقّق ذلک فی الحقوق أیضاً، کما فی إرث الخیار فیما لو تعدّد الوارث؛ بناءً علی أنّ لکلّ واحد منهم الخیار، و مثل ولایة الأب و الجدّ علی الصغیر و نحوه</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 کلامه قدس سره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یستقیم ما أفاده فی شی‌ء من هذه الأمثلة؛ و ذلک لأنّ المالک للزکاة لیس أشخاص الفقراء، مثل زید و عمرو و غیرهما بخصوصیّاتهم الشخصیّة؛ لا بنحو</w:t>
      </w:r>
    </w:p>
    <w:p>
      <w:pPr>
        <w:pStyle w:val="BookText"/>
        <w:rPr/>
      </w:pPr>
      <w:r>
        <w:rPr>
          <w:rFonts w:ascii="Amiri" w:hAnsi="Amiri" w:eastAsia="Amiri" w:cs="Amiri"/>
          <w:color w:val="111111"/>
          <w:sz w:val="28"/>
          <w:sz w:val="28"/>
          <w:szCs w:val="28"/>
          <w:rtl w:val="true"/>
          <w:lang w:bidi="ar-SA"/>
        </w:rPr>
        <w:t>الاستقلال و لا بنحو الاشتراک، بل هی ملک للعنوان، و هو ینطبق علی کلّ واحد من مصادیقه و أفراده، و هو عنوان الفقراء،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قد یختلج بالبال أنّ الزکوات و الأخماس ممّا تملکه دولة الإسلام، تتصرّف فیها و تصرفها فیما یراه ولیّ أمرها من مصالح الإسلام و المسلمین أیّة مصلحة کانت، و کذلک المنصوب من قِبله خصوصاً أو عموماً، و الفقراء و المساکین بالنسبة إلی تلک المصالح و المصارف یکفیهم أقلّ قلیل من الزکوات التی أوجبها اللَّه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الخمس، فإنّ من مصارفه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لکلّ مصلحة یراها ولیّ الأمر، و حینئذٍ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بیانٌ لمصرفها، لا أنّهم مالکون لها، بل المالک لها الدولة الإسلامیّة، نظیر سائر الدول المستبدّة و غیرها؛ حیث إنّ المالک للضرائب و الخراجات فیها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یجعل ولیّ أمرها أو أولیاؤها لها مصارف تُصرف فیها، و لذا یُفرق فی أموال أولیاء الأمر بین أموالهم الشخصیّة، فهی موروثة تنتقل إلی ورثتهم بعد موتهم، و بین أموالهم من جهة الولایة من الأخماس و الزکوات، فإنّها ملک للمنصب لا الشخص، و لا تنتقل إلی ورثتهم بعد موتهم، و بعده أمرها بید ولیّ الأمر من بعده، و بهذا المضمون ورد بعض الأخبار</w:t>
      </w:r>
      <w:r>
        <w:rPr>
          <w:rStyle w:val="FootnoteAnchor"/>
          <w:rtl w:val="true"/>
        </w:rPr>
        <w:footnoteReference w:id="426"/>
      </w:r>
      <w:r>
        <w:rPr>
          <w:rFonts w:ascii="IRNazanin" w:hAnsi="IRNazanin" w:eastAsia="IRNazanin"/>
          <w:color w:val="111111"/>
          <w:sz w:val="28"/>
          <w:sz w:val="28"/>
          <w:szCs w:val="28"/>
          <w:rtl w:val="true"/>
          <w:lang w:bidi="fa-IR"/>
        </w:rPr>
        <w:t>، و استقرّ علیه عمل الفقهاء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الوقف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لیس ملکاً للموقوف علیهم، بل هم مصرفه، و لهذا لا یلزم بسطه علیهم، و کذا الوقف الخاصّ؛ بناءً علی أنّ ذکرهم بیان لمصرفه، کما ذکره قدس سره؛ لعدم اعتبار العقلاء ملکیّة کلّ واحد منهم له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الموقوف علیه فی الوقف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الجهة التی تنطبق علی کلّ واحد من أفرادها، و إمّا هم بنحو الاشتراک، و أمّا ملکیّة کلّ واحد منهم له بتمامه فلا معنی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مثال الوصیّة، 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تملیکیّة، و إمّا عهدیّة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التملیکیّة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تملیک عین بعد الحیاة لزید أو غیره، کأن قال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المال لزید و عمرو بعد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ذَکَرهما بنحوٍ یکونان مصرفاً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ذلک تملیکاً لجهة تنطبق علیهما، و إلّا فلا یمکن إلّا باشتراکهما فی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التوصیة و العهد إلی الوصیّ بأن یُملِّک عیناً أو غیرها لشخص أو أکثر، فإن لم یعمل الوصیّ بها، و لم یملّکه إیّاها، لا یحصل الملک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ذلک فی الحقوق أیضاً؛ بأن یکون حقّ واحد، کحقّ الخیار لزید، و هو بعینه لعمرو، و أنّ لکلّ واحد منهما سلطنة تامّة علی حلّ العقد و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الامور لیست عقلیّة برهانیّة، بل عرفیّة عقلائیّة، لا بدّ من عرضها علیهم، فإن اعتبرت الملکیّة و الحقّ عندهم بنحوٍ واحد فما ذکره صحیح،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اعتبار العقلاء ملکیّة اثنین لمال واحد؛ لکلّ واحد منهما ملکیّة تامّة لشی‌ء واحد، و لهذا لو قامت البیّنة علی أنّ هذا لزید، و قامت بیّنة اخری علی أنّه بتمامه لعمرو، تعارضت البیّنتان عرفاً، و لو أمکنت الملکیّة التامّة لکلّ واحد منهما لم تتعارضا، فلیس التعارض بینهما إلّا لأجل استفادة الاختصاص من البیّنتین، فإنّ مفاد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لزید دون عمرو، و مفاد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لعمرو لا لزید، بخلاف الحقوق، فإنّها علی قسمین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مثل الملکیّة فی استفادة الاختصاص من ثبوتها لشخص، مثل حقّ</w:t>
      </w:r>
    </w:p>
    <w:p>
      <w:pPr>
        <w:pStyle w:val="BookText"/>
        <w:rPr/>
      </w:pPr>
      <w:r>
        <w:rPr>
          <w:rFonts w:ascii="IRNazanin" w:hAnsi="IRNazanin" w:eastAsia="IRNazanin"/>
          <w:color w:val="111111"/>
          <w:sz w:val="28"/>
          <w:sz w:val="28"/>
          <w:szCs w:val="28"/>
          <w:rtl w:val="true"/>
          <w:lang w:bidi="fa-IR"/>
        </w:rPr>
        <w:t>التحجیر و الرهن و نحوهما، فلو قامت بیّنة علی ثبوت حقّ تحجیر لزید، فمعناه أنّه له لا لغیره، و علی فرض وقوع تحجیر من اثنین فهما شریکان فیه، کما فی المال، و لهذا تتعارض البیّنتان لو قامت کلّ واحدة منهما علی أنّه 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لیست کذلک کحقّ خیار الشرط و غیره،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 قائم بالعین المبیعة أو العقد، فهو نظیر القدرة علی هدم البیت؛ یمکن ثبوته لأکثر من واحد لکلّ واحد مستقلّاً، فلو قامت بیّنة علی أنّ لزید حقّ الخیار فی معاملة، و اخری لعمرو، لم تتعارض البیّنتان فیه، و لیس ذلک إلّا لأجل عدم استفادة الاختصاص منهما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الخیار لیس حقّاً قائماً بالعین أو العقد، بل معناه الاختیار، فثبوته لاثنین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واحد منهما حلّ العقد و فسخه، و أنّهما مختاران کلّ فی 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قدس سره فی حاشیته علی المکاسب</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خیاران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لزید، و الآخر لعمرو، لا خیار واحد لکلّ واحد منهما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الوحدة قد تعتبر فی العقد و قد تعتبر فی الفسخ فی وعاء الاعتبار، و الأوّل موضوع حقّ الخیار، و الثانی متعلّقه، و من الواضح أنّ أحد الطرفین لاعتبار الحقّ هو ذو الحقّ، و الآخر هو حلّ الحقّ، و المقوِّم للحلّ المتعلّق به الاعتبار فی افق الاعتبار، هو العقد الکلّی بوجوده العنوانی، لا بوجوده الخارجی، و وحدة طبیعیّ الحلّ لا توجب ورود حقّین علی واحد شخصیّ، فالحلّ الصادر من أحدهما غیر الصادر من الآخر</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غیر مفتقَر إلیه فی المقام، مع عدم استقامته فی نفسه؛ إذ لا ریب فی أنّ الفسخ عند العرف و العقلاء هو حلّ العقد الخارجیّ و فسخه، لا العقد</w:t>
      </w:r>
    </w:p>
    <w:p>
      <w:pPr>
        <w:pStyle w:val="BookText"/>
        <w:rPr/>
      </w:pPr>
      <w:r>
        <w:rPr>
          <w:rFonts w:ascii="IRNazanin" w:hAnsi="IRNazanin" w:eastAsia="IRNazanin"/>
          <w:color w:val="111111"/>
          <w:sz w:val="28"/>
          <w:sz w:val="28"/>
          <w:szCs w:val="28"/>
          <w:rtl w:val="true"/>
          <w:lang w:bidi="fa-IR"/>
        </w:rPr>
        <w:t>الکلّی، و کلّ واحد من الفاسخین له أن یصدر منه حلّ العقد الواقع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ولایة الأب و الجدّ علی الصغیر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جعل السلطنة لکلّ واحد منهما علی التصرّف فی ماله و تدبیر اموره، فلکلّ واحد منهما استیلاء علی ذلک غیر استیلاء الآخر، مثل وکالة کلّ واحد من زید و عمرو علی فعل واحد، لا أنّ هنا استیلاءً واحداً هو بتمامه للأب و بتمامه للجدّ، و حینئذٍ فلو سبق أحدهما فی التصرّف فی مال الصغیر نفذ، و لا تنافی ثبوت الاستیلاء لکلٍّ منهما، و لهذا لا تتعارض البیِّنتان لو قامت إحداهما علی ثبوت الولایة لأحد، و الاخری علی ثبوتها لشخص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قدس سره أورد علی نفسه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الاستقلال معنیً متقوِّم بأمر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له، و أمر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لیس لغیره، فکیف یمکن استقلال اثنین بشی‌ء واحد</w:t>
      </w:r>
      <w:r>
        <w:rPr>
          <w:rStyle w:val="FootnoteAnchor"/>
          <w:rtl w:val="true"/>
        </w:rPr>
        <w:footnoteReference w:id="4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ذکرنا أیضاً نحو من الاستقلال یطلق علیه لفظه، کما فی الواجب التخییری، فإنّه قسم من الواجب، و العینیّ قسم آخر منه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إنّما هو فی معنی الاستبداد و الاستقلال، و المدّعی هو أنّه یستفاد من الاستقلال بشی‌ء فی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و التسلّط علی منع الغیر عن التصرّف فیه، لا فی الألفاظ، و مجرّد تسمیة قسم آخر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الشی‌ء ملکه، لکن لیس له منع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فیما رامه، فالملکیّة الاستقلالیّة و الغیر الاستقلالیّة نوعان من الملکیّة، کما أنّ الواجب التخییری و التعیینی نوعان 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استقلال اثنین فی ملکیّة شی‌ء واحد، و قد عرفت امتناعه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استیلاؤهما تامّاً علی شی‌ء واحد فهو أیضاً لا یصحّ عند العرف و العقلاء، فإنّ الاختصاص و إن لم یکن مأخوذاً فی مفهوم الاستیلاء، لکنّه عندهم منحلّ إلی أمر</w:t>
      </w:r>
    </w:p>
    <w:p>
      <w:pPr>
        <w:pStyle w:val="BookText"/>
        <w:rPr/>
      </w:pP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استیلاؤه علی ما فی یده، و تسلّطه علی جمیع التصرّفات فیه، و أمر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استیلاء 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أمر اعتباریّ عقلائیّ یُنافیه مزاحمة الغیر فی التصرّف فی متعلّقه، و لهذا لا یتمّ للسلطان الاستیلاء التامّ علی حومة مملکته، إذا لم یتمکّن من منع السلطان الآخر من التصرّف فیه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عدم اعتبار العقلاء للاستیلاءین التامّین علی شی‌ء واحد لاثنین، سقط الوجهان الأوّلان عن الاعتبار فی مقام الإثبات، و هما فرض استیلاء کلّ واحد من اثنین تامّاً علی شی‌ء واحد، و کشفه عن الملکیّة التامّة لکل منهما لتمامه؛ سواء کان بلا تعارض بینهما، کما فی الوجه الأوّل، أم مع المعارضة بینهما، کما فی الوجه الثانی، و أمّا احتمال استیلاء کلّ واحد منهما علی النصف المشاع، فهو مبنیّ علی بیان معنی الإشاعة، و تصوّر الید علی النصف المشاع، و أنّه هل یمکن أو لا؟ و علی فرض عدم إمکانه یسقط احتمال بعض الوجوه المتقدّمة، و هو احتمال استیلاء کلّ واحد منهما علی النصف المشاع، و کاحتمال ملکیّة کلّ واحد منهما بنحو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ابتنی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الإشاعة علی مسألة الجزء، و أنّه إن قلنا ببطلان القول بالجزء اللّایتجزّی فهی معقولة متصوّرة، و إلّا فلا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صحّة هذا القول و إمکان ترکّب جزء من جواهر فردة لا تتجزّی، فینتهی تقسیماته إلی أجزاء غیر قابلة للقسمة، و مع عدم قبولها للقسمة، لا معنی للشرکة بنحو الإشاعة فیها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لو قلنا ببطلان هذا القول، و أنّ کلّ جزء یفرض منها قابل للقسمة، فیمکن الشرکة بنحو الإشاعة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عرفیّة عقلائیّة لیست مبتنیة علی تلک المسألة العقلیّة الدقیقة، التی لا یصل إلی فهمها الأکثرون، و لا ریب فی أنّ المعتبر هو نظر العرف فی تصوّر الشرکة بنحو الإشاعة فی شی‌ء واحد، کما لو مات شخص له ورثة، فإنّ أمواله و ترکته مشترکة بینهم بنحو الإشاعة عند العرف، و لذا لو سُئل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بالصحّة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تلک المسألة الشرعیّة، أجاب باشتراک الورثة فی ترکته بنحو الإشاعة، کما لا یخفی، فعلی فرض العجز عن تفسیر معنی الإشاعة و تحلیلها عقلًا، لا سبیل إلی إنکار مفهومها العرفیّ العقلائیّ الواضح، کما أنّ کثیراً من الموجودات کذلک؛ لا تصل أفهامنا إلی کُنهها و حقیقتها مع وضوح معانیها العرفیّة و مفاهیمها العقلائیّة، کالنور و الماء و نحوهما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تفسیرها فهی لیست من الحقائق الموجودة فی الخارج، فلیس الکسور التسعة من النصف و الثلث و غیرهما من الموجودات العینیّة بالضرورة؛ لأنّ الجسم موجود وحدانیّ لا تحقّق لکسوره التسعة فی الخارج، لأنّها مبهمة، و الوجود یُنافی الإبهام، فلا یمکن وجود شی‌ء فی الخارج بنحو الإبهام، و لیست أیضاً أمراً منتزعاً من الوجود الخارجیّ؛ بأن یکون الموجود فیه منشأَ انتزاعها؛ لعدم إمکان انتزاع معنیً مبهم عن موجود معیّن، بل هی من الاعتباریّات العقلائیّة الغیر المتحقّقة فی الخارج، و وعاء اعتبارها الذهن، لکنّها موجودة فی الخارج عند العرف و العقلاء، لا أنّها موجودة فیه واقعاً و حقیقةً، نظیر الإمکان و نحوه العارض علی الممکن فی الذهن، لا فی الخارج لاستحالته، لکن یتّصف الموجود فی الخارج به علی وجه، ففیما نحن فیه یتّصف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مملوک لزید، و زید مالکه، مع أنّ الملکیّة و المالکیّة لیستا من الحقائق المتحقّقة فیه، مع اتّصافه عند جمیع العقلاء بالمملوکیّة لزید فی الخارج اتّصافاً اعتباریّاً لا حقیقیّاً، و کذلک مثل الزوجیّة و الولدیّة و الحکومة المجعولة لشخص خارجیّ، فإنّها مع أنّها لیست من الحقائق العینیّة، یعتبر العقلاء اتّصاف الشخص بها</w:t>
      </w:r>
    </w:p>
    <w:p>
      <w:pPr>
        <w:pStyle w:val="BookText"/>
        <w:rPr/>
      </w:pPr>
      <w:r>
        <w:rPr>
          <w:rFonts w:ascii="IRNazanin" w:hAnsi="IRNazanin" w:eastAsia="IRNazanin"/>
          <w:color w:val="111111"/>
          <w:sz w:val="28"/>
          <w:sz w:val="28"/>
          <w:szCs w:val="28"/>
          <w:rtl w:val="true"/>
          <w:lang w:bidi="fa-IR"/>
        </w:rPr>
        <w:t>فی الخارج، فاعتبار النصف و الثلث و نحوهما لمثل الدار و نحوها و إن کان فی وعاء الذهن، لکن المعتَبر موجود فی الخارج اعتباراً، یعنی یعتبر العقلاء وجودها خارجاً فالبیت المشترک بین اثنین نصفان مشاعان موجودان فی الخارج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ذکر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فی ملحقات الحاشیة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ما لا یخلو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الکسر المشاع یقابل الکلّی فی المعین، و أمّا إرجاعه إلیه فإنّما هو من باب الإلجاء و عدم الوقوف علی حقیقته، بل الکسر المشاع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لأجله ربّما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اجتماعه مع السریان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غفل عن أنّ الموجود الخارجیّ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موجود بوجود ما بحذائه فی الخارج؛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بنفسه، و قسم موجود لا بذاته، و لیس له ما بحذاء فیه، بل بوجود منشأ انتزاعه، فالموجود بالذات فی هذا القسم هو منشأ الانتزاع، و أمّا الأمر الانتزاعیّ فموجود بالعرض و القوّة، مثل وجود المقبول بوجود القابل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القسم الأوّل، و هو النصف المعیّن من العین، و إمّا من القسم الثانی؛ بأن کان عنواناً لموجود بالقوّة، فهذا الموجود بالقوّة جزئیّ بجزئیّة منشأ انتزاعه، و له شیوع و سریان باعتبار قبوله لتعیّنات کثیرة، و لأجله تکون القسمة تعییناً للّامتعیّن من دون لزوم مبادلة و معاوضة بین أجزاء العین، و علیه فالمملوک بالذات لکلّ واحد من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النصف المشاع، و لیس لکلّ عین إلّا نصفان علی الإشاعة، بخلاف المالک لعین واحدة، فإنّ المملوک بالذات هو تلک العین، و یملک کسوره المشاعة بالعرض، عکس الأوّل</w:t>
      </w:r>
      <w:r>
        <w:rPr>
          <w:rStyle w:val="FootnoteAnchor"/>
          <w:rtl w:val="true"/>
        </w:rPr>
        <w:footnoteReference w:id="432"/>
      </w:r>
      <w:r>
        <w:rPr>
          <w:rFonts w:ascii="IRNazanin" w:hAnsi="IRNazanin" w:eastAsia="IRNazanin"/>
          <w:color w:val="111111"/>
          <w:sz w:val="28"/>
          <w:sz w:val="28"/>
          <w:szCs w:val="28"/>
          <w:rtl w:val="true"/>
          <w:lang w:bidi="fa-IR"/>
        </w:rPr>
        <w:t>، انتهی محصّله</w:t>
      </w:r>
      <w:r>
        <w:rPr>
          <w:rFonts w:eastAsia="IRNazanin" w:cs="IRNazanin"/>
          <w:color w:val="111111"/>
          <w:sz w:val="28"/>
          <w:szCs w:val="28"/>
          <w:rtl w:val="true"/>
          <w:lang w:bidi="fa-IR"/>
        </w:rPr>
        <w:t>.</w:t>
      </w:r>
      <w:bookmarkStart w:id="419" w:name="pg12898_148081"/>
    </w:p>
    <w:p>
      <w:pPr>
        <w:pStyle w:val="Heading6"/>
        <w:numPr>
          <w:ilvl w:val="5"/>
          <w:numId w:val="1"/>
        </w:numPr>
        <w:rPr/>
      </w:pPr>
      <w:bookmarkStart w:id="420" w:name="__RefHeading___Toc3234976_3224264995"/>
      <w:bookmarkStart w:id="421" w:name="_Toc157"/>
      <w:bookmarkEnd w:id="419"/>
      <w:bookmarkEnd w:id="420"/>
      <w:r>
        <w:rPr>
          <w:rtl w:val="true"/>
        </w:rPr>
        <w:t>أقول</w:t>
      </w:r>
      <w:r>
        <w:rPr>
          <w:rtl w:val="true"/>
        </w:rPr>
        <w:t xml:space="preserve">: </w:t>
      </w:r>
      <w:r>
        <w:rPr>
          <w:rtl w:val="true"/>
        </w:rPr>
        <w:t>فی کلامه مواقع للنظر و الإشکال</w:t>
      </w:r>
      <w:r>
        <w:rPr>
          <w:rtl w:val="true"/>
        </w:rPr>
        <w:t>:</w:t>
      </w:r>
      <w:bookmarkEnd w:id="42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الموجود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له بحذاء فی الخارج، و الثانی ما لیس کذلک، فهو صحیح لا غبار علیه، لکن النصف المعیّن لیس ممّا له ما بحذاء فی الخارج؛ و ذلک لأنّه لو کان له ما بحذاء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أنّه قبل القسمة و لو بالقسمة الوهمیّة، أو بعدها،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مستلزم للمحال، و إمّا للقول بالجزء و ترکّب الجسم من الجواهر الفردة؛ و ذلک لأنّ للجسم نصفاً و نصفَ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فإن انتهی إلی ما لا یقبل التنصیف و التقسیم، فقد ثبت فی محلّه بطلانه، و إن لم ینتهِ إلی ما لا یقبل التقسیم و التنصیف، بل له نصف و نصف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غیر النهایة، فهذه الکسور الغیر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لها ما بحذاء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الجسم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وجود موجودات غیر متناهیة فیه بالفعل فی الجسم المحصور المتناهی بین حاصرین، و هو ظاهر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للنصف المعیّن ما بحذاء فی الخارج بعد قسمة الجسم و لو وهماً، فهو أیضاً محال؛ لأنّه یلزم أن یکون لشی‌ء واحد، کحبّة 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ذاتیّاتها و صفاتها الذاتیّة اموراً کثیرة تقرب إلی ما لا نهایة له؛ و ذلک لأنّ الحبّة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الاثنتین، و ثلث الثلاث، و ربع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یصدق علیها کسور تقرب إلی ما لا نهایة له؛ باعتبار إضافتها إلی غیرها من الحبّات المختلفة بحسب العدد، فلو کان لجمیعها ما بحذاء فی الحبّة الخارجیّة یلزم ما ذکر، و هو أیضاً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المالک للنصف المشاع مالک له بالذات، و مالک للعین بالتبع؛ علی عکس مالکیّته لتمامه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لما استقرّ علیه بناء العقلاء؛ من عدم الفرق بین ملکیّة تمام العین و ملکیّة نصفها المشاع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الشخص مالک للعین الخارجیّة تماماً أو بعضاً، لا أنّه بالنسبة إلی ما یملکه بتمامه مالک له بالذات، و إلی ما یملکه من النصف</w:t>
      </w:r>
    </w:p>
    <w:p>
      <w:pPr>
        <w:pStyle w:val="BookText"/>
        <w:rPr/>
      </w:pPr>
      <w:r>
        <w:rPr>
          <w:rFonts w:ascii="IRNazanin" w:hAnsi="IRNazanin" w:eastAsia="IRNazanin"/>
          <w:color w:val="111111"/>
          <w:sz w:val="28"/>
          <w:sz w:val="28"/>
          <w:szCs w:val="28"/>
          <w:rtl w:val="true"/>
          <w:lang w:bidi="fa-IR"/>
        </w:rPr>
        <w:t>مالک للعین الخارجیّة بالعرض؛ کیف و لو کان کذلک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اشتری أحد الشریکین بنحو الإشاعة نصیب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ملکیّته بالعرض و التبعیّة إلی الملکیّة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باع مالکُ العینِ بتمامها نصفَها المشاع یلزم تبدُّل ملکیّته الذاتیّة إلی التبعیّة و العرضیّة، و هو کما تری؛ لا یتبادر ذلک إلی أذهان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الأمر المبهم و اللّامتعیّن من الموجود الخارجیّ المتعیّن غیرُ معقول؛ للزوم التناسب بین المنتزع و المنتزع عنه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من أنّ التقسیم عبارة عن تعیین اللامتعیّن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أیضاً ممنوع، فإنّ القسمة و إن لم تکن بیعاً، بل هی عنوان مستقلّ، لکن یلزمها المبادلة و المعاوضة بین أجزاء العین؛ لأنّ معنی الشرکة بنحو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جزء من أجزاء تلک العین الخارجیّة مشترک بین المالکین لها، فتقسیمها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بتعیین أحد طرفیها مثلًا لأحدهما، و الآخر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إلّا بمبادلة ما له فی هذا الطرف من نصف کلّ جزء منه بما للآخر فی الطرف الآخر من نصف کلّ جزء منه، و هو واضح، فما ذکره قدس سره أیضاً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النصف بعد القسمة الوهمیّة معنیً اعتباریّ، لا حقیقیّ؛ لیکون له ما بحذاء خارجیّ، و أمّا بعد القسمة الخارجیّة الواردة علی الجسم، فإطلاق النصف علی کلّ واحد من القسمین، إنّما هو باعتبار أنّ کلّ واحد منهما نصف المجموع، فهو متقوّم بالمجموع، و المجموع منهما بعد القسمة أمر اعتباریّ متحقّق باعتبار المعتبر، لا وجود له حقیقة بعد القسمة الخارجیّة؛ لأنّ الوجود یساوق الوحدة، و هو لیس کذلک، و المتقوّم بالأمر الاعتباریّ اعتباریّ أیضاً، فلیس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الموجودات الحقیقیّة الخارجیّة؛ أ لا تری أنّ الواحد یصدق علیه النصف إذا اعتبر مع الاثنین، و إلّا فهو لیس من صفاته الحقیقیّة الذاتیّة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المشاع موجود بالقوّة، قابل لتعیّنات و تقسیمات کثیرة فی</w:t>
      </w:r>
    </w:p>
    <w:p>
      <w:pPr>
        <w:pStyle w:val="BookText"/>
        <w:rPr/>
      </w:pPr>
      <w:r>
        <w:rPr>
          <w:rFonts w:ascii="IRNazanin" w:hAnsi="IRNazanin" w:eastAsia="IRNazanin"/>
          <w:color w:val="111111"/>
          <w:sz w:val="28"/>
          <w:sz w:val="28"/>
          <w:szCs w:val="28"/>
          <w:rtl w:val="true"/>
          <w:lang w:bidi="fa-IR"/>
        </w:rPr>
        <w:t>الجسم؛ باعتبار کثرة أنحاء التقسیم إلی الاثنین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القوّة ما ذهب إلیه المشّاءون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فی الجسم شیئاً به یقبل الانقسامات، و هی الهیولی، و إلّا فالصورة الجسمیّة بما هی غیر قابلة للقسمة، فالإشاعة عبارة عن الهیولی</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معترف بأنّه لیس للجسم إلّا نصفان مشاعان، فالجسم و إن أمکن تقسیمه إلیهما بأنحاء عدیدة، لکن بعد القسمة الخارجیّة إلیهما، یصیر اللّامتعیّن متعیّناً، فعلی ما ذکره لو کان جسم 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عمرو، و انقسم بنفسه و بلا اختیار إلی قسمین، لزم أن یتعیّن نصف کلّ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اشترک اثنان فی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الإشاعة، ثمّ قسّماها إلی نصفین، فلا محلّ هنا للقوّة المذکورة تقوم به، فإنّ الصُّبْرةَ موجوداتٌ کثیرةٌ حقیقةً، واحدةٌ اعتباراً، فحیث إنّ أجزاءها منفصلة ذاتاً لیس فیها قوّة قابلة للانفصال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قسّم الورثة ترکة مورِّثهم، فأخذ کلّ واحد منهم عیناً من الترکة، فإنّه یصیر المشترک مفروزاً حینئذٍ بضرورة الفقه، مع أنّه لیس هنا قوّة بین أفراد الترکة 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 صحیح فی الکمّ المتّصل، لا یرد علیه هذا الإشکال؛ لأنّ الحقّ مع المشّائین من وجود الهیولی، و أنّ الصورة تنعدم بالقسمة، و توجد صورتان متعدّدتان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الهیولی جوهر و محض القوّة، و لیس فیها الإشاعة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ما عرفت فی معنی الإشاعة، و أنّ النصف المشاع و نحوه و إن لم یکن موجوداً بنفسه فی الخارج حقیقةً، و لا بمنشإ انتزاعه، لکنّه موجود فیه اعتباراً؛ یعنی یعتبر العقلاء وجوده فیه، و الفرق بینه و بین الکلّی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موجود فی الخارج</w:t>
      </w:r>
    </w:p>
    <w:p>
      <w:pPr>
        <w:pStyle w:val="BookText"/>
        <w:rPr/>
      </w:pPr>
      <w:r>
        <w:rPr>
          <w:rFonts w:ascii="Amiri" w:hAnsi="Amiri" w:eastAsia="Amiri" w:cs="Amiri"/>
          <w:color w:val="111111"/>
          <w:sz w:val="28"/>
          <w:sz w:val="28"/>
          <w:szCs w:val="28"/>
          <w:rtl w:val="true"/>
          <w:lang w:bidi="ar-SA"/>
        </w:rPr>
        <w:t>اعتباراً، فهو جزئیّ، بخلاف الکلّی فی المعیّن، فإنّه کلّیّ، مثل سائر الکلّیّات المقیّدة کالإنسان الأبیض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أنّ المشاع معنیً متصوّر موجود فی الخارج اعتباراً من العقلاء لا حقیقة،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فی الأقسام الثلاثة الباقیة المتصوّرة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لو استولی کلّ واحد منهما علی النصف المشاع ناقصاً؛ سواء کان کاشفاً عن الملکیّة الناقصة له، أم عن ملکیّة النصف المشاع تماماً، و ما لو فرض استیلاء کلٍّ منهما علی نصف الشی‌ء مشاعاً تامّاً، سواء کان کاشفاً عن ملکیّته الناقصة، أم کاشفاً عن ملکیّة نصفه المشاع ناقصاً، و ما لو استولی کلّ واحد منهما علی النصف المشاع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الصورة الثالثة فیما تقدّم فی صدر هذا المبحث، الثانیة هاهنا؛ أی استیلاء کلٍّ منهما علی النصف المشاع استیلاءً تامّاً و کشفه عن ملکیّته کذلک؛ لموافقة العرف و العقلاء علی ذلک؛ لأنّ التصرّف الخارجی من کلّ واحد من الشریکین فی المال المشترک، و إن یتوقّف علی إذن الآخر، لکنّه لیس لأجل عدم استیلائه و سلطنته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النصف المشاع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 مستلزم للتصرّف فی مال الشریک الآخر، فیتوقّف علی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یجوز له التصرّفات الغیر المستلزمة لذلک، کبیعه و هبته و نحوهما، فإنّها لا تتوقّف علی إذن الشریک الآخر، و یکشف ذلک عن استیلائه التامّ علی تمام نصفه المشاع، الکاشف عن ملکیّته التامّة له، و لا معنی لاستیلائه علی تمام العین الخارجیّة ناقصاً و لا ملکیّته لها کذلک؛ لوضوح عدم استیلاء الإنسان علی مال غیره و ملکیّته له و لو ناقصاً، کما فی الوجهین الآخرین من الوجوه الثلاثة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استیلاء اثنین علی عین خارجیّة، و أنّه یستأذن فی مقام العمل کلّ واحد منهما من الآخر فی التصرّفات الخارجیّة فیها، و شکّ فی أنّهما شریکان فیها، أو أنّها لأحدهما، فالظاهر کشف استیلاء کلّ واحد منهما علی نصفها المشاع عن ملکیّته للنصف کذلک؛ لأنّ کلّ واحد من الیدین أمارة علی ملکیّته للنصف</w:t>
      </w:r>
      <w:bookmarkStart w:id="422" w:name="pg12898_148085"/>
    </w:p>
    <w:p>
      <w:pPr>
        <w:pStyle w:val="BookText"/>
        <w:rPr/>
      </w:pPr>
      <w:bookmarkEnd w:id="422"/>
      <w:r>
        <w:rPr>
          <w:rFonts w:ascii="IRNazanin" w:hAnsi="IRNazanin" w:eastAsia="IRNazanin"/>
          <w:color w:val="111111"/>
          <w:sz w:val="28"/>
          <w:sz w:val="28"/>
          <w:szCs w:val="28"/>
          <w:rtl w:val="true"/>
          <w:lang w:bidi="fa-IR"/>
        </w:rPr>
        <w:t>المشاع؛ لما عرفت من أنّه لا معنی لکشفه عن الملکیّة الناقصة لتمام العین، و لا مجال للقول بعدم کشفها عن الملکیّة أصلًا، فلو ادّعی أحدهما ملکیّته لتمامها فعلیه إقامة البیّنة علی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نصفه المشاع، الذی ید الغیر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القاضی</w:t>
      </w:r>
      <w:r>
        <w:rPr>
          <w:rFonts w:eastAsia="IRNazanin" w:cs="IRNazanin"/>
          <w:color w:val="111111"/>
          <w:sz w:val="28"/>
          <w:szCs w:val="28"/>
          <w:rtl w:val="true"/>
          <w:lang w:bidi="fa-IR"/>
        </w:rPr>
        <w:t>.</w:t>
      </w:r>
    </w:p>
    <w:p>
      <w:pPr>
        <w:pStyle w:val="Heading6"/>
        <w:numPr>
          <w:ilvl w:val="5"/>
          <w:numId w:val="1"/>
        </w:numPr>
        <w:rPr/>
      </w:pPr>
      <w:bookmarkStart w:id="423" w:name="__RefHeading___Toc3234978_3224264995"/>
      <w:bookmarkStart w:id="424" w:name="_Toc158"/>
      <w:bookmarkEnd w:id="423"/>
      <w:r>
        <w:rPr>
          <w:rtl w:val="true"/>
        </w:rPr>
        <w:t>الأمر السابع</w:t>
      </w:r>
      <w:r>
        <w:rPr>
          <w:rtl w:val="true"/>
        </w:rPr>
        <w:t xml:space="preserve">: </w:t>
      </w:r>
      <w:r>
        <w:rPr>
          <w:rtl w:val="true"/>
        </w:rPr>
        <w:t>فی إقامة الدعوی علی ذی الید و فروعها</w:t>
      </w:r>
      <w:bookmarkEnd w:id="424"/>
    </w:p>
    <w:p>
      <w:pPr>
        <w:pStyle w:val="Heading6"/>
        <w:numPr>
          <w:ilvl w:val="5"/>
          <w:numId w:val="1"/>
        </w:numPr>
        <w:rPr/>
      </w:pPr>
      <w:bookmarkStart w:id="425" w:name="__RefHeading___Toc3234980_3224264995"/>
      <w:bookmarkStart w:id="426" w:name="_Toc159"/>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لو ادّعی أحد ملکیّة ما فی ید الآخر، و علم الحاکم بکونه مالکاً له سابقاً، أو قامت البیّنة علی ملکیّته السابقة له، و سکت ذو الید عنه، مع دعواه ملکیّته له فعلًا فقط، فلا إشکال فی أنّ یده مقدّمة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تقدّمها علی علم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علمه بملکیّته فی الزمان السابق لا یترتّب علیه أثر، و لا یجوز له الحکم علی ذلک؛ لأنّ ما هو المختلف فیه بین العلماء</w:t>
      </w:r>
      <w:r>
        <w:rPr>
          <w:rStyle w:val="FootnoteAnchor"/>
          <w:rtl w:val="true"/>
        </w:rPr>
        <w:footnoteReference w:id="434"/>
      </w:r>
      <w:r>
        <w:rPr>
          <w:rFonts w:ascii="IRNazanin" w:hAnsi="IRNazanin" w:eastAsia="IRNazanin"/>
          <w:color w:val="111111"/>
          <w:sz w:val="28"/>
          <w:sz w:val="28"/>
          <w:szCs w:val="28"/>
          <w:rtl w:val="true"/>
          <w:lang w:bidi="fa-IR"/>
        </w:rPr>
        <w:t>من جواز حکم الحاکم علی طبق علمه و عدمه، إنّما هو فیما إذا علم بصدق المدّعی للملکیّة فعلًا، و المفروض أنّ الحاکم لا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تقدّمها علی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المنافاة بینهما؛ لإمکان صدق البیّنة وذی الید معاً، و لا مجال أیضاً لاستصحاب ملکیّته السابقة؛ لما عرفت من تقدّم البیّنة و غیرها من الأمارات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أقرّ ذو الید بملکیّته السابقة مع دعواه ملکیّته نفسه له فعلًا، و لعلّ هذا هو المنشأ لوقوع البحث بین الأعلام فی قاعدة الید و 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فی المقام أربع صور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أقرّ ذو الید بملکیّته السابقة مع دعواه انتقاله إلیه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مع دعوی انتقاله منه إلی ثالث، ثمّ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بذلک، و ادّعی ملکیّته فعلًا، و نفی انتقاله إلی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لکن بدون نفی انتقاله إلی ثالث، بل سکت عن ذلک، و اقتصر علی دعوی ملکیّته فعلًا، ففی انقلاب الدعوی بإقراره له أی للغیر ملکیّته السابقة فی جمیع تلک الصور الأربع، فیصیر المدّعی منکراً و المنکر مدّعیاً، فیصیر ذو الید مدّعیاً و الآخر منکراً، علی عکس ما لو لم یقرّ بذلک، و عدمه فی جمیعها، و تبقی الدعوی بحالها، أو التفصیل بین الوجوه المذکورة؛ بانقلاب الدعوی فی بعضها دون بعض آخر منها،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ورد مستفیضاً، بل متواتراً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البیّنة علی المدّعی و الیمین علی من ادّعی علیه</w:t>
      </w:r>
      <w:r>
        <w:rPr>
          <w:rFonts w:eastAsia="IRNazanin" w:cs="IRNazanin"/>
          <w:color w:val="111111"/>
          <w:sz w:val="28"/>
          <w:szCs w:val="28"/>
          <w:rtl w:val="true"/>
          <w:lang w:bidi="fa-IR"/>
        </w:rPr>
        <w:t>)</w:t>
      </w:r>
    </w:p>
    <w:p>
      <w:pPr>
        <w:pStyle w:val="BookText"/>
        <w:rPr/>
      </w:pPr>
      <w:r>
        <w:rPr>
          <w:rStyle w:val="FootnoteAnchor"/>
          <w:rtl w:val="true"/>
        </w:rPr>
        <w:footnoteReference w:id="43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w:t>
      </w:r>
      <w:r>
        <w:rPr>
          <w:rFonts w:eastAsia="IRNazanin" w:cs="IRNazanin"/>
          <w:color w:val="111111"/>
          <w:sz w:val="28"/>
          <w:szCs w:val="28"/>
          <w:rtl w:val="true"/>
          <w:lang w:bidi="fa-IR"/>
        </w:rPr>
        <w:t>)</w:t>
      </w:r>
    </w:p>
    <w:p>
      <w:pPr>
        <w:pStyle w:val="BookText"/>
        <w:rPr/>
      </w:pPr>
      <w:r>
        <w:rPr>
          <w:rStyle w:val="FootnoteAnchor"/>
          <w:rtl w:val="true"/>
        </w:rPr>
        <w:footnoteReference w:id="436"/>
      </w:r>
      <w:r>
        <w:rPr>
          <w:rFonts w:ascii="IRNazanin" w:hAnsi="IRNazanin" w:eastAsia="IRNazanin"/>
          <w:color w:val="111111"/>
          <w:sz w:val="28"/>
          <w:sz w:val="28"/>
          <w:szCs w:val="28"/>
          <w:rtl w:val="true"/>
          <w:lang w:bidi="fa-IR"/>
        </w:rPr>
        <w:t>، علی اختلاف التعبیر فی الأخبار، و لا اختلاف فی ذلک بین الأصحاب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الاختلاف فی تشخیص المدّعی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موکول إلی نظر العرف، کما فی موضوعات الأحکام و الخطابات الشرعیّة، إلّا فیما لو قام الدلیل علی تصرّف الشارع فی الموضوع، کالسفر الموضوع لوجوب القصر و نحوه، أو أنّه لیس کسائر الموضوعات التی تشخیصها بنظر العرف؟</w:t>
      </w:r>
    </w:p>
    <w:p>
      <w:pPr>
        <w:pStyle w:val="BookText"/>
        <w:rPr/>
      </w:pPr>
      <w:r>
        <w:rPr>
          <w:rFonts w:ascii="IRNazanin" w:hAnsi="IRNazanin" w:eastAsia="IRNazanin"/>
          <w:color w:val="111111"/>
          <w:sz w:val="28"/>
          <w:sz w:val="28"/>
          <w:szCs w:val="28"/>
          <w:rtl w:val="true"/>
          <w:lang w:bidi="fa-IR"/>
        </w:rPr>
        <w:t>الحقّ هو الأوّل؛ لعدم الفرق بینه و بین سائر الموضوعات فی الخطابات الشرعیّة، و عدم قیام الدلیل علی دخْل الشارع و تصرّفه فیه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تحدیدهما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لو تَرک تُرک، و المنکر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قوله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الحجّة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هو الموافق قوله 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ارید التحدید العرفی منهما فلا بأس به، لکن المرجع مع الاختلاف فی بعض الموارد هو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الملاک فی تشخیصهما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وافقه العرف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یحتاج إلی الدلیل، 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المناط فی تشخیص المدّعی و المنکر هو مصبّ الدعوی لا النتیجة، و یلزمه انقلاب الدعوی فی الصورة الاولی بالإقرار المذکور، فیصیر المدّعی منکراً،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لانتقال المال إلیه، و یلزمه حکم الحاکم علی طبق دعوی الانتقال و إنکاره، لا دعوی الملکیّة الفعلیّة، و 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المیزان و المناط فی تشخیص المدّعی و المنکر هی النتیجة، فإنّ الواجب علی الحاکم الحکم علی طبق دعوی الملکیّة الفعلیّة و إنکارها، و لا تنقلب الدعوی فی شی‌ء من الصور، لکن حیث إنّ المناط مصبّ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تنقلب الدعوی بالإقرار المذکور فی الصورة الاولی من الصور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تنقلب الدعوی فیها؛ لأنّ مصبّ الدعوی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ذا الید مدّعٍ لانتقاله منه إلی ثالث، و من الثالث إلیه، و لیس لتلک الدعوی أثر؛ لأنّها للغیر، و لا معنی لحکم الحاکم علی طبقها، و حینئذٍ فاللّازم الحکم علی طبق دعوی الملکیّة الفعلیّة و إنکارها، فالدعوی باقیة بحالها؛ کما لو لم یقرّ بذلک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فانقلاب الدعوی فیها و عدمه مبنیّان علی أنّ لوازم</w:t>
      </w:r>
      <w:bookmarkStart w:id="427" w:name="pg12898_148088"/>
    </w:p>
    <w:p>
      <w:pPr>
        <w:pStyle w:val="BookText"/>
        <w:rPr/>
      </w:pPr>
      <w:bookmarkEnd w:id="427"/>
      <w:r>
        <w:rPr>
          <w:rFonts w:ascii="IRNazanin" w:hAnsi="IRNazanin" w:eastAsia="IRNazanin"/>
          <w:color w:val="111111"/>
          <w:sz w:val="28"/>
          <w:sz w:val="28"/>
          <w:szCs w:val="28"/>
          <w:rtl w:val="true"/>
          <w:lang w:bidi="fa-IR"/>
        </w:rPr>
        <w:t>الکلام هل هی دخیلة فی تشخیص المدّعی و المنکر عند العرف، و حینئذٍ فلازم إقراره له بالملکیّة السابقة، مع نفی انتقاله إلی ثالث، و سکوته عن انتقاله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مدّعٍ لانتقاله منه إلیه عرفاً، أو لا، فعلی الأوّل تنقلب الدعوی، و علی الثانی هی باقیة بحالها؟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فالدعوی فیها أیضاً باقیة علی حالها لا تنقلب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هو التفصیل بین الوجوه المذکورة فما ذهب إلیه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انقلاب الدعوی بمجرّد الإقرار له علی الملکیّة السابقة بنحو الإطلاق، مع استناده إلی المحکیّ</w:t>
      </w:r>
      <w:r>
        <w:rPr>
          <w:rStyle w:val="FootnoteAnchor"/>
          <w:rtl w:val="true"/>
        </w:rPr>
        <w:footnoteReference w:id="438"/>
      </w:r>
      <w:r>
        <w:rPr>
          <w:rFonts w:ascii="IRNazanin" w:hAnsi="IRNazanin" w:eastAsia="IRNazanin"/>
          <w:color w:val="111111"/>
          <w:sz w:val="28"/>
          <w:sz w:val="28"/>
          <w:szCs w:val="28"/>
          <w:rtl w:val="true"/>
          <w:lang w:bidi="fa-IR"/>
        </w:rPr>
        <w:t>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انتزاع المال من ذی الید و تسلیمه إلی المدّعی؛ لانقلاب الدعوی</w:t>
      </w:r>
      <w:r>
        <w:rPr>
          <w:rStyle w:val="FootnoteAnchor"/>
          <w:rtl w:val="true"/>
        </w:rPr>
        <w:footnoteReference w:id="439"/>
      </w:r>
      <w:r>
        <w:rPr>
          <w:rFonts w:ascii="IRNazanin" w:hAnsi="IRNazanin" w:eastAsia="IRNazanin"/>
          <w:color w:val="111111"/>
          <w:sz w:val="28"/>
          <w:sz w:val="28"/>
          <w:szCs w:val="28"/>
          <w:rtl w:val="true"/>
          <w:lang w:bidi="fa-IR"/>
        </w:rPr>
        <w:t>، غیر وجیه</w:t>
      </w:r>
      <w:r>
        <w:rPr>
          <w:rFonts w:eastAsia="IRNazanin" w:cs="IRNazanin"/>
          <w:color w:val="111111"/>
          <w:sz w:val="28"/>
          <w:szCs w:val="28"/>
          <w:rtl w:val="true"/>
          <w:lang w:bidi="fa-IR"/>
        </w:rPr>
        <w:t>.</w:t>
      </w:r>
    </w:p>
    <w:p>
      <w:pPr>
        <w:pStyle w:val="Heading6"/>
        <w:numPr>
          <w:ilvl w:val="5"/>
          <w:numId w:val="1"/>
        </w:numPr>
        <w:rPr/>
      </w:pPr>
      <w:bookmarkStart w:id="428" w:name="__RefHeading___Toc3234982_3224264995"/>
      <w:bookmarkStart w:id="429" w:name="_Toc160"/>
      <w:bookmarkEnd w:id="428"/>
      <w:r>
        <w:rPr>
          <w:rtl w:val="true"/>
        </w:rPr>
        <w:t>حول الاحتجاج فی أمر فدک</w:t>
      </w:r>
      <w:bookmarkEnd w:id="429"/>
    </w:p>
    <w:p>
      <w:pPr>
        <w:pStyle w:val="Heading6"/>
        <w:numPr>
          <w:ilvl w:val="5"/>
          <w:numId w:val="1"/>
        </w:numPr>
        <w:rPr/>
      </w:pPr>
      <w:bookmarkStart w:id="430" w:name="__RefHeading___Toc3234984_3224264995"/>
      <w:bookmarkStart w:id="431" w:name="_Toc161"/>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و حینئذٍ فهنا إشکال فقهیّ متوجّه علی القول بانقلاب الدعوی بالإقرار علی الملکیّة السابقة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ینافیه</w:t>
      </w:r>
    </w:p>
    <w:p>
      <w:pPr>
        <w:pStyle w:val="BookText"/>
        <w:rPr/>
      </w:pPr>
      <w:r>
        <w:rPr>
          <w:rFonts w:ascii="IRNazanin" w:hAnsi="IRNazanin" w:eastAsia="IRNazanin"/>
          <w:color w:val="111111"/>
          <w:sz w:val="28"/>
          <w:sz w:val="28"/>
          <w:szCs w:val="28"/>
          <w:rtl w:val="true"/>
          <w:lang w:bidi="fa-IR"/>
        </w:rPr>
        <w:t xml:space="preserve">ما ورد من احتجاج أمیر المؤمنین علیه السلام علی أبی بکر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علیه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تحکم فینا بخلاف حکم اللَّه فی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ید المسلمین شی‌ء یملکونه، ادّعیتُ أنا فیه من تسأل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کنتُ أسأل البیّنة علی ما تدّعیه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فی یدی شی‌ء، فادّعی فیه المسلمون، تسألنی البیّنة علی ما فی یدی و قد ملکتُه فی حیاة رسول اللَّه صلی الله علیه و آله و سلم و بعده، و لم تسأل المؤمنین البیّنة علی ما ادّعوا علَیَّ کما سألتنی البیّنة</w:t>
      </w:r>
      <w:r>
        <w:rPr>
          <w:rFonts w:eastAsia="IRNazanin" w:cs="IRNazanin"/>
          <w:color w:val="111111"/>
          <w:sz w:val="28"/>
          <w:szCs w:val="28"/>
          <w:rtl w:val="true"/>
          <w:lang w:bidi="fa-IR"/>
        </w:rPr>
        <w:t>)</w:t>
      </w:r>
    </w:p>
    <w:p>
      <w:pPr>
        <w:pStyle w:val="BookText"/>
        <w:rPr/>
      </w:pPr>
      <w:r>
        <w:rPr>
          <w:rStyle w:val="FootnoteAnchor"/>
          <w:rtl w:val="true"/>
        </w:rPr>
        <w:footnoteReference w:id="440"/>
      </w:r>
      <w:r>
        <w:rPr>
          <w:rFonts w:ascii="IRNazanin" w:hAnsi="IRNazanin" w:eastAsia="IRNazanin"/>
          <w:color w:val="111111"/>
          <w:sz w:val="28"/>
          <w:sz w:val="28"/>
          <w:szCs w:val="28"/>
          <w:rtl w:val="true"/>
          <w:lang w:bidi="fa-IR"/>
        </w:rPr>
        <w:t>؟ و ذلک لأنّ فاطمة علیها سلام اللَّه تعالی قد أقرّت بأنّ فدکاً کانت لرسول اللَّه صلی الله علیه و آله و سلم، و ادّعت أنّها نحلة، فلو کان الإقرار موجباً للانقلاب، فمطالبة أبی بکر بالبیّنة منها علیها السلام فی محلّها، مع اعتراض أمیر المؤمنین علی ذلک، فیظهر منه عدم انقلاب الدعوی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الاستاذ الحائری و الفقیه الهمدانی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إنّما یتوجّه لو کان أبو بکر منکراً لدعواها؛ لیقع المنکر فی مقابل المدّعی، و لکنّه لم ینکر ذلک فی تلک القضیّة و لا غیره من المسلمین؛ حتّی تلزمها علیها السلام البیّنة، بل ذکر أبو بکر عذراً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فی‌ء للمسلمین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نظیر الدعوی علی المورث مع إظهار الورثة عدم العلم بذلک، و حینئذٍ فالدعوی فی تلک القضیّة باقیة بحالها؛ کما کانت علیه أوّلًا لا تنقلب عنه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 بما لا یخلو عن الإشکال، فإنّه قدس سره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إقرار الصِّدِّیقة علیها السلام بأنّ فدکاً کانت لرسول اللَّه صلی الله علیه و آله و سلم،</w:t>
      </w:r>
    </w:p>
    <w:p>
      <w:pPr>
        <w:pStyle w:val="BookText"/>
        <w:rPr/>
      </w:pPr>
      <w:r>
        <w:rPr>
          <w:rFonts w:ascii="IRNazanin" w:hAnsi="IRNazanin" w:eastAsia="IRNazanin"/>
          <w:color w:val="111111"/>
          <w:sz w:val="28"/>
          <w:sz w:val="28"/>
          <w:szCs w:val="28"/>
          <w:rtl w:val="true"/>
          <w:lang w:bidi="fa-IR"/>
        </w:rPr>
        <w:t>لا یوجب انقلاب الدعوی، فإنّه علی فرض صحّة الروایة عنه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w:t>
      </w:r>
    </w:p>
    <w:p>
      <w:pPr>
        <w:pStyle w:val="BookText"/>
        <w:rPr/>
      </w:pPr>
      <w:r>
        <w:rPr>
          <w:rStyle w:val="FootnoteAnchor"/>
          <w:rtl w:val="true"/>
        </w:rPr>
        <w:footnoteReference w:id="442"/>
      </w:r>
      <w:r>
        <w:rPr>
          <w:rFonts w:ascii="IRNazanin" w:hAnsi="IRNazanin" w:eastAsia="IRNazanin"/>
          <w:color w:val="111111"/>
          <w:sz w:val="28"/>
          <w:sz w:val="28"/>
          <w:szCs w:val="28"/>
          <w:rtl w:val="true"/>
          <w:lang w:bidi="fa-IR"/>
        </w:rPr>
        <w:t>إلی آخره، لیس إقرارها علیها السلام کإقرار ذی الید بأنّ المال کان لمن یرثه المدّعی، فإنّ انتقال الملک إلی المسلمین لیس کانتقال الملک من المورّث إلی الورثة؛ لأنّه إنّما یکون بتبدیل أصل الإضافة، نظیر انتقال الملک من الواهب إلی المتّهب، و من الموصی إلی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الإضافة الخاصّة القائمة بین المالک و المملوک، فللملکیّة طرفان المالک و المملوک، و تبدّل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طرف المملوک، کما فی عقود المعاوضات، فإنّ التبدّل فی البیع إنّما هو من طرف المملوک فقط، مع بقاء المالک علی ما هو علیه، غایة الأمر أنّه قبل البیع کان طرف الإضافة للمبیع و بعده للثمن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طرف المالک کالإرث، فإنّ التبدّل فیه إنّما هو من طرف المالک، مع بقاء المملوک علی ما هو علیه، غایة الأمر أنّه کان قبل موت المورِّث هو طرف الإضافة نفسه، و بعد موته یقوم الوارث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بتبدیل أصل الإضافة؛ بمعنی أنّه تنعدم الإضافة القائمة بین المالک و المملوک، و تحدث إضافة اخری للمالک، کما فی الهبة، فإنّ انتقال المال فیها لیس مثل الإرث و لا مثل البیع، بل هی إعدام إضافة و إیجاد إضافة اخری، و کذلک الوصیّة التملیکیّة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ما کان للنبیّ صلی الله علیه و آله و سلم إلی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الخبر المجعول</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الأنبیاء لا نورِّث درهماً و لا دیناراً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فی طرقنا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 اختلاف یسیر فی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الأنبیاء لیس جمع الدنانیر و الدراهم حتّی یُورِّثوا کما هو شأن أبناء الدُّنیا، و إنّما جعلوه و ألحقوه بالخبر لغرض غصب فدک بذلک لإغفال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کانتقال المال من الوارث، بل هو أشبه بانتقال المال الموصی به إلی</w:t>
      </w:r>
      <w:bookmarkStart w:id="432" w:name="pg12898_148091"/>
    </w:p>
    <w:p>
      <w:pPr>
        <w:pStyle w:val="BookText"/>
        <w:rPr/>
      </w:pPr>
      <w:bookmarkEnd w:id="432"/>
      <w:r>
        <w:rPr>
          <w:rFonts w:ascii="IRNazanin" w:hAnsi="IRNazanin" w:eastAsia="IRNazanin"/>
          <w:color w:val="111111"/>
          <w:sz w:val="28"/>
          <w:sz w:val="28"/>
          <w:szCs w:val="28"/>
          <w:rtl w:val="true"/>
          <w:lang w:bidi="fa-IR"/>
        </w:rPr>
        <w:t>الموصی له؛ ضرورة أنّ المسلمین لا یرثون المال من النبیّ صلی الله علیه و آله و سلم، غایته أنّ أمواله صلی الله علیه و آله و سلم بعد ارتحاله تُصرف إلی مصالحهم، فإنّ انتقال المال إلیهم أسوأ حالًا من انتقاله من الموصی إلی الموصی له، و لا أقلّ من أنّه مثله، و من المعلوم أنّ إقرار ذی الید بأنّ المال کان ملکاً لمن یرثه المدّعی، إنّما یوجب انقلاب الدعوی من حیث إنّ الإقرار للمورِّث إقرار للوارث؛ لقیام الوارث مقامه فی طرف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إقرارهم إنّما یوجب انقلاب الدعوی إذا کان المسلمون یقومون مقامه صلی الله علیه و آله و سلم</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عدم انقلاب الدعوی و لو مع فرض کون أبی بکر منکراً لدعواها</w:t>
      </w:r>
      <w:r>
        <w:rPr>
          <w:rFonts w:eastAsia="IRNazanin" w:cs="IRNazanin"/>
          <w:color w:val="111111"/>
          <w:sz w:val="28"/>
          <w:szCs w:val="28"/>
          <w:rtl w:val="true"/>
          <w:lang w:bidi="fa-IR"/>
        </w:rPr>
        <w:t>.</w:t>
      </w:r>
    </w:p>
    <w:p>
      <w:pPr>
        <w:pStyle w:val="Heading6"/>
        <w:numPr>
          <w:ilvl w:val="5"/>
          <w:numId w:val="1"/>
        </w:numPr>
        <w:rPr/>
      </w:pPr>
      <w:bookmarkStart w:id="433" w:name="__RefHeading___Toc3234986_3224264995"/>
      <w:bookmarkStart w:id="434" w:name="_Toc162"/>
      <w:bookmarkEnd w:id="433"/>
      <w:r>
        <w:rPr>
          <w:rtl w:val="true"/>
        </w:rPr>
        <w:t>و فی کلامه قدس سره مواقع للنظر و الإشکال</w:t>
      </w:r>
      <w:r>
        <w:rPr>
          <w:rtl w:val="true"/>
        </w:rPr>
        <w:t>:</w:t>
      </w:r>
      <w:bookmarkEnd w:id="43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انتقال المال فی الإرث عبارة عن قیام الوارث مقام المورِّث و نیابته عنه، کما ذهب إلیه بعض من قبله، و لعلّ منشأه فرض مسألة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ما لو فرض أنّه صار حیّاً بعد موته، فهل ترجع أمواله من الورثة إلیه، أو لا؟ فلو صار المال منتقلًا إلی الورثة بموته، لزم عدم عوده إلیه بعد حیاته، مع أنّه بعید، فللذبّ عن هذا الإشکال التزموا بعدم انتقال المال إلی ملک الورثة، بل هو باقٍ بحاله، و أنّ الوارث یقوم مقامه و نائب عنه، فمع فرض حیاته بعد موته فهو المالک؛ لوجود المبدل و المنوب عنه، فلا یقوم البدل و النائب مقامه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کما تری مخالف للسان أدلّة الإرث و ارتکاز العرف و العقلاء، فالمتّبع فی</w:t>
      </w:r>
    </w:p>
    <w:p>
      <w:pPr>
        <w:pStyle w:val="BookText"/>
        <w:rPr/>
      </w:pPr>
      <w:r>
        <w:rPr>
          <w:rFonts w:ascii="Amiri" w:hAnsi="Amiri" w:eastAsia="Amiri" w:cs="Amiri"/>
          <w:color w:val="111111"/>
          <w:sz w:val="28"/>
          <w:sz w:val="28"/>
          <w:szCs w:val="28"/>
          <w:rtl w:val="true"/>
          <w:lang w:bidi="ar-SA"/>
        </w:rPr>
        <w:t>مثل تلک الموارد هو لسان الأدلّة، و أدلّة الإرث صریحة فی انتقال المال إلی الورثة،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نَصِیبٌ مِمَّا تَرَکَ الْوالِدانِ </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إلی آخره، 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ترکه المیّت من حقّ أو مال فهو لوارثه</w:t>
      </w:r>
      <w:r>
        <w:rPr>
          <w:rFonts w:eastAsia="IRNazanin" w:cs="IRNazanin"/>
          <w:color w:val="111111"/>
          <w:sz w:val="28"/>
          <w:szCs w:val="28"/>
          <w:rtl w:val="true"/>
          <w:lang w:bidi="fa-IR"/>
        </w:rPr>
        <w:t>)</w:t>
      </w:r>
    </w:p>
    <w:p>
      <w:pPr>
        <w:pStyle w:val="BookText"/>
        <w:rPr/>
      </w:pPr>
      <w:r>
        <w:rPr>
          <w:rStyle w:val="FootnoteAnchor"/>
          <w:rtl w:val="true"/>
        </w:rPr>
        <w:footnoteReference w:id="446"/>
      </w:r>
      <w:r>
        <w:rPr>
          <w:rFonts w:ascii="IRNazanin" w:hAnsi="IRNazanin" w:eastAsia="IRNazanin"/>
          <w:color w:val="111111"/>
          <w:sz w:val="28"/>
          <w:sz w:val="28"/>
          <w:szCs w:val="28"/>
          <w:rtl w:val="true"/>
          <w:lang w:bidi="fa-IR"/>
        </w:rPr>
        <w:t>، فإنّها تدلّ علی أنّ الإرث مثل سائر المعاوضات فی انتقال المال إلی الوارث، و أنّه یصیر ملکاً له، لا فرق بینه و بینها فی ذلک أصلًا؛ کیف و لو کان الأمر کما ذکره،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فرض تعدّد الورثة للمیّت کالابن و البنت و الزوجة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نیابة الزوجة عن زوجها فی ثُمُن ماله، و الابن عنه فی ثلثی الباقی، و البنت فی باقیه، و هو أیضاً مخالف لما هو المرتکز فی أذهان العرف و العقلاء و مستنکر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الوصیّة التملیکیّة 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إعدام إضافة و إیجاد إضافة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ما ذکره قدس سره یلزم إعدام تلک الإضافة قبل إیجاد الإضافة الثانیة، و حینئذٍ یصیر الواهب و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بإعدام الإضافة التی بینه و بین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أجنبیّاً صِرفاً، لا یتمکّن من إیجاد الإضافة الثانیة بینه و بین المتهب و الموصی له، فلا معنی محصّل لما ذکره، و لو أنّه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نقل تلک الإضافة و انتقالها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إنّما یلزم انقلاب الدعوی فیما نحن فیه بالإقرار لو کان المسلمون ورثة 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یتمّ لو کان إنشاء الدعوی علی المیّت إنشاءً لها علی ورثته، و أنّ مدّعی دینٍ علی المیّت مدّعٍ علی الورثة عرفاً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ممنوع؛ لعدم الدلیل علی عموم تنزیل الوارث مقام المورِّث و نیابته عنه فی جمیع شئونه؛ لیشمل مثل ذلک، مع أنّ الدعوی المذکورة دعوی علی المیّت عرفاً؛ لأنّه</w:t>
      </w:r>
    </w:p>
    <w:p>
      <w:pPr>
        <w:pStyle w:val="BookText"/>
        <w:rPr/>
      </w:pPr>
      <w:r>
        <w:rPr>
          <w:rFonts w:ascii="IRNazanin" w:hAnsi="IRNazanin" w:eastAsia="IRNazanin"/>
          <w:color w:val="111111"/>
          <w:sz w:val="28"/>
          <w:sz w:val="28"/>
          <w:szCs w:val="28"/>
          <w:rtl w:val="true"/>
          <w:lang w:bidi="fa-IR"/>
        </w:rPr>
        <w:t>متصوّر عندهم، و لذا لو نذر شخص شیئاً لشخص آخر فمات، فإنّه لا ینقلب المنذور له؛ بأن یصیر المنذور له هو الوارث، و لیس ذلک إلّا لأجل عدم عموم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انقلاب الدعوی فی الفرض و لو مع إنکار أبی بکر لدعواها علیها السلام النِّحلة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أیضاً ممنوع؛ و ذلک لأنّه کما أنّ الأصل السببی مع ترتّب الأثر الشرعی علیه مقدّم علی الأصل المسبّبی، و ینتفی معه موضوع الأصل المسبّبی؛ لأنّه ینقَّح بالأصل السببی موضوع دلیلٍ اجتهادی حاکم علی الأصل المسبّبی، فکذلک فیما نحن فیه بالنسبة إلی الدعویین، فإنّ إقرارها علیها السلام بأنّ فدکاً کانت ملکاً لرسول اللَّه صلی الله علیه و آله و سلم، یوجب انقلاب دعوی الملکیّة و صیرورتها مدّعیة لانتقاله منه صلی الله علیه و آله و سلم إلیها علیها السلام، و مع إنکار الخلیفة لذلک، و فرض ترتّب الأثر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الروایة عنه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p>
    <w:p>
      <w:pPr>
        <w:pStyle w:val="BookText"/>
        <w:rPr/>
      </w:pP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القول قوله، و یلزمه حکم الحاکم به، و یثبت کونه ملکاً له صلی الله علیه و آله و سلم، و یعمّه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ینتفی بذلک موضوع الدعوی الاخری؛ یعنی دعواها علیها السلام الملکیّة، نظیر ما لو ادّعی شخص علی المیّت دیناً، و أنکره الوارث، و حلف أنّه لیس له علی المیّت دین، و حکم الحاکم بذلک، فإنّه یثبت حینئذٍ أنّه من ترکة المیّت، و تشمله الأدلّة الاجتهادیّة الدالّة علی أنّ کلّ ما ترکه المیّت من مال أو حقّ فهو لوارثه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ینتفی به موضوع دعوی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دعوی الوارث ملکیّته له تحتاج إلی الحکومة فیها، نعم لو فرض عدم ترتّب الأثر علی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بمنزلة الأصل السببی، کدعوی الوارث انتقاله إلی ثالث أجنبیّ و منه إلیه؛ لعدم دلیل اجتهادیّ یدلّ علی أنّه لو لم یکن لأجنبیّ فهو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النوبة إلی الحکومة فی الدعوی</w:t>
      </w:r>
      <w:bookmarkStart w:id="435" w:name="pg12898_148094"/>
    </w:p>
    <w:p>
      <w:pPr>
        <w:pStyle w:val="BookText"/>
        <w:rPr/>
      </w:pPr>
      <w:bookmarkEnd w:id="435"/>
      <w:r>
        <w:rPr>
          <w:rFonts w:ascii="Amiri" w:hAnsi="Amiri" w:eastAsia="Amiri" w:cs="Amiri"/>
          <w:color w:val="111111"/>
          <w:sz w:val="28"/>
          <w:sz w:val="28"/>
          <w:szCs w:val="28"/>
          <w:rtl w:val="true"/>
          <w:lang w:bidi="ar-SA"/>
        </w:rPr>
        <w:t>الثانیة التی هی کالأصل المسبّبی، فتأمّل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فی الجواب عن الإشکال ما تقدّم بیانه</w:t>
      </w:r>
      <w:r>
        <w:rPr>
          <w:rFonts w:eastAsia="IRNazanin" w:cs="IRNazanin"/>
          <w:color w:val="111111"/>
          <w:sz w:val="28"/>
          <w:szCs w:val="28"/>
          <w:rtl w:val="true"/>
          <w:lang w:bidi="fa-IR"/>
        </w:rPr>
        <w:t>.</w:t>
      </w:r>
    </w:p>
    <w:p>
      <w:pPr>
        <w:pStyle w:val="Heading6"/>
        <w:numPr>
          <w:ilvl w:val="5"/>
          <w:numId w:val="1"/>
        </w:numPr>
        <w:rPr/>
      </w:pPr>
      <w:bookmarkStart w:id="436" w:name="__RefHeading___Toc3234988_3224264995"/>
      <w:bookmarkStart w:id="437" w:name="_Toc163"/>
      <w:bookmarkEnd w:id="436"/>
      <w:r>
        <w:rPr>
          <w:rtl w:val="true"/>
        </w:rPr>
        <w:t>الأمر الثامن</w:t>
      </w:r>
      <w:r>
        <w:rPr>
          <w:rtl w:val="true"/>
        </w:rPr>
        <w:t xml:space="preserve">: </w:t>
      </w:r>
      <w:r>
        <w:rPr>
          <w:rtl w:val="true"/>
        </w:rPr>
        <w:t>فی فروع العلم بسابقة الید</w:t>
      </w:r>
      <w:bookmarkEnd w:id="437"/>
    </w:p>
    <w:p>
      <w:pPr>
        <w:pStyle w:val="BookText"/>
        <w:rPr/>
      </w:pPr>
      <w:r>
        <w:rPr>
          <w:rFonts w:ascii="IRNazanin" w:hAnsi="IRNazanin" w:eastAsia="IRNazanin"/>
          <w:color w:val="111111"/>
          <w:sz w:val="28"/>
          <w:sz w:val="28"/>
          <w:szCs w:val="28"/>
          <w:rtl w:val="true"/>
          <w:lang w:bidi="fa-IR"/>
        </w:rPr>
        <w:t>لا ریب فی اعتبار الید و أماریّتها فیما لو لم یعلم عنوانها سابقاً، و أنّها کانت مالکیّة أو لا، و أمّا لو لم تکن کذلک، فإن علم بأنّها کانت سابقاً عادیة و غاصبة، أو ید إعارة أو إجارة أو ید وقف؛ لکونه متولّیاً علیه، ففیه مقامات ثلاثة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بأنّها کانت سابقاً عادیة، لکن احتمل ملکیّته للعین فعلًا، فالظاهر عدم الإشکال فی أنّها لیست أمارة علی الملکیّة؛ لعدم بناء العقلاء علی الاعتماد علیها و إن ادّعی ذو الید ملکیّتها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بأنّها کانت سابقاً ید إعارة أو إجارة، فهو یتصوّر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تقترن یده بدعوی الملکیّة فعلًا، أو بفعل ما هو ظاهر فی الملکیّة من التصرّفات، أو لا تقترن بواحد منهما، 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یدّعی أحد فی مقابله ملکیّته من أجنبیّ أو مالکه السابق أو لیس فی مقابله من یدّعی الملکیّة، 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إمّا قبل رفع الأمر إلی الحاکم، و إمّا بعده، و أنّ وظیفة الحاکم ما هی؟</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علم بأنّ یده مسبوقة بید عاریة أو إجارة، و لا یدّعی ذو الید ملکیّته أیضاً فعلًا، و لم یعمل فیها ما هو ظاهر فی الملکیّة من التصرّفات، فلا شکّ فی أنّها لیست أمارة علی الملکیّة عند العقلاء، و لا فی قصور الأدلّة الشرعیّة عن شمولها لمثل هذا المورد؛ من غیر فرق بین وجود من یدّعی الملکیّة و عدمه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ادّعی ذو الید الملکیّة، أو صدر منه ما هو ظاهر فی الملکیّة من التصرّفات، مع وجود من یدّعی الملکیّة فی مقابله، ففی اعتبار الید فیه و أماریّتها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الملکیّة و عدمها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أنّ یده کانت سابقاً ید عاریة أو إجارة، و ادّعی هو ملکیّته فعلًا، أو تصرّف فیه بما هو ظاهر فی الملکیّة، و لکن لیس فی مقابله من یدّعیها، فمقتضی عبائرهم هو عدم اعتبار الید فیه؛ حیث إنّهم ذهبوا إلی عدم أماریّتها مع العلم بعنوانها سابقاً، و أنّها کانت غیر مالکیّة؛ من دون تفصیلهم بین الصور المذکورة، و بنائهم علی العمل باستصحاب حال الید سابقاً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الید إنّما تکون أمارة علی الملکیّة إذا جُهل حالها السابق و کونها غیر معنونة بعنوان الإجارة أو الإعارة، و مقتضی استصحاب حال الید تعنونها بعنوان الإجارة أو الغصب، فلا تکون کاشفة عن الملکیّة، و لا سبیل إلی دعوی حکومة الید علی الاستصحاب بتوهّم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أمارة علی الملکیّة، فلا یبقی موضوع للاستصحاب، فإنّ الید إنّما تکون أمارة علی الملکیّة لو جهل حالها السابق، فمقابلها أی الید التی علم حالها السابق، و أنّها إجارة أو إعارة، فالاستصحاب رافع لموضوعها</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اعتبار الید إنّما هو فیما لم تُعلم حالتها السابقة فمقابله هی الید التی علم کونها ید إجارة أو إعارة سابقاً، لا المعنونة بعنوان الإجارة أو الإعارة واقعاً، کما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إن أراد أنّ الید إنّما تکون ید إعارة مع عدم تعنونها بعنوان الإجارة أو الإعارة واقعاً و فی نفس الأمر، و أنّ ما وقع فی صدر کلامه مسامحة فی التعبیر، و حینئذٍ فیستصحب ذلک العنوان مع الاشتباه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ذلک أنّ الید أمارة للملکیّة إذا کانت مالکیّة، لا ید إجارة</w:t>
      </w:r>
    </w:p>
    <w:p>
      <w:pPr>
        <w:pStyle w:val="BookText"/>
        <w:rPr/>
      </w:pPr>
      <w:r>
        <w:rPr>
          <w:rFonts w:ascii="IRNazanin" w:hAnsi="IRNazanin" w:eastAsia="IRNazanin"/>
          <w:color w:val="111111"/>
          <w:sz w:val="28"/>
          <w:sz w:val="28"/>
          <w:szCs w:val="28"/>
          <w:rtl w:val="true"/>
          <w:lang w:bidi="fa-IR"/>
        </w:rPr>
        <w:t>و نحوها،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الید إنّما تعتبر مع الجهل بحالها، و أمّا مع العلم بحالها؛ بأن عُلم أنّها ید إجارة أو إعارة، فهی غیر معتبرة، و أنّ المسامحة فی ذیل عبارته، فالمانع عن حجّیتها هو العلم بالإجارة، لا واقعها، کما هو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أنّه لیس للعقلاء البناء علی العمل بقاعدة الید أو عدم حجّیتها فی هذه الصورة، و أنّ بناءهم علیها إنّما هو مع الجهل بحالها، فلیس ذلک لأجل الاستصحاب، بل لقصور دلیل اعتبار الید عن الشمول لهذا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استقرار بنائهم علی أماریّة الید علی الملکیّة، لکن الاستصحاب فی هذه الصورة رادع عن بنائهم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مثل دلیل الاستصحاب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غیر صالح للرادعیّة عن ذلک؛ لعدم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 مع وجود الید، فلا معنی للاستصحاب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الموضوع لعدم اعتبار الید إن کان هو العلم بالإجارة و نحوها، فلا ینقَّح ذلک الموضوع بالاستصحاب؛ لعدم إفادته العلم، فلا ینقَّح به موضوعه، و لا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بناء العقلاء علی الاستصحاب و أنّ اعتباره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العامّة</w:t>
      </w:r>
      <w:r>
        <w:rPr>
          <w:rStyle w:val="FootnoteAnchor"/>
          <w:rtl w:val="true"/>
        </w:rPr>
        <w:footnoteReference w:id="451"/>
      </w:r>
      <w:r>
        <w:rPr>
          <w:rFonts w:ascii="IRNazanin" w:hAnsi="IRNazanin" w:eastAsia="IRNazanin"/>
          <w:color w:val="111111"/>
          <w:sz w:val="28"/>
          <w:sz w:val="28"/>
          <w:szCs w:val="28"/>
          <w:rtl w:val="true"/>
          <w:lang w:bidi="fa-IR"/>
        </w:rPr>
        <w:t>، و ذهب إلیه بعض الخاصّة من المتقدّمین</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الدلیل علی اعتبار الید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3"/>
      </w:r>
      <w:r>
        <w:rPr>
          <w:rFonts w:ascii="IRNazanin" w:hAnsi="IRNazanin" w:eastAsia="IRNazanin"/>
          <w:color w:val="111111"/>
          <w:sz w:val="28"/>
          <w:sz w:val="28"/>
          <w:szCs w:val="28"/>
          <w:rtl w:val="true"/>
          <w:lang w:bidi="fa-IR"/>
        </w:rPr>
        <w:t>، لا بناء العقلاء، فلما ذکره من تقدّم</w:t>
      </w:r>
    </w:p>
    <w:p>
      <w:pPr>
        <w:pStyle w:val="BookText"/>
        <w:rPr/>
      </w:pPr>
      <w:r>
        <w:rPr>
          <w:rFonts w:ascii="IRNazanin" w:hAnsi="IRNazanin" w:eastAsia="IRNazanin"/>
          <w:color w:val="111111"/>
          <w:sz w:val="28"/>
          <w:sz w:val="28"/>
          <w:szCs w:val="28"/>
          <w:rtl w:val="true"/>
          <w:lang w:bidi="fa-IR"/>
        </w:rPr>
        <w:t>الاستصحاب علی الید وجه، لکنّ المبناءین المذکورین ممنوعان، فإنّ الدلیل علی اعتبار الاستصحاب هو الأخبار، و الدلیل علی أماریّة الید هو بناء العقلاء، فالاستصحاب حجّة شرعیّة لا عقلائیّة، و الأصل الشرعیّ لا یقوم مقام العلم الموضوعی فی محیط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الدلیل علی اعتبار الید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یقیّد بعدم کونها إجارة أو إعارة واقعاً، فهو احتمال بدویّ؛ لما عرفت من أنّه لا معنی محصَّل له؛ لرجوعه إلی أنّ الید إنّما تعتبر إذا کانت 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مقیّدة بصورة عدم العلم بأنّها عاریة أو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یراد به تقیید الموضوع؛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المقیّدة بعدم العلم بأنّها عاریة أو عادیة أمارة علی الملکیّة، فیحتاج إلی قیام دلیل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یراد أنّ العلم بالخلاف غایة للحکم بأماریّة الید علی الملکیّة، کما یدلّ علیه حکم العقل بذلک؛ لأنّ حجیّته الأمارات إنّما هی مع عدم العلم بالخلاف و فی موارد الشکّ، فهو لا یختصّ بالید، بل جمیع الأمارات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احتمال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أنّها لیست مقیدةً بهذا و لا ذاک، بل المراد أنّ الاستیلاء علی شی‌ء أمارة علی الملکیّة بنحو الإطلاق،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اعتبار الید هو بناء العقلاء، و الأخبار الواردة فیها إمضاء لبنائهم، و لیست تأسیسیّة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الید فی هذه الصورة، و أنّها أمارة علی ملکیّة ذی الید مع دعواه الملکیّة؛ لبناء العقلاء علی ذلک إذا لم یعارضه مدّعٍ آخر لها، و مجرّد سبقها بالإجارة و الإعارة لا یضرّ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هو لأجل أنّه مدّعٍ بلا معارض، أو لأجل یده علیه المقترنة بدعوی الملکیّة؟</w:t>
      </w:r>
    </w:p>
    <w:p>
      <w:pPr>
        <w:pStyle w:val="BookText"/>
        <w:rPr/>
      </w:pPr>
      <w:r>
        <w:rPr>
          <w:rFonts w:ascii="IRNazanin" w:hAnsi="IRNazanin" w:eastAsia="IRNazanin"/>
          <w:color w:val="111111"/>
          <w:sz w:val="28"/>
          <w:sz w:val="28"/>
          <w:szCs w:val="28"/>
          <w:rtl w:val="true"/>
          <w:lang w:bidi="fa-IR"/>
        </w:rPr>
        <w:t>وجهان، أظهرهما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بملکیّته إنّما هو لأجل استیلائه المقترن بدعوی الملکیّة، أو دعواه الملکیّة المقترنة بالاستیلاء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فیما لو ادّعاه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المدّعی هو المالک الأوّل، فلا تظهر الثمرة بین الوجهین فی عدم اعتبار الید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ادّعاه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الحکم بالملکیّة لأجل أنّ ذا الید مدّعٍ بلا معارض، یلزم عدم اعتبار یده حینئذٍ للمعارضة، و علی الوجه الآخر فهی معتبرة، فالأجنبی حینئذٍ مدّعٍ و ذو الید منکر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علی ذی الید أجنبیّ ملکیّة ما فی یده، مع دعوی ذی الید ملکیّته أیضاً، فالظاهر اعتبار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مالک العین سابقاً ملکیّته ما فی ید غیره فعلًا، فلا شکّ فی عدم اعتبار یده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قبل رفع الأمر إلی الحاکم، و یظهر حکم ما بعد رفعه إلیه ممّا تقدّم؛ لأنّ المدّعی لما فی ید الغیر إن کان غیر مالکه السابق فعلیه البیّنة؛ لأنّه مدّعٍ و ذو الید منکر، و إن کان هو مالکها السابق، فحیث إنّه لا اعتبار للید فیه حینئذٍ فهو مدّعٍ و الآخر منکر، فمع عدم البیّنة للمدّعی ینتزع الحاکم العین من یده، و یعطیها لمالکها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العین التی تحت یده وقف فهو علی وجهین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ان ما تحت یده وقف و کونه متولّیاً علیه، و أنّ یده کانت ید تولیة، لکن احتمل عروض المسوِّغ لبیع الوقف، و أنّه اشتراه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لم یعلم أنّ یده کانت علی الوقف، و علم بوقفیّتها قبل یده و استیلائه علیها، و احتمل عروض المسوّغ لبیعه قبل استیلائه علیها، و أنّه اشتراها، و أنّ الاستیلاء علیها بعد زوال وقفیّتها بالبیع استیلاءً مالکیّاً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یعلم بوقفیّتها سابقاً، بل احتمل ذلک، فلا إشکال فی اعتبار یده علیها، مع دعواه الملکیّة أو تصرّفه فیها بما هو ظاهر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کلام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قدس سره</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اعتبارها فی هذا القسم أیضاً، و لا أظنّ أن یلتزم به، و لعلّ الاشتباه فی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الوجهان الأوّلان فقد نقل</w:t>
      </w:r>
      <w:r>
        <w:rPr>
          <w:rStyle w:val="FootnoteAnchor"/>
          <w:rtl w:val="true"/>
        </w:rPr>
        <w:footnoteReference w:id="455"/>
      </w:r>
      <w:r>
        <w:rPr>
          <w:rFonts w:ascii="IRNazanin" w:hAnsi="IRNazanin" w:eastAsia="IRNazanin"/>
          <w:color w:val="111111"/>
          <w:sz w:val="28"/>
          <w:sz w:val="28"/>
          <w:szCs w:val="28"/>
          <w:rtl w:val="true"/>
          <w:lang w:bidi="fa-IR"/>
        </w:rPr>
        <w:t>عن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ملحقات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اعتبارها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بوقفیّتها قبل استیلاء ذی الید علیها، کالعلم بملکیّتها للغیر قبله، لا أثر له فی مقابل الید، فإنّه لیس فی البین إلّا استصحاب بقاء الوقفیّة، و هو کاستصحاب بقاء المال علی ملکیّة الغیر محکوم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وجه عدم اعتبارها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استصحاب بقاء وقفیّتها ذلک و هو مقدّم علی الید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هنا 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المرجع و المحکّم فی الأمارات العقلائیّة هو بناء العقلاء لا الاصول و القواعد الشرعیّة، فلا بدّ من ملاحظة بنائهم علی اعتبارها فی کلا الوجهین أوّلًا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الوقف بشریعة الإسلام، بل لا یختصّ بسائر الشرائع أیضاً، بل</w:t>
      </w:r>
    </w:p>
    <w:p>
      <w:pPr>
        <w:pStyle w:val="BookText"/>
        <w:rPr/>
      </w:pPr>
      <w:r>
        <w:rPr>
          <w:rFonts w:ascii="IRNazanin" w:hAnsi="IRNazanin" w:eastAsia="IRNazanin"/>
          <w:color w:val="111111"/>
          <w:sz w:val="28"/>
          <w:sz w:val="28"/>
          <w:szCs w:val="28"/>
          <w:rtl w:val="true"/>
          <w:lang w:bidi="fa-IR"/>
        </w:rPr>
        <w:t>هو معمول به و واقع فی جمیع الملل التی لا یلتزمون بدین و بشریعة، فهو کالبیع و الإجارة و نحوهما واقع بین جمیع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جعله ابتداءً فی شریعة من الشرائع، ثمّ تعارف بین جمیع الناس و الطوائف، فالوقف أمر عقلائی و المسوِّغ 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معدوم عند العقلاء، و لا مسوِّغ لبیعه عندهم، و الثابت منه فی شرع الإسلام أیضاً فی غایة القلّة و الندرة، فإنّ کثیراً من المسوّغات التی ذکرها محلّ إشکال 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نادر و قلیل جدّاً علی فرض ثبوته عندهم، فلو تصرّف أحد فی المال المسبوق بالوقفیّة تصرّفاً مالکیّاً یعترض علیه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 أصل وقفیّة مال سابقاً فالید علیه غیر معتبرة عند العقلاء؛ سواء قلنا بعدم ثبوت المسوِّغ لبیعه عندهم، أم قلنا بثبوته لدیهم نادراً بحیث یلحق بالمعدوم؛ لأنّ اعتبار الید إنّما هو لحصول الظنّ النوعی و الوثوق بالملکیّة، و إمّا لأجل الغلبة، و الظنُّ بالوقفیّة فی الصورتین أقوی من الظنّ بالملکیّة، و قد عرفت أنّ الغالب فی الوقف البقاء علی الوقفیّة عند العقلاء؛ لندرة مسوّغات بیع الوقف علی فرض ثبوتها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عدم اعتبار الید فی کلتا الصورتین، و هو مختار المیرزا النائینی قدس سره و إن لا یخلو بیانه عن الاختلال و الإشکال؛ حیث إنّه یظهر من صدر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إنّما هی أمارة علی الملکیّة فی المال الذی قابل للنقل و الانتقال طبعاً واقعاً و فی نفس الأمر، و هو موضوع أماریّة الید علی الملکیّة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أثناء کلامه ما یحتمل ذلک و غیره؛ ممّا هو ظاهر ذیل کلامه، فإنّه ذکر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أمارة علی أنّ المال قد انتقل من مالکه الأوّل بأحد أسباب النقل و الانتقال علی سبیل الإجمال، و ذلک بعد الفراغ عن أنّ المال قابل للنقل و الانتقال، و الوقف لیس کذلک، فإنّه یحتمل أن یرید قدس سره من قبوله للنقل و الانتقال هو قبوله واقعاً، و یحتمل أن یرید إحراز ذلک بالأُصول و القواعد،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w:t>
      </w:r>
    </w:p>
    <w:p>
      <w:pPr>
        <w:pStyle w:val="BookText"/>
        <w:rPr/>
      </w:pPr>
      <w:r>
        <w:rPr>
          <w:rFonts w:ascii="IRNazanin" w:hAnsi="IRNazanin" w:eastAsia="IRNazanin"/>
          <w:color w:val="111111"/>
          <w:sz w:val="28"/>
          <w:sz w:val="28"/>
          <w:szCs w:val="28"/>
          <w:rtl w:val="true"/>
          <w:lang w:bidi="fa-IR"/>
        </w:rPr>
        <w:t>طروّ ما یسوِّغ بیع الوقف یقتضی سقوط الید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قاعدة الید إحراز کون الملک قابلًا للنقل و الانتقال؛ حیث أورد علی نفسه بالنقض باحتمال الحرمة فی عبد یرید شراءه، مع أنّه ورد ما یدلّ علی عدم سماع دعوی الحرّیّة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بینه و بین ما نحن فیه؛ للعلم بوقفیّة المال قبل استیلاء ذی الید علیه، بخلاف العبد، فإنّه لم تعلم حرّیّته قبل استیلاء ذی الید علیه، نعم الأصل فی الإنسان هو الحرّیّة، و لکنّه فیما لم یستولِ علیه ذو الید، و أمّا معه فلا یجری هذا الأصل</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ما هو ظاهر صدر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موضوع قاعدة الید هو قبول المال للنقل و الانتقال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اعتبار الید فی الموارد المشتبهة و المشکوکة له واقعاً؛ لأنّها شبهة مصداقیّة لقاعدة الید، لا یصحّ الاستناد إلیها فیها، و لا أظنّ أن یلتزم هو قدس سره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ما هو ظاهر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المعتبر إحراز قابلیّته للنقل و الانتقال بالقواعد و الاصول لا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سابقاً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الاستصحاب لا یعارِض بناءَ العقلاء علی اعتبار الید، و لا یصلح للرادعیّة عنه؛ إذ لیس الموضوع لقاعدة الید إلّا الشکّ فی الملکیّة، لا الملک القابل للانتقال أو إحراز ذلک، و لا مجال هنا للاستصحاب أصلًا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عرفت من أنّه لا بدّ من ملاحظة بناء العقلاء علی الاعتماد علی</w:t>
      </w:r>
      <w:bookmarkStart w:id="438" w:name="pg12898_148102"/>
    </w:p>
    <w:p>
      <w:pPr>
        <w:pStyle w:val="BookText"/>
        <w:rPr/>
      </w:pPr>
      <w:bookmarkEnd w:id="438"/>
      <w:r>
        <w:rPr>
          <w:rFonts w:ascii="IRNazanin" w:hAnsi="IRNazanin" w:eastAsia="IRNazanin"/>
          <w:color w:val="111111"/>
          <w:sz w:val="28"/>
          <w:sz w:val="28"/>
          <w:szCs w:val="28"/>
          <w:rtl w:val="true"/>
          <w:lang w:bidi="fa-IR"/>
        </w:rPr>
        <w:t>الید أو عدمه فی أمثال ذلک، و الحقّ عدم ثبوت بنائهم علی الاعتماد علیها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 تدلّان علی عدم قبول دعوی الحرّیّة من عبد أو جاریة وقعا فی معرض البیع و الشراء، إلّا أن یقیما البیّنة علی مدّعاهما، و لکنّه غیر مرتبط بالمقام؛ لعدم العلم بالحرّیّة سابقاً، بل و لا الشکّ فیها، بل موضوع الحکم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المملوک من عبد أو جاریة وقعا فی معرض البیع فادّعیا الحرّیّة، و هو غیر ما لو شکّ فی المملوکیّة ابتداء؛ لیکون موضوعُ ذلک الحکم الشکّ فی ذلک، فتأمّل جیّداً</w:t>
      </w:r>
      <w:r>
        <w:rPr>
          <w:rFonts w:eastAsia="IRNazanin" w:cs="IRNazanin"/>
          <w:color w:val="111111"/>
          <w:sz w:val="28"/>
          <w:szCs w:val="28"/>
          <w:rtl w:val="true"/>
          <w:lang w:bidi="fa-IR"/>
        </w:rPr>
        <w:t>.</w:t>
      </w:r>
    </w:p>
    <w:p>
      <w:pPr>
        <w:pStyle w:val="Heading6"/>
        <w:numPr>
          <w:ilvl w:val="5"/>
          <w:numId w:val="1"/>
        </w:numPr>
        <w:rPr/>
      </w:pPr>
      <w:bookmarkStart w:id="439" w:name="__RefHeading___Toc3234990_3224264995"/>
      <w:bookmarkStart w:id="440" w:name="_Toc164"/>
      <w:bookmarkEnd w:id="439"/>
      <w:r>
        <w:rPr>
          <w:rtl w:val="true"/>
        </w:rPr>
        <w:t>الأمر التاسع</w:t>
      </w:r>
      <w:r>
        <w:rPr>
          <w:rtl w:val="true"/>
        </w:rPr>
        <w:t xml:space="preserve">: </w:t>
      </w:r>
      <w:r>
        <w:rPr>
          <w:rtl w:val="true"/>
        </w:rPr>
        <w:t>الشهادة علی الملکیّة اعتماداً علی الید</w:t>
      </w:r>
      <w:bookmarkEnd w:id="440"/>
    </w:p>
    <w:p>
      <w:pPr>
        <w:pStyle w:val="BookText"/>
        <w:rPr/>
      </w:pPr>
      <w:r>
        <w:rPr>
          <w:rFonts w:ascii="IRNazanin" w:hAnsi="IRNazanin" w:eastAsia="IRNazanin"/>
          <w:color w:val="111111"/>
          <w:sz w:val="28"/>
          <w:sz w:val="28"/>
          <w:szCs w:val="28"/>
          <w:rtl w:val="true"/>
          <w:lang w:bidi="fa-IR"/>
        </w:rPr>
        <w:t>و لاتجوز الشهادة علی الملکیّة اعتماداً علی الید، أو لا، و هکذا فی موارد مؤدّی الأمارات و الاصول؟</w:t>
      </w:r>
    </w:p>
    <w:p>
      <w:pPr>
        <w:pStyle w:val="BookText"/>
        <w:rPr/>
      </w:pPr>
      <w:r>
        <w:rPr>
          <w:rFonts w:ascii="IRNazanin" w:hAnsi="IRNazanin" w:eastAsia="IRNazanin"/>
          <w:color w:val="111111"/>
          <w:sz w:val="28"/>
          <w:sz w:val="28"/>
          <w:szCs w:val="28"/>
          <w:rtl w:val="true"/>
          <w:lang w:bidi="fa-IR"/>
        </w:rPr>
        <w:t>فالمنقول عن المشهور بین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w:t>
      </w:r>
      <w:r>
        <w:rPr>
          <w:rStyle w:val="FootnoteAnchor"/>
          <w:rtl w:val="true"/>
        </w:rPr>
        <w:footnoteReference w:id="459"/>
      </w:r>
      <w:r>
        <w:rPr>
          <w:rFonts w:ascii="IRNazanin" w:hAnsi="IRNazanin" w:eastAsia="IRNazanin"/>
          <w:color w:val="111111"/>
          <w:sz w:val="28"/>
          <w:sz w:val="28"/>
          <w:szCs w:val="28"/>
          <w:rtl w:val="true"/>
          <w:lang w:bidi="fa-IR"/>
        </w:rPr>
        <w:t>و إن ناقش فیه صاحب الجواهر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أوّلًا من نقل الروایات الواردة فی باب الشهادة، ثمّ استظهار الجواز أو عدمه منها، و هی علی فرقتین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اعتبار العلم الوجدانی الجازم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یحتمل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الشهادة کالشمس فی رائعة النهار، و أنّها لا تجوز بدون ذلک، مثل</w:t>
      </w:r>
    </w:p>
    <w:p>
      <w:pPr>
        <w:pStyle w:val="BookText"/>
        <w:rPr/>
      </w:pPr>
      <w:r>
        <w:rPr>
          <w:rFonts w:ascii="IRNazanin" w:hAnsi="IRNazanin" w:eastAsia="IRNazanin"/>
          <w:color w:val="111111"/>
          <w:sz w:val="28"/>
          <w:sz w:val="28"/>
          <w:szCs w:val="28"/>
          <w:rtl w:val="true"/>
          <w:lang w:bidi="fa-IR"/>
        </w:rPr>
        <w:t>ما رواه الکلینی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عدّة من أصحابنا، عن أحمد بن محمّد، عن محمّد بن حسّان، عن إدریس بن الحسن، عن علیّ بن غیاث،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 بشهادة حتّی تعرفها کما تعرف کفّک</w:t>
      </w:r>
      <w:r>
        <w:rPr>
          <w:rFonts w:eastAsia="IRNazanin" w:cs="IRNazanin"/>
          <w:color w:val="111111"/>
          <w:sz w:val="28"/>
          <w:szCs w:val="28"/>
          <w:rtl w:val="true"/>
          <w:lang w:bidi="fa-IR"/>
        </w:rPr>
        <w:t>)</w:t>
      </w:r>
    </w:p>
    <w:p>
      <w:pPr>
        <w:pStyle w:val="BookText"/>
        <w:rPr/>
      </w:pP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ضعیفة السند، و لا جابر لها؛ لما عرفت من نقل الشهرة بین القدماء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مرسلة المحقّق فی الشرائع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w:t>
      </w:r>
    </w:p>
    <w:p>
      <w:pPr>
        <w:pStyle w:val="BookText"/>
        <w:rPr/>
      </w:pP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فی عوالی اللآلی بدون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و لا یصحّ الاعتماد علیها لإرسالها و لو عن المحقّق قدس سره، نعم لو کان قد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 النبیّ صلی الله علیه و آله و سلم، أمکن الاعتماد علیها، لکنّه نقلها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اشتراط العلم بدون اعتبار عدم احتمال الخلاف و نحوه، مثل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الکلینی قدس سره عن عدّة من أصحابنا، عن أحمد بن محمّد،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جعفر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الحسین بن سعید الیقطینی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جاءنی جیران لنا بکتاب زعموا أنّهم أشهدونی علی ما فیه، و فی الکتاب اسمی بخطّی قد عرفت، و لست أذکر</w:t>
      </w:r>
    </w:p>
    <w:p>
      <w:pPr>
        <w:pStyle w:val="BookText"/>
        <w:rPr/>
      </w:pPr>
      <w:r>
        <w:rPr>
          <w:rFonts w:ascii="IRNazanin" w:hAnsi="IRNazanin" w:eastAsia="IRNazanin"/>
          <w:color w:val="111111"/>
          <w:sz w:val="28"/>
          <w:sz w:val="28"/>
          <w:szCs w:val="28"/>
          <w:rtl w:val="true"/>
          <w:lang w:bidi="fa-IR"/>
        </w:rPr>
        <w:t>الشهادة، و قد دعونی إلیها، فأشهد لهم علی معرفتی أنّ اسمی فی الکتاب، و لست أذکر الشهادة، أو لا تجب الشهادة علیّ حتّی أذکرها، کان اسمی فی الکتاب بخطّی أو لم یکن؟</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w:t>
      </w:r>
      <w:r>
        <w:rPr>
          <w:rFonts w:eastAsia="IRNazanin" w:cs="IRNazanin"/>
          <w:color w:val="111111"/>
          <w:sz w:val="28"/>
          <w:szCs w:val="28"/>
          <w:rtl w:val="true"/>
          <w:lang w:bidi="fa-IR"/>
        </w:rPr>
        <w:t>)</w:t>
      </w:r>
    </w:p>
    <w:p>
      <w:pPr>
        <w:pStyle w:val="BookText"/>
        <w:rPr/>
      </w:pP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ما رواه علیّ بن إبراهیم، عن أبیه، عن النوفلی،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بشهادة لا تذکرها، فإنّه من شاء کتب کتاباً، و نقش خاتماً</w:t>
      </w:r>
      <w:r>
        <w:rPr>
          <w:rFonts w:eastAsia="IRNazanin" w:cs="IRNazanin"/>
          <w:color w:val="111111"/>
          <w:sz w:val="28"/>
          <w:szCs w:val="28"/>
          <w:rtl w:val="true"/>
          <w:lang w:bidi="fa-IR"/>
        </w:rPr>
        <w:t>)</w:t>
      </w:r>
    </w:p>
    <w:p>
      <w:pPr>
        <w:pStyle w:val="BookText"/>
        <w:rPr/>
      </w:pP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تشهد حتّی تعلم أنّک قد اشهدت؛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شَهِدَ بِالْحَقِّ وَ هُمْ یَعْلَمُونَ</w:t>
      </w:r>
      <w:r>
        <w:rPr>
          <w:rFonts w:eastAsia="Amiri" w:cs="Amiri" w:ascii="Amiri" w:hAnsi="Amiri"/>
          <w:color w:val="111111"/>
          <w:sz w:val="28"/>
          <w:szCs w:val="28"/>
          <w:rtl w:val="true"/>
          <w:lang w:bidi="ar-SA"/>
        </w:rPr>
        <w:t>»)</w:t>
      </w:r>
    </w:p>
    <w:p>
      <w:pPr>
        <w:pStyle w:val="BookText"/>
        <w:rPr/>
      </w:pPr>
      <w:r>
        <w:rPr>
          <w:rStyle w:val="FootnoteAnchor"/>
          <w:rtl w:val="true"/>
        </w:rPr>
        <w:footnoteReference w:id="468"/>
      </w:r>
      <w:r>
        <w:rPr>
          <w:rFonts w:ascii="IRNazanin" w:hAnsi="IRNazanin" w:eastAsia="IRNazanin"/>
          <w:color w:val="111111"/>
          <w:sz w:val="28"/>
          <w:sz w:val="28"/>
          <w:szCs w:val="28"/>
          <w:rtl w:val="true"/>
          <w:lang w:bidi="fa-IR"/>
        </w:rPr>
        <w:t xml:space="preserve">فی جواب السائل عن جیرانه الذین زعموا أنّهم أشهدوه، و لعلّ 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الروایة، و إلّا فالآیة أجنبیّة عن المقام؛ لأنّ المراد منها الشهادة فی الامور الاعتقادیّة، و الروایة غیر معتبرة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 بما لا تعلم</w:t>
      </w:r>
      <w:r>
        <w:rPr>
          <w:rFonts w:eastAsia="IRNazanin" w:cs="IRNazanin"/>
          <w:color w:val="111111"/>
          <w:sz w:val="28"/>
          <w:szCs w:val="28"/>
          <w:rtl w:val="true"/>
          <w:lang w:bidi="fa-IR"/>
        </w:rPr>
        <w:t>)</w:t>
      </w:r>
    </w:p>
    <w:p>
      <w:pPr>
        <w:pStyle w:val="BookText"/>
        <w:rPr/>
      </w:pPr>
      <w:r>
        <w:rPr>
          <w:rStyle w:val="FootnoteAnchor"/>
          <w:rtl w:val="true"/>
        </w:rPr>
        <w:footnoteReference w:id="469"/>
      </w:r>
      <w:r>
        <w:rPr>
          <w:rFonts w:ascii="IRNazanin" w:hAnsi="IRNazanin" w:eastAsia="IRNazanin"/>
          <w:color w:val="111111"/>
          <w:sz w:val="28"/>
          <w:sz w:val="28"/>
          <w:szCs w:val="28"/>
          <w:rtl w:val="true"/>
          <w:lang w:bidi="fa-IR"/>
        </w:rPr>
        <w:t>، و هی أیضاً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الفقیه عن محمّد بن الحسن الصفّار، رفعه إلی أبی محمّد الحسن بن علیّ علیهما السلام فی رجل أراد أن یشهد علی امرأة لیس لها بمَحْرم، هل یجوز أن یشهد علیها من وراء الستر، و یسمع کلامها، إذا شهد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فلانة بنت فلان التی تشهدک،</w:t>
      </w:r>
    </w:p>
    <w:p>
      <w:pPr>
        <w:pStyle w:val="BookText"/>
        <w:rPr/>
      </w:pPr>
      <w:r>
        <w:rPr>
          <w:rFonts w:ascii="IRNazanin" w:hAnsi="IRNazanin" w:eastAsia="IRNazanin"/>
          <w:color w:val="111111"/>
          <w:sz w:val="28"/>
          <w:sz w:val="28"/>
          <w:szCs w:val="28"/>
          <w:rtl w:val="true"/>
          <w:lang w:bidi="fa-IR"/>
        </w:rPr>
        <w:t>و هذا کلامها، أو لا تجوز الشهادة علیها حتّی تبرز و یبیّنها بعینها؟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تتنقّب و تظهر للشهود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التوقیع عندی بخطّه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قبالها</w:t>
      </w:r>
    </w:p>
    <w:p>
      <w:pPr>
        <w:pStyle w:val="BookText"/>
        <w:rPr/>
      </w:pPr>
      <w:r>
        <w:rPr>
          <w:rFonts w:ascii="IRNazanin" w:hAnsi="IRNazanin" w:eastAsia="IRNazanin"/>
          <w:color w:val="111111"/>
          <w:sz w:val="28"/>
          <w:sz w:val="28"/>
          <w:szCs w:val="28"/>
          <w:rtl w:val="true"/>
          <w:lang w:bidi="fa-IR"/>
        </w:rPr>
        <w:t>ما رواه فی الفقیه أیضاً عن علیّ بن یقطین، عن أبی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بالشهادة علی إقرار المرأة و لیست بمسفرة، إذا عُرفت بعینها، أو یحضر من عرفها، و لا یجوز عندهم أن یشهد الشهود علی إقرارها دون أن تُسفر، فینظر إلیها</w:t>
      </w:r>
      <w:r>
        <w:rPr>
          <w:rFonts w:eastAsia="IRNazanin" w:cs="IRNazanin"/>
          <w:color w:val="111111"/>
          <w:sz w:val="28"/>
          <w:szCs w:val="28"/>
          <w:rtl w:val="true"/>
          <w:lang w:bidi="fa-IR"/>
        </w:rPr>
        <w:t>)</w:t>
      </w:r>
    </w:p>
    <w:p>
      <w:pPr>
        <w:pStyle w:val="BookText"/>
        <w:rPr/>
      </w:pPr>
      <w:r>
        <w:rPr>
          <w:rStyle w:val="FootnoteAnchor"/>
          <w:rtl w:val="true"/>
        </w:rPr>
        <w:footnoteReference w:id="471"/>
      </w:r>
      <w:r>
        <w:rPr>
          <w:rFonts w:ascii="IRNazanin" w:hAnsi="IRNazanin" w:eastAsia="IRNazanin"/>
          <w:color w:val="111111"/>
          <w:sz w:val="28"/>
          <w:sz w:val="28"/>
          <w:szCs w:val="28"/>
          <w:rtl w:val="true"/>
          <w:lang w:bidi="fa-IR"/>
        </w:rPr>
        <w:t>، و هی حاکمة علی الاولی، و قرینة علی أنّ الاولی صدرت تقیّة؛ لموافقتها للعامّة، خصوصاً مع کونها 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الروایات کما تری تدلّ علی اعتبار العلم فی الشهادة من دون اعتبار الجزم و القطع؛ بحیث لا یحتمل الخلاف، کالشمس فی رائعة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الفرقة الاولی من الروایات تدلّ علی اعتبار العلم القطعی الجازم فی موضوع الشهادة، لکنّها لا تصلح للاعتماد علیها؛ لضعفها بحسب السند و عدم الجابر له، لکن علی فرض تسلیم أنّ الموضوع لجواز الشهادة هو ذلک لهذه الروایات، هل تقوم الأمارات و الاصول مقامه فی جواز الشهادة بمؤدّاها أو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الأعاظم إلی الأوّل؛ لأنّ المأخوذ فی موضوع الشهادة فی الروایات و إن کان هو العلم الوجدانی الجازم، لکن مقتضی أدلّة الأمارات تنزیلها منزلة العلم بتنزیل المؤدّی، أو تنزیل الشکّ منزلة الیقین، أو بتتمیم الکشف، و حینئذٍ فتقوم</w:t>
      </w:r>
    </w:p>
    <w:p>
      <w:pPr>
        <w:pStyle w:val="BookText"/>
        <w:rPr/>
      </w:pPr>
      <w:r>
        <w:rPr>
          <w:rFonts w:ascii="IRNazanin" w:hAnsi="IRNazanin" w:eastAsia="IRNazanin"/>
          <w:color w:val="111111"/>
          <w:sz w:val="28"/>
          <w:sz w:val="28"/>
          <w:szCs w:val="28"/>
          <w:rtl w:val="true"/>
          <w:lang w:bidi="fa-IR"/>
        </w:rPr>
        <w:t>مقامه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لما عرفت و تقدّم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اعتبار جُلّ الأمارات، بل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الواحد و الید و أصالة الصحّة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w:t>
      </w:r>
      <w:r>
        <w:rPr>
          <w:rFonts w:eastAsia="IRNazanin" w:cs="IRNazanin"/>
          <w:color w:val="111111"/>
          <w:sz w:val="28"/>
          <w:szCs w:val="28"/>
          <w:rtl w:val="true"/>
          <w:lang w:bidi="fa-IR"/>
        </w:rPr>
        <w:t>)</w:t>
      </w:r>
    </w:p>
    <w:p>
      <w:pPr>
        <w:pStyle w:val="BookText"/>
        <w:rPr/>
      </w:pPr>
      <w:r>
        <w:rPr>
          <w:rStyle w:val="FootnoteAnchor"/>
          <w:rtl w:val="true"/>
        </w:rPr>
        <w:footnoteReference w:id="473"/>
      </w:r>
      <w:r>
        <w:rPr>
          <w:rFonts w:ascii="IRNazanin" w:hAnsi="IRNazanin" w:eastAsia="IRNazanin"/>
          <w:color w:val="111111"/>
          <w:sz w:val="28"/>
          <w:sz w:val="28"/>
          <w:szCs w:val="28"/>
          <w:rtl w:val="true"/>
          <w:lang w:bidi="fa-IR"/>
        </w:rPr>
        <w:t xml:space="preserve">،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w:t>
      </w:r>
    </w:p>
    <w:p>
      <w:pPr>
        <w:pStyle w:val="BookText"/>
        <w:rPr/>
      </w:pPr>
      <w:r>
        <w:rPr>
          <w:rStyle w:val="FootnoteAnchor"/>
          <w:rtl w:val="true"/>
        </w:rPr>
        <w:footnoteReference w:id="474"/>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مدلوله حجّیّة خبر الواحد و أصالة الصحّة کما عرفت، و توضیح الکلام فی ذلک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p>
    <w:p>
      <w:pPr>
        <w:pStyle w:val="BookText"/>
        <w:rPr/>
      </w:pPr>
      <w:r>
        <w:rPr>
          <w:rStyle w:val="FootnoteAnchor"/>
          <w:rtl w:val="true"/>
        </w:rPr>
        <w:footnoteReference w:id="475"/>
      </w:r>
      <w:r>
        <w:rPr>
          <w:rFonts w:ascii="IRNazanin" w:hAnsi="IRNazanin" w:eastAsia="IRNazanin"/>
          <w:color w:val="111111"/>
          <w:sz w:val="28"/>
          <w:sz w:val="28"/>
          <w:szCs w:val="28"/>
          <w:rtl w:val="true"/>
          <w:lang w:bidi="fa-IR"/>
        </w:rPr>
        <w:t>لیس المراد الحکم باعتبار الید، بل هو إمضاء لبناء العقلاء علی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 التعدّد فی البیّنة علی الموضوعات أو الشهادة فی باب القضاء، فهو تحدید و تضییق لدائرة الأمر العقلائی، لا أنّه تأسیس لحکم جدید، و حینئذٍ فلا بدّ من ملاحظة بنائهم فی العمل بالأمارات و أنّه هل هو مسبوق عندهم بتنزیلها منزلة العلم أوّلًا، و بنائهم علی أنّها علم تعبّداً، ثمّ العمل بها، أو أنّه لیس کذلک؟</w:t>
      </w:r>
    </w:p>
    <w:p>
      <w:pPr>
        <w:pStyle w:val="BookText"/>
        <w:rPr/>
      </w:pPr>
      <w:r>
        <w:rPr>
          <w:rFonts w:ascii="IRNazanin" w:hAnsi="IRNazanin" w:eastAsia="IRNazanin"/>
          <w:color w:val="111111"/>
          <w:sz w:val="28"/>
          <w:sz w:val="28"/>
          <w:szCs w:val="28"/>
          <w:rtl w:val="true"/>
          <w:lang w:bidi="fa-IR"/>
        </w:rPr>
        <w:t>لا شکّ فی أنّه لیس لهذا التنزیل عندهم عین و لا أثر، بل الثابت هو مجرّد البناء علی العمل بها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اعتبار العلم الجازم فی موضوع جواز الشهادة لا تقوم الأمارات</w:t>
      </w:r>
    </w:p>
    <w:p>
      <w:pPr>
        <w:pStyle w:val="BookText"/>
        <w:rPr/>
      </w:pPr>
      <w:r>
        <w:rPr>
          <w:rFonts w:ascii="IRNazanin" w:hAnsi="IRNazanin" w:eastAsia="IRNazanin"/>
          <w:color w:val="111111"/>
          <w:sz w:val="28"/>
          <w:sz w:val="28"/>
          <w:szCs w:val="28"/>
          <w:rtl w:val="true"/>
          <w:lang w:bidi="fa-IR"/>
        </w:rPr>
        <w:t>و الاصول مقامه، و لا تجوز الشهادة علی الملکیّة بقیام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الید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الدالّة علی اعتبار العلم القطعی الجازم غیر معتبرة بحسب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الثانیة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اعتبار العلم بنحو الإطلاق فی موضوع جواز الشهادة، فبناء علیها هل تقوم الأمارات مقامه أو لا؟</w:t>
      </w:r>
    </w:p>
    <w:p>
      <w:pPr>
        <w:pStyle w:val="BookText"/>
        <w:rPr/>
      </w:pPr>
      <w:r>
        <w:rPr>
          <w:rFonts w:ascii="IRNazanin" w:hAnsi="IRNazanin" w:eastAsia="IRNazanin"/>
          <w:color w:val="111111"/>
          <w:sz w:val="28"/>
          <w:sz w:val="28"/>
          <w:szCs w:val="28"/>
          <w:rtl w:val="true"/>
          <w:lang w:bidi="fa-IR"/>
        </w:rPr>
        <w:t>وجهان، أوجههما الأوّل، لا لما ذکره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تنزیل الأمارات منزلة العلم</w:t>
      </w:r>
      <w:r>
        <w:rPr>
          <w:rStyle w:val="FootnoteAnchor"/>
          <w:rtl w:val="true"/>
        </w:rPr>
        <w:footnoteReference w:id="476"/>
      </w:r>
      <w:r>
        <w:rPr>
          <w:rFonts w:ascii="IRNazanin" w:hAnsi="IRNazanin" w:eastAsia="IRNazanin"/>
          <w:color w:val="111111"/>
          <w:sz w:val="28"/>
          <w:sz w:val="28"/>
          <w:szCs w:val="28"/>
          <w:rtl w:val="true"/>
          <w:lang w:bidi="fa-IR"/>
        </w:rPr>
        <w:t>، بل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العلم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الأحکام بل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المعتبرة، کما یظهر ذلک بالتتبّع فی موارد استعمالاته، مثل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p>
    <w:p>
      <w:pPr>
        <w:pStyle w:val="BookText"/>
        <w:rPr/>
      </w:pPr>
      <w:r>
        <w:rPr>
          <w:rStyle w:val="FootnoteAnchor"/>
          <w:rtl w:val="true"/>
        </w:rPr>
        <w:footnoteReference w:id="477"/>
      </w:r>
      <w:r>
        <w:rPr>
          <w:rFonts w:ascii="IRNazanin" w:hAnsi="IRNazanin" w:eastAsia="IRNazanin"/>
          <w:color w:val="111111"/>
          <w:sz w:val="28"/>
          <w:sz w:val="28"/>
          <w:szCs w:val="28"/>
          <w:rtl w:val="true"/>
          <w:lang w:bidi="fa-IR"/>
        </w:rPr>
        <w:t>، و أنّ العلم ثلاثة، 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بغیر علم</w:t>
      </w:r>
      <w:r>
        <w:rPr>
          <w:rFonts w:eastAsia="IRNazanin" w:cs="IRNazanin"/>
          <w:color w:val="111111"/>
          <w:sz w:val="28"/>
          <w:szCs w:val="28"/>
          <w:rtl w:val="true"/>
          <w:lang w:bidi="fa-IR"/>
        </w:rPr>
        <w:t>)</w:t>
      </w:r>
    </w:p>
    <w:p>
      <w:pPr>
        <w:pStyle w:val="BookText"/>
        <w:rPr/>
      </w:pPr>
      <w:r>
        <w:rPr>
          <w:rStyle w:val="FootnoteAnchor"/>
          <w:rtl w:val="true"/>
        </w:rPr>
        <w:footnoteReference w:id="478"/>
      </w:r>
      <w:r>
        <w:rPr>
          <w:rFonts w:ascii="IRNazanin" w:hAnsi="IRNazanin" w:eastAsia="IRNazanin"/>
          <w:color w:val="111111"/>
          <w:sz w:val="28"/>
          <w:sz w:val="28"/>
          <w:szCs w:val="28"/>
          <w:rtl w:val="true"/>
          <w:lang w:bidi="fa-IR"/>
        </w:rPr>
        <w:t>، فإنّ المراد من العلم فیها هو الحجّة؛ إذ من المعلوم انّه لیس المراد منه العلم الضروری؛ لأنّ المستند فی الفقه اما ظاهر الکتاب، أو السنّة، و کلاهما لا یفیدان العلم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الموضوعات مثل قوله علیه السلام فی أخبار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و لکن ینقضه یقین آخر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9"/>
      </w:r>
      <w:r>
        <w:rPr>
          <w:rFonts w:ascii="IRNazanin" w:hAnsi="IRNazanin" w:eastAsia="IRNazanin"/>
          <w:color w:val="111111"/>
          <w:sz w:val="28"/>
          <w:sz w:val="28"/>
          <w:szCs w:val="28"/>
          <w:rtl w:val="true"/>
          <w:lang w:bidi="fa-IR"/>
        </w:rPr>
        <w:t>، و لذا لا إشکال فی اعتبار البیّنة لو قامت علی طهارة الثوب المسبوق بالنجاسة، و لا یعدّ نقضاً للیقین بالشکّ و کذلک فی خبر الجبن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فیه حلال و حرام فهو لک حلال حتّی تعرف الحرام بعینه</w:t>
      </w:r>
      <w:r>
        <w:rPr>
          <w:rFonts w:eastAsia="IRNazanin" w:cs="IRNazanin"/>
          <w:color w:val="111111"/>
          <w:sz w:val="28"/>
          <w:szCs w:val="28"/>
          <w:rtl w:val="true"/>
          <w:lang w:bidi="fa-IR"/>
        </w:rPr>
        <w:t>)</w:t>
      </w:r>
    </w:p>
    <w:p>
      <w:pPr>
        <w:pStyle w:val="BookText"/>
        <w:rPr/>
      </w:pP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روایته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کلّها علی هذا حتّی یجی‌ء الشاهدان علی خلافه</w:t>
      </w:r>
      <w:r>
        <w:rPr>
          <w:rFonts w:eastAsia="IRNazanin" w:cs="IRNazanin"/>
          <w:color w:val="111111"/>
          <w:sz w:val="28"/>
          <w:szCs w:val="28"/>
          <w:rtl w:val="true"/>
          <w:lang w:bidi="fa-IR"/>
        </w:rPr>
        <w:t>)</w:t>
      </w:r>
    </w:p>
    <w:p>
      <w:pPr>
        <w:pStyle w:val="BookText"/>
        <w:rPr/>
      </w:pP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الأخبار الواردة فی لباس المصلّی</w:t>
      </w:r>
      <w:r>
        <w:rPr>
          <w:rStyle w:val="FootnoteAnchor"/>
          <w:rtl w:val="true"/>
        </w:rPr>
        <w:footnoteReference w:id="482"/>
      </w:r>
      <w:r>
        <w:rPr>
          <w:rFonts w:ascii="IRNazanin" w:hAnsi="IRNazanin" w:eastAsia="IRNazanin"/>
          <w:color w:val="111111"/>
          <w:sz w:val="28"/>
          <w:sz w:val="28"/>
          <w:szCs w:val="28"/>
          <w:rtl w:val="true"/>
          <w:lang w:bidi="fa-IR"/>
        </w:rPr>
        <w:t>، و أنّه یعتبر العلم بعدم کونها من المیتة، و من المعلوم عدم اعتبار العلم الوجدانی فی ثبوت التذکیة، و لذا یکفی فیها سوق المسلمین و ید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المتتبّع أن العلم المأخوذ فی موضوعات الأحکام فی الأخبار و غیرها، و کذلک المأخوذ فی نفس الأحکام، لا یراد منه العلم القطعی الجازم، بل معنیً أعمّ؛ یعمّ الأمارات المعتبرة، عکس ما ذکره المحقّق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الأمارات مقامه فی تلک الموارد، فالمدّعی هو أنّ المراد من العلم فیها هو الحجّة، و لذا ورد فی روایة حفص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الشهادة علی الملکیّة بمجرّد الید و الاستیلاء، و کذلک فی جواز الشهادة علی مؤدّی الاستصحاب، کما سیجی‌ء نقلها؛ کیف و لو اعتبر العلم الوجدانی فی جواز الشهادة، و لم یکفِ قیام الأمارات علی طبقها، لانسدّ باب الشهادة، و اختلّ أمر القضاء، فإنّه قلّما یتفق حصول العلم القطعی الجازم بملکیّة شخص لما فی یده واقعاً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یعقوب، عن محمّد بن یحیی، عن أحمد بن محمّد، عن الحسن بن علیّ بن النعمان، عن حمّاد بن عثمان، 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یُشهدنی علی شهادة فأعرف خطّی و خاتمی، و لا أذکر من الباقی لا قلیلًا و لا کثیراً؟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صاحبک ثقة و معه رجل ثقة فاشهد له</w:t>
      </w:r>
      <w:r>
        <w:rPr>
          <w:rFonts w:eastAsia="IRNazanin" w:cs="IRNazanin"/>
          <w:color w:val="111111"/>
          <w:sz w:val="28"/>
          <w:szCs w:val="28"/>
          <w:rtl w:val="true"/>
          <w:lang w:bidi="fa-IR"/>
        </w:rPr>
        <w:t>)</w:t>
      </w:r>
    </w:p>
    <w:p>
      <w:pPr>
        <w:pStyle w:val="BookText"/>
        <w:rPr/>
      </w:pP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معمول بها، إلّا الجملة الأخیرة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الأخبار الواردة فی جواز الشهادة بالاستصحاب، مثل</w:t>
      </w:r>
    </w:p>
    <w:p>
      <w:pPr>
        <w:pStyle w:val="BookText"/>
        <w:rPr/>
      </w:pPr>
      <w:r>
        <w:rPr>
          <w:rFonts w:ascii="IRNazanin" w:hAnsi="IRNazanin" w:eastAsia="IRNazanin"/>
          <w:color w:val="111111"/>
          <w:sz w:val="28"/>
          <w:sz w:val="28"/>
          <w:szCs w:val="28"/>
          <w:rtl w:val="true"/>
          <w:lang w:bidi="fa-IR"/>
        </w:rPr>
        <w:t>روایة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الرجل یکون فی داره، ثمّ یغیب ثلاثین سنة، و یدع فیها عیاله، ثم یأتینا هلاکه، و نحن لا ندری ما أحدث فی داره، و نحن لا ندری ما احدث له من الولد إلّا أنّا لا نعلم أنّه أحدث فی داره شیئاً، و لا حدث له ولد، و لا تقسّم هذه الدار علی ورثته الذین ترک فی الدار، حتی یشهد شاهدا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الدار دار فلان بن فلان، مات و ترکها میراثاً بین فلان و فلان، أ فنشهد علی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الخبر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جواز الشهادة أیضاً من الآثار الشرعیّة للیقین السابق، فعلی القول بأنّ المرادَ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وجوب ترتیب آثار الیقین السابق، فمن آثاره هو جواز الشهادة علی طبقه و إن لم نقل بأنّ مفاده الحکم بإطالة عمر الیقین، کما زعمناه سابقاً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الید</w:t>
      </w:r>
      <w:r>
        <w:rPr>
          <w:rFonts w:eastAsia="IRNazanin" w:cs="IRNazanin"/>
          <w:color w:val="111111"/>
          <w:sz w:val="28"/>
          <w:szCs w:val="28"/>
          <w:rtl w:val="true"/>
          <w:lang w:bidi="fa-IR"/>
        </w:rPr>
        <w:t>.</w:t>
      </w:r>
      <w:bookmarkStart w:id="441" w:name="pg12898_148111"/>
    </w:p>
    <w:p>
      <w:pPr>
        <w:pStyle w:val="Heading5"/>
        <w:numPr>
          <w:ilvl w:val="4"/>
          <w:numId w:val="1"/>
        </w:numPr>
        <w:rPr/>
      </w:pPr>
      <w:bookmarkStart w:id="442" w:name="__RefHeading___Toc3234992_3224264995"/>
      <w:bookmarkStart w:id="443" w:name="_Toc165"/>
      <w:bookmarkEnd w:id="441"/>
      <w:bookmarkEnd w:id="442"/>
      <w:r>
        <w:rPr>
          <w:rtl w:val="true"/>
        </w:rPr>
        <w:t>المبحث الثانی حال الاستصحاب مع قاعدتی التجاوز و الفراغ</w:t>
      </w:r>
      <w:bookmarkEnd w:id="443"/>
    </w:p>
    <w:p>
      <w:pPr>
        <w:pStyle w:val="Heading6"/>
        <w:numPr>
          <w:ilvl w:val="5"/>
          <w:numId w:val="1"/>
        </w:numPr>
        <w:rPr/>
      </w:pPr>
      <w:bookmarkStart w:id="444" w:name="__RefHeading___Toc3234994_3224264995"/>
      <w:bookmarkStart w:id="445" w:name="_Toc166"/>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و لا إشکال فی تقدّمهما علی الاستصحاب، و إنّما الإشکال فی وجه تقدّمهما، و أنّه لأجل حکومتهما علیه، أو لزوم لغویّتهما لو لا تقدّمهما علیه، و حیث إنّ البحث عن القاعدتین من المباحث المهمّة، لا بأس بصرف عنان الکلام فی تفصیل الامور المبحوث عنها فیهما، و قبل الشروع فی ذلک لا بدّ من بیان ما هو المدرک لهما، و بیان الأخبار الواردة فیهما، فنقول و به نستعین</w:t>
      </w:r>
      <w:r>
        <w:rPr>
          <w:rFonts w:eastAsia="IRNazanin" w:cs="IRNazanin"/>
          <w:color w:val="111111"/>
          <w:sz w:val="28"/>
          <w:szCs w:val="28"/>
          <w:rtl w:val="true"/>
          <w:lang w:bidi="fa-IR"/>
        </w:rPr>
        <w:t>:</w:t>
      </w:r>
    </w:p>
    <w:p>
      <w:pPr>
        <w:pStyle w:val="Heading6"/>
        <w:numPr>
          <w:ilvl w:val="5"/>
          <w:numId w:val="1"/>
        </w:numPr>
        <w:rPr/>
      </w:pPr>
      <w:bookmarkStart w:id="446" w:name="__RefHeading___Toc3234996_3224264995"/>
      <w:bookmarkStart w:id="447" w:name="_Toc167"/>
      <w:bookmarkEnd w:id="446"/>
      <w:r>
        <w:rPr>
          <w:rtl w:val="true"/>
        </w:rPr>
        <w:t>حول الأخبار التی تستفاد منها القاعدة الکلّیّة</w:t>
      </w:r>
      <w:bookmarkEnd w:id="447"/>
    </w:p>
    <w:p>
      <w:pPr>
        <w:pStyle w:val="BookText"/>
        <w:rPr/>
      </w:pPr>
      <w:r>
        <w:rPr>
          <w:rFonts w:ascii="IRNazanin" w:hAnsi="IRNazanin" w:eastAsia="IRNazanin"/>
          <w:color w:val="111111"/>
          <w:sz w:val="28"/>
          <w:sz w:val="28"/>
          <w:szCs w:val="28"/>
          <w:rtl w:val="true"/>
          <w:lang w:bidi="fa-IR"/>
        </w:rPr>
        <w:t>روی الشیخ قدس سره بإسناده عن الحسین بن سعید، عن صفوان عن ابن بکیر،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عمومها للصلاة و غیرها من المرکّبات المستقلّة و عدم اختصاصها بالصلاة، بل الظاهر شمولها لأجزاء الصلاة و غیرها من الأعمال الغیر المستقلّة أیضاً؛ لصدق مدخول کلٍّ علیها، فهذه صحیحة سنداً، و واضحة دلالة، و عامّة لجمیع الأفعال المستقلّة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أحمد بن محمّد، عن أحمد بن محمّد بن أبی نصر، عن حمّاد بن عیسی، عن حریز بن عبد اللَّه، عن زرارة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یشکّ فی الأذان و قد دخل فی الإقامة؟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 الإقامة و قد کبّر؟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 قد قرأ؟</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 قد رکع؟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 قد سجد؟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شی‌ء ثمّ دخلت فی غیره فشککت لیس بشی‌ء</w:t>
      </w:r>
      <w:r>
        <w:rPr>
          <w:rFonts w:eastAsia="IRNazanin" w:cs="IRNazanin"/>
          <w:color w:val="111111"/>
          <w:sz w:val="28"/>
          <w:szCs w:val="28"/>
          <w:rtl w:val="true"/>
          <w:lang w:bidi="fa-IR"/>
        </w:rPr>
        <w:t>)</w:t>
      </w:r>
    </w:p>
    <w:p>
      <w:pPr>
        <w:pStyle w:val="BookText"/>
        <w:rPr/>
      </w:pPr>
      <w:r>
        <w:rPr>
          <w:rStyle w:val="FootnoteAnchor"/>
          <w:rtl w:val="true"/>
        </w:rPr>
        <w:footnoteReference w:id="486"/>
      </w:r>
      <w:r>
        <w:rPr>
          <w:rFonts w:ascii="IRNazanin" w:hAnsi="IRNazanin" w:eastAsia="IRNazanin"/>
          <w:color w:val="111111"/>
          <w:sz w:val="28"/>
          <w:sz w:val="28"/>
          <w:szCs w:val="28"/>
          <w:rtl w:val="true"/>
          <w:lang w:bidi="fa-IR"/>
        </w:rPr>
        <w:t>، و فی نسخة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7"/>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مع صحّة سندها تشمل جمیع الأفعال المرکّبة و غیرها، المستقلّة</w:t>
      </w:r>
    </w:p>
    <w:p>
      <w:pPr>
        <w:pStyle w:val="BookText"/>
        <w:rPr/>
      </w:pPr>
      <w:r>
        <w:rPr>
          <w:rFonts w:ascii="IRNazanin" w:hAnsi="IRNazanin" w:eastAsia="IRNazanin"/>
          <w:color w:val="111111"/>
          <w:sz w:val="28"/>
          <w:sz w:val="28"/>
          <w:szCs w:val="28"/>
          <w:rtl w:val="true"/>
          <w:lang w:bidi="fa-IR"/>
        </w:rPr>
        <w:t>و غیرها، و ذکر الموارد المسئول عنها لا یصلح قرینة لاختصاص الذیل بأجزاء الصلاة، خصوصاً مع وقوع السؤال عن جمیع أجزاء الصلاة، و لهذا اتّفقوا علی عدم اختصاص الاستصحاب بالوضوء</w:t>
      </w:r>
      <w:r>
        <w:rPr>
          <w:rStyle w:val="FootnoteAnchor"/>
          <w:rtl w:val="true"/>
        </w:rPr>
        <w:footnoteReference w:id="488"/>
      </w:r>
      <w:r>
        <w:rPr>
          <w:rFonts w:ascii="IRNazanin" w:hAnsi="IRNazanin" w:eastAsia="IRNazanin"/>
          <w:color w:val="111111"/>
          <w:sz w:val="28"/>
          <w:sz w:val="28"/>
          <w:szCs w:val="28"/>
          <w:rtl w:val="true"/>
          <w:lang w:bidi="fa-IR"/>
        </w:rPr>
        <w:t>، مع أنّ السؤال فی مورد روایتی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اللّتین هما العمدة فی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سعد، عن أحمد بن محمّد، عن أبیه، عن عبد اللَّه بن المغیرة،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 سجد فلیمضِ، و إن شکّ فی السجود بعد ما قام فلیمضِ، کلّ شی‌ء شَکّ فیه ممّا قد جاوزه و دخل فی غیره فلیمضِ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نقلها فی الوسائل</w:t>
      </w:r>
      <w:r>
        <w:rPr>
          <w:rStyle w:val="FootnoteAnchor"/>
          <w:rtl w:val="true"/>
        </w:rPr>
        <w:footnoteReference w:id="489"/>
      </w:r>
      <w:r>
        <w:rPr>
          <w:rFonts w:ascii="IRNazanin" w:hAnsi="IRNazanin" w:eastAsia="IRNazanin"/>
          <w:color w:val="111111"/>
          <w:sz w:val="28"/>
          <w:sz w:val="28"/>
          <w:szCs w:val="28"/>
          <w:rtl w:val="true"/>
          <w:lang w:bidi="fa-IR"/>
        </w:rPr>
        <w:t>، و فی مواضع اخر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أبواب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Style w:val="FootnoteAnchor"/>
          <w:rtl w:val="true"/>
        </w:rPr>
        <w:footnoteReference w:id="490"/>
      </w:r>
      <w:r>
        <w:rPr>
          <w:rFonts w:ascii="IRNazanin" w:hAnsi="IRNazanin" w:eastAsia="IRNazanin"/>
          <w:color w:val="111111"/>
          <w:sz w:val="28"/>
          <w:sz w:val="28"/>
          <w:szCs w:val="28"/>
          <w:rtl w:val="true"/>
          <w:lang w:bidi="fa-IR"/>
        </w:rPr>
        <w:t>، مع ظهور أنّها روایة واحدة، و نقلها فی الوافی کذلک</w:t>
      </w:r>
      <w:r>
        <w:rPr>
          <w:rStyle w:val="FootnoteAnchor"/>
          <w:rtl w:val="true"/>
        </w:rPr>
        <w:footnoteReference w:id="491"/>
      </w:r>
      <w:r>
        <w:rPr>
          <w:rFonts w:ascii="IRNazanin" w:hAnsi="IRNazanin" w:eastAsia="IRNazanin"/>
          <w:color w:val="111111"/>
          <w:sz w:val="28"/>
          <w:sz w:val="28"/>
          <w:szCs w:val="28"/>
          <w:rtl w:val="true"/>
          <w:lang w:bidi="fa-IR"/>
        </w:rPr>
        <w:t>، و الظاهر أنّه الصحیح دون الأوّل،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أیضاً عامّة شاملة للأعمال المستقلّة و غیرها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 قد</w:t>
      </w:r>
    </w:p>
    <w:p>
      <w:pPr>
        <w:pStyle w:val="BookText"/>
        <w:rPr/>
      </w:pPr>
      <w:r>
        <w:rPr>
          <w:rFonts w:ascii="IRNazanin" w:hAnsi="IRNazanin" w:eastAsia="IRNazanin"/>
          <w:color w:val="111111"/>
          <w:sz w:val="28"/>
          <w:sz w:val="28"/>
          <w:szCs w:val="28"/>
          <w:rtl w:val="true"/>
          <w:lang w:bidi="fa-IR"/>
        </w:rPr>
        <w:t>دخلت فی غیره، فلیس شکّک بشی‌ء، إنّما الشکّ إذا کنت فی شی‌ء لم تجُزه</w:t>
      </w:r>
      <w:r>
        <w:rPr>
          <w:rFonts w:eastAsia="IRNazanin" w:cs="IRNazanin"/>
          <w:color w:val="111111"/>
          <w:sz w:val="28"/>
          <w:szCs w:val="28"/>
          <w:rtl w:val="true"/>
          <w:lang w:bidi="fa-IR"/>
        </w:rPr>
        <w:t>)</w:t>
      </w:r>
    </w:p>
    <w:p>
      <w:pPr>
        <w:pStyle w:val="BookText"/>
        <w:rPr/>
      </w:pP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تشمل بإطلاقها جمیع الأعمال المرکّبة المستقلّة و غیرها، و تدلّ علی حصر اعتبار الشکّ فیما إذا لم تجُز محلّ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الحسین بن سعید، عن فضالة، عن أبان بن عثمان،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بعد ما یتوضّأ؟</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منها أنّ تمام الموضوع للحکم بعدم اعتبار الشکّ هو الأذکریّة،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الحکم و الموضوع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الخصوصیّة للوضوء فی ذلک؛ أی الأذکریّة، کما لا دخْل للتعبّدیّة فیها عرفاً، بل یفهم منها عرفاً أنّ أجزاء کلّ مرکّب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أیضاً ممّا یستفاد منها القاعدة الکلّیّة فی جمیع المرکّبات و أجزائها لو ترتّب أثر شرعیّ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الروایة</w:t>
      </w:r>
    </w:p>
    <w:p>
      <w:pPr>
        <w:pStyle w:val="BookText"/>
        <w:rPr/>
      </w:pPr>
      <w:r>
        <w:rPr>
          <w:rFonts w:ascii="IRNazanin" w:hAnsi="IRNazanin" w:eastAsia="IRNazanin"/>
          <w:color w:val="111111"/>
          <w:sz w:val="28"/>
          <w:sz w:val="28"/>
          <w:szCs w:val="28"/>
          <w:rtl w:val="true"/>
          <w:lang w:bidi="fa-IR"/>
        </w:rPr>
        <w:t>ما رواه الصدوق قدس سره بإسناده عن محمّد بن مسلم،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الرجل بعد ما صلّی؛ فلم یدرِ أثلاثاً صلّی أم أربعاً، و کان یقینه حین انصرف أنّه کان قد أتمّ، لم یعد الصلاة، و کان حین انصرف أقرب إلی الحقّ منه بعد ذلک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تطبیقها علی قاعدة الیقین، مع قطع النظر عن ذیلها، لکن قوله علیه السلام فی</w:t>
      </w:r>
    </w:p>
    <w:p>
      <w:pPr>
        <w:pStyle w:val="BookText"/>
        <w:rPr/>
      </w:pPr>
      <w:r>
        <w:rPr>
          <w:rFonts w:ascii="IRNazanin" w:hAnsi="IRNazanin" w:eastAsia="IRNazanin"/>
          <w:color w:val="111111"/>
          <w:sz w:val="28"/>
          <w:sz w:val="28"/>
          <w:szCs w:val="28"/>
          <w:rtl w:val="true"/>
          <w:lang w:bidi="fa-IR"/>
        </w:rPr>
        <w:t>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یدفع هذا الاحتمال؛ لأنّه یستفاد منها أنّ المناط هو الأقربیّة، فلا تحتمل إلّا قاعدة الفراغ 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شککت أن لم تؤذّن و قد أقمت فامضِ، و إن شککت فی الإقامة بعد ما کبّرت فامضِ، و إن شککت فی القراءة بعد ما رکعت فامضِ، و إن شککت فی الرکوع بعد ما سجدت فامضِ، و کلّ شی‌ء شککت فیه و قد دخلت فی حالة اخری فامضِ، و لا تلتفت إلی الشکّ إلّا أن تستیقن</w:t>
      </w:r>
      <w:r>
        <w:rPr>
          <w:rFonts w:eastAsia="IRNazanin" w:cs="IRNazanin"/>
          <w:color w:val="111111"/>
          <w:sz w:val="28"/>
          <w:szCs w:val="28"/>
          <w:rtl w:val="true"/>
          <w:lang w:bidi="fa-IR"/>
        </w:rPr>
        <w:t>)</w:t>
      </w:r>
    </w:p>
    <w:p>
      <w:p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و إن احتمل أنّها هی روایة زرارة، لکنّه لا یمنع عن التمسّک بالکلّیّة المذکورة فی ذیل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شککت فی شی‌ء و أنت فی حال اخری فامضِ، و لا تلتفت إلی الشکّ</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استفادة هذا الحکم من روایتی الفضیل و زرارة عن أبی جعفر علیه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استیقنتَ أو شککتَ فی وقت فریضة أنّک لم تُصلّها، أو فی وقت فوتها أنّک لم تُصلّها، صلّیتها، و إن شککتَ بعد ما خرج وقت الفوت، و قد دخل حائل، فلا إعادة علیک من شکّ حتّی تستیقن، فإن استیقنت فعلیک أن تصلّیها فی أیّ حالة کنت</w:t>
      </w:r>
      <w:r>
        <w:rPr>
          <w:rFonts w:eastAsia="IRNazanin" w:cs="IRNazanin"/>
          <w:color w:val="111111"/>
          <w:sz w:val="28"/>
          <w:szCs w:val="28"/>
          <w:rtl w:val="true"/>
          <w:lang w:bidi="fa-IR"/>
        </w:rPr>
        <w:t>)</w:t>
      </w:r>
    </w:p>
    <w:p>
      <w:pPr>
        <w:pStyle w:val="BookText"/>
        <w:rPr/>
      </w:pP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 الفضیلة بقرینة الذیل، 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صلّیتَها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بإتیانها، فیمکن أن یستفاد منها أنّ السرّ و النکتة فی عدم الاعتناء</w:t>
      </w:r>
      <w:bookmarkStart w:id="448" w:name="pg12898_148116"/>
    </w:p>
    <w:p>
      <w:pPr>
        <w:pStyle w:val="BookText"/>
        <w:rPr/>
      </w:pPr>
      <w:bookmarkEnd w:id="448"/>
      <w:r>
        <w:rPr>
          <w:rFonts w:ascii="IRNazanin" w:hAnsi="IRNazanin" w:eastAsia="IRNazanin"/>
          <w:color w:val="111111"/>
          <w:sz w:val="28"/>
          <w:sz w:val="28"/>
          <w:szCs w:val="28"/>
          <w:rtl w:val="true"/>
          <w:lang w:bidi="fa-IR"/>
        </w:rPr>
        <w:t>بالشکّ هو وجود الحائل، و حینئذٍ فقاعدة الشکّ بعد الوقت لیست قاعدة اخری برأسها سوی قاعدة الفراغ 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الشکّ فی الشی‌ء أو أجزائه بعد التجاوز عن محلّه بنحو الکلّیّة، لو ترتّب علیه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العبادات أم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یدلّ دلیل خاصّ علی خروج شی‌ء من هذه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فهنا جهات من البحث</w:t>
      </w:r>
      <w:r>
        <w:rPr>
          <w:rFonts w:eastAsia="IRNazanin" w:cs="IRNazanin"/>
          <w:color w:val="111111"/>
          <w:sz w:val="28"/>
          <w:szCs w:val="28"/>
          <w:rtl w:val="true"/>
          <w:lang w:bidi="fa-IR"/>
        </w:rPr>
        <w:t>:</w:t>
      </w:r>
    </w:p>
    <w:p>
      <w:pPr>
        <w:pStyle w:val="Heading6"/>
        <w:numPr>
          <w:ilvl w:val="5"/>
          <w:numId w:val="1"/>
        </w:numPr>
        <w:rPr/>
      </w:pPr>
      <w:bookmarkStart w:id="449" w:name="__RefHeading___Toc3234998_3224264995"/>
      <w:bookmarkStart w:id="450" w:name="_Toc168"/>
      <w:bookmarkEnd w:id="449"/>
      <w:r>
        <w:rPr>
          <w:rtl w:val="true"/>
        </w:rPr>
        <w:t>الجهة الاولی</w:t>
      </w:r>
      <w:r>
        <w:rPr>
          <w:rtl w:val="true"/>
        </w:rPr>
        <w:t xml:space="preserve">: </w:t>
      </w:r>
      <w:r>
        <w:rPr>
          <w:rtl w:val="true"/>
        </w:rPr>
        <w:t>هل الکبری المجعولة فی القاعدتین واحدة أو متعددة؟</w:t>
      </w:r>
      <w:bookmarkEnd w:id="450"/>
    </w:p>
    <w:p>
      <w:pPr>
        <w:pStyle w:val="BookText"/>
        <w:rPr/>
      </w:pPr>
      <w:r>
        <w:rPr>
          <w:rFonts w:ascii="IRNazanin" w:hAnsi="IRNazanin" w:eastAsia="IRNazanin"/>
          <w:color w:val="111111"/>
          <w:sz w:val="28"/>
          <w:sz w:val="28"/>
          <w:szCs w:val="28"/>
          <w:rtl w:val="true"/>
          <w:lang w:bidi="fa-IR"/>
        </w:rPr>
        <w:t>اختلفوا فی أنّ الکبری المجعولة فی قاعدتی الفراغ و التجاوز واحدة، و أنّ الاختلاف إنّما هو فی المصادیق، أو متعدّدة بملاکین أو ملاک واحد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إشکال فی إمکان اتّحادهما فی مقام الثبوت، و عدم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عدم الجامع، و لزوم اجتماع المتنافیین، أو اللحاظین من الکلّیّة و الجزئیّة، أو من جهة أنّ مورد قاعدة التجاوز هو الشکّ فی وجود الجزء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بخلاف مورد قاعدة الفراغ، أو من جهات اخری ذکرها المیرزا النائینی و المحقّق الاصفهانی </w:t>
      </w:r>
      <w:r>
        <w:rPr>
          <w:rFonts w:eastAsia="IRNazanin" w:cs="IRNazanin"/>
          <w:color w:val="111111"/>
          <w:sz w:val="28"/>
          <w:szCs w:val="28"/>
          <w:lang w:bidi="fa-IR"/>
        </w:rPr>
        <w:t>0</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إمکان اتّحادهما من جهة عدم الجامع بینهما ضعیفٌ جدّاً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یلزم لو اخذ جمیع الخصوصیّات الشخصیّة للأفراد فی موضوع الحکم فیهما، کالجزء بما أنّه جزء، و الکلّ بما أنّه کلّ و غیر ذلک، و لیس کذلک، بل الموضوع فی القاعدة هو الشی‌ء بما أنّه شی‌ء، فکلّما صدق علیه عنوان الشی‌ء فهو</w:t>
      </w:r>
    </w:p>
    <w:p>
      <w:pPr>
        <w:pStyle w:val="BookText"/>
        <w:rPr/>
      </w:pPr>
      <w:r>
        <w:rPr>
          <w:rFonts w:ascii="IRNazanin" w:hAnsi="IRNazanin" w:eastAsia="IRNazanin"/>
          <w:color w:val="111111"/>
          <w:sz w:val="28"/>
          <w:sz w:val="28"/>
          <w:szCs w:val="28"/>
          <w:rtl w:val="true"/>
          <w:lang w:bidi="fa-IR"/>
        </w:rPr>
        <w:t>محکوم بهذا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اجتماع اللحاظین و نحوه إنّما یلزم لو کان الحکم المجعول فیهما ببیان و إطلاق واحد، و أمّا لو جُعل الحکم فیهما بإطلاقات متعدّدة فلا یلزم هذا المحذور فی مقام الثبوت؛ بأن تکفّلت بعضها جعل قاعدة الفراغ، و بعضها الآخر قاعدة التجاوز، و إن یلزم منه تعدّدهما فی مقام الثبوت، لکن المقصود عدم توجّه هذه الإشکالات و الوجوه التی ذکروها لبیان عدم إمکان وحدتهما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هنا إشکال علی القول بتعدّدهما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کلام الشیخ الأعظم قدس سره</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جعل الشارع أمارة أو قاعدة أو أصلًا تعبّدیّاً علی الصحّة فیما لو شکّ فی صحّة الشی‌ء و فساده، أو فیما لو شکّ بعد الفراغ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أنّه هل أتی بالمأمور به جامعاً للشرائط و الأجزاء أو لا؟ و علی أیّ تقدیر لا معنی لجعل الحکم بالصحّة أو الأمارة علیها؛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أمران انتزاعیّان، منتزعان عقلًا من موافقة المأتیّ به للمأمور به و عدمها، و علی أی حال فهما ممّا لا تنالها ید الجعل و الوضع، و لا یعقل جعل الصحّة فی المقام؛ لأنّه إمّا أن یبقی الجزء و الشرط علی جزئیّته و شرطیّته، فجعل الصحّة أو وجوب البناء علیها بدون التصرّف فی جزئیّة الجزء و شرطیّة الشرط،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یبقیا علی الجزئیّة و الشرطیّة بالتصرّف فیهما بإسقاطهما عن الجزئیّة و الشرطیّة فی صورة فقد الجزء أو الشرط، و حینئذٍ ینتزع الصحّة من المأتیّ به الفاقد للجزء أو الشرط، من دون افتقار إلی جعل الصحّة بعد ذلک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لغویّة جعل قاعدة الفراغ و أصالة الصحّة بعد جعل</w:t>
      </w:r>
    </w:p>
    <w:p>
      <w:pPr>
        <w:pStyle w:val="BookText"/>
        <w:rPr/>
      </w:pPr>
      <w:r>
        <w:rPr>
          <w:rFonts w:ascii="IRNazanin" w:hAnsi="IRNazanin" w:eastAsia="IRNazanin"/>
          <w:color w:val="111111"/>
          <w:sz w:val="28"/>
          <w:sz w:val="28"/>
          <w:szCs w:val="28"/>
          <w:rtl w:val="true"/>
          <w:lang w:bidi="fa-IR"/>
        </w:rPr>
        <w:t>قاعدة التجاوز؛ لأنّ الشکّ فی الصحّة و الفساد فی کلّ مرکّب، مسبّب عن الشکّ فی أنّه هل أتی بالجزء أو الشرط أو القاطع و المانع أو لا؟ و حینئذٍ تجری قاعدة التجاوز، و مقتضاها الصحّة، ففی جمیع موارد قاعدة الفراغ و الصحّة تجری قاعدة التجاوز، و مقتضاها الصحّة فی مرتبة متقدّمة علی مرتبة قاعدتی الفراغ و الصحّة، فجعلهما لغوٌ لا یترتّب علیهما أثر، فلا یحتاج إلیهما لانتزاع صحّة الصلاة من جریان قاعدة التجاوز فی الأجزاء و الشرائط؛ لأنّ الأصل السببی رافع للشکّ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موارد القاعدتین عموماً من وجه لتصادقهما و انطباقهما فیما لو شکّ فی صحّة الصلاة بعدها، الناشئ عن الشکّ فی الإتیان بالجزء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افتراق قاعدة التجاوز عن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شکّ فی أثناء الصلاة فی الإتیان بجزء من أجزائها و عدمه، بعد التجاوز عن محلّه، و لمّا یفرغ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افتراق قاعدة الفراغ عن قاعدة التجاوز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فی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فسادها؛ من جهة احتمال الإخلال بشرط أو وصف أو إیجاد مانع بعد الصلاة، فإنّه تجری فیه قاعدة الفراغ دون قاعدة التجاوز؛ لاختصاصها بالأجزاء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شکّ فی الجزء الأخیر للمرکّب، مع عدم تقوّمه به، کالسلام مع کونه جالساً بعد الصلاة، فإنّه تجری فیه قاعدة الفراغ بالنسبة إلی الصلاة، دون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لعدم جریان قاعدة التجاوز فی الشرائط و الأوصاف و الموانع، فإنّ الشرط 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کأداء الحروف من مخارجها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المعتبرین فی الصلاة، ممّا لهما محلّ مقرّر من طرف الشارع فی الصلاة، فمع التجاوز عن ذلک المحلّ یصدق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خرجت من شی‌ء و شککت فیه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و کذلک المانع</w:t>
      </w:r>
    </w:p>
    <w:p>
      <w:pPr>
        <w:pStyle w:val="BookText"/>
        <w:rPr/>
      </w:pPr>
      <w:r>
        <w:rPr>
          <w:rFonts w:ascii="IRNazanin" w:hAnsi="IRNazanin" w:eastAsia="IRNazanin"/>
          <w:color w:val="111111"/>
          <w:sz w:val="28"/>
          <w:sz w:val="28"/>
          <w:szCs w:val="28"/>
          <w:rtl w:val="true"/>
          <w:lang w:bidi="fa-IR"/>
        </w:rPr>
        <w:t xml:space="preserve">و القاطع، فلو شکّ فی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تشمله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 أنّه لیس فی أخبار قاعدة التجاوز لفظ یشمل ذلک، فلا ریب فی استفادة ذلک من سیاقها عرفاً، و لأنّه من المعلوم عدم الخصوصیّة للأجزاء فی ذلک الحکم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الجزء الأخیر للمرکّب و إن لم یکن مقوِّماً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کالسلام بالنسبة إلی الصلاة؛ لصدق الصلاة بدونه، غایة الأمر أنّها صلاة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ریب فی أنّه ما لم یأتِ به المصلّی و هو جالس مستقبل القبلة، یصدق أنّه مشتغل بها، و لم یفرغ بعدُ عنها عقلًا و عرفاً، فلو شکّ فی تلک الحال فی الإتیان به و عدمه، فهو شبهة مصداقیّة لقاعدة الفراغ، فلا تجری، کما لا تجری قاعدة التجاوز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وجه تعدّد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قاعدة التجاوز الدخول فی الغیر، دون قاعدة الفراغ، و مقتضی ذلک هو تعدّدهما، فلو شکّ المصلّی بعد الإتیان بالجزء الأخیر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مراعاة صفة الجزء الأخیر، أو فی ما هو من شرائط جمیع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کالستر، و هو جالس بهیئة المصلّی، تجری فیه قاعدة الفراغ، دون قاعدة التجاوز؛ لعدم الدخول فی الغیر المعتبر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عدم اعتبار الدخول فی الغیر فی قاعدة التجاوز أیضاً، کما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اعتبار ذلک فیها فهو لما فی روایة زرارة و نحوها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و دخلت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هذا النحو من التعبیر واقع فی أخبار قاعدة الفراغ بنحو آکد، کروایة زرارة، و فیها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 فرغت منه، و قد صرت فی حال اخری فی الصلاة أو فی غیرها، فشککت فی بعض ما</w:t>
      </w:r>
    </w:p>
    <w:p>
      <w:pPr>
        <w:pStyle w:val="BookText"/>
        <w:rPr/>
      </w:pPr>
      <w:r>
        <w:rPr>
          <w:rFonts w:ascii="Amiri" w:hAnsi="Amiri" w:eastAsia="Amiri" w:cs="Amiri"/>
          <w:color w:val="111111"/>
          <w:sz w:val="28"/>
          <w:sz w:val="28"/>
          <w:szCs w:val="28"/>
          <w:rtl w:val="true"/>
          <w:lang w:bidi="ar-SA"/>
        </w:rPr>
        <w:t>سمّی اللَّه ممّا أوجب اللَّه علیک وضوءه، لا شی‌ء علیک</w:t>
      </w:r>
      <w:r>
        <w:rPr>
          <w:rFonts w:eastAsia="Amiri" w:cs="Amiri" w:ascii="Amiri" w:hAnsi="Amiri"/>
          <w:color w:val="111111"/>
          <w:sz w:val="28"/>
          <w:szCs w:val="28"/>
          <w:rtl w:val="true"/>
          <w:lang w:bidi="ar-SA"/>
        </w:rPr>
        <w:t>)</w:t>
      </w:r>
    </w:p>
    <w:p>
      <w:pPr>
        <w:pStyle w:val="BookText"/>
        <w:rPr/>
      </w:pP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ابن أبی یعفور،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 قد دخلت فی غیره، فلیس شکّک بشی‌ء</w:t>
      </w:r>
      <w:r>
        <w:rPr>
          <w:rFonts w:eastAsia="IRNazanin" w:cs="IRNazanin"/>
          <w:color w:val="111111"/>
          <w:sz w:val="28"/>
          <w:szCs w:val="28"/>
          <w:rtl w:val="true"/>
          <w:lang w:bidi="fa-IR"/>
        </w:rPr>
        <w:t>)</w:t>
      </w:r>
    </w:p>
    <w:p>
      <w:pPr>
        <w:pStyle w:val="BookText"/>
        <w:rPr/>
      </w:pPr>
      <w:r>
        <w:rPr>
          <w:rStyle w:val="FootnoteAnchor"/>
          <w:rtl w:val="true"/>
        </w:rPr>
        <w:footnoteReference w:id="502"/>
      </w:r>
      <w:r>
        <w:rPr>
          <w:rFonts w:ascii="IRNazanin" w:hAnsi="IRNazanin" w:eastAsia="IRNazanin"/>
          <w:color w:val="111111"/>
          <w:sz w:val="28"/>
          <w:sz w:val="28"/>
          <w:szCs w:val="28"/>
          <w:rtl w:val="true"/>
          <w:lang w:bidi="fa-IR"/>
        </w:rPr>
        <w:t>، فلو دلّ ذلک علی اعتبار الدخول فی الغیر فی قاعدة التجاوز، دلّ علی اعتباره فی قاعدة الفراغ أیضاً، فلا فرق بینهما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الفقیه الهمدانی قدس سره فی وجه تعدّد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الفراغ قاعدة سیّالة ساریة فی جمیع الأبواب من العبادات و العقود و الإیقاعات حتّی فی الحدود و القضاء، بخلاف قاعدة التجاوز، فإنّها إمّا تختصّ بالصلاة، أو تعمّ الغسل و التیمّم أیضاً لو لم یُلحقا بالوضوء</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مجرّد دعوی تحتاج إلی الدلیل علیه، فإنّ العمومات و الإطلاقات فی الروایات المتقدّمة لقاعدة التجاوز تشمل جمیع المرکّبات، إلّا أن یقوم دلیل خاصّ علی الخلاف و الخروج منها، یخصِّص تلک العمومات أو یقیّد تلک المطلقات، و لیس لنا دلیل خاصّ لفظیّ، و لا لبّیّ کالإجماع فیما سوی الوضوء، و لذا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احتمل اختصاص مورد هذه الأخبار بالصلاة؛ لاقتضاء سیاقها ذلک، و هو ضعیف جدّاً، بل هی قاعدة ساریة محکّمة فی الصلاة و غیرها من الحجّ و العمرة و غیرهما، نعم هی مخصَّصة بالوضوء؛ لخروجه منها؛ لما سمعته من الأدلّة، فوجب الاقتصار علیه، و لا یتعدّی منه فی هذا الحکم إلی الغسل مثلًا، و هو باقٍ علی</w:t>
      </w:r>
    </w:p>
    <w:p>
      <w:pPr>
        <w:pStyle w:val="BookText"/>
        <w:rPr/>
      </w:pPr>
      <w:r>
        <w:rPr>
          <w:rFonts w:ascii="IRNazanin" w:hAnsi="IRNazanin" w:eastAsia="IRNazanin"/>
          <w:color w:val="111111"/>
          <w:sz w:val="28"/>
          <w:sz w:val="28"/>
          <w:szCs w:val="28"/>
          <w:rtl w:val="true"/>
          <w:lang w:bidi="fa-IR"/>
        </w:rPr>
        <w:t>القاعدة من عدم الالتفات إلی الشکّ فی شی‌ء من أجزائه</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ذلک خلاف الإجماع أو الشهرة لما أفتی به مثل صاحب الجواهر قدس سره، کما هو دأبه فی أکثر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الفراغ هی أصالة الصحّة فی فعل نفسه بعینها،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غیرها مجعولة فی باب الشکّ فی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منها، بخلاف قاعدة التجاوز، فإنّها مجعولة للشکّ فی أجزاء الصلاة قبل الفراغ منها، فهی حینئذٍ غیر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یرتفع بعض الإشکالات المتقدّمة، کإشکال حکومة قاعدة التجاوز علی قاعدة الفراغ، لکن الإشکال الآخر باقٍ علی حاله؛ من حیث عدم الافتقار إلی جعل قاعدة الفراغ لخصوص الشکّ بعد الفراغ، و عدم قصور العمومات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الشمول لما بعد الفراغ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القاعدتین واحدة، بل قاعدة الشکّ بعد الوقت أیضاً لیست قاعدة اخری، بل هی أیضاً قاعدة التجاوز بعینها، بل و کذلک الشکّ بعد السلام، فإنّ جمیع هذه القواعد قاعدة واحدة، لها ملاک واحد هو التجاوز عن المحلّ؛ لأنّ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شکّ فیه ممّا قد مضی</w:t>
      </w:r>
      <w:r>
        <w:rPr>
          <w:rFonts w:eastAsia="Amiri" w:cs="Amiri" w:ascii="Amiri" w:hAnsi="Amiri"/>
          <w:color w:val="111111"/>
          <w:sz w:val="28"/>
          <w:szCs w:val="28"/>
          <w:rtl w:val="true"/>
          <w:lang w:bidi="ar-SA"/>
        </w:rPr>
        <w:t>)</w:t>
      </w:r>
    </w:p>
    <w:p>
      <w:pPr>
        <w:pStyle w:val="BookText"/>
        <w:rPr/>
      </w:pPr>
      <w:r>
        <w:rPr>
          <w:rStyle w:val="FootnoteAnchor"/>
          <w:rtl w:val="true"/>
        </w:rPr>
        <w:footnoteReference w:id="505"/>
      </w:r>
      <w:r>
        <w:rPr>
          <w:rFonts w:ascii="IRNazanin" w:hAnsi="IRNazanin" w:eastAsia="IRNazanin"/>
          <w:color w:val="111111"/>
          <w:sz w:val="28"/>
          <w:sz w:val="28"/>
          <w:szCs w:val="28"/>
          <w:rtl w:val="true"/>
          <w:lang w:bidi="fa-IR"/>
        </w:rPr>
        <w:t>و نحوه فی الأخبار المتقدّمة یحتمل بحسب مقام التصوّر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کلّ شی‌ء شکّ فی صحّته بعد إحراز أصل وجوده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الشکّ فی صحّته من قِبَل الشکّ فی وجود جزء أو شرط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الشکّ فیه نفسه؛ أی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عدم إمکانه عقلًا، مضافاً إلی الشواهد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إرادة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رجوعه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الأکل من القفا، فهو خلاف الظاهر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 فهو المتعیّن، کما هو ظاهر صدر روایة زرارة و إسماعیل بن جابر، و ان کان ظاهر ذیلها خلاف ذلک، و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w:t>
      </w:r>
      <w:r>
        <w:rPr>
          <w:rFonts w:eastAsia="IRNazanin" w:cs="IRNazanin"/>
          <w:color w:val="111111"/>
          <w:sz w:val="28"/>
          <w:szCs w:val="28"/>
          <w:rtl w:val="true"/>
          <w:lang w:bidi="fa-IR"/>
        </w:rPr>
        <w:t>)</w:t>
      </w:r>
    </w:p>
    <w:p>
      <w:pPr>
        <w:pStyle w:val="BookText"/>
        <w:rPr/>
      </w:pPr>
      <w:r>
        <w:rPr>
          <w:rStyle w:val="FootnoteAnchor"/>
          <w:rtl w:val="true"/>
        </w:rPr>
        <w:footnoteReference w:id="506"/>
      </w:r>
      <w:r>
        <w:rPr>
          <w:rFonts w:ascii="IRNazanin" w:hAnsi="IRNazanin" w:eastAsia="IRNazanin"/>
          <w:color w:val="111111"/>
          <w:sz w:val="28"/>
          <w:sz w:val="28"/>
          <w:szCs w:val="28"/>
          <w:rtl w:val="true"/>
          <w:lang w:bidi="fa-IR"/>
        </w:rPr>
        <w:t>، لکن الصدر صالح للقرینیّة علی التصرّف فی الذیل، مضافاً إلی ما عرفت من عدم إمکان إرادة الشکّ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علیه أیضاً مرسلة الصدوق قدس سره المتقدّمة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شککت أن لم تؤذّن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فإنّه کالصریح فی إرادة الشکّ فی وجود الأذان، لا فی صحّته، و هو قرینة علی إرادة ذلک من الفقرات التی بعده و ان احتمل وجه آخر فیها، لکنّها أیضاً ظاهرة فی الشکّ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الفقه الرضوی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تلتفت إلی الشکّ إلّا أن تستیقن، فإنّک إن استیقنت أنّک ترکت الأذان </w:t>
      </w:r>
      <w:r>
        <w:rPr>
          <w:rFonts w:eastAsia="IRNazanin" w:cs="IRNazanin"/>
          <w:color w:val="111111"/>
          <w:sz w:val="28"/>
          <w:szCs w:val="28"/>
          <w:rtl w:val="true"/>
          <w:lang w:bidi="fa-IR"/>
        </w:rPr>
        <w:t>...)</w:t>
      </w:r>
    </w:p>
    <w:p>
      <w:pPr>
        <w:pStyle w:val="BookText"/>
        <w:rPr/>
      </w:pPr>
      <w:r>
        <w:rPr>
          <w:rStyle w:val="FootnoteAnchor"/>
          <w:rtl w:val="true"/>
        </w:rPr>
        <w:footnoteReference w:id="507"/>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ینسی السجدة الثانیة من الرکعة الثانیة، أو شکّ فیها؟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خفت ألّا تکون وضعت وجهک إلّا مرّة واحدة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8"/>
      </w:r>
      <w:r>
        <w:rPr>
          <w:rFonts w:ascii="IRNazanin" w:hAnsi="IRNazanin" w:eastAsia="IRNazanin"/>
          <w:color w:val="111111"/>
          <w:sz w:val="28"/>
          <w:sz w:val="28"/>
          <w:szCs w:val="28"/>
          <w:rtl w:val="true"/>
          <w:lang w:bidi="fa-IR"/>
        </w:rPr>
        <w:t>الخبر، فإنّه</w:t>
      </w:r>
      <w:bookmarkStart w:id="451" w:name="pg12898_148123"/>
    </w:p>
    <w:p>
      <w:pPr>
        <w:pStyle w:val="BookText"/>
        <w:rPr/>
      </w:pPr>
      <w:bookmarkEnd w:id="451"/>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وجود السجدة و تحقّقها، و حینئذٍ فهنا قاعدة کلّیّة هی عدم اعتبار الشکّ فی وجود الشی‌ء بعد التجاوز عن محلّه، و یشمل الشکّ فی أصل الإتیان بالصلاة بعد الوقت أیضاً؛ لأنّه من أفراد تلک الکلّیّة، فلیس هو قاعدة اخری</w:t>
      </w:r>
      <w:r>
        <w:rPr>
          <w:rFonts w:eastAsia="IRNazanin" w:cs="IRNazanin"/>
          <w:color w:val="111111"/>
          <w:sz w:val="28"/>
          <w:szCs w:val="28"/>
          <w:rtl w:val="true"/>
          <w:lang w:bidi="fa-IR"/>
        </w:rPr>
        <w:t>.</w:t>
      </w:r>
    </w:p>
    <w:p>
      <w:pPr>
        <w:pStyle w:val="Heading6"/>
        <w:numPr>
          <w:ilvl w:val="5"/>
          <w:numId w:val="1"/>
        </w:numPr>
        <w:rPr/>
      </w:pPr>
      <w:bookmarkStart w:id="452" w:name="__RefHeading___Toc3235000_3224264995"/>
      <w:bookmarkStart w:id="453" w:name="_Toc169"/>
      <w:bookmarkEnd w:id="452"/>
      <w:r>
        <w:rPr>
          <w:rtl w:val="true"/>
        </w:rPr>
        <w:t>الجهة الثانیة</w:t>
      </w:r>
      <w:r>
        <w:rPr>
          <w:rtl w:val="true"/>
        </w:rPr>
        <w:t xml:space="preserve">: </w:t>
      </w:r>
      <w:r>
        <w:rPr>
          <w:rtl w:val="true"/>
        </w:rPr>
        <w:t>حول جریان القاعدة فی الطهارات الثلاث</w:t>
      </w:r>
      <w:bookmarkEnd w:id="453"/>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عن الکلّیّة المذکورة أفعال الطهارات الثلاث، فإنّهم أجمعوا علی أنّ الشاکّ فی فعل من أفعال الوضوء قبل إتمام الوضوء، یأتی به و إن دخل فی فعل آخر منه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الغسل و التیمّم فقد صرّح بذلک فیهما بعضهم علی وجه یظهر أنّه من المسلّمات، و قد نصّ علی الحکم فی الغسل جمع ممّن تأخّر عن المحقّق، کالعلّامة و ولده و المحقّق الثانی قدس سرهم</w:t>
      </w:r>
      <w:r>
        <w:rPr>
          <w:rStyle w:val="FootnoteAnchor"/>
          <w:rtl w:val="true"/>
        </w:rPr>
        <w:footnoteReference w:id="510"/>
      </w:r>
      <w:r>
        <w:rPr>
          <w:rFonts w:ascii="IRNazanin" w:hAnsi="IRNazanin" w:eastAsia="IRNazanin"/>
          <w:color w:val="111111"/>
          <w:sz w:val="28"/>
          <w:sz w:val="28"/>
          <w:szCs w:val="28"/>
          <w:rtl w:val="true"/>
          <w:lang w:bidi="fa-IR"/>
        </w:rPr>
        <w:t>، و نصّ غیر واحد من هؤلاء علی أنّ التیمّم کذلک</w:t>
      </w:r>
      <w:r>
        <w:rPr>
          <w:rStyle w:val="FootnoteAnchor"/>
          <w:rtl w:val="true"/>
        </w:rPr>
        <w:footnoteReference w:id="511"/>
      </w:r>
      <w:r>
        <w:rPr>
          <w:rFonts w:ascii="IRNazanin" w:hAnsi="IRNazanin" w:eastAsia="IRNazanin"/>
          <w:color w:val="111111"/>
          <w:sz w:val="28"/>
          <w:sz w:val="28"/>
          <w:szCs w:val="28"/>
          <w:rtl w:val="true"/>
          <w:lang w:bidi="fa-IR"/>
        </w:rPr>
        <w:t>، و کیف کان، فمستند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المخصِّصة للقاعدة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یظهر من روایة ابن أبی یعفور أنّ الحکم المذکور فی الوضوء من باب القاعدة و مقتضاها، لا أنّه خارج عنها، و هی قوله علیه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 قد دخلت فی غیره، فلیس شکک بشی‌ء، إنّما الشکّ إذا کنت فی شی‌ء لم</w:t>
      </w:r>
    </w:p>
    <w:p>
      <w:pPr>
        <w:pStyle w:val="BookText"/>
        <w:rPr/>
      </w:pPr>
      <w:r>
        <w:rPr>
          <w:rFonts w:ascii="Amiri" w:hAnsi="Amiri" w:eastAsia="Amiri" w:cs="Amiri"/>
          <w:color w:val="111111"/>
          <w:sz w:val="28"/>
          <w:sz w:val="28"/>
          <w:szCs w:val="28"/>
          <w:rtl w:val="true"/>
          <w:lang w:bidi="ar-SA"/>
        </w:rPr>
        <w:t>تجُزْه</w:t>
      </w:r>
      <w:r>
        <w:rPr>
          <w:rFonts w:eastAsia="Amiri" w:cs="Amiri" w:ascii="Amiri" w:hAnsi="Amiri"/>
          <w:color w:val="111111"/>
          <w:sz w:val="28"/>
          <w:szCs w:val="28"/>
          <w:rtl w:val="true"/>
          <w:lang w:bidi="ar-SA"/>
        </w:rPr>
        <w:t>)</w:t>
      </w:r>
    </w:p>
    <w:p>
      <w:pPr>
        <w:pStyle w:val="BookText"/>
        <w:rPr/>
      </w:pPr>
      <w:r>
        <w:rPr>
          <w:rStyle w:val="FootnoteAnchor"/>
          <w:rtl w:val="true"/>
        </w:rPr>
        <w:footnoteReference w:id="512"/>
      </w:r>
      <w:r>
        <w:rPr>
          <w:rFonts w:ascii="IRNazanin" w:hAnsi="IRNazanin" w:eastAsia="IRNazanin"/>
          <w:color w:val="111111"/>
          <w:sz w:val="28"/>
          <w:sz w:val="28"/>
          <w:szCs w:val="28"/>
          <w:rtl w:val="true"/>
          <w:lang w:bidi="fa-IR"/>
        </w:rPr>
        <w:t>بناءً علی عود ضمیر غیره إلی الوضوء؛ لئلّا یخالف الإجماع، و حینئذٍ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مسوق لبیان قاعدة الشکّ المتعلّق بجزء من أجزاء العمل، و إنّما یعتبر الشکّ إذا کان مشتغلًا به غیر متجاوز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الاعتماد علی ظاهر ذیل الروایة مشکل؛ لأنّه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الشکّ الواقع فی 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جزء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معارض للأخبار السابقة فیما لو شکّ فی جزء من أجزاء الوضوء، بعد الدخول فی جزء آخر منه، قبل الفراغ من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لدفع جمیع ما فی الخبر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واحد باعتبار وحدة مسبّبه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یلاحظ کلّ فعل بحیاله حتّی یصیر مورداً لتعارض هذا الخبر مع الأخبار السابقة، و به یندفع الإشکال الأوّل أیضاً، و لیس حکم الوضوء حینئذٍ مخالفاً للقاعدة؛ إذ الشکّ فی أجزاء الوضوء قبل الفراغ، لیس إلّا شکّاً واقعاً فی الشی‌ء قبل التجاوز عنه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الوضوء فعلًا واحداً؛ لا یلاحظ حکم الشکّ بالنسبة إلی أجزائه، لیس أمراً غریباً، فقد ارتکب المشهور مثله فی الأخبار السابقة بالنسبة إلی أفعال الصلاة</w:t>
      </w:r>
      <w:r>
        <w:rPr>
          <w:rStyle w:val="FootnoteAnchor"/>
          <w:rtl w:val="true"/>
        </w:rPr>
        <w:footnoteReference w:id="513"/>
      </w:r>
      <w:r>
        <w:rPr>
          <w:rFonts w:ascii="IRNazanin" w:hAnsi="IRNazanin" w:eastAsia="IRNazanin"/>
          <w:color w:val="111111"/>
          <w:sz w:val="28"/>
          <w:sz w:val="28"/>
          <w:szCs w:val="28"/>
          <w:rtl w:val="true"/>
          <w:lang w:bidi="fa-IR"/>
        </w:rPr>
        <w:t>حیث لم یُجروا حکم الشکّ بعد التجاوز فی کلّ جزء من أجزاء القراءة حتّی الکلمات و الحروف، بل الأظهر فی الفاتحة أنّها فعل واحد، بل جعل بعضهم القراءة فعلًا واحداً</w:t>
      </w:r>
      <w:r>
        <w:rPr>
          <w:rStyle w:val="FootnoteAnchor"/>
          <w:rtl w:val="true"/>
        </w:rPr>
        <w:footnoteReference w:id="514"/>
      </w:r>
      <w:r>
        <w:rPr>
          <w:rFonts w:ascii="IRNazanin" w:hAnsi="IRNazanin" w:eastAsia="IRNazanin"/>
          <w:color w:val="111111"/>
          <w:sz w:val="28"/>
          <w:sz w:val="28"/>
          <w:szCs w:val="28"/>
          <w:rtl w:val="true"/>
          <w:lang w:bidi="fa-IR"/>
        </w:rPr>
        <w:t>، و قد عرفت النصّ فی الروایات علی عدم اعتبار الهُوِیّ للسجود و النهوض</w:t>
      </w:r>
    </w:p>
    <w:p>
      <w:pPr>
        <w:pStyle w:val="BookText"/>
        <w:rPr/>
      </w:pPr>
      <w:r>
        <w:rPr>
          <w:rFonts w:ascii="IRNazanin" w:hAnsi="IRNazanin" w:eastAsia="IRNazanin"/>
          <w:color w:val="111111"/>
          <w:sz w:val="28"/>
          <w:sz w:val="28"/>
          <w:szCs w:val="28"/>
          <w:rtl w:val="true"/>
          <w:lang w:bidi="fa-IR"/>
        </w:rPr>
        <w:t>للقیام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لهذا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المشهور الغسل و التیمم بالوضوء</w:t>
      </w:r>
      <w:r>
        <w:rPr>
          <w:rStyle w:val="FootnoteAnchor"/>
          <w:rtl w:val="true"/>
        </w:rPr>
        <w:footnoteReference w:id="515"/>
      </w:r>
      <w:r>
        <w:rPr>
          <w:rFonts w:ascii="IRNazanin" w:hAnsi="IRNazanin" w:eastAsia="IRNazanin"/>
          <w:color w:val="111111"/>
          <w:sz w:val="28"/>
          <w:sz w:val="28"/>
          <w:szCs w:val="28"/>
          <w:rtl w:val="true"/>
          <w:lang w:bidi="fa-IR"/>
        </w:rPr>
        <w:t>إذ لا وجه له ظاهراً إلّا ملاحظة أنّ الوضوء فعل واحد، یطلب منه أمر واحد هی الطهارة</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بیان ما یبدو للنظر فی المقام، ثمّ التعرّض لما أفاده الشیخ قدس سره، و ما یرد علیه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قدس سره عن أحمد بن محمّد، عن أبیه، عن أحمد بن إدریس و سعد بن عبد اللَّه، عن أحمد بن محمّد، عن الحسین بن سعید، عن حمّاد، عن حریز،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قاعداً علی وضوئک، فلم تدرِ أ غسلت ذراعیک أم لا، فأعد علیهما و علی جمیع ما شککت فیه أنّک لم تغسله أو تمسحه؛ ممّا سمّی اللَّه، ما دمت فی حال الوضوء، فإذا قمت من الوضوء، و فرغت منه، و قد صرت فی حال اخری فی الصلاة أو فی غیرها، فشککت فی بعض ما سمّی اللَّه؛ ممّا أوجب اللَّه علیک فیه وضوءه لا شی‌ء علیک فیه، فإن شککت فی مسح رأسک، فأصبت فی لحیتک بللًا، فامسح بها علیه</w:t>
      </w:r>
      <w:r>
        <w:rPr>
          <w:rFonts w:eastAsia="IRNazanin" w:cs="IRNazanin"/>
          <w:color w:val="111111"/>
          <w:sz w:val="28"/>
          <w:szCs w:val="28"/>
          <w:rtl w:val="true"/>
          <w:lang w:bidi="fa-IR"/>
        </w:rPr>
        <w:t>)</w:t>
      </w:r>
    </w:p>
    <w:p>
      <w:pPr>
        <w:pStyle w:val="BookText"/>
        <w:rPr/>
      </w:pPr>
      <w:r>
        <w:rPr>
          <w:rStyle w:val="FootnoteAnchor"/>
          <w:rtl w:val="true"/>
        </w:rPr>
        <w:footnoteReference w:id="51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سمّی اللَّه علیک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یراد به الفرائض التی فرضها اللَّه فی الکتاب المجید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دون ما ثبت وجوبه بالسُّنّة النبویّة صلی الله علیه و آله و سلم، نظیر ما ورد</w:t>
      </w:r>
    </w:p>
    <w:p>
      <w:pPr>
        <w:pStyle w:val="BookText"/>
        <w:rPr/>
      </w:pPr>
      <w:r>
        <w:rPr>
          <w:rFonts w:ascii="IRNazanin" w:hAnsi="IRNazanin" w:eastAsia="IRNazanin"/>
          <w:color w:val="111111"/>
          <w:sz w:val="28"/>
          <w:sz w:val="28"/>
          <w:szCs w:val="28"/>
          <w:rtl w:val="true"/>
          <w:lang w:bidi="fa-IR"/>
        </w:rPr>
        <w:t>فی أخبار حکم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الأوّلتین من کلّ صلاة ممّا فرضه اللَّه لیس فیها السهو، دون الأخیرتین الثابتین بالسنّة النبویّة صلی الله علیه و آله و سلم</w:t>
      </w:r>
      <w:r>
        <w:rPr>
          <w:rStyle w:val="FootnoteAnchor"/>
          <w:rtl w:val="true"/>
        </w:rPr>
        <w:footnoteReference w:id="519"/>
      </w:r>
      <w:r>
        <w:rPr>
          <w:rFonts w:ascii="IRNazanin" w:hAnsi="IRNazanin" w:eastAsia="IRNazanin"/>
          <w:color w:val="111111"/>
          <w:sz w:val="28"/>
          <w:sz w:val="28"/>
          <w:szCs w:val="28"/>
          <w:rtl w:val="true"/>
          <w:lang w:bidi="fa-IR"/>
        </w:rPr>
        <w:t>، فهذه الروایة إنّما تدلّ علی خروج غسل الیدین و الوجه و مسح الرأس و الرجلین عن القاعدة المذکورة، و أمّا أوصاف الوضوء و شرائطه و شرائط الماء الذی یتوضّأ به و نحو ذلک، فلا تدلّ الروایة علی خروجها، فهی باقیة تحت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ابن أبی یعفور فالضمیر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راجع إلی الشی‌ء المذکور فیها، کما هو الظاهر أیضاً، و هو مطلق یمکن تقییده بما دلّت روایة زرارة علی خلافه، و هو الشکّ فی غسل الیدین و المسحتین، و أمّا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عرفت من الأوصاف المعتبرة فی الوضوء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باقٍ تحت القاعدة؛ لعدم الدلیل علی خروجه، کما أنّ الغسل و التیمّم کذلک؛ لعدم دلیل یعتدّ به علی خروجهما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روایة ابن أبی یعفور إلّا تقییدها بغیر ما سمّی اللَّه تعالی من أجزاء الوضوء، و لا إشکال فیه، مع نُدرة وقوع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الوضوء و الغسل و التیمّم عند الشارع فعلًا واحداً، فلا دلیل علی ذلک، بل الدلیل علی خلافه؛ من آیة الوضوء، و روایة زرارة المتقدّمة، و موثّقة ابن أبی یعفور، فإنّه فرض فیها للوضوء أجزاء، و أنّه مرکّب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الوضوء عن القاعدة لما ذکرناه، و لا وجه لإلحاق الغُسل و التیمّم به؛ لأنّ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ما ذکره قدس سره من اعتبارهما شیئاً واحداً بسیطاً، و قد عرفت حاله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روایات قاعدة التجاوز عن شمولها لغیر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قصور العمومات و الإطلاقات الواردة فیها عن شمولها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بدلیّة التیمّم عن الوضوء، فهو محکوم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 التفصیل بین التیمّم الذی هو بدل عن الوضوء، و ما هو بدل عن الغسل؛ بإلحاق الأوّل بالوضوء،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تنزیل التیمّم الذی هو بدل عن الوضوء، منزلته فی جمیع أحکامه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الاستدلال ببعض الروایات علی أنّ الغُسل باقٍ تحت قاعدة التجاوز جریانها فیه، مثل</w:t>
      </w:r>
    </w:p>
    <w:p>
      <w:pPr>
        <w:pStyle w:val="BookText"/>
        <w:rPr/>
      </w:pPr>
      <w:r>
        <w:rPr>
          <w:rFonts w:ascii="IRNazanin" w:hAnsi="IRNazanin" w:eastAsia="IRNazanin"/>
          <w:color w:val="111111"/>
          <w:sz w:val="28"/>
          <w:sz w:val="28"/>
          <w:szCs w:val="28"/>
          <w:rtl w:val="true"/>
          <w:lang w:bidi="fa-IR"/>
        </w:rPr>
        <w:t>روایة حریز،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نقل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بعض ذراعیه أو بعض جسده فی غسل الجنابة؟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ثمّ کانت به بِلّة، و هو فی صلاته، مسح بها علیه، و إن کان استیقن رجع و أعاد علیه الماء ما لم یصب بِلّة، فإن دخله الشکّ و قد دخل فی حال اخری، فلیمضِ فی صلاته</w:t>
      </w:r>
      <w:r>
        <w:rPr>
          <w:rFonts w:eastAsia="IRNazanin" w:cs="IRNazanin"/>
          <w:color w:val="111111"/>
          <w:sz w:val="28"/>
          <w:szCs w:val="28"/>
          <w:rtl w:val="true"/>
          <w:lang w:bidi="fa-IR"/>
        </w:rPr>
        <w:t>)</w:t>
      </w:r>
    </w:p>
    <w:p>
      <w:pPr>
        <w:pStyle w:val="BookText"/>
        <w:rPr/>
      </w:pP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الجملة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الاستحباب، مضافاً إلی أنّ قاعدة التجاوز جاریة فی الغُسل إذا شکّ فی أثناء الصلاة، و المقصود استثناؤه فیما لو شکّ قبل الفراغ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الجملة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فی حال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غسل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اخری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1"/>
      </w:r>
      <w:r>
        <w:rPr>
          <w:rFonts w:ascii="IRNazanin" w:hAnsi="IRNazanin" w:eastAsia="IRNazanin"/>
          <w:color w:val="111111"/>
          <w:sz w:val="28"/>
          <w:sz w:val="28"/>
          <w:szCs w:val="28"/>
          <w:rtl w:val="true"/>
          <w:lang w:bidi="fa-IR"/>
        </w:rPr>
        <w:t>،</w:t>
      </w:r>
      <w:bookmarkStart w:id="454" w:name="pg12898_148128"/>
    </w:p>
    <w:p>
      <w:pPr>
        <w:pStyle w:val="BookText"/>
        <w:rPr/>
      </w:pPr>
      <w:bookmarkEnd w:id="454"/>
      <w:r>
        <w:rPr>
          <w:rFonts w:ascii="IRNazanin" w:hAnsi="IRNazanin" w:eastAsia="IRNazanin"/>
          <w:color w:val="111111"/>
          <w:sz w:val="28"/>
          <w:sz w:val="28"/>
          <w:szCs w:val="28"/>
          <w:rtl w:val="true"/>
          <w:lang w:bidi="fa-IR"/>
        </w:rPr>
        <w:t>و حینئذٍ لا دلالة فی الروایة علی ما نحن فیه و بصدده، لکن نقل الکافی أضبط من الوسائل، فالظاهر أنّ نسخة الوسائل اشتباه منه رحمه الله أو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استلزامه التکرار بعد ظهور الاولی فی الاستحباب، و حینئذٍ 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 من الصلاة و غیرها، فیشمل إطلاقها ما لو شکّ فی غسل الجانب الأیمن بعد دخوله فی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الإجماع و الشهرة علی إلحاق الغسل و التیمّم بالوضوء، فهی فی غیر محلّها مع عدم وقوع المسألة مورد البحث قبل زمان المحقّق</w:t>
      </w:r>
      <w:r>
        <w:rPr>
          <w:rFonts w:eastAsia="IRNazanin" w:cs="IRNazanin"/>
          <w:color w:val="111111"/>
          <w:sz w:val="28"/>
          <w:szCs w:val="28"/>
          <w:rtl w:val="true"/>
          <w:lang w:bidi="fa-IR"/>
        </w:rPr>
        <w:t>.</w:t>
      </w:r>
    </w:p>
    <w:p>
      <w:pPr>
        <w:pStyle w:val="Heading6"/>
        <w:numPr>
          <w:ilvl w:val="5"/>
          <w:numId w:val="1"/>
        </w:numPr>
        <w:rPr/>
      </w:pPr>
      <w:bookmarkStart w:id="455" w:name="__RefHeading___Toc3235002_3224264995"/>
      <w:bookmarkStart w:id="456" w:name="_Toc170"/>
      <w:bookmarkEnd w:id="455"/>
      <w:r>
        <w:rPr>
          <w:rtl w:val="true"/>
        </w:rPr>
        <w:t>الجهة الثالثة</w:t>
      </w:r>
      <w:r>
        <w:rPr>
          <w:rtl w:val="true"/>
        </w:rPr>
        <w:t xml:space="preserve">: </w:t>
      </w:r>
      <w:r>
        <w:rPr>
          <w:rtl w:val="true"/>
        </w:rPr>
        <w:t>أنّ المراد من المحلّ هو المحلّ الشرعی</w:t>
      </w:r>
      <w:bookmarkEnd w:id="456"/>
    </w:p>
    <w:p>
      <w:pPr>
        <w:pStyle w:val="BookText"/>
        <w:rPr/>
      </w:pPr>
      <w:r>
        <w:rPr>
          <w:rFonts w:ascii="IRNazanin" w:hAnsi="IRNazanin" w:eastAsia="IRNazanin"/>
          <w:color w:val="111111"/>
          <w:sz w:val="28"/>
          <w:sz w:val="28"/>
          <w:szCs w:val="28"/>
          <w:rtl w:val="true"/>
          <w:lang w:bidi="fa-IR"/>
        </w:rPr>
        <w:t>قد عرفت أنّ المراد من المضیّ و التجاوز عن الشی‌ء هو التجاوز عن محلّه، فهل المراد هو خصوص المحلّ الشرعی الذی جعله الشارع محلّاً له، فإنّ لکلّ کلمة من القراءة، بل لکلّ حرف من حروفها، محلّاً معیّناً عند القُرّاء، فأمرُ الشارع بالقراءة أمرٌ بها فی محلّها، کما هو عند القرّاء، و وضع کلّ کلمة و حرف منها فی محلّها المقرّر عندهم، أو أنّه الأعمّ منه و من المحلّ الشخصی العادی، کما لو فرض أنّ عادته التوالی فی غَسل أعضاء الغُسل، أو غسل المحلّ، و الاستبراء عقیب البول، أو الأعمّ منه و من العادی النوعی، کما لو فرض اعتیاد نوع الناس غَسْلَ الأعضاء فی الغُسْل متوالیاً؟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المحلّ النوعی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منه ما هو کذلک نوعاً و إن کان عادة هذا الشخص علی خلافها، کما أنّ المراد من الظنّ النوعی ما یفید الظنّ لأکثر الناس و إن لم یحصل لذلک الشخص، فهو أسوأ حالًا من اعتبار المحلّ الشخصی؛ لأنّه لا ریب فی اعتبار المحلّ الشرعی فی المقام، فالقول بإلحاق المحلّ الشخصی بالشرعی أولی من إلحاق المحلّ النوعی به؛ 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یراد منه المحلّ النوعی العادی؛ و إن جرت عادة هذا الشخص علی</w:t>
      </w:r>
    </w:p>
    <w:p>
      <w:pPr>
        <w:pStyle w:val="BookText"/>
        <w:rPr/>
      </w:pPr>
      <w:r>
        <w:rPr>
          <w:rFonts w:ascii="IRNazanin" w:hAnsi="IRNazanin" w:eastAsia="IRNazanin"/>
          <w:color w:val="111111"/>
          <w:sz w:val="28"/>
          <w:sz w:val="28"/>
          <w:szCs w:val="28"/>
          <w:rtl w:val="true"/>
          <w:lang w:bidi="fa-IR"/>
        </w:rPr>
        <w:t>خلافه، و لم یکن هو شخصه أذکر،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المحلّ العادی النوعی</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لأجل الأذکریّة، ففیه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بناء علیه فالمحلّ الشخصی أولی بالإلحاق و الاعتبار من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لدعوی شمول العمومات و الإطلاقات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ممنوعة، فإنّه لا یعدّ محلّاً له عند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لأجل دعوی تقدیم الظاهر علی الأصل، فهو أیضاً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المحلّ الشخصی بحسب عادة شخص هذا المکلّف، کما لو اعتاد الإتیان بالصلاة أوّل الوقت، أو أداء الدین فی وقت معیّن، أو التوالی بین أجزاء الغُسل، فقد یقال فی وجه اعتباره و إلحاقه بالمحلّ الشرعی و عدم اعتبار الشکّ بعد المضیّ و التجاوز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مورده الوضوء، لکن خصوصیّته ملغاة عرفاً، و کما أنّه لا خصوصیّة للوضوء فیه، کذلک لا خصوصیّة لکونه حال الاشتغال بالعمل أیضاً، و حینئذٍ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بنی المکلّف علیه و اعتاد علی إتیان عمل فی وقت معیّن؛ بحیث لو لم یأتِ به فیه، فهو إمّا لغفلة منه، أو لغیرها من العوارض، إذا شکّ فیه بعد التجاوز عن ذلک المحلّ فلا یعتنی بشکّه، فیشمل التجاوز عن المحلّ الشخصی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إلغاء الخصوصیّة الثانیة خلاف التفاهم العرفی، و الاولی مسلّمة، مضافاً إلی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حکمة للتشریع، لکنّه لیس تعلیلًا؛ بل هو شبه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لاعتبار المحلّ الشخصی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بروایة زرارة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قاعداً علی وضوئک، فلم تدرِ أ غسلت ذراعیک أم لا، فأعد علیهما و علی جمیع ما شککت فیه أنّک لم تغسله أو تمسحه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فی حال الوضوء، فإذا قمت من الوضوء، و فرغت منه، و قد صرت فی حال اخری فی الصلاة أو فی غیرها، فشککت فی بعض ما سمّی اللَّه ممّا أوجب اللَّه علیک وضوءه، لا شی‌ء علیک فیه</w:t>
      </w:r>
      <w:r>
        <w:rPr>
          <w:rFonts w:eastAsia="IRNazanin" w:cs="IRNazanin"/>
          <w:color w:val="111111"/>
          <w:sz w:val="28"/>
          <w:szCs w:val="28"/>
          <w:rtl w:val="true"/>
          <w:lang w:bidi="fa-IR"/>
        </w:rPr>
        <w:t>)</w:t>
      </w:r>
    </w:p>
    <w:p>
      <w:pPr>
        <w:pStyle w:val="BookText"/>
        <w:rPr/>
      </w:pP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ریب فی أنّه لیس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أوجب اللَّه علیک وضوءه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 الغَسل، بل الأعمّ منه و من المسح؛ أ لا تری أنّه علیه السلام قال فی خبر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أشدّ الناس حسرة یوم القیامة من یری وضوءه علی جلد غیره</w:t>
      </w:r>
      <w:r>
        <w:rPr>
          <w:rFonts w:eastAsia="IRNazanin" w:cs="IRNazanin"/>
          <w:color w:val="111111"/>
          <w:sz w:val="28"/>
          <w:szCs w:val="28"/>
          <w:rtl w:val="true"/>
          <w:lang w:bidi="fa-IR"/>
        </w:rPr>
        <w:t>)</w:t>
      </w:r>
    </w:p>
    <w:p>
      <w:pPr>
        <w:pStyle w:val="BookText"/>
        <w:rPr/>
      </w:pPr>
      <w:r>
        <w:rPr>
          <w:rStyle w:val="FootnoteAnchor"/>
          <w:rtl w:val="true"/>
        </w:rPr>
        <w:footnoteReference w:id="524"/>
      </w:r>
      <w:r>
        <w:rPr>
          <w:rFonts w:ascii="IRNazanin" w:hAnsi="IRNazanin" w:eastAsia="IRNazanin"/>
          <w:color w:val="111111"/>
          <w:sz w:val="28"/>
          <w:sz w:val="28"/>
          <w:szCs w:val="28"/>
          <w:rtl w:val="true"/>
          <w:lang w:bidi="fa-IR"/>
        </w:rPr>
        <w:t>تعریضاً علی العامّة؛ حیث إنّهم یرون جواز المسح علی الخفّ فأطلق فیه الوضوء علی المسح،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یشمل بإطلاقه حال التمندل أیضاً مع بقاء المحلّ الشرعی؛ لبقاء نداوة الوضوء، فتشمل الروایة ما لو شکّ فی الجزء الأخیر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المسح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التمندل؛ لصدق أنّه صار إلی حال اخری علیه، مع بقاء نداوة الوضوء بعدُ، فحیث إنّه تجاوز عن المحلّ العادی الشخصی فلا اعتبار بشکّه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المأخوذة فی متعلّق الأحکام ظاهرة فی الواقعیّة منها، و حینئذٍ فمعنی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إن شککت و أنت فی حال الوضوء واقعاً فکذا، و إن صرت فی حال اخری فلا اعتبار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الوضوء بحسب متن الواقع هو ما لم یفرغ منه بالإتیان بالجزء الأخیر، أو إبطاله، أو بفوت الموالاة، فهو فی حال الوضوء و إن اشتغل بالتکلّم أو الذکر، فمع الشکّ فی الإتیان بالجزء الأخیر مع بقاء البِلّة و عدم</w:t>
      </w:r>
      <w:bookmarkStart w:id="457" w:name="pg12898_148131"/>
    </w:p>
    <w:p>
      <w:pPr>
        <w:pStyle w:val="BookText"/>
        <w:rPr/>
      </w:pPr>
      <w:bookmarkEnd w:id="457"/>
      <w:r>
        <w:rPr>
          <w:rFonts w:ascii="IRNazanin" w:hAnsi="IRNazanin" w:eastAsia="IRNazanin"/>
          <w:color w:val="111111"/>
          <w:sz w:val="28"/>
          <w:sz w:val="28"/>
          <w:szCs w:val="28"/>
          <w:rtl w:val="true"/>
          <w:lang w:bidi="fa-IR"/>
        </w:rPr>
        <w:t>فوت الموالاة، فهو شبهة مصداقیّة للفراغ من الوضوء؛ لأنّه لو حصل له العلم فی حال التمندل بعدم الإتیان بالجزء الأخیر، وجب علیه الإتیان به، فمع الشکّ تکون الشبهة مصداقیّة، فلا یصحّ التمسّک بالروایة فیه، و 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الجزء الأخیر لغُسْل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أمکن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إذا لم یصدر منه الحَدَث بعدُ علی احتمالٍ</w:t>
      </w:r>
      <w:r>
        <w:rPr>
          <w:rFonts w:eastAsia="IRNazanin" w:cs="IRNazanin"/>
          <w:color w:val="111111"/>
          <w:sz w:val="28"/>
          <w:szCs w:val="28"/>
          <w:rtl w:val="true"/>
          <w:lang w:bidi="fa-IR"/>
        </w:rPr>
        <w:t>.</w:t>
      </w:r>
    </w:p>
    <w:p>
      <w:pPr>
        <w:pStyle w:val="Heading6"/>
        <w:numPr>
          <w:ilvl w:val="5"/>
          <w:numId w:val="1"/>
        </w:numPr>
        <w:rPr/>
      </w:pPr>
      <w:bookmarkStart w:id="458" w:name="__RefHeading___Toc3235004_3224264995"/>
      <w:bookmarkStart w:id="459" w:name="_Toc171"/>
      <w:bookmarkEnd w:id="458"/>
      <w:r>
        <w:rPr>
          <w:rtl w:val="true"/>
        </w:rPr>
        <w:t>الجهة الرابعة</w:t>
      </w:r>
      <w:r>
        <w:rPr>
          <w:rtl w:val="true"/>
        </w:rPr>
        <w:t xml:space="preserve">: </w:t>
      </w:r>
      <w:r>
        <w:rPr>
          <w:rtl w:val="true"/>
        </w:rPr>
        <w:t>عدم اعتبار الدخول فی الغیر</w:t>
      </w:r>
      <w:bookmarkEnd w:id="459"/>
    </w:p>
    <w:p>
      <w:pPr>
        <w:pStyle w:val="BookText"/>
        <w:rPr/>
      </w:pPr>
      <w:r>
        <w:rPr>
          <w:rFonts w:ascii="IRNazanin" w:hAnsi="IRNazanin" w:eastAsia="IRNazanin"/>
          <w:color w:val="111111"/>
          <w:sz w:val="28"/>
          <w:sz w:val="28"/>
          <w:szCs w:val="28"/>
          <w:rtl w:val="true"/>
          <w:lang w:bidi="fa-IR"/>
        </w:rPr>
        <w:t>اختلفوا فی أنّه هل یعتبر الدخول فی الغیر فی جریان القاعدة أو لا</w:t>
      </w:r>
      <w:r>
        <w:rPr>
          <w:rStyle w:val="FootnoteAnchor"/>
          <w:rtl w:val="true"/>
        </w:rPr>
        <w:footnoteReference w:id="5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البحث مستغنًی عنه؛ حیث إنّ الدخول فی الغیر محقِّق للتجاوز عن المحلّ، و لا یصدق التجاوز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یمکن تصویر التجاوز مع عدم الدخول فی الغیر؛ بناء علی ما اخترناه من اتّحاد القاعدتین، کما لو شک فی الإتیان بما یعتبر فی الجزء من وصف أو شرط بعد الإتیان به و قبل الدخول فی الغیر، فإنّه قد تجاوز عن محلّ المشکوک؛ لأنّ محلَّه الجزء، و لم یدخل بعدُ فی الغیر، نعم الدخول فی الغیر محقّق للتجاوز فی الشکّ فی نفس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هذا البحث لا بدّ من تقدیم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المستفاد من الروایات الکثیرة أنّ الحکمة و السرّ فی الحکم بعدم اعتبار الشکّ بعد التجاوز هو غلبة إتیان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بصدد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أجزاء المأمور به و شرائطه؛ لعدم ترتّب الآثار المطلوبة منه إلّا بذلک، و أنّ إرادة الإتیان بالمرکّب إرادة الإتیان بجمیع أجزائه و شرائطه، لا لزوم العسر و الحرج من اعتبار الشکّ فیه،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قوله علیه السلام فی روایة اخری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p>
    <w:p>
      <w:pPr>
        <w:pStyle w:val="BookText"/>
        <w:rPr/>
      </w:pPr>
      <w:r>
        <w:rPr>
          <w:rFonts w:ascii="Amiri" w:hAnsi="Amiri" w:eastAsia="Amiri" w:cs="Amiri"/>
          <w:color w:val="111111"/>
          <w:sz w:val="28"/>
          <w:sz w:val="28"/>
          <w:szCs w:val="28"/>
          <w:rtl w:val="true"/>
          <w:lang w:bidi="ar-SA"/>
        </w:rPr>
        <w:t>أقرب إلی الحقّ حین یشکّ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فإنّهما ظاهرتان فی أنّ السرّ و النکتة فی هذا الحکم هو حیثیّة الأذکریّة حین العمل و الأقربیّة إلی الحقّ، و أنّه لا دخل للدخول فی الغیر فی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روایة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 و أنا ساجد، فلا أدری رکعت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رکعت امضِهِ</w:t>
      </w:r>
      <w:r>
        <w:rPr>
          <w:rFonts w:eastAsia="Amiri" w:cs="Amiri" w:ascii="Amiri" w:hAnsi="Amiri"/>
          <w:color w:val="111111"/>
          <w:sz w:val="28"/>
          <w:szCs w:val="28"/>
          <w:rtl w:val="true"/>
          <w:lang w:bidi="ar-SA"/>
        </w:rPr>
        <w:t>)</w:t>
      </w:r>
    </w:p>
    <w:p>
      <w:pPr>
        <w:pStyle w:val="BookText"/>
        <w:rPr/>
      </w:pP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 قائماً فلا أدری رکعت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 فامضِ فی صلاتک، فإنّما ذلک من الشیطان</w:t>
      </w:r>
      <w:r>
        <w:rPr>
          <w:rFonts w:eastAsia="IRNazanin" w:cs="IRNazanin"/>
          <w:color w:val="111111"/>
          <w:sz w:val="28"/>
          <w:szCs w:val="28"/>
          <w:rtl w:val="true"/>
          <w:lang w:bidi="fa-IR"/>
        </w:rPr>
        <w:t>)</w:t>
      </w:r>
    </w:p>
    <w:p>
      <w:pPr>
        <w:pStyle w:val="BookText"/>
        <w:rPr/>
      </w:pP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عبد الرحمن بن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أهوی إلی السجود، فلم یدرِ أرکع أم لم یرکع؟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p>
    <w:p>
      <w:pPr>
        <w:pStyle w:val="BookText"/>
        <w:rPr/>
      </w:pP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بأنّه قد رکع فی هذه الروایات ظاهر فیما ذکرنا أضف إلی 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فشکّک لیس بشی‌ء</w:t>
      </w:r>
      <w:r>
        <w:rPr>
          <w:rFonts w:eastAsia="IRNazanin" w:cs="IRNazanin"/>
          <w:color w:val="111111"/>
          <w:sz w:val="28"/>
          <w:szCs w:val="28"/>
          <w:rtl w:val="true"/>
          <w:lang w:bidi="fa-IR"/>
        </w:rPr>
        <w:t>)</w:t>
      </w:r>
    </w:p>
    <w:p>
      <w:pPr>
        <w:pStyle w:val="BookText"/>
        <w:rPr/>
      </w:pP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تهذیب الأحکام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کتاب الصلاة، أبواب الخلل الواقع فی الصلاة،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کذلک</w:t>
      </w:r>
    </w:p>
    <w:p>
      <w:pPr>
        <w:pStyle w:val="BookText"/>
        <w:rPr/>
      </w:pPr>
      <w:r>
        <w:rPr>
          <w:rFonts w:ascii="IRNazanin" w:hAnsi="IRNazanin" w:eastAsia="IRNazanin"/>
          <w:color w:val="111111"/>
          <w:sz w:val="28"/>
          <w:sz w:val="28"/>
          <w:szCs w:val="28"/>
          <w:rtl w:val="true"/>
          <w:lang w:bidi="fa-IR"/>
        </w:rPr>
        <w:t>المطلقات، فإنّ جمیع ذلک یدلّ علی عدم اعتبار الدخول فی الغیر فی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دلالة روایتی زرارة و إسماعیل بن جابر و صدر روایة ابن أبی یعفور علی اعتبار الدخول فی الغیر؛ حیث قیّد الحکم فیها بالدخول فی الجزء الآخر، لکن استفادة اعتبار ذلک من روایة زرارة فی غایة الوهن؛ لأنّ التقیید به إنّما هو فی سؤال الراوی، لا فی جواب الإمام علیه السلام، و أنّه علیه السلام أجاب علی طبق السؤال فی الفرض الذی ذکره، و أمّا أنّ القید معتبر أو لا، فلا دلالة فی الجواب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فرض الروایة الدخول فی الغیر فی السؤال إنّما هو لحدوث شکّه عند ذلک، مع ما عرفت من نُدرة حدوث الشکّ قبل ذلک، حتّی أنّه أنکره بعضهم، فعدم استفادة القیدیّة من هذه الروایة أولی من عدم استفادته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رَبائِبُکُمُ اللَّاتِی فِی حُجُورِکُمْ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روایة إسماعیل أولی بالاستدلال علی ذلک؛ لأجل أنّ التقیید بالدخول فی الغیر وقع فی کلام الإمام علیه السلام، لکن سیأتی إن شاء اللَّه أنّه منزّل علی الغالب؛ حیث إنّه علیه السلام فرض الدخول فی السجود فی الشکّ فی الرکوع، مع أنّ الهُوِیّ إلی السجود قبله، فلو اعتبر الدخول فی الغیر کان اللّازم فرض الدخول فی الهُوِیّ فی الشکّ فی الرکوع، فیظهر منه أنّ فرضه علیه السلام الدخول فی السجود مبنیّ علی الغالب؛ من حدوث الشکّ فی الرکوع فی حال السجود، لا لأجل اشتراط الدخول فی الغیر، و إلّا یلزم فرضه علیه السلام الدخول فی الجزء الذی یتلوه و یترتّب علیه، و هو الهویّ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موثّقة ابن أبی یعفور، فمقتضی الجمع بین صدرها و ذیلها هو القول بعدم اعتبار الدخول فی الغیر، و إلّا فیتناقضان؛ من جهة التقیید بالدخول فی الغیر فی</w:t>
      </w:r>
    </w:p>
    <w:p>
      <w:pPr>
        <w:pStyle w:val="BookText"/>
        <w:rPr/>
      </w:pPr>
      <w:r>
        <w:rPr>
          <w:rFonts w:ascii="IRNazanin" w:hAnsi="IRNazanin" w:eastAsia="IRNazanin"/>
          <w:color w:val="111111"/>
          <w:sz w:val="28"/>
          <w:sz w:val="28"/>
          <w:szCs w:val="28"/>
          <w:rtl w:val="true"/>
          <w:lang w:bidi="fa-IR"/>
        </w:rPr>
        <w:t>صدرها، و عدم التقیید به فی ذیلها الظاهر فی عدم قیدیّته، مع أنّه لا بدّ من انطباق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الصدر الذی هو بمنزلة الصغری لها، فمع ظهور الذیل فی مقام التحقیق و الحصر، لا بدّ أن یکون هو المراد و المقصود،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بمناط تحقّق التجاوز، و أنّه لا یتحقّق غالباً بدونه، و هذه الروایة شارحة و مفسّرة لسائر الروایات بنحو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شرط جریان القاعدة الدخول فی الغیر، لزم أن یعبّر علیه السلام فی الذیل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إذا لم تدخل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إذا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اعتبار الدخول فی الغیر فی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اعتباره، فهل المراد من الغیر خصوص الأرکان، أو الأجزاء المستقلّة بالتبویب فی الفقه، أو مطلق الأجزاء الواجبة، أو مطلق ما یترتّب علی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الواجب و المندوب، سوی مقدّمات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من جمیع ذلک حتّی مقدّمات الأفعال، کالهُوِیّ للسجود، و النهوض للقیام؟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به الأجزاء المستقلّة لا مقدّماتها، و استدلّ علیه بروایة إسماعیل بن جابر</w:t>
      </w:r>
      <w:r>
        <w:rPr>
          <w:rStyle w:val="FootnoteAnchor"/>
          <w:rtl w:val="true"/>
        </w:rPr>
        <w:footnoteReference w:id="531"/>
      </w:r>
      <w:r>
        <w:rPr>
          <w:rFonts w:ascii="IRNazanin" w:hAnsi="IRNazanin" w:eastAsia="IRNazanin"/>
          <w:color w:val="111111"/>
          <w:sz w:val="28"/>
          <w:sz w:val="28"/>
          <w:szCs w:val="28"/>
          <w:rtl w:val="true"/>
          <w:lang w:bidi="fa-IR"/>
        </w:rPr>
        <w:t>حیث إنّ صدرها فی مقام التحدید للغیر، فلو کان هناک أقرب من المشکوک؛ ممّا لا یعتبر الشکّ بعد الدخول فیه، یتعیّن ذکره؛ لأنّه علیه السلام ذکر ذلک مقدّمة للکبری المذکورة فی ذیلها و انطباقها علیه، فلا بدّ من أن یکون المراد ذلک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المیرزا النائینی قدس سره، و أضاف إلی ما أفاده الیه الشیخ قدس سره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المرکّبات قبل الأمر بها، و قبل ترکیبها، کلّ جزء من أجزائها مستقلّ فی الوجود،</w:t>
      </w:r>
    </w:p>
    <w:p>
      <w:pPr>
        <w:pStyle w:val="BookText"/>
        <w:rPr/>
      </w:pPr>
      <w:r>
        <w:rPr>
          <w:rFonts w:ascii="IRNazanin" w:hAnsi="IRNazanin" w:eastAsia="IRNazanin"/>
          <w:color w:val="111111"/>
          <w:sz w:val="28"/>
          <w:sz w:val="28"/>
          <w:szCs w:val="28"/>
          <w:rtl w:val="true"/>
          <w:lang w:bidi="fa-IR"/>
        </w:rPr>
        <w:t>و المُخرج لها عن الاستقلال هو الترکیب، فتندکّ فی الکلّ، فلا تلاحظ الأجزاء حینئذٍ شیئاً فی عرض الکلّ، إلّا بالعنایة و التنزیل لها منزلة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التنزیل صحیحة زرارة و روایة إسماعیل بن جابر، و هما قاصرتان عن إثبات التنزیل سوی ما اشتمل صدرها علیه، و هو الأجزاء المستقلّة بالتبویب؛ لأنّ الصدر قرینة علی تضییق مصبّ دائرة الکبری، فتنطبق علی الأجزاء المستقلّة فقط</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الشیخ الأعظم قدس سره من الاستدلال بروایة إسماعیل بن جابر،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صدرها إلّا مثالین أحدهما الشکّ فی الرکوع و قد دخل فی السجود، مع دلالة روایة عبد الرحمن بن أبی عبد اللَّه علی عدم الاعتناء بالشکّ فی الرکوع بمجرّد الدخول فی الهویّ إلی السجود الذی قبل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فی روایة إسماعیل لیس فی مقام التحدید للدخول فی الغیر، و أنّ عدم ذکر الدخول فی الهویّ، إنّما هو لأجل عدم تحقّق الشکّ فی الرکوع حال الهویّ إلی السجود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الهُویّ إلی السجود فی روایة ابن أبی یعفور، هو نفس السجود؛ لأنّ للهویّ إلیه مراتب یصدق هو علی کلّ مرتبة من مراتبه؛ من ابتداء التقوّس إلی أن تصل الجبهة إلی الأرض، فیحمل علی آخر مرتبة، و هی وضع الجبهة علی الأرض</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احتمال مرجوح جدّاً و خلاف المصطلح علیه، فإنّ الهُویّ إلی السجود غیر نفس السجود، و حینئذٍ فذکر الرکوع و السجود فی روایة إسماعیل إنّما هو من باب المثال، لا لخصوصیّة فیهما؛ لیرد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 لَمْ یذکر الدخول فی التشهّد بدل</w:t>
      </w:r>
    </w:p>
    <w:p>
      <w:pPr>
        <w:pStyle w:val="BookText"/>
        <w:rPr/>
      </w:pPr>
      <w:r>
        <w:rPr>
          <w:rFonts w:ascii="IRNazanin" w:hAnsi="IRNazanin" w:eastAsia="IRNazanin"/>
          <w:color w:val="111111"/>
          <w:sz w:val="28"/>
          <w:sz w:val="28"/>
          <w:szCs w:val="28"/>
          <w:rtl w:val="true"/>
          <w:lang w:bidi="fa-IR"/>
        </w:rPr>
        <w:t>الدخول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المفروض فیها هی الرکعة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الشیخ قدس سره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 فی عدم التمامیّة ما أفاده المیرزا النائینی قدس سره، فإنّه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بالقراءة،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فی التکبیر و قد قرأ، أو شکّ فی القراءة و قد رکع</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یشمل و یعمّ أبعاض القراءة أو لا، فعلی الأوّل یثبت المطلوب، فیلزم أن یکون أبعاض القراءة و أجزاء الأجزاء کذلک، و هو خلاف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الشکّ فی آیةٍ بعد الدخول فی الآیة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یلزم اعتبار الشکّ فی الآیة الاولی ما لم یدخل فی الرکوع، و لا یلتزم هو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دائماً یتعلّق بالأجزاء لا الکلّ، و لیس الشکّ فی الأجزاء فی عرض الشکّ فی الکلّ، و علی فرض تعلّق الشکّ بالکلّ فإنّما هو باعتبار الشکّ فی الجزء، فلا تنزیل للأجزاء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 غیر ملحوظ فی هذا الحکم، نعم هو ملحوظ فی مقام الأمر و البعث، فلا إشکال فی أنّ الغیر المعتبر دخوله فیه فرضاً، یعمّ الأجزاء المستقلّة و غیرها، و یدلّ علیه</w:t>
      </w:r>
    </w:p>
    <w:p>
      <w:pPr>
        <w:pStyle w:val="BookText"/>
        <w:rPr/>
      </w:pPr>
      <w:r>
        <w:rPr>
          <w:rFonts w:ascii="IRNazanin" w:hAnsi="IRNazanin" w:eastAsia="IRNazanin"/>
          <w:color w:val="111111"/>
          <w:sz w:val="28"/>
          <w:sz w:val="28"/>
          <w:szCs w:val="28"/>
          <w:rtl w:val="true"/>
          <w:lang w:bidi="fa-IR"/>
        </w:rPr>
        <w:t>روایة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أهوی فلم یدرِ أرکع أم لم یرکع؟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فإنّها فی مقام بیان أحد جزئیّات القاعدة، لا فی بیان حکم تأسیسیّ علی حِدَة بملاک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قاعدة قابلة للتخصیص، و هذه القاعدة أیضاً مخصَّصة فی موضعین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bookmarkStart w:id="460" w:name="pg12898_148137"/>
    </w:p>
    <w:p>
      <w:pPr>
        <w:pStyle w:val="BookText"/>
        <w:rPr/>
      </w:pPr>
      <w:bookmarkEnd w:id="460"/>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السجود و قد دخل فی النهوض إلی القیام؛ لقیام الدلیل علی التخصیص فی الموضعین، و لذا لو شکّ فی التشهّد و قد دخل فی النهوض إلی القیام، لا یعتنی به، و الفارق النص، کما ذکره فی العروة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دعوی انصراف الروایات إلی الأجزاء المبوّبة فی الفقه مستقلّاً، فهی غریبة جدّاً</w:t>
      </w:r>
      <w:r>
        <w:rPr>
          <w:rFonts w:eastAsia="IRNazanin" w:cs="IRNazanin"/>
          <w:color w:val="111111"/>
          <w:sz w:val="28"/>
          <w:szCs w:val="28"/>
          <w:rtl w:val="true"/>
          <w:lang w:bidi="fa-IR"/>
        </w:rPr>
        <w:t>.</w:t>
      </w:r>
    </w:p>
    <w:p>
      <w:pPr>
        <w:pStyle w:val="Heading6"/>
        <w:numPr>
          <w:ilvl w:val="5"/>
          <w:numId w:val="1"/>
        </w:numPr>
        <w:rPr/>
      </w:pPr>
      <w:bookmarkStart w:id="461" w:name="__RefHeading___Toc3235006_3224264995"/>
      <w:bookmarkStart w:id="462" w:name="_Toc172"/>
      <w:bookmarkEnd w:id="461"/>
      <w:r>
        <w:rPr>
          <w:rtl w:val="true"/>
        </w:rPr>
        <w:t>الجهة الخامسة</w:t>
      </w:r>
      <w:r>
        <w:rPr>
          <w:rtl w:val="true"/>
        </w:rPr>
        <w:t xml:space="preserve">: </w:t>
      </w:r>
      <w:r>
        <w:rPr>
          <w:rtl w:val="true"/>
        </w:rPr>
        <w:t>أنّ الحکم بالمضیّ هل هو رخصة أو عزیمة؟</w:t>
      </w:r>
      <w:bookmarkEnd w:id="462"/>
    </w:p>
    <w:p>
      <w:pPr>
        <w:pStyle w:val="BookText"/>
        <w:rPr/>
      </w:pPr>
      <w:r>
        <w:rPr>
          <w:rFonts w:ascii="IRNazanin" w:hAnsi="IRNazanin" w:eastAsia="IRNazanin"/>
          <w:color w:val="111111"/>
          <w:sz w:val="28"/>
          <w:sz w:val="28"/>
          <w:szCs w:val="28"/>
          <w:rtl w:val="true"/>
          <w:lang w:bidi="fa-IR"/>
        </w:rPr>
        <w:t>إنّ الحکم بالمضیّ و عدم اعتبار الشکّ بعد التجاوز عن المحلّ هل هو رخصة أو عزیمة؟</w:t>
      </w:r>
    </w:p>
    <w:p>
      <w:pPr>
        <w:pStyle w:val="BookText"/>
        <w:rPr/>
      </w:pPr>
      <w:r>
        <w:rPr>
          <w:rFonts w:ascii="IRNazanin" w:hAnsi="IRNazanin" w:eastAsia="IRNazanin"/>
          <w:color w:val="111111"/>
          <w:sz w:val="28"/>
          <w:sz w:val="28"/>
          <w:szCs w:val="28"/>
          <w:rtl w:val="true"/>
          <w:lang w:bidi="fa-IR"/>
        </w:rPr>
        <w:t>تظهر الثمرة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الثانی تبطل الصلاة لو رجع و أتی بالمشکوک، دونه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تظهر الثمرة بینهما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 إلی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صحیحة زرارة،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فی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نحو ذلک من التعبیرات، ظاهر فی وجوب ذلک، فهو علی وجه العزیمة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هنا فی مقام توهّم الحظر فلا یفید الوجوب</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الفقیه الهمدانی قدس سره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فرض تسلیم أنّ الأمر فی مثل هذا المقام لا یفید إلّا الجواز و الرخصة، لکن یستفاد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بنحو العزیمة، فاستفادة العزیمة لا تتوقّف علی القول باستفادة الوجوب من الأمر بالمضیّ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إلغاء الشکّ، و الحکم بعدم اعتباره، فالإتیان بالمشکوک بعد ذلک تشریع و زیادةٌ عمدیّة مبطلة</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 کلامه رفع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بنحو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الظاهر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إخباراً بأنّه قد أتی بالمشکوک، بل هو أمرٌ بالبناء علی وقوع المشکوک، و حینئذٍ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تقدّم هذا علی الاستصحاب لیس بنحو الحکومة؛ لعدم المضادّة بینهما؛ لدلالته علی جواز المضیّ،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القاعدة علی الاستصحاب حینئذٍ إنّما هی لأجل أنّ مقتضی الاستصحاب هو وجوب الرجوع و الإتیان بالمشکوک، و مقتضی القاعدة جواز المضیّ و عدم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إبطال الزیادة</w:t>
      </w:r>
      <w:r>
        <w:rPr>
          <w:rStyle w:val="FootnoteAnchor"/>
          <w:rtl w:val="true"/>
        </w:rPr>
        <w:footnoteReference w:id="539"/>
      </w:r>
      <w:r>
        <w:rPr>
          <w:rFonts w:ascii="IRNazanin" w:hAnsi="IRNazanin" w:eastAsia="IRNazanin"/>
          <w:color w:val="111111"/>
          <w:sz w:val="28"/>
          <w:sz w:val="28"/>
          <w:szCs w:val="28"/>
          <w:rtl w:val="true"/>
          <w:lang w:bidi="fa-IR"/>
        </w:rPr>
        <w:t>فهی قاصرة عن الشمول لما إذا شکّ فی تحقّقها بالرجوع، نعم لو بنینا علی أن القاعدة من الأمارات الشرعیّة الدالّة علی الإتیان بالمشکوک،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أصل محرِز للواقع، و أنّ مفادها الحکم بالبناء علی وقوعه لزمه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المضیّ علی نحو العزیمة، کما لو قام سائر الأمارات علی إتیانه به، فالإتیان به ثانیاً زیادة عمدیّة، و کذلک لو قلنا بأنّها أصل محرِز، فإنّ مفادها حینئذٍ التعبّد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التعبّد بالوجود المطلق، فلو شکّ فی الوضوء بعد تمام الصلاة فمقتضی قاعدة التجاوز هو أنّه علی وضوء، فیجوز له الشروع فی الصلاة الاخری بدون تجدید وضوء آخر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الإحراز الحیثی، فلا یجوز له الشروع فی صلاة اخری، بل</w:t>
      </w:r>
      <w:bookmarkStart w:id="463" w:name="pg12898_148139"/>
    </w:p>
    <w:p>
      <w:pPr>
        <w:pStyle w:val="BookText"/>
        <w:rPr/>
      </w:pPr>
      <w:bookmarkEnd w:id="463"/>
      <w:r>
        <w:rPr>
          <w:rFonts w:ascii="IRNazanin" w:hAnsi="IRNazanin" w:eastAsia="IRNazanin"/>
          <w:color w:val="111111"/>
          <w:sz w:val="28"/>
          <w:sz w:val="28"/>
          <w:szCs w:val="28"/>
          <w:rtl w:val="true"/>
          <w:lang w:bidi="fa-IR"/>
        </w:rPr>
        <w:t>یتوضّأ لها؛ لأنّها حینئذٍ لا تثبت الوجود المطلق للطهور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یصدق علیه عرفاً أنّه زاد فی صلاته واقعاً، و یشمله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p>
    <w:p>
      <w:pPr>
        <w:pStyle w:val="BookText"/>
        <w:rPr/>
      </w:pPr>
      <w:r>
        <w:rPr>
          <w:rStyle w:val="FootnoteAnchor"/>
          <w:rtl w:val="true"/>
        </w:rPr>
        <w:footnoteReference w:id="540"/>
      </w:r>
      <w:r>
        <w:rPr>
          <w:rFonts w:ascii="IRNazanin" w:hAnsi="IRNazanin" w:eastAsia="IRNazanin"/>
          <w:color w:val="111111"/>
          <w:sz w:val="28"/>
          <w:sz w:val="28"/>
          <w:szCs w:val="28"/>
          <w:rtl w:val="true"/>
          <w:lang w:bidi="fa-IR"/>
        </w:rPr>
        <w:t>لأنّ المراد منها واقع الزیادة؛ أی الوجود بعد الوجود، لا عنوان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المأخوذ فی موضوع وجوب الإعادة هو صدق عنوان الزیادة، و هو المعنی الانتزاعی البسیط، فلا یثبت ذلک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أنّه لیس کذلک، و کذلک لو شکّ فی السورة بعد التجاوز عن محلّها، فإنّ المنهیّ عنه العنوان الانتزاعی البسیط للقِران بین السورتین، فلا یثبت ذلک بقاعدة التجاوز، لکنّ المراد من القِران المأخوذ فی موضوع الحکم بالإعادة، هو تعاقب السورتین واقعاً، و حینئذٍ تصدق علیه الزیادة لو رجع و أتی به ثانیاً، فیترتّب علیه ما یترتّب علی زیادة القِران من الأحکام التکلیفیّة و الوضعیّة أی الحرمة و الفساد للصلاة، لکن العزیمة هنا حینئذٍ بمعنی الفساد فی المعاملات، لا الحرمة؛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حرمة إجراء صیغة النکاح ثانیاً لو شکّ فی صحّة النکاح السابق</w:t>
      </w:r>
      <w:r>
        <w:rPr>
          <w:rFonts w:eastAsia="IRNazanin" w:cs="IRNazanin"/>
          <w:color w:val="111111"/>
          <w:sz w:val="28"/>
          <w:szCs w:val="28"/>
          <w:rtl w:val="true"/>
          <w:lang w:bidi="fa-IR"/>
        </w:rPr>
        <w:t>.</w:t>
      </w:r>
    </w:p>
    <w:p>
      <w:pPr>
        <w:pStyle w:val="Heading6"/>
        <w:numPr>
          <w:ilvl w:val="5"/>
          <w:numId w:val="1"/>
        </w:numPr>
        <w:rPr/>
      </w:pPr>
      <w:bookmarkStart w:id="464" w:name="__RefHeading___Toc3235008_3224264995"/>
      <w:bookmarkStart w:id="465" w:name="_Toc173"/>
      <w:bookmarkEnd w:id="464"/>
      <w:r>
        <w:rPr>
          <w:rtl w:val="true"/>
        </w:rPr>
        <w:t>الجهة السادسة</w:t>
      </w:r>
      <w:r>
        <w:rPr>
          <w:rtl w:val="true"/>
        </w:rPr>
        <w:t xml:space="preserve">: </w:t>
      </w:r>
      <w:r>
        <w:rPr>
          <w:rtl w:val="true"/>
        </w:rPr>
        <w:t>حول أنّ القاعدة من الأمارات أو الاصول؟</w:t>
      </w:r>
      <w:bookmarkEnd w:id="465"/>
    </w:p>
    <w:p>
      <w:pPr>
        <w:pStyle w:val="Heading6"/>
        <w:numPr>
          <w:ilvl w:val="5"/>
          <w:numId w:val="1"/>
        </w:numPr>
        <w:rPr/>
      </w:pPr>
      <w:bookmarkStart w:id="466" w:name="__RefHeading___Toc3235010_3224264995"/>
      <w:bookmarkStart w:id="467" w:name="_Toc174"/>
      <w:bookmarkEnd w:id="466"/>
      <w:r>
        <w:rPr>
          <w:rtl w:val="true"/>
        </w:rPr>
        <w:t>اشارة</w:t>
      </w:r>
      <w:bookmarkEnd w:id="46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هذه القاعدة من القواعد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أو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استقرّ علیها بناء العقلاء، و أنّ الروایات المتقدّمة إمضاء و تنفیذ لهذا البناء العرفی، أو أنّها قاعدة تأسیسیّة شرعیّة تختصّ بالصلاة، کما هو مختار الفقیه الهمدانی قدس 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قاعدة الفراغ، و أنّ قاعدة الفراغ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أو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قاعدة الفراغ أیضاً لیست عقلائیّة،</w:t>
      </w:r>
    </w:p>
    <w:p>
      <w:pPr>
        <w:pStyle w:val="BookText"/>
        <w:rPr/>
      </w:pPr>
      <w:r>
        <w:rPr>
          <w:rFonts w:ascii="Amiri" w:hAnsi="Amiri" w:eastAsia="Amiri" w:cs="Amiri"/>
          <w:color w:val="111111"/>
          <w:sz w:val="28"/>
          <w:sz w:val="28"/>
          <w:szCs w:val="28"/>
          <w:rtl w:val="true"/>
          <w:lang w:bidi="ar-SA"/>
        </w:rPr>
        <w:t>بل شرعیّة تعبّدیّة</w:t>
      </w:r>
      <w:r>
        <w:rPr>
          <w:rStyle w:val="FootnoteAnchor"/>
          <w:rtl w:val="true"/>
        </w:rPr>
        <w:footnoteReference w:id="5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کونها أصلًا تعبّدیّاً شرعیّاً فهل هی من الاصول المحرِزة أو لا، بل تعبّد محض کأصل البراءة؟</w:t>
      </w:r>
    </w:p>
    <w:p>
      <w:pPr>
        <w:pStyle w:val="BookText"/>
        <w:rPr/>
      </w:pPr>
      <w:r>
        <w:rPr>
          <w:rFonts w:ascii="IRNazanin" w:hAnsi="IRNazanin" w:eastAsia="IRNazanin"/>
          <w:color w:val="111111"/>
          <w:sz w:val="28"/>
          <w:sz w:val="28"/>
          <w:szCs w:val="28"/>
          <w:rtl w:val="true"/>
          <w:lang w:bidi="fa-IR"/>
        </w:rPr>
        <w:t>و علی الأوّل فهل هی لإحراز الوجود المطلق، فیترتّب علیه جمیع أحکامه و آثاره، أو للإحراز الحیثی، کما یظهر من الشیخ الأعظم قدس سره</w:t>
      </w:r>
      <w:r>
        <w:rPr>
          <w:rStyle w:val="FootnoteAnchor"/>
          <w:rtl w:val="true"/>
        </w:rPr>
        <w:footnoteReference w:id="542"/>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الفقیه الهمدانی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قاعدة الفراغ عقلائیّة فقط، دون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و أن یکون ذلک بملاک، و هو الأذکریّة حین العمل، و أنّ المرید لامتثال الأمر بالمرکّب یأتی بجمیع أجزائه و شرائطه، و لا یترکها إلّا مع الغفلة و السهو، و هما خلاف الظاهر لکن عنوان الفراغ من العمل لیس دخیلًا فی هذا الملاک؛ بأن یثبت هذا الحکم لخصوص الشکّ بعد الفراغ من العمل بإتیان الجزء الأخیر منه، و عدم ثبوته قبل الإتیان بالجزء الأخیر، بل هذا الملاک موجود فی أثناء العمل لو شکّ فی الجزء السابق حال الإتیان بالجزء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اختصاص هذا الملاک بقاعدة الفراغ، إنّما هو لتخلّل الفصل الطویل بین الشکّ و محلّ الجزء المشکوک المفقود فی قاعدة التجاوز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دَخْل للفاصلة الطویلة فی الأذکریّة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منتقض طرداً و عکساً، فإنّه لو قرأ فی الصلاة سورة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التکبیر، لزم تخلّل الفصل الطویل بین المشکوک و الشکّ، فیتحقّق الملاک حینئذٍ، و یلزم علی ما ذکر جریان قاعدة الفراغ؛ لوجود ملاکها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الفصل</w:t>
      </w:r>
    </w:p>
    <w:p>
      <w:pPr>
        <w:pStyle w:val="BookText"/>
        <w:rPr/>
      </w:pP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قدس سره لا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بعد الفراغ و التسلیم فی الجزء السابق علیه کالتشهّد الأخیر، یلزمه عدم جریان قاعدة الفراغ حینئذٍ؛ لعدم وجود ملاکها؛ أی الفصل الطویل، و لا یلتزم هو قدس سره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بانتساب قاعدة التجاوز إلی العقلاء أولی من انتساب قاعدة الفراغ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المتّبع فی المقام ما یستفاد من الأخبار، و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 أنّه یمضی، أو الأمر بالمُضی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p>
    <w:p>
      <w:pPr>
        <w:pStyle w:val="BookText"/>
        <w:rPr/>
      </w:pP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الوارد فی الموارد الجزئیّة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p>
    <w:p>
      <w:pPr>
        <w:pStyle w:val="BookText"/>
        <w:rPr/>
      </w:pPr>
      <w:r>
        <w:rPr>
          <w:rStyle w:val="FootnoteAnchor"/>
          <w:rtl w:val="true"/>
        </w:rPr>
        <w:footnoteReference w:id="544"/>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Style w:val="FootnoteAnchor"/>
          <w:rtl w:val="true"/>
        </w:rPr>
        <w:footnoteReference w:id="54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الحقّ</w:t>
      </w:r>
      <w:r>
        <w:rPr>
          <w:rFonts w:eastAsia="IRNazanin" w:cs="IRNazanin"/>
          <w:color w:val="111111"/>
          <w:sz w:val="28"/>
          <w:szCs w:val="28"/>
          <w:rtl w:val="true"/>
          <w:lang w:bidi="fa-IR"/>
        </w:rPr>
        <w:t>)</w:t>
      </w:r>
    </w:p>
    <w:p>
      <w:pPr>
        <w:pStyle w:val="BookText"/>
        <w:rPr/>
      </w:pP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الشکّ فی بعضها موضوعاً للحکم بعدم الاعتبار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أنّ لسان الفرقة الأخیرة لسان الأصل لا الأمارة؛ لأنّها تدلّ</w:t>
      </w:r>
    </w:p>
    <w:p>
      <w:pPr>
        <w:pStyle w:val="BookText"/>
        <w:rPr/>
      </w:pPr>
      <w:r>
        <w:rPr>
          <w:rFonts w:ascii="IRNazanin" w:hAnsi="IRNazanin" w:eastAsia="IRNazanin"/>
          <w:color w:val="111111"/>
          <w:sz w:val="28"/>
          <w:sz w:val="28"/>
          <w:szCs w:val="28"/>
          <w:rtl w:val="true"/>
          <w:lang w:bidi="fa-IR"/>
        </w:rPr>
        <w:t>علی عدم الاعتبار بالشکّ مع بقائه و بقاء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فمعناه أیضاً الحکم بعدم الاعتناء بالشکّ مع حفظه و فرض وجوده، فهو أیضاً لسان الأصل، فجعل هذا التعبیر من الشواهد علی أماریّة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صنعه المحقّق الشیخ محمّد حسین الأصفهانی قدس سره</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یأباه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التعبیر بنحو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الذی جعله من أقوی الشواهد علی أماریّتها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فیه الحکم بالبناء علی وجود المشکوک فی عالم التعبّد مع حفظ الشکّ و فرض وجوده، لا إلغائه؛ لتکون أمارة، فمفاده أنّها أصل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الموثّقة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 إلغاء الشکّ و احتمال الخلاف، و اعتبار الظنّ الحاصل من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بیان السرّ و الحکمة و نکتة التشریع و الحکم بالبناء علی الوجود مع حفظ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أقرب من الأوّل؛ لأنّ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الظنّ الحاصل بالغلبة، و لیس لسان الخبر إلغاء الشکّ و احتمال الخلاف، کما هو لسان الأماریة، فلسانها إلغاء احتمال الغفلة الموجبة لترک المشکوک و لو باعتبار أذکریّته حین العمل أو أقربیّته إلی الحقّ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الروایات الاخر علی أنّها أصل لا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w:t>
      </w:r>
    </w:p>
    <w:p>
      <w:pPr>
        <w:pStyle w:val="BookText"/>
        <w:rPr/>
      </w:pPr>
      <w:r>
        <w:rPr>
          <w:rFonts w:ascii="IRNazanin" w:hAnsi="IRNazanin" w:eastAsia="IRNazanin"/>
          <w:color w:val="111111"/>
          <w:sz w:val="28"/>
          <w:sz w:val="28"/>
          <w:szCs w:val="28"/>
          <w:rtl w:val="true"/>
          <w:lang w:bidi="fa-IR"/>
        </w:rPr>
        <w:t>هذه الروایة للتمسّک بها علی الأماریّة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أماریّتها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الغالب فیمن یرید امتثال الأمر بمرکّب ذی أجزاء و شرائط، هو الجری علی وفق إرادته، و الإتیان بجمیع أجزائه و شرائطه کلٍّ فی محلّه، و إن لم یلتفت إلی الجزء تفصیلًا، و لم یقصده کذلک، و أنّ الإرادة المتعلّقة بالکلّ هی بعینها إرادة الأجزاء، فهی محرّکة له إلی الإتیان بالأجزاء و الشرائط، فهو یریدها بعین إرادة الکلّ، فهو لا یترک الأجزاء و الشرائط إلّا مع الغفلة و السهو، و هما خلاف الظاهر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تبعید المسافة؛ إذ لا احتیاج إلی هذا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الإشکال أیضاً؛ لما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تتولّد إرادة من إرادة اخری، و لا یترشّح بعث من بعث آخر</w:t>
      </w:r>
      <w:r>
        <w:rPr>
          <w:rStyle w:val="FootnoteAnchor"/>
          <w:rtl w:val="true"/>
        </w:rPr>
        <w:footnoteReference w:id="549"/>
      </w:r>
      <w:r>
        <w:rPr>
          <w:rFonts w:ascii="IRNazanin" w:hAnsi="IRNazanin" w:eastAsia="IRNazanin"/>
          <w:color w:val="111111"/>
          <w:sz w:val="28"/>
          <w:sz w:val="28"/>
          <w:szCs w:val="28"/>
          <w:rtl w:val="true"/>
          <w:lang w:bidi="fa-IR"/>
        </w:rPr>
        <w:t>، بل تقدّم فی مسألة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واحد من أجزاء المرکّب إرادة خاصّة مستقلّة به لها مبادٍ خاصّة، غایة الأمر أنّها ارتکازیّة، لا تفصیلیّة بتصوّر تفصیلیّ، أو تصدیق بالفائدة کذلک، و حیث إنّ إدراک الإنسان سریع لطیف فقد یخیّل أنّ بعض أفعاله تصدر بلا إرادة، کجعل الإنسان یده حاجباً له حینما یتوجّه إلیه ما یکاد یصیبه، أو من نور الشمس 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المتعلّقة بالأجزاء لیست عین الإرادة المتعلّقة بالکلّ و لا الاولی متولّدة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أنّ القاعدة من الاصول المحرِزة؛ لدلالة أکثرها علی وجوب البناء علی وجود المشکوک مع حفظ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بعضها ساکت عن تلک الدلالة، لکنّها لا تُنافی فی دلالة الباقی علیه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تدلّ علی الإحراز المطلق؛ بحیث یترتّب علیه جمیع الأحکام و الآثار</w:t>
      </w:r>
    </w:p>
    <w:p>
      <w:pPr>
        <w:pStyle w:val="BookText"/>
        <w:rPr/>
      </w:pPr>
      <w:r>
        <w:rPr>
          <w:rFonts w:ascii="IRNazanin" w:hAnsi="IRNazanin" w:eastAsia="IRNazanin"/>
          <w:color w:val="111111"/>
          <w:sz w:val="28"/>
          <w:sz w:val="28"/>
          <w:szCs w:val="28"/>
          <w:rtl w:val="true"/>
          <w:lang w:bidi="fa-IR"/>
        </w:rPr>
        <w:t>المرتّبة علی وجود المشکوک، أو علی الإحراز الحیثی؟</w:t>
      </w:r>
    </w:p>
    <w:p>
      <w:pPr>
        <w:pStyle w:val="BookText"/>
        <w:rPr/>
      </w:pPr>
      <w:r>
        <w:rPr>
          <w:rFonts w:ascii="IRNazanin" w:hAnsi="IRNazanin" w:eastAsia="IRNazanin"/>
          <w:color w:val="111111"/>
          <w:sz w:val="28"/>
          <w:sz w:val="28"/>
          <w:szCs w:val="28"/>
          <w:rtl w:val="true"/>
          <w:lang w:bidi="fa-IR"/>
        </w:rPr>
        <w:t>و یظهر الفرق بینهما فی ترتّب سائر الأحکام علیه، کما لو شکّ فی أثناء صلاة العصر فی أنّه صلّی الظهر قبلها، أو لا؛ لاشتراط تقدّم صلاة الظهر علی العصر، فمقتضی قاعدة التجاوز صحّة العصر؛ و أنّه أتی بالظهر تعبّداً،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محرِزة للوجود بنحو الإطلاق، لا یجب علیه الإتیان بصلاة الظهر 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حیثیّة وجب الإتیان بالظهر عقیب العصر؛ لأنّ الحکم بوجود الظهر إنّما هو من حیث أنّ تقدّمها شرط لصحّة العصر، لا مطلقاً، فالظهر من حیث اشتراط تقدّمها لصحّة العصر؛ هی محکومة بالوجود، لا مطلقاً، فیجب علیه الإتیان بالظهر 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حیثیّة الإحراز عدم جواز الدخول فی الصلاة؛ فیما لو شکّ فی جزء من أجزاء الطهارات الثلاث بعد الفراغ عنها، أو فی شرط من شروطها، کطهارة محلّ الغسل من الخبث، و کذلک لو شکّ فی ذلک بعد الصلاة، فیجب علیه إعادة الصلاة؛ لأنّ مقتضی القاعدة حینئذٍ صحّة الوضوء من حیث إنّه وضوء، لا من حیث اشتراط الصلاة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أنّ القاعدة من جهة حیثیّتها أیضاً حیثیّة، بل حیثیّة الوضوء و کذلک الغسل و التیمّم عین حیثیّة اشتراط الصلاة بها، فإحرازه إحراز لشرط الصلاة، فیجوز له الدخول فی الصلاة بعد حکم الشارع بأنّه علی وضوء، بخلاف مثال الظهر و العصر، فإنّ حیثیّة الظهر غیر حیثیّة اشتراط العصر بتقدّم الظهر علیها، نعم لا تحرز بها طهارة محلّ الوضوء المشکوکة عن الخبث فی المثال، فیجب علیه تطهیره منه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الحکم فی الوضوء و نحوه من شرائط الصلاة فی أثنائها بالنسبة إلی الأجزاء اللّاحقة مبنیّ علی ذلک، فعلی القول بأنّ مقتضی القاعدة هی المحرِزیّة المطلقة</w:t>
      </w:r>
      <w:bookmarkStart w:id="468" w:name="pg12898_148145"/>
    </w:p>
    <w:p>
      <w:pPr>
        <w:pStyle w:val="BookText"/>
        <w:rPr/>
      </w:pPr>
      <w:bookmarkEnd w:id="468"/>
      <w:r>
        <w:rPr>
          <w:rFonts w:ascii="IRNazanin" w:hAnsi="IRNazanin" w:eastAsia="IRNazanin"/>
          <w:color w:val="111111"/>
          <w:sz w:val="28"/>
          <w:sz w:val="28"/>
          <w:szCs w:val="28"/>
          <w:rtl w:val="true"/>
          <w:lang w:bidi="fa-IR"/>
        </w:rPr>
        <w:t>أو الأماریّة</w:t>
      </w:r>
      <w:r>
        <w:rPr>
          <w:rStyle w:val="FootnoteAnchor"/>
          <w:rtl w:val="true"/>
        </w:rPr>
        <w:footnoteReference w:id="550"/>
      </w:r>
      <w:r>
        <w:rPr>
          <w:rFonts w:ascii="IRNazanin" w:hAnsi="IRNazanin" w:eastAsia="IRNazanin"/>
          <w:color w:val="111111"/>
          <w:sz w:val="28"/>
          <w:sz w:val="28"/>
          <w:szCs w:val="28"/>
          <w:rtl w:val="true"/>
          <w:lang w:bidi="fa-IR"/>
        </w:rPr>
        <w:t>، تصحّ الصلاة و یتمّها؛ لإحراز الشرط بالنسبة إلی الأجزاء اللّاحقة؛ من غیر فرق بین الشرائط التی محلّها قبل الصلاة کالطهور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التی محلّها أثناء الصلاة و اعتبر تحقّقها حال الصلاة کالاستقبال، فلو شکّ فی أنّه مستقبل للقبلة فی أثناء الصلاة، فمجرّد جریان القاعدة بالنسبة إلی الأجزاء الماضیة، یُحرِز أنّ الجهة التی استقبل فیها هی القبلة بالنسبة إلی الأجزاء اللّاحقة، فیأتی بها کذلک، بخلاف ما لو قلنا بالمُحرِزیّة الحیثیّة، فإنّه حینئذٍ یفرّق بین الشرائط التی محلّها قبل الصلاة، کالطهور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استفادة ذلک من الآیة</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الصلاة بالنسبة إلی الأجزاء اللّاحقة أیضاً؛ للتجاوز عن محلّ الشرط المشکوک، بخلاف ما هو شرط للأجزاء، و محلّه حال الإتیان بها کالاستقبال، فإنّه لا تفیده القاعدة الجاریة فی الأجزاء السابقة بالنسبة إلی الأجزاء اللّاحقة، و لا تُحرز شرائطها بها، بل لا بدّ من الإحراز الیقینی، و إلّا بطلت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Heading6"/>
        <w:numPr>
          <w:ilvl w:val="5"/>
          <w:numId w:val="1"/>
        </w:numPr>
        <w:rPr/>
      </w:pPr>
      <w:bookmarkStart w:id="469" w:name="__RefHeading___Toc3235012_3224264995"/>
      <w:bookmarkStart w:id="470" w:name="_Toc175"/>
      <w:bookmarkEnd w:id="469"/>
      <w:r>
        <w:rPr>
          <w:rtl w:val="true"/>
        </w:rPr>
        <w:t>بیان أنّ القاعدة أصل محرز حیثیّ</w:t>
      </w:r>
      <w:bookmarkEnd w:id="470"/>
    </w:p>
    <w:p>
      <w:pPr>
        <w:pStyle w:val="BookText"/>
        <w:rPr/>
      </w:pPr>
      <w:r>
        <w:rPr>
          <w:rFonts w:ascii="IRNazanin" w:hAnsi="IRNazanin" w:eastAsia="IRNazanin"/>
          <w:color w:val="111111"/>
          <w:sz w:val="28"/>
          <w:sz w:val="28"/>
          <w:szCs w:val="28"/>
          <w:rtl w:val="true"/>
          <w:lang w:bidi="fa-IR"/>
        </w:rPr>
        <w:t>و أمّا فی مقام الإثبات و الاستظهار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یتوهّم استظهار المحرزیّة المطلقة من قوله علیه السلام فی روایة حمّاد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قوله علیه السلام فی الموثّقة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بناء علی عدم استفادة الأماریّة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فی أکثر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ممّا قد مضی فشکّک لیس بشی‌ء</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من التعبیرات، لا یستفاد منه إلّا الحکم بعدم</w:t>
      </w:r>
      <w:bookmarkStart w:id="471" w:name="pg12898_148146"/>
    </w:p>
    <w:p>
      <w:pPr>
        <w:pStyle w:val="BookText"/>
        <w:rPr/>
      </w:pPr>
      <w:bookmarkEnd w:id="471"/>
      <w:r>
        <w:rPr>
          <w:rFonts w:ascii="IRNazanin" w:hAnsi="IRNazanin" w:eastAsia="IRNazanin"/>
          <w:color w:val="111111"/>
          <w:sz w:val="28"/>
          <w:sz w:val="28"/>
          <w:szCs w:val="28"/>
          <w:rtl w:val="true"/>
          <w:lang w:bidi="fa-IR"/>
        </w:rPr>
        <w:t>الاعتناء بالشکّ بالنسبة إلی ما مضی و جاوزه، لا بالنسبة إلی ما لم یتجاوز عنه، و لذلک قال علیه السلام 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تدلّ تلک التعبیرات إلّا علی الإحراز الحیثی، و حینئذٍ فلا یفی التعبیر المذکور فی روایة حمّاد و الموثّقة بإثبات المحرِزیّة المطلقة؛ لاحتیاج ذلک إلی بیان أزید من ذلک؛ لتطرّق الاحتمال الآخر فیهما؛ و هو الإحراز الحیثی، مع أنّها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الشیخ الأعظم قدس سره من أنّه لا یستفاد من الروایات إلّا المحرزیّة الحیثیّة، لا المطلقة</w:t>
      </w:r>
      <w:r>
        <w:rPr>
          <w:rStyle w:val="FootnoteAnchor"/>
          <w:rtl w:val="true"/>
        </w:rPr>
        <w:footnoteReference w:id="552"/>
      </w:r>
      <w:r>
        <w:rPr>
          <w:rFonts w:ascii="IRNazanin" w:hAnsi="IRNazanin" w:eastAsia="IRNazanin"/>
          <w:color w:val="111111"/>
          <w:sz w:val="28"/>
          <w:sz w:val="28"/>
          <w:szCs w:val="28"/>
          <w:rtl w:val="true"/>
          <w:lang w:bidi="fa-IR"/>
        </w:rPr>
        <w:t>، لکن لا فرق بین الشرائط المعتبرة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من الاعتبار، فإنّه یثبت بقاعدة التجاوز جمیع هذه الحیثیّات</w:t>
      </w:r>
      <w:r>
        <w:rPr>
          <w:rFonts w:eastAsia="IRNazanin" w:cs="IRNazanin"/>
          <w:color w:val="111111"/>
          <w:sz w:val="28"/>
          <w:szCs w:val="28"/>
          <w:rtl w:val="true"/>
          <w:lang w:bidi="fa-IR"/>
        </w:rPr>
        <w:t>.</w:t>
      </w:r>
    </w:p>
    <w:p>
      <w:pPr>
        <w:pStyle w:val="Heading6"/>
        <w:numPr>
          <w:ilvl w:val="5"/>
          <w:numId w:val="1"/>
        </w:numPr>
        <w:rPr/>
      </w:pPr>
      <w:bookmarkStart w:id="472" w:name="__RefHeading___Toc3235014_3224264995"/>
      <w:bookmarkStart w:id="473" w:name="_Toc176"/>
      <w:bookmarkEnd w:id="472"/>
      <w:r>
        <w:rPr>
          <w:rtl w:val="true"/>
        </w:rPr>
        <w:t>الجهة السابعة</w:t>
      </w:r>
      <w:r>
        <w:rPr>
          <w:rtl w:val="true"/>
        </w:rPr>
        <w:t xml:space="preserve">: </w:t>
      </w:r>
      <w:r>
        <w:rPr>
          <w:rtl w:val="true"/>
        </w:rPr>
        <w:t>حول أنحاء الشکوک العارضة للمکلّف</w:t>
      </w:r>
      <w:bookmarkEnd w:id="473"/>
    </w:p>
    <w:p>
      <w:pPr>
        <w:pStyle w:val="Heading6"/>
        <w:numPr>
          <w:ilvl w:val="5"/>
          <w:numId w:val="1"/>
        </w:numPr>
        <w:rPr/>
      </w:pPr>
      <w:bookmarkStart w:id="474" w:name="__RefHeading___Toc3235016_3224264995"/>
      <w:bookmarkStart w:id="475" w:name="_Toc177"/>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صور الشکّ فیما نحن فیه کثیرة، نذکر المهمّ منها، و یتّضح منه الحکم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حافظ لصورة العمل و کیفیّة وقوعه فی ظرف الشکّ، کما لو علم بأنّه قد صلّی إلی تلک الجهة المشکوک أنّها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حافظاً لها، کما لو لم یعلم أنّه صلّی إلی هذه الجهة أو تلک، و کما لو لم یعلم أنّه حرّک خاتمه حال الوضوء؛ لیصل الماء تحته،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صورة عدم حفظه لصورة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الشکّ ناشئاً من جهة احتمال ترک جزء 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بالحکم و الموضوع، أو مع جهله بالحکم أو الموضوع، أو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 یتصوّر علی وجهین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معتقداً للضدّ مع الجهل بهما أو أحدهما، کما لو علم بأنّ القبلة</w:t>
      </w:r>
    </w:p>
    <w:p>
      <w:pPr>
        <w:pStyle w:val="BookText"/>
        <w:rPr/>
      </w:pPr>
      <w:r>
        <w:rPr>
          <w:rFonts w:ascii="IRNazanin" w:hAnsi="IRNazanin" w:eastAsia="IRNazanin"/>
          <w:color w:val="111111"/>
          <w:sz w:val="28"/>
          <w:sz w:val="28"/>
          <w:szCs w:val="28"/>
          <w:rtl w:val="true"/>
          <w:lang w:bidi="fa-IR"/>
        </w:rPr>
        <w:t>هی تلک الجهة و صلّی، ثمّ انکشف له خطؤه و علم بأنّها هذه، لکنّه احتمل أنّه قد صلّی إلی القبلة غفلة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لو اعتقد وجوب التمام علی المسافر، ثم علم بالحکم، لکن احتمل الإتیان بها رکعتین حال السفر غفلة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یعتقد بالخلاف، بل فرض جهله بسیطاً، کالإناءین اللّذین اعتقد بأنّ أحدهما مضاف، فتوضّأ من أحدهما غفلة أو نسیاناً، و احتمل مصادفته لغیر المضاف منهما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الصورة التی هو حافظ لکیفیّة العمل و صورته، کما لو علم بعدم تحریکه الخاتم حال الغسل، قد یحتمل وصول الماء تحت الخاتم قهراً و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الفرض الغیر الحافظ لصورة العمل قد یحتمل الترک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المطلقات و العمومات تعمّ جمیع هذه الصور، أو تختصّ بالثانیة، أو مع غیرها من الصور؟</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العمومات و المطلقات المتقدّمة تعمّ جمیع هذه الفروض فی بادئ النظر، لکن مقتضی التأمّل فیها خلافه؛ لأنّه ان کانت القاعدة تعبّداً محضاً، و علم أنّ السرّ و النکتة فی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العسر و الحرج و اختلال النظام لولاها، فلدعوی شمولها لجمیع تلک الصور وجه، لکنّها لیست تعبّداً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القواعد ما لیس لها بین العقلاء اسم و لا رسم، بل تعبّد محض، 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عقلائیّة محضة یعتمد علیها العقلاء فی امورهم، کقاعدة الید و أصالة</w:t>
      </w:r>
    </w:p>
    <w:p>
      <w:pPr>
        <w:pStyle w:val="BookText"/>
        <w:rPr/>
      </w:pPr>
      <w:r>
        <w:rPr>
          <w:rFonts w:ascii="IRNazanin" w:hAnsi="IRNazanin" w:eastAsia="IRNazanin"/>
          <w:color w:val="111111"/>
          <w:sz w:val="28"/>
          <w:sz w:val="28"/>
          <w:szCs w:val="28"/>
          <w:rtl w:val="true"/>
          <w:lang w:bidi="fa-IR"/>
        </w:rPr>
        <w:t>الصحّة فی فعل الغیر فالأخبار الواردة فیها إمضاء لطریقتهم و بنائهم، لا تأسیس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من قبیل ذا و لا ذاک، بل هی فیها شی‌ء بینهم مرتکز فی أذهانهم، لکن لا بحیث یعتمدون علیها، بل هی أمر یختلج ببالهم و یخطر فی أذهانهم، مثل قاعدة التجاوز، فإنّ أذکریّة الإنسان حین العمل و أقربیّته إلی الحقّ أمر مرتکز فی أذهانهم، فبمجرّد إلقاء الشارع لها تنطبق علی ما فی أذهانهم منها، و یظنّون أنّه السرّ فی ذلک الحکم، و تحقّق هذا الأمر منها فی أذهانهم مانع عن انعقاد الإطلاق أو العموم فی الأخبار الملقی إلیهم، فمع فرض عدم ذکر الأذکریّة و الأقربیّة إلی الحقّ فی الأخبار، أیضاً لا یمکن الأخذ بالإطلاق و العموم؛ لما ذکرناه، فضلًا عن ذکرهما فیها، 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عن انعقاد الإطلاق و شموله لجمیع الصور،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احتمل الإتیان بالمشکوک سهواً أو غفلة، مع جهله بالحکم أو الموضوع أو معاً بسیطاً أم مرکّباً، و کذلک صورة احتمال الموافقة للواقع اتّفاقاً، أو احتمال الترک عمداً، و کذا صورة حفظه لصورة العمل و کیفیّته و أنّه لم یحرِّک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فالقاعدة تختصّ بصورة العلم بالحکم و الموضوع، لکن احتمل ترک جزء أو شرط سهواً و نسیاناً مع عدم حفظه لصورة العمل، کما هو مساق جمیع الروایات و مصبّها، مثل روایة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شکّ فی الأذان و قد دخل فی الإقامة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4"/>
      </w:r>
      <w:r>
        <w:rPr>
          <w:rFonts w:ascii="IRNazanin" w:hAnsi="IRNazanin" w:eastAsia="IRNazanin"/>
          <w:color w:val="111111"/>
          <w:sz w:val="28"/>
          <w:sz w:val="28"/>
          <w:szCs w:val="28"/>
          <w:rtl w:val="true"/>
          <w:lang w:bidi="fa-IR"/>
        </w:rPr>
        <w:t>إلی آخره، فإنّ ظاهرها فرض ذلک فیمن هو عالم بالحکم و الموضوع، لکن احتمل الترک لجزء أو شرط سهواً أو نسیاناً، مع عدم حفظه لصورة العمل، و کذلک غیرها من الروایات،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مخصَّصة أو مقیَّدة،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عموم أو إطلاق ابتداءً و رأساً؛ لما ذکرناه من المانع عنه</w:t>
      </w:r>
      <w:r>
        <w:rPr>
          <w:rFonts w:eastAsia="IRNazanin" w:cs="IRNazanin"/>
          <w:color w:val="111111"/>
          <w:sz w:val="28"/>
          <w:szCs w:val="28"/>
          <w:rtl w:val="true"/>
          <w:lang w:bidi="fa-IR"/>
        </w:rPr>
        <w:t>.</w:t>
      </w:r>
      <w:bookmarkStart w:id="476" w:name="pg12898_148149"/>
    </w:p>
    <w:p>
      <w:pPr>
        <w:pStyle w:val="Heading6"/>
        <w:numPr>
          <w:ilvl w:val="5"/>
          <w:numId w:val="1"/>
        </w:numPr>
        <w:rPr/>
      </w:pPr>
      <w:bookmarkStart w:id="477" w:name="__RefHeading___Toc3235018_3224264995"/>
      <w:bookmarkStart w:id="478" w:name="_Toc178"/>
      <w:bookmarkEnd w:id="476"/>
      <w:bookmarkEnd w:id="477"/>
      <w:r>
        <w:rPr>
          <w:rtl w:val="true"/>
        </w:rPr>
        <w:t>کلام بعض المحقّقین و ما یرد علیه</w:t>
      </w:r>
      <w:bookmarkEnd w:id="478"/>
    </w:p>
    <w:p>
      <w:pPr>
        <w:pStyle w:val="Heading6"/>
        <w:numPr>
          <w:ilvl w:val="5"/>
          <w:numId w:val="1"/>
        </w:numPr>
        <w:rPr/>
      </w:pPr>
      <w:bookmarkStart w:id="479" w:name="__RefHeading___Toc3235020_3224264995"/>
      <w:bookmarkStart w:id="480" w:name="_Toc179"/>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لکن ذکر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الهمدانی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بعد العمل فی العبادات و المعاملات ممّا استقرّ علیها السیرة القطعیّة العقلائیّة، و إلّا لما قام للمسلمین سوق و لا نظام، و أنّه لو بُنی علی الاعتناء بالشکّ فی الأعمال السابقة و لزوم إعادتها أو قضائها، یلزم الاختلالُ فی النظام و المعاش و العسرُ و الحرجُ الشدیدان؛ لندرة العلم بصحّة الأعمال السابقة، و کثرة الشکّ فی صحّتها و 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النکتة و الحکمة فی الأذکریّة و الأقربیّة إلی الحقّ؛ لعدم استفادة العلّیّة المنحصرة من الأخبار، بل العمدة هو لزوم العسر و الحرج، و حینئذٍ فیؤخذ بالعمومات و الإطلاقات الواردة فی الأخبار، و یحکم بشمولها لجمیع الأقسام، حتی صورة الجهل بالحکم و الموضوع و سائر الأقسام المتقدّمة</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فیما ذکره قدس سره؛ إذ لیس المراد تقیید المطلقات بذلک، بل المراد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الأذکریّة و الأقربیّة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ارتکازهما فی أذهان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انعقاد الإطلاق و العموم فی الأخبار رأساً و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العسر و اختلال النظام فهو أیضاً ممنوع</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المتصوّرة للشکّ فی الأعمال السابقة کثیرة، و عرفت أنّ العُمدة منها هو أنّ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 بالحکم و الموضوع حین العمل، و لکن یحتمل ترک جزء أو شرط سهواً أو غفلة، و إمّا جاهل بهما أو بأحدهما حینه، و إمّا یجهل حاله من العلم و الجهل</w:t>
      </w:r>
      <w:r>
        <w:rPr>
          <w:rFonts w:eastAsia="IRNazanin" w:cs="IRNazanin"/>
          <w:color w:val="111111"/>
          <w:sz w:val="28"/>
          <w:szCs w:val="28"/>
          <w:rtl w:val="true"/>
          <w:lang w:bidi="fa-IR"/>
        </w:rPr>
        <w:t>.</w:t>
      </w:r>
      <w:bookmarkStart w:id="481" w:name="pg12898_148150"/>
    </w:p>
    <w:p>
      <w:pPr>
        <w:pStyle w:val="BookText"/>
        <w:rPr/>
      </w:pPr>
      <w:bookmarkEnd w:id="481"/>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الاولی مشمولة للقاعدة، و هی القدر المتیقّن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فلا تعمّها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لا یعلم حاله حین العمل من العلم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ذلک فی العبادات، و إمّا فی المعاملات، 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هو فی العبادات الموقّتة، مثل صوم شهر رمضان و الصلوات الیومیّة، و إمّا فی غیر الموقّتة کالخمس 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العمل الغیر العبادی، مثل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صادر منه بالمباشرة، أو من غیره بالتوکیل</w:t>
      </w:r>
      <w:r>
        <w:rPr>
          <w:rFonts w:eastAsia="IRNazanin" w:cs="IRNazanin"/>
          <w:color w:val="111111"/>
          <w:sz w:val="28"/>
          <w:szCs w:val="28"/>
          <w:rtl w:val="true"/>
          <w:lang w:bidi="fa-IR"/>
        </w:rPr>
        <w:t>.</w:t>
      </w:r>
    </w:p>
    <w:p>
      <w:pPr>
        <w:pStyle w:val="Heading6"/>
        <w:numPr>
          <w:ilvl w:val="5"/>
          <w:numId w:val="1"/>
        </w:numPr>
        <w:rPr/>
      </w:pPr>
      <w:bookmarkStart w:id="482" w:name="__RefHeading___Toc3235022_3224264995"/>
      <w:bookmarkStart w:id="483" w:name="_Toc180"/>
      <w:bookmarkEnd w:id="482"/>
      <w:r>
        <w:rPr>
          <w:rtl w:val="true"/>
        </w:rPr>
        <w:t>حال الشکّ فی العبادات</w:t>
      </w:r>
      <w:bookmarkEnd w:id="483"/>
    </w:p>
    <w:p>
      <w:pPr>
        <w:pStyle w:val="BookText"/>
        <w:rPr/>
      </w:pPr>
      <w:r>
        <w:rPr>
          <w:rFonts w:ascii="IRNazanin" w:hAnsi="IRNazanin" w:eastAsia="IRNazanin"/>
          <w:color w:val="111111"/>
          <w:sz w:val="28"/>
          <w:sz w:val="28"/>
          <w:szCs w:val="28"/>
          <w:rtl w:val="true"/>
          <w:lang w:bidi="fa-IR"/>
        </w:rPr>
        <w:t>أمّا العبادات الغیر الموقّتة فلا یقع فیها الشکّ من المکلّفین إلّا نادراً، و کذلک الصوم من الموقّتات؛ لأنّه أمر عدمیّ فلا یقع فیه الشکّ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الحجّ فهو أیضاً کذلک؛ لاهتمام الناس فی مقام امتثاله و مراعاة أحکامه، مع أنّ أکثر أعماله ممّا لا یُبطل الحجّ بالإخلال به، و ما یفسد بالإخلال به لا یقع فیه الشکّ غالباً، کالوقوفین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الصلاة من الموقّتات فالشکّ فیها و ان یکثر وقوعه فیها، لکن قلّما یوجد من المکلّفین من یعلم بحاله حین العمل من العلم و الجهل، و القاعدة لا تشمل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تختصّ بمن یعلم بالحکم و الموضوع حین العمل، و یحتمل الإخلال بجزء أو شرط سهواً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بهما أو بأحدهما حین العمل فلا تشمله القاعدة، بل هو مجری الاستصحاب</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صورة من لا یعلم حاله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علمه بالحکم و الموضوع أو جهله بهما أو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شبهة مصداقیّة لقاعدة التجاوز، فلا یصحّ التمسّک بها فیها،</w:t>
      </w:r>
    </w:p>
    <w:p>
      <w:pPr>
        <w:pStyle w:val="BookText"/>
        <w:rPr/>
      </w:pPr>
      <w:r>
        <w:rPr>
          <w:rFonts w:ascii="IRNazanin" w:hAnsi="IRNazanin" w:eastAsia="IRNazanin"/>
          <w:color w:val="111111"/>
          <w:sz w:val="28"/>
          <w:sz w:val="28"/>
          <w:szCs w:val="28"/>
          <w:rtl w:val="true"/>
          <w:lang w:bidi="fa-IR"/>
        </w:rPr>
        <w:t>و شبهة مصداقیّة للاستصحاب، فلا یصحّ التمسّک بالاستصحاب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الاشتغال فلا یثبت وجوب القضاء علیه؛ لأنّ موضوع وجوب القضاء هو الفوت؛ أی عدم الإتیان بالصلاة فی الوقت، و حیث إنّ القضاء بأمرٍ جدید، فلا یثبت ذلک بقاعدة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المختار هو شمول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للشبهات الحکمیّة أیضاً، و أنّها مقدّمة علی الاستصحاب، فما نحن فیه شبهة مصداقیّة لها أیضاً، فلا یجوز التمسّک بواحد من هذه القواعد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فرض اختصاصها بالشبهات الموضوعیّة فکذلک؛ لا یصحّ التمسّک بها لاحتمال اعتبار الجهل بالموضوع فی المفروض أیضاً؛ لأنّ الغالب عدم جهل المکلّفین بأرکان الصلاة، بل الغالب فی المجهول هو غیرها من الخصوصیّات المعتبرة فی الصلاة من الأجزاء و الشرائط</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بشمول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للشبهات الحکمیّة</w:t>
      </w:r>
      <w:r>
        <w:rPr>
          <w:rStyle w:val="FootnoteAnchor"/>
          <w:rtl w:val="true"/>
        </w:rPr>
        <w:footnoteReference w:id="556"/>
      </w:r>
      <w:r>
        <w:rPr>
          <w:rFonts w:ascii="IRNazanin" w:hAnsi="IRNazanin" w:eastAsia="IRNazanin"/>
          <w:color w:val="111111"/>
          <w:sz w:val="28"/>
          <w:sz w:val="28"/>
          <w:szCs w:val="28"/>
          <w:rtl w:val="true"/>
          <w:lang w:bidi="fa-IR"/>
        </w:rPr>
        <w:t>فلا إشکال فی المقام؛ لأنّها محکّمة حینئذٍ، و إلّا فکما لا یجوز التمسّک بها، کذلک لا یجوز التمسّک بالاستصحاب أیضاً؛ لیثبت به وجوب القضاء الذی یلزم منه العسر و الحرج و الاختلال فی النظام، فلیس فی المقام إلّا قاعدة الاشتغال، و هی کما عرفت لا تفید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العبادات</w:t>
      </w:r>
      <w:r>
        <w:rPr>
          <w:rFonts w:eastAsia="IRNazanin" w:cs="IRNazanin"/>
          <w:color w:val="111111"/>
          <w:sz w:val="28"/>
          <w:szCs w:val="28"/>
          <w:rtl w:val="true"/>
          <w:lang w:bidi="fa-IR"/>
        </w:rPr>
        <w:t>.</w:t>
      </w:r>
      <w:bookmarkStart w:id="484" w:name="pg12898_148152"/>
    </w:p>
    <w:p>
      <w:pPr>
        <w:pStyle w:val="Heading6"/>
        <w:numPr>
          <w:ilvl w:val="5"/>
          <w:numId w:val="1"/>
        </w:numPr>
        <w:rPr/>
      </w:pPr>
      <w:bookmarkStart w:id="485" w:name="__RefHeading___Toc3235024_3224264995"/>
      <w:bookmarkStart w:id="486" w:name="_Toc181"/>
      <w:bookmarkEnd w:id="484"/>
      <w:bookmarkEnd w:id="485"/>
      <w:r>
        <w:rPr>
          <w:rtl w:val="true"/>
        </w:rPr>
        <w:t>حال الشکّ فی المعاملات</w:t>
      </w:r>
      <w:bookmarkEnd w:id="486"/>
    </w:p>
    <w:p>
      <w:pPr>
        <w:pStyle w:val="BookText"/>
        <w:rPr/>
      </w:pPr>
      <w:r>
        <w:rPr>
          <w:rFonts w:ascii="IRNazanin" w:hAnsi="IRNazanin" w:eastAsia="IRNazanin"/>
          <w:color w:val="111111"/>
          <w:sz w:val="28"/>
          <w:sz w:val="28"/>
          <w:szCs w:val="28"/>
          <w:rtl w:val="true"/>
          <w:lang w:bidi="fa-IR"/>
        </w:rPr>
        <w:t>و أمّا المعاملات فالشکّ إمّا فی المعاملات التی صدرت منه بالمباشرة مع بقاء العین المبیعة فی الخارج، أو مع عدم بقائها بإتلاف منه أو بآفة سماویّة، و الثانی شبهة مصداقیّة بقسمیه؛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p>
    <w:p>
      <w:pPr>
        <w:pStyle w:val="BookText"/>
        <w:rPr/>
      </w:pPr>
      <w:r>
        <w:rPr>
          <w:rStyle w:val="FootnoteAnchor"/>
          <w:rtl w:val="true"/>
        </w:rPr>
        <w:footnoteReference w:id="557"/>
      </w:r>
      <w:r>
        <w:rPr>
          <w:rFonts w:ascii="IRNazanin" w:hAnsi="IRNazanin" w:eastAsia="IRNazanin"/>
          <w:color w:val="111111"/>
          <w:sz w:val="28"/>
          <w:sz w:val="28"/>
          <w:szCs w:val="28"/>
          <w:rtl w:val="true"/>
          <w:lang w:bidi="fa-IR"/>
        </w:rPr>
        <w:t xml:space="preserve">و قاعدة الید و استصحاب عدم الانتقال، فلا یجوز التمسّک بواحد منها؛ لاحتمال اعتبار علمه حین المعاملة بالحکم و الموضوع، و احتمال الاختلال سهواً أو نسیاناً، الذی هو مورد قاعدة التجاوز المتقدّمة علی قاعدة الید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بقاء العین و وجودها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تجدید المعاملة و إیقاعها ثانیاً عسر و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الموجودة المذکورة مردّدة بین کونها ملکاً له و لغیره، و هذا التردید و الشکّ ناشٍ عن صحّة المعاملة الماضیة و عدمها، لکن لا مانع من جریان قاعدة أصالة الحِلّ هنا، نعم ذکر بعض عدم شمولها لهذا المورد، لکنّه لا یضرّ بعد تحقّق الإجماع علیه و عدم دلیل آخر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المعاملة المشکوکة الصادرة منه بالمباشرة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صدورها من الغیر وکالة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 فی عقد النکاح و الطلاق، بل و کثیر من المبایعات و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الصحّة فی فعل الغیر فیه محکّمة بلا إشکال</w:t>
      </w:r>
      <w:r>
        <w:rPr>
          <w:rFonts w:eastAsia="IRNazanin" w:cs="IRNazanin"/>
          <w:color w:val="111111"/>
          <w:sz w:val="28"/>
          <w:szCs w:val="28"/>
          <w:rtl w:val="true"/>
          <w:lang w:bidi="fa-IR"/>
        </w:rPr>
        <w:t>.</w:t>
      </w:r>
      <w:bookmarkStart w:id="487" w:name="pg12898_148153"/>
    </w:p>
    <w:p>
      <w:pPr>
        <w:pStyle w:val="BookText"/>
        <w:rPr/>
      </w:pPr>
      <w:bookmarkEnd w:id="487"/>
      <w:r>
        <w:rPr>
          <w:rFonts w:ascii="IRNazanin" w:hAnsi="IRNazanin" w:eastAsia="IRNazanin"/>
          <w:color w:val="111111"/>
          <w:sz w:val="28"/>
          <w:sz w:val="28"/>
          <w:szCs w:val="28"/>
          <w:rtl w:val="true"/>
          <w:lang w:bidi="fa-IR"/>
        </w:rPr>
        <w:t>فانقدح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اختلال النظام و المعاش و العسر و الحرج لو لم تعمّ قاعدة التجاوز و الفراغ جمیع الأقسام و الصور المتقدّمة و اختصاصها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الموارد التی لا یعلم المکلّف حاله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و الجهل حکماً أو موضوعاً أو معاً یوجد أصل یُحرز به کونه جاهلًا بذلک، و به یندرج تحت الدلیل؛ لأنّ کلّ مکلّف مسبوق بالجهل حال صباه و عدم بلوغه، فباستصحابه یخرج المورد عن تحت قاعدة الفراغ، و یصیر مورداً للاستصحاب؛ أی استصحاب عدم الإتیان بالمشکوک، و یلزم ممّا ذکر لزوم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یعلم إجمالًا بنقض الحالة السابقة، و هذا العلم الإجمالی بکونه عالماً بالحکم و الموضوع فی بعض أفعاله و الأعمال الصادرة منه سابقاً متحقّق فی کلّ مکلّف، و معه لا مجال للاستصحاب المزبور</w:t>
      </w:r>
      <w:r>
        <w:rPr>
          <w:rFonts w:eastAsia="IRNazanin" w:cs="IRNazanin"/>
          <w:color w:val="111111"/>
          <w:sz w:val="28"/>
          <w:szCs w:val="28"/>
          <w:rtl w:val="true"/>
          <w:lang w:bidi="fa-IR"/>
        </w:rPr>
        <w:t>.</w:t>
      </w:r>
    </w:p>
    <w:p>
      <w:pPr>
        <w:pStyle w:val="Heading6"/>
        <w:numPr>
          <w:ilvl w:val="5"/>
          <w:numId w:val="1"/>
        </w:numPr>
        <w:rPr/>
      </w:pPr>
      <w:bookmarkStart w:id="488" w:name="__RefHeading___Toc3235026_3224264995"/>
      <w:bookmarkStart w:id="489" w:name="_Toc182"/>
      <w:bookmarkEnd w:id="488"/>
      <w:r>
        <w:rPr>
          <w:rtl w:val="true"/>
        </w:rPr>
        <w:t xml:space="preserve">کلام شیخنا الحائری قدس سره فی </w:t>
      </w:r>
      <w:r>
        <w:rPr>
          <w:rtl w:val="true"/>
        </w:rPr>
        <w:t>«</w:t>
      </w:r>
      <w:r>
        <w:rPr>
          <w:rtl w:val="true"/>
        </w:rPr>
        <w:t>الدرر</w:t>
      </w:r>
      <w:r>
        <w:rPr>
          <w:rtl w:val="true"/>
        </w:rPr>
        <w:t>»</w:t>
      </w:r>
      <w:bookmarkEnd w:id="489"/>
    </w:p>
    <w:p>
      <w:pPr>
        <w:pStyle w:val="BookText"/>
        <w:rPr/>
      </w:pPr>
      <w:r>
        <w:rPr>
          <w:rFonts w:ascii="IRNazanin" w:hAnsi="IRNazanin" w:eastAsia="IRNazanin"/>
          <w:color w:val="111111"/>
          <w:sz w:val="28"/>
          <w:sz w:val="28"/>
          <w:szCs w:val="28"/>
          <w:rtl w:val="true"/>
          <w:lang w:bidi="fa-IR"/>
        </w:rPr>
        <w:t>ثمّ إنّه ذکر استاذنا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شمول الأخبار لصورة علم المکلّف بکیفیّة العمل، و أنّه لم یحرّک خاتمه حین الوضوء مثلًا و غفلته عن 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مذکوراً فی بعض الأخبار، لکن سائر الإطلاقات فی الأخبار الاخر خالیة عنه، مع أنّها فی مقام البیان، فتشمل الفرض المذکور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عن عدّة من أصحابنا، عن أحمد بن محمّد، عن علیّ بن الحکم، عن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الخاتم إذا اغتسلتُ؟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 فی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تدیره، فإن نسیت حتی تقوم فی الصلاة فلا آمرک أن تعید الصلاة</w:t>
      </w:r>
      <w:r>
        <w:rPr>
          <w:rFonts w:eastAsia="IRNazanin" w:cs="IRNazanin"/>
          <w:color w:val="111111"/>
          <w:sz w:val="28"/>
          <w:szCs w:val="28"/>
          <w:rtl w:val="true"/>
          <w:lang w:bidi="fa-IR"/>
        </w:rPr>
        <w:t>)</w:t>
      </w:r>
    </w:p>
    <w:p>
      <w:pPr>
        <w:pStyle w:val="BookText"/>
        <w:rPr/>
      </w:pPr>
      <w:r>
        <w:rPr>
          <w:rStyle w:val="FootnoteAnchor"/>
          <w:rtl w:val="true"/>
        </w:rPr>
        <w:footnoteReference w:id="558"/>
      </w:r>
      <w:r>
        <w:rPr>
          <w:rFonts w:ascii="IRNazanin" w:hAnsi="IRNazanin" w:eastAsia="IRNazanin"/>
          <w:color w:val="111111"/>
          <w:sz w:val="28"/>
          <w:sz w:val="28"/>
          <w:szCs w:val="28"/>
          <w:rtl w:val="true"/>
          <w:lang w:bidi="fa-IR"/>
        </w:rPr>
        <w:t>فحکم الإمام علیه السلام بعدم وجوب إعادة الصلاة، و عدم اعتبار هذا الشکّ، مع فرض حفظه لصورة العمل، و أنّه غفل عن إدارة الخاتم</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جعفر، عن أخیه موسی بن جعفر علیه السلام 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الخاتم الضیّق لا یدری هل یجری الماء تحته إذا توضّأ أم لا، کیف یصنع؟</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أنّ الماء لا یدخله فلیخرجه إذا توضّأ</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تقییده علیه السلام بصورة العلم بعدم دخول الماء تحته، مع وضوح عدم جریان قاعدة التجاوز فی صورة الشکّ أیضاً؛ لأجل کونه فی أثناء الوضوء؛ لعلّه للردع عمّا استقرّ بناء العقلاء علیه من الاعتناء بالشکّ فی مانعیّة الموجود، بخلاف الشکّ فی وجود المانع، فیستفاد منها اختصاص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إخراج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العلم، لا الشکّ مطلقاً؛ سواء کان فی أصل وجود المانع، أم فی مانعیّة الموجود، و حینئذٍ فمن المحتمل أنّ السر فی عدم حکمه علیه السلام بإعادة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حسین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ذلک، لا لجریان قاعدة التجاوز، فیحمل ما ذکره من إدارة الخاتم فیها فی الصدر علی الاستحباب، و حینئذٍ فلا یکشف بالروایة إطلاق روایات قاعدة التجاوز</w:t>
      </w:r>
      <w:r>
        <w:rPr>
          <w:rFonts w:eastAsia="IRNazanin" w:cs="IRNazanin"/>
          <w:color w:val="111111"/>
          <w:sz w:val="28"/>
          <w:szCs w:val="28"/>
          <w:rtl w:val="true"/>
          <w:lang w:bidi="fa-IR"/>
        </w:rPr>
        <w:t>.</w:t>
      </w:r>
      <w:bookmarkStart w:id="490" w:name="pg12898_148155"/>
    </w:p>
    <w:p>
      <w:pPr>
        <w:pStyle w:val="Heading6"/>
        <w:numPr>
          <w:ilvl w:val="5"/>
          <w:numId w:val="1"/>
        </w:numPr>
        <w:rPr/>
      </w:pPr>
      <w:bookmarkStart w:id="491" w:name="__RefHeading___Toc3235028_3224264995"/>
      <w:bookmarkStart w:id="492" w:name="_Toc183"/>
      <w:bookmarkEnd w:id="490"/>
      <w:bookmarkEnd w:id="491"/>
      <w:r>
        <w:rPr>
          <w:rtl w:val="true"/>
        </w:rPr>
        <w:t>تنبیهان</w:t>
      </w:r>
      <w:bookmarkEnd w:id="492"/>
    </w:p>
    <w:p>
      <w:pPr>
        <w:pStyle w:val="Heading6"/>
        <w:numPr>
          <w:ilvl w:val="5"/>
          <w:numId w:val="1"/>
        </w:numPr>
        <w:rPr/>
      </w:pPr>
      <w:bookmarkStart w:id="493" w:name="__RefHeading___Toc3235030_3224264995"/>
      <w:bookmarkStart w:id="494" w:name="_Toc184"/>
      <w:bookmarkEnd w:id="493"/>
      <w:r>
        <w:rPr>
          <w:rtl w:val="true"/>
        </w:rPr>
        <w:t>التنبیه الأوّل</w:t>
      </w:r>
      <w:r>
        <w:rPr>
          <w:rtl w:val="true"/>
        </w:rPr>
        <w:t xml:space="preserve">: </w:t>
      </w:r>
      <w:r>
        <w:rPr>
          <w:rtl w:val="true"/>
        </w:rPr>
        <w:t>اختصاص القاعدة بالشکّ الحادث</w:t>
      </w:r>
      <w:bookmarkEnd w:id="494"/>
    </w:p>
    <w:p>
      <w:pPr>
        <w:pStyle w:val="BookText"/>
        <w:rPr/>
      </w:pPr>
      <w:r>
        <w:rPr>
          <w:rFonts w:ascii="IRNazanin" w:hAnsi="IRNazanin" w:eastAsia="IRNazanin"/>
          <w:color w:val="111111"/>
          <w:sz w:val="28"/>
          <w:sz w:val="28"/>
          <w:szCs w:val="28"/>
          <w:rtl w:val="true"/>
          <w:lang w:bidi="fa-IR"/>
        </w:rPr>
        <w:t>المستفاد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خرجت من شی‌ء و دخلت فی غیره </w:t>
      </w:r>
      <w:r>
        <w:rPr>
          <w:rFonts w:eastAsia="IRNazanin" w:cs="IRNazanin"/>
          <w:color w:val="111111"/>
          <w:sz w:val="28"/>
          <w:szCs w:val="28"/>
          <w:rtl w:val="true"/>
          <w:lang w:bidi="fa-IR"/>
        </w:rPr>
        <w:t>...)</w:t>
      </w:r>
    </w:p>
    <w:p>
      <w:pPr>
        <w:pStyle w:val="BookText"/>
        <w:rPr/>
      </w:pPr>
      <w:r>
        <w:rPr>
          <w:rStyle w:val="FootnoteAnchor"/>
          <w:rtl w:val="true"/>
        </w:rPr>
        <w:footnoteReference w:id="561"/>
      </w:r>
      <w:r>
        <w:rPr>
          <w:rFonts w:ascii="IRNazanin" w:hAnsi="IRNazanin" w:eastAsia="IRNazanin"/>
          <w:color w:val="111111"/>
          <w:sz w:val="28"/>
          <w:sz w:val="28"/>
          <w:szCs w:val="28"/>
          <w:rtl w:val="true"/>
          <w:lang w:bidi="fa-IR"/>
        </w:rPr>
        <w:t>إلی آخره،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w:t>
      </w:r>
    </w:p>
    <w:p>
      <w:pPr>
        <w:pStyle w:val="BookText"/>
        <w:rPr/>
      </w:pPr>
      <w:r>
        <w:rPr>
          <w:rStyle w:val="FootnoteAnchor"/>
          <w:rtl w:val="true"/>
        </w:rPr>
        <w:footnoteReference w:id="562"/>
      </w:r>
      <w:r>
        <w:rPr>
          <w:rFonts w:ascii="IRNazanin" w:hAnsi="IRNazanin" w:eastAsia="IRNazanin"/>
          <w:color w:val="111111"/>
          <w:sz w:val="28"/>
          <w:sz w:val="28"/>
          <w:szCs w:val="28"/>
          <w:rtl w:val="true"/>
          <w:lang w:bidi="fa-IR"/>
        </w:rPr>
        <w:t>، و نحو ذلک من التعبیرات فی المتفاهم العرفی، اعتبارُ حدوث الشکّ بعد الفراغ من المشکوک، فلو شکّ فی أنّه هل توضّأ أم لا؟ قبل الشروع فی الصلاة، لا یجوز له الدخول فیها؛ لعدم جریان قاعدة التجاوز حینئذٍ بالنسبة إلی الصلاة و یتفرّع علی ذلک 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شکّ قبل الدخول فی الصلاة فی أنّه توضّأ أو لا، فهو مجری استصحاب الحدث، و لو غفل عنه و صلّی بعد الالتفات إلی الشکّ، فهو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یحتمل مع ذلک بعد الصلاة أن یکون قد توضّأ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یحتمل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جریان قاعدة التجاوز بالنسبة إلی الصلاة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المحکّم فیها الاستصحاب الجاری قبل العمل، دون قاعدة التجاوز؛ لعدم حکومة القاعدة علی الاستصحاب الجاری قبل الصلاة، بل علی الجاری بعده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لا یجری الاستصحاب قبل العمل؛ أی حال الغفلة مطلقاً؛ لأنّ الظاهر من</w:t>
      </w:r>
    </w:p>
    <w:p>
      <w:pPr>
        <w:pStyle w:val="BookText"/>
        <w:rPr/>
      </w:pPr>
      <w:r>
        <w:rPr>
          <w:rFonts w:ascii="IRNazanin" w:hAnsi="IRNazanin" w:eastAsia="IRNazanin"/>
          <w:color w:val="111111"/>
          <w:sz w:val="28"/>
          <w:sz w:val="28"/>
          <w:szCs w:val="28"/>
          <w:rtl w:val="true"/>
          <w:lang w:bidi="fa-IR"/>
        </w:rPr>
        <w:t>الیقین و الشکّ المعتبرین فی الاستصحاب الفعلیّان منها، و الغافل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بعد العمل فهو محکوم قاعدة التجاوز، فهو مورد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لا یجری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الحدث و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المحکّم فیه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جریان قاعدة التجاوز فلعدم حدوث الشکّ بعد العمل، بل هو بقاء ما حدث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جریان استصحاب الحدث فلعدم فعلیّة الیقین و الشکّ فیه، کما تقدّم؟</w:t>
      </w:r>
    </w:p>
    <w:p>
      <w:pPr>
        <w:pStyle w:val="BookText"/>
        <w:rPr/>
      </w:pPr>
      <w:r>
        <w:rPr>
          <w:rFonts w:ascii="IRNazanin" w:hAnsi="IRNazanin" w:eastAsia="IRNazanin"/>
          <w:color w:val="111111"/>
          <w:sz w:val="28"/>
          <w:sz w:val="28"/>
          <w:szCs w:val="28"/>
          <w:rtl w:val="true"/>
          <w:lang w:bidi="fa-IR"/>
        </w:rPr>
        <w:t>وجوه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الذهول عن الشی‌ء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الذهول عن الشی‌ء بالکلّیة؛ بحیث یخرج عن خزانة النفس أیضاً، و لا یلتفت مع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کذلک، بل هو موجود فی خزانة النفس؛ بحیث یلتفت إلیه و یتذکّر بأدنی 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مجال لجریان الاستصحاب فیه قبل العمل، فالمحکّم حینئذٍ هو قاعدة التجاوز؛ لصدق حدوث الشکّ بعد الصلاة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استصحاب الحدث؛ لوجود الیقین و الشکّ فی خزانة ذهنه، غایة الأمر أنّه غافل عنهما فی الجملة، یرفع غفلته بأدنی تنبیه، نظیر الاعتقادات التی یصیر الإنسان بها مسلماً، فإنّه لا تضرّ غفلته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إسلامه مع بقائها فی خزانة ذهنه، کما فی حال النوم</w:t>
      </w:r>
      <w:r>
        <w:rPr>
          <w:rFonts w:eastAsia="IRNazanin" w:cs="IRNazanin"/>
          <w:color w:val="111111"/>
          <w:sz w:val="28"/>
          <w:szCs w:val="28"/>
          <w:rtl w:val="true"/>
          <w:lang w:bidi="fa-IR"/>
        </w:rPr>
        <w:t>.</w:t>
      </w:r>
      <w:bookmarkStart w:id="495" w:name="pg12898_148157"/>
    </w:p>
    <w:p>
      <w:pPr>
        <w:pStyle w:val="Heading6"/>
        <w:numPr>
          <w:ilvl w:val="5"/>
          <w:numId w:val="1"/>
        </w:numPr>
        <w:rPr/>
      </w:pPr>
      <w:bookmarkStart w:id="496" w:name="__RefHeading___Toc3235032_3224264995"/>
      <w:bookmarkStart w:id="497" w:name="_Toc185"/>
      <w:bookmarkEnd w:id="495"/>
      <w:bookmarkEnd w:id="496"/>
      <w:r>
        <w:rPr>
          <w:rtl w:val="true"/>
        </w:rPr>
        <w:t>التنبیه الثانی</w:t>
      </w:r>
      <w:r>
        <w:rPr>
          <w:rtl w:val="true"/>
        </w:rPr>
        <w:t xml:space="preserve">: </w:t>
      </w:r>
      <w:r>
        <w:rPr>
          <w:rtl w:val="true"/>
        </w:rPr>
        <w:t>وجه تقدّم قاعدة التجاوز علی الاستصحاب</w:t>
      </w:r>
      <w:bookmarkEnd w:id="49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بأنّها أمارة أو أصل مُحرِز تعبّدیّ، حکم فیها بإلغاء الشکّ، فلا إشکال فی حکومتها علیه؛ لأخذ الشکّ فی موضوع الاستصحاب، و مفاد القاعدة إلغاء الشکّ، فینفی موضوعه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بأنّها أصل تعبّدیّ صِرف، و الشکّ مأخوذ فی موضوعها، لکن حکم فیها بعدم اعتباره، فتقدّمها علیه حینئذٍ لیس بنحو الحکومة؛ لحفظ الشکّ فی موردها، بل تقدّمها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بتخصیص أدلّة الاستصحاب بأدلّتها؛ لأنّ أدلّتها أخصّ بحسب المورد مطلقاً من الاستصحاب، و إمّا من جهة استلزام عدم تقدّمها علیه لَغْویّة القاعدة أو ما هو کاللّغویّة؛ لندرة موردٍ لا یجری فیه الاستصحاب فی موارد جریان القاعدة؛ بحیث یکون حمل تلک الإطلاقات علی قاعدة التجاوز، حملًا علی الموارد النادرة و مستهجناً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 لا إشکال فی تقدّم القاعدة علی الاستصحاب، و یدلّ علیه حکم الإمام علیه السلام بها فی الموارد التی یجری فیها الاستصحاب، مثل الشکّ فی الأذان و الإقامة</w:t>
      </w:r>
      <w:r>
        <w:rPr>
          <w:rStyle w:val="FootnoteAnchor"/>
          <w:rtl w:val="true"/>
        </w:rPr>
        <w:footnoteReference w:id="564"/>
      </w:r>
      <w:r>
        <w:rPr>
          <w:rFonts w:ascii="IRNazanin" w:hAnsi="IRNazanin" w:eastAsia="IRNazanin"/>
          <w:color w:val="111111"/>
          <w:sz w:val="28"/>
          <w:sz w:val="28"/>
          <w:szCs w:val="28"/>
          <w:rtl w:val="true"/>
          <w:lang w:bidi="fa-IR"/>
        </w:rPr>
        <w:t>، أو فی أکثر موارده مع جریان استصحاب عدم الإتیان بهما، إلّا أن یقال بعدم حجّیّة الاستصحاب فی العدمیّات، و لکن التحقیق وفاقاً للأعلام خلافه</w:t>
      </w:r>
      <w:r>
        <w:rPr>
          <w:rFonts w:eastAsia="IRNazanin" w:cs="IRNazanin"/>
          <w:color w:val="111111"/>
          <w:sz w:val="28"/>
          <w:szCs w:val="28"/>
          <w:rtl w:val="true"/>
          <w:lang w:bidi="fa-IR"/>
        </w:rPr>
        <w:t>.</w:t>
      </w:r>
      <w:bookmarkStart w:id="498" w:name="pg12898_148159"/>
    </w:p>
    <w:p>
      <w:pPr>
        <w:pStyle w:val="Heading5"/>
        <w:numPr>
          <w:ilvl w:val="4"/>
          <w:numId w:val="1"/>
        </w:numPr>
        <w:rPr/>
      </w:pPr>
      <w:bookmarkStart w:id="499" w:name="__RefHeading___Toc3235034_3224264995"/>
      <w:bookmarkStart w:id="500" w:name="_Toc186"/>
      <w:bookmarkEnd w:id="498"/>
      <w:bookmarkEnd w:id="499"/>
      <w:r>
        <w:rPr>
          <w:rtl w:val="true"/>
        </w:rPr>
        <w:t>المبحث الثالث حال الاستصحاب مع أصالة الصحّة فی فعل الغیر</w:t>
      </w:r>
      <w:bookmarkEnd w:id="500"/>
    </w:p>
    <w:p>
      <w:pPr>
        <w:pStyle w:val="Heading6"/>
        <w:numPr>
          <w:ilvl w:val="5"/>
          <w:numId w:val="1"/>
        </w:numPr>
        <w:rPr/>
      </w:pPr>
      <w:bookmarkStart w:id="501" w:name="__RefHeading___Toc3235036_3224264995"/>
      <w:bookmarkStart w:id="502" w:name="_Toc187"/>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و من القواعد المتقدّمة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ریب و إشکال و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فی فعل الغیر و إن اختلفوا فی وجه تقدّمها علیه</w:t>
      </w:r>
      <w:r>
        <w:rPr>
          <w:rStyle w:val="FootnoteAnchor"/>
          <w:rtl w:val="true"/>
        </w:rPr>
        <w:footnoteReference w:id="565"/>
      </w:r>
      <w:r>
        <w:rPr>
          <w:rFonts w:ascii="IRNazanin" w:hAnsi="IRNazanin" w:eastAsia="IRNazanin"/>
          <w:color w:val="111111"/>
          <w:sz w:val="28"/>
          <w:sz w:val="28"/>
          <w:szCs w:val="28"/>
          <w:rtl w:val="true"/>
          <w:lang w:bidi="fa-IR"/>
        </w:rPr>
        <w:t>، و حیث إنّها من القواعد المهمّة التی یترتّب علیها آثار مهمّة، لا بأس بتفصیل الکلام فی الجهات المبحوث عنها فیها؛ تبعاً للأعلام، و هی امور</w:t>
      </w:r>
      <w:r>
        <w:rPr>
          <w:rFonts w:eastAsia="IRNazanin" w:cs="IRNazanin"/>
          <w:color w:val="111111"/>
          <w:sz w:val="28"/>
          <w:szCs w:val="28"/>
          <w:rtl w:val="true"/>
          <w:lang w:bidi="fa-IR"/>
        </w:rPr>
        <w:t>:</w:t>
      </w:r>
    </w:p>
    <w:p>
      <w:pPr>
        <w:pStyle w:val="Heading6"/>
        <w:numPr>
          <w:ilvl w:val="5"/>
          <w:numId w:val="1"/>
        </w:numPr>
        <w:rPr/>
      </w:pPr>
      <w:bookmarkStart w:id="503" w:name="__RefHeading___Toc3235038_3224264995"/>
      <w:bookmarkStart w:id="504" w:name="_Toc188"/>
      <w:bookmarkEnd w:id="503"/>
      <w:r>
        <w:rPr>
          <w:rtl w:val="true"/>
        </w:rPr>
        <w:t>الأمر الأوّل</w:t>
      </w:r>
      <w:r>
        <w:rPr>
          <w:rtl w:val="true"/>
        </w:rPr>
        <w:t xml:space="preserve">: </w:t>
      </w:r>
      <w:r>
        <w:rPr>
          <w:rtl w:val="true"/>
        </w:rPr>
        <w:t>فی دلیل اعتبارها</w:t>
      </w:r>
      <w:bookmarkEnd w:id="504"/>
    </w:p>
    <w:p>
      <w:pPr>
        <w:pStyle w:val="BookText"/>
        <w:rPr/>
      </w:pPr>
      <w:r>
        <w:rPr>
          <w:rFonts w:ascii="IRNazanin" w:hAnsi="IRNazanin" w:eastAsia="IRNazanin"/>
          <w:color w:val="111111"/>
          <w:sz w:val="28"/>
          <w:sz w:val="28"/>
          <w:szCs w:val="28"/>
          <w:rtl w:val="true"/>
          <w:lang w:bidi="fa-IR"/>
        </w:rPr>
        <w:t>و استدلّ لها الشیخ الأعظم قدس سره بالآیات و الأخبار و الإجماع و العقل</w:t>
      </w:r>
      <w:r>
        <w:rPr>
          <w:rStyle w:val="FootnoteAnchor"/>
          <w:rtl w:val="true"/>
        </w:rPr>
        <w:footnoteReference w:id="566"/>
      </w:r>
      <w:r>
        <w:rPr>
          <w:rFonts w:ascii="Amiri" w:hAnsi="Amiri" w:eastAsia="Amiri" w:cs="Amiri"/>
          <w:color w:val="111111"/>
          <w:sz w:val="28"/>
          <w:sz w:val="28"/>
          <w:szCs w:val="28"/>
          <w:rtl w:val="true"/>
          <w:lang w:bidi="ar-SA"/>
        </w:rPr>
        <w:t>،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و نحوها</w:t>
      </w:r>
      <w:r>
        <w:rPr>
          <w:rStyle w:val="FootnoteAnchor"/>
          <w:rtl w:val="true"/>
        </w:rPr>
        <w:footnoteReference w:id="568"/>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w:t>
      </w:r>
    </w:p>
    <w:p>
      <w:pPr>
        <w:pStyle w:val="BookText"/>
        <w:rPr/>
      </w:pPr>
      <w:r>
        <w:rPr>
          <w:rFonts w:ascii="IRNazanin" w:hAnsi="IRNazanin" w:eastAsia="IRNazanin"/>
          <w:color w:val="111111"/>
          <w:sz w:val="28"/>
          <w:sz w:val="28"/>
          <w:szCs w:val="28"/>
          <w:rtl w:val="true"/>
          <w:lang w:bidi="fa-IR"/>
        </w:rPr>
        <w:t>أحسنه</w:t>
      </w:r>
      <w:r>
        <w:rPr>
          <w:rFonts w:eastAsia="IRNazanin" w:cs="IRNazanin"/>
          <w:color w:val="111111"/>
          <w:sz w:val="28"/>
          <w:szCs w:val="28"/>
          <w:rtl w:val="true"/>
          <w:lang w:bidi="fa-IR"/>
        </w:rPr>
        <w:t>)</w:t>
      </w:r>
    </w:p>
    <w:p>
      <w:pPr>
        <w:pStyle w:val="BookText"/>
        <w:rPr/>
      </w:pPr>
      <w:r>
        <w:rPr>
          <w:rStyle w:val="FootnoteAnchor"/>
          <w:rtl w:val="true"/>
        </w:rPr>
        <w:footnoteReference w:id="569"/>
      </w:r>
      <w:r>
        <w:rPr>
          <w:rFonts w:ascii="IRNazanin" w:hAnsi="IRNazanin" w:eastAsia="IRNazanin"/>
          <w:color w:val="111111"/>
          <w:sz w:val="28"/>
          <w:sz w:val="28"/>
          <w:szCs w:val="28"/>
          <w:rtl w:val="true"/>
          <w:lang w:bidi="fa-IR"/>
        </w:rPr>
        <w:t>، لکن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قدس سره</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الآیات و الروایات علی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فذکر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انعقد فی مورد جزئیّ خاصّ، فلا یصحّ الاستدلال به علی مورد آخر مختلف فیه، و إن کان منعقداً علی الکلّی صحّ الاستدلال به فی المقام و لو فی مورد الاختلاف، و الإجماع علی تلک القاعدة من قبیل الثانی</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متّفق علیها من العقلاء المسلمین منهم و غیرهم المنتحلین بالإسلام و غیرهم، فإنّها مثل العمل بخبر الثقة و قاعدة الید و نحوهما؛ ممّا استقرّ بناء کافّة العقلاء علیه، و لذا یوکّلون الغیر فی أعمالهم و أفعالهم، و یبنون علی صحّة ما یأتی به الوکیل، و المسلم و غیره سواء فی ذلک، و الاستدلال بالإجماع إنّما هو فی مورد لیس فیه دلیل من نصّ أو ظاهر أو بناء عقلائی، و لا ملازمات یمکن استناد القائلین علیها، و ما نحن فیه لیس کذلک؛ لما تقدّم من استقرار سیرة العقلاء بما هم عقلاء علیها، بل السیرة فیها أسدّ و أتقن من سیرتهم علی العمل بخبر الثقة و نحوه؛ لاستقرارها بینهم فی جمیع الأعصار و الأمصار، حتّی فی عصر النبیّ صلی الله علیه و آله و سلم و الأئمة علیهم السلام، و لذا کانوا یصلّون علی الأموات بعد تغسیل غیرهم لهم، و لو لا هذه القاعدة و الحمل علی الصحّة، لزم عدم جواز الصلاة علی الأموات فی کثیر من الموارد التی لم یعلم صحّة تغسیل الغیر لهم، و لذا لا ریب فی سقوط الواجب الکفائی من الجمیع بمجرّد قیام واحد علی فعله، و لو لا أصالة الصحّة لم یسقط عنهم بمجرّد ذلک، بل</w:t>
      </w:r>
      <w:bookmarkStart w:id="505" w:name="pg12898_148161"/>
    </w:p>
    <w:p>
      <w:pPr>
        <w:pStyle w:val="BookText"/>
        <w:rPr/>
      </w:pPr>
      <w:bookmarkEnd w:id="505"/>
      <w:r>
        <w:rPr>
          <w:rFonts w:ascii="IRNazanin" w:hAnsi="IRNazanin" w:eastAsia="IRNazanin"/>
          <w:color w:val="111111"/>
          <w:sz w:val="28"/>
          <w:sz w:val="28"/>
          <w:szCs w:val="28"/>
          <w:rtl w:val="true"/>
          <w:lang w:bidi="fa-IR"/>
        </w:rPr>
        <w:t>لا بدّ من تحصیل العلم بها، و کذلک استئجار الغیر للحجّ و نحوه، و کذلک الروایات الواردة فی الحَثّ علی صلاة الجمعة و الجماعة، مع احتمال بطلان صلاة الإمام من جهات شتّی، و کذا توکیل الأئمّة علیهم السلام فی المعاملات، مثل قضیّة عروة البارقی</w:t>
      </w:r>
      <w:r>
        <w:rPr>
          <w:rStyle w:val="FootnoteAnchor"/>
          <w:rtl w:val="true"/>
        </w:rPr>
        <w:footnoteReference w:id="57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ذلک کلّه یقتضی حصول القطع بذلک فی الجملة و إن لم یثبت عموم أو إطلاق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الصحّة فی فعل الغیر لیست أصلًا مستقلّاً برأسه، بل هی من أقسام أصالة الصحّة، و قاعدة الفراغ فی الأفعال السابقة أعمّ من الصادرة منه أو من غیره، و أنّ ملاکها هو ملاکها بعینه، و الأدلّة اللّفظیّة تعمّها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فاسد، فإنّه لا دخل للفراغ من العمل فی أصالة الصحّة فی فعل الغیر، بل هی جاریة حال الاشتغال بالعمل أیضاً، و لذا یؤتمّ بالإمام بمجرّد الشروع فی الصلاة، بخلاف قاعدة الفراغ، فیظهر من ذلک اختلاف ملاکهما، و تقدّم أنّ قاعدة التجاوز شرعیّة لا عقلائیّة، بخلاف هذه، فإنّه لا شبهة فی أنّها عقلائیّة، و أنّه کالنار علی المنار، و الشمس فی رائعة النهار، و أنّه لیس لها دلیل لفظیّ یتمسّک بإطلاقه أو عمومه علیها</w:t>
      </w:r>
      <w:r>
        <w:rPr>
          <w:rFonts w:eastAsia="IRNazanin" w:cs="IRNazanin"/>
          <w:color w:val="111111"/>
          <w:sz w:val="28"/>
          <w:szCs w:val="28"/>
          <w:rtl w:val="true"/>
          <w:lang w:bidi="fa-IR"/>
        </w:rPr>
        <w:t>.</w:t>
      </w:r>
    </w:p>
    <w:p>
      <w:pPr>
        <w:pStyle w:val="Heading6"/>
        <w:numPr>
          <w:ilvl w:val="5"/>
          <w:numId w:val="1"/>
        </w:numPr>
        <w:rPr/>
      </w:pPr>
      <w:bookmarkStart w:id="506" w:name="__RefHeading___Toc3235040_3224264995"/>
      <w:bookmarkStart w:id="507" w:name="_Toc189"/>
      <w:bookmarkEnd w:id="506"/>
      <w:r>
        <w:rPr>
          <w:rtl w:val="true"/>
        </w:rPr>
        <w:t>الأمر الثانی</w:t>
      </w:r>
      <w:r>
        <w:rPr>
          <w:rtl w:val="true"/>
        </w:rPr>
        <w:t xml:space="preserve">: </w:t>
      </w:r>
      <w:r>
        <w:rPr>
          <w:rtl w:val="true"/>
        </w:rPr>
        <w:t>حول المراد من الصحّة</w:t>
      </w:r>
      <w:bookmarkEnd w:id="5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المراد من الصحّة هی الصحّة الواقعیّة، أو الصحّة عند الفاعل، فلو خالف اعتقاد الفاعل اجتهاداً أو تقلیداً؛ لاعتقاده فی کیفیّة العمل، لکن احتمل أنّه قد أتی به موافقاً للواقع، جرت فیه أصالة الصحّة علی الأوّل، دونه علی الثانی؟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السرّ فی بناء العقلاء علیها، هل هو ظهور کون المکلّف العاقل المرید للامتثال العالم بالأجزاء و شرائط العمل آتیاً به صحیحاً، فإنّ تعمّد الخلاف خلاف فرض کونه فی مقام الامتثال، و أمّا احتمال المخالفة سهواً أو غفلةً، فهو خلاف الأصل العقلائی، أو أنّ السرّ فی بنائهم علی الصحّة، إنّما هو لافتقارهم إلیها فی معاشهم بعد تمدّن البشر، فاستقرّ بناؤهم علیها تعبّداً حتّی صارت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المبنی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یراد بها الصحّة عند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ما هو الصحیح باعتقاده، إلّا بصحّة ادّعاء آخر، و هو جریان أصالة الصحّة فی الاعتقاد و الاجتهاد أیضاً، فمع جریان الأصلین المذکورین فی موارد الشکّ فی موافقة عمل الغیر للواقع و عدمه، یحکم بالصحّة و موافقته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جریان أصالة الصحّة فی الاعتقاد و الاجتهاد محلّ تأمّل، بل منع؛ لعدم بناء العقلاء علیها مع کثرة آراء العلماء و المجتهدین و اختلاف أنظارهم فی الأحکام، فتجب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بعضهم دون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دعواها فی بعض الموارد؛ لأجل خصوصیّات خارجیّة، مثل باب العقود و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المبنی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إحراز أنّ بناء العقلاء علیها لأجل ذلک، فالمراد هی الصحّة الواقعیّة؛ لأنّها مراد الجاعل للقوانین و الأحکام، و أمّا إذا لم یحرز هذا و لا ذاک، بل تردّد الأمر بین أن یکون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بناء العقلاء علی أصالة الصحّة فی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 ذاک، فلا بدّ من ملاحظة أنّ بنائهم، هل هو علی الصحّة الواقعیّة أو الصحّة عند الفاعل؟</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المقام صور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 موافقة الفاعل لنا فی الرأی و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 أو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508" w:name="pg12898_148163"/>
    </w:p>
    <w:p>
      <w:pPr>
        <w:pStyle w:val="BookText"/>
        <w:rPr/>
      </w:pPr>
      <w:bookmarkEnd w:id="508"/>
      <w:r>
        <w:rPr>
          <w:rFonts w:ascii="IRNazanin" w:hAnsi="IRNazanin" w:eastAsia="IRNazanin"/>
          <w:color w:val="111111"/>
          <w:sz w:val="28"/>
          <w:sz w:val="28"/>
          <w:szCs w:val="28"/>
          <w:rtl w:val="true"/>
          <w:lang w:bidi="fa-IR"/>
        </w:rPr>
        <w:t>شرائط العمل و أجزائه و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 مخالفته لَنا فیه، کما لو اعتقد الفاعل اشتراط العربیّة فی صیغة العقد، و اعتقدنا اشتراطه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عُلمت مخالفة اعتقاده لَنا، لکن لم یکن اعتقاده مضادّاً لاعتقادنا، کما لو اعتقد التخییر بین القصر و الإتمام فی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اعتقادنا وجوب القصر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 اعتقاده من حیث المخالفة و الموافقة لاعتقادنا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اختصاص أصالة الصحّة بالصورة الاولی؛ بداهة أنّ القدر المتیقّن من بناء العقلاء علیها هی الصورة الرابعة أیضاً؛ لبنائهم علیها فی معاملاتهم مع الیهود و النصاری، و کذا ائتمامهم بأئمّة الجماعات مع عدم إحراز موافقة رأیهم لهم فی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فلا إشکال فی عدم بنائهم علی الصحّة فیها، بل و کذا فی الصورة الثالثة؛ لعدم اعتنائهم باحتمال موافقة عملهم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جریانها فی الصورة الاولی و الرابعة یرفع اختلال النظام</w:t>
      </w:r>
      <w:r>
        <w:rPr>
          <w:rFonts w:eastAsia="IRNazanin" w:cs="IRNazanin"/>
          <w:color w:val="111111"/>
          <w:sz w:val="28"/>
          <w:szCs w:val="28"/>
          <w:rtl w:val="true"/>
          <w:lang w:bidi="fa-IR"/>
        </w:rPr>
        <w:t>.</w:t>
      </w:r>
    </w:p>
    <w:p>
      <w:pPr>
        <w:pStyle w:val="Heading6"/>
        <w:numPr>
          <w:ilvl w:val="5"/>
          <w:numId w:val="1"/>
        </w:numPr>
        <w:rPr/>
      </w:pPr>
      <w:bookmarkStart w:id="509" w:name="__RefHeading___Toc3235042_3224264995"/>
      <w:bookmarkStart w:id="510" w:name="_Toc190"/>
      <w:bookmarkEnd w:id="509"/>
      <w:r>
        <w:rPr>
          <w:rtl w:val="true"/>
        </w:rPr>
        <w:t>الأمر الثالث</w:t>
      </w:r>
      <w:r>
        <w:rPr>
          <w:rtl w:val="true"/>
        </w:rPr>
        <w:t xml:space="preserve">: </w:t>
      </w:r>
      <w:r>
        <w:rPr>
          <w:rtl w:val="true"/>
        </w:rPr>
        <w:t>حول أقسام الشکّ فی العمل و أحکامها</w:t>
      </w:r>
      <w:bookmarkEnd w:id="510"/>
    </w:p>
    <w:p>
      <w:pPr>
        <w:pStyle w:val="BookText"/>
        <w:rPr/>
      </w:pPr>
      <w:r>
        <w:rPr>
          <w:rFonts w:ascii="IRNazanin" w:hAnsi="IRNazanin" w:eastAsia="IRNazanin"/>
          <w:color w:val="111111"/>
          <w:sz w:val="28"/>
          <w:sz w:val="28"/>
          <w:szCs w:val="28"/>
          <w:rtl w:val="true"/>
          <w:lang w:bidi="fa-IR"/>
        </w:rPr>
        <w:t>یتصوّر الشکّ فی المعاملات و العبادات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فی وجود الجزء أو الشرط المقوّمین لها؛ بحیث لو لم یکن ذلک لم یصدق عنوان تلک المعاملة أو العبادة، کالبیع بلا ثمن، أو عدم کون البائع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فی سائر الأجزاء و الشرائط، بعد إحراز ما هو المقوِّم لها؛ و ما له دَخْل فی صدق الطبیعة علی المصداق الخارجی، و هو أیضاً علی أقسام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شرائط العوضین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تحقّق شرائط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شرائط المتعاملین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لو شکّ فی قابلیّة المبیع للنقل و الانتقال، کما لو شکّ فی أنّه خمر أو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لو شکّ فی اشتراط العربیّة، أو الماضویّة، أو تقدّم الإیجاب علی القبول بناء علی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لو شکّ فی بلوغ البائع بعد إحراز تمییزه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شکّ فی أنّه هل اشترط فیه الشرط الفاسد أو لا؛ بناءً علی مُفسدیّته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جریان أصالة الصحّة فی فعل الغیر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لو شکّ فی تحقّق الشرط أو الجزء المقوّمین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مرجعه إلی الشکّ فی انعقاد العقد و تحقّقه و عدمهما؛ لأنّه یعتبر فی جریانها إحراز تحقّق عنوان المعاملة فی الخارج، و المفروض عدم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لا تثمر وجود العقد و تحقّقه، بل هی لإحراز صحّة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الأقسام الاخر فذکر المیرزا النائینی قدس سره فی الأمر الأوّل من الامور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مبنی أصالة الصحّة هو الإجماع؛ حیث إنّه منعقد علی أمر کلّیّ، صحّ التمسّک بعمومه أو إطلاقه فی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باب العقود إجماعاً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الإجماع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جریان أصالة الصحّة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مجال لأصالة الصحّة فی شرائط العاقد و شرائط العوضین لو شکّ فیها،</w:t>
      </w:r>
    </w:p>
    <w:p>
      <w:pPr>
        <w:pStyle w:val="BookText"/>
        <w:rPr/>
      </w:pPr>
      <w:r>
        <w:rPr>
          <w:rFonts w:ascii="IRNazanin" w:hAnsi="IRNazanin" w:eastAsia="IRNazanin"/>
          <w:color w:val="111111"/>
          <w:sz w:val="28"/>
          <w:sz w:val="28"/>
          <w:szCs w:val="28"/>
          <w:rtl w:val="true"/>
          <w:lang w:bidi="fa-IR"/>
        </w:rPr>
        <w:t>بل مجراها الشکّ فی شرائط نفس العقد فقط، أو فیما لو شکّ فی اختیار العاقد و عدمه، أو تفاضل أحد العوضین فی الجنس الربوی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بالإجماع، و حیث إنّه لُبّیّ لا إطلاق فیه، فالقدر المتیقّن منه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شرائط المتعاملین أو العوضین قد اخذت فی عقد الوضع لأصالة الصحّة، فلا تجری مع الشکّ فیه</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لیست ممّا تصلح للاستدلال علیها بالإجماع، بعد بناء العقلاء قاطبة علیها، فإنّ الإجماع حینئذٍ لیس دلیلًا علی حِدة مضافاً إلی بناء العقلاء، و لیس لهم بما هم عقلاء ارتباط بالشرع؛ لتکون بعض القیود عندهم شرعیّة مأخوذة فی عقد الوضع لأصالة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لدعوی الإجماع الثانی فی المعاملات بعد تحقّق الإجماع الأوّل؛ لأنّه لیس إجماعاً آخر سوی الأوّل المنعقد علی الأمر الکلّی بزعمه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الإجماع الأوّل صالحاً و قابلًا لرفع الشکّ فی الموارد المشکوکة، فلا ضیر فی إهمال الثانی؛ لعدم الاحتیاج إلیه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شکّ فی اشتراط الشرط الفاسد فی العقد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اشترط فیه ما یخالف الکتاب و السُّنّة أو لا؟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باشتراط شرط فیه، لکنّه مردّد بین المفسد للعقد و عدمه، و هو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إمّا أنّه دائر بین الأقل و الأکثر، کما لو علم بأنّه اشترط الکتابة فی البیع، لکنّه لم یعلم أنّه شرط شرب الخمر أیضاً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دائر بین المتباینین، کما لو علم بأنّه اشترط فیه إمّا الکتابة، و إمّا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فیه هو استصحاب عدم اشتراط الشرط الفاسد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استصحاب للعدم الأزلی للشرط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یراد به إثبات عدم اشتراط العقد به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من المعلوم عدم إثباته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لیس من هذا القبیل؛ لأنّ الاشتراط فی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متدرِّجاً؛ لأنّه یقول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و اشترطت 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فی إیقاع البیع، و هو معلوم، و إنّما الشکّ فی تحقّق الشرط الفاسد بعده و عدمه، و الأصل عدمه،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صدوره منه لم یکن مقیّداً به، و یشکّ فی تقییده بالشرط و عدمه، فیستصحب عدمه، نظیر ما لو علم بدخوله فی الصلاة، ثمّ شکّ فی إیجاده المفسد لها أو لا، و لا یرد علیه 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لیس للمستصحب فی هذا الاستصحاب أثر شرعیّ؛ لأنّ الأثر المترتّب علی المعاملة التی لم یشترط فیها الشرط الفاسد هی الصحّة،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الآثار الشرعیّة، فلا مجال للاستصحاب المزبور، و حینئذٍ لا مانع من جریان أصالة الصحّة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المردّد بین الأقلّ و الأکثر، فالکلام بالنسبة إلی الشرط الزائد، هو الکلام المذکور فی الصورة السابقة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الشرط المردّد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لا یجری فیه</w:t>
      </w:r>
      <w:bookmarkStart w:id="511" w:name="pg12898_148167"/>
    </w:p>
    <w:p>
      <w:pPr>
        <w:pStyle w:val="BookText"/>
        <w:rPr/>
      </w:pPr>
      <w:bookmarkEnd w:id="511"/>
      <w:r>
        <w:rPr>
          <w:rFonts w:ascii="IRNazanin" w:hAnsi="IRNazanin" w:eastAsia="IRNazanin"/>
          <w:color w:val="111111"/>
          <w:sz w:val="28"/>
          <w:sz w:val="28"/>
          <w:szCs w:val="28"/>
          <w:rtl w:val="true"/>
          <w:lang w:bidi="fa-IR"/>
        </w:rPr>
        <w:t>الاستصحاب رأساً، أو یجری و یتعارض مع أصالة الصحّة و 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الصحّة جاریة فی جمیع الأقسام المتقدّمة سوی القسم الأوّل منها</w:t>
      </w:r>
      <w:r>
        <w:rPr>
          <w:rFonts w:eastAsia="IRNazanin" w:cs="IRNazanin"/>
          <w:color w:val="111111"/>
          <w:sz w:val="28"/>
          <w:szCs w:val="28"/>
          <w:rtl w:val="true"/>
          <w:lang w:bidi="fa-IR"/>
        </w:rPr>
        <w:t>.</w:t>
      </w:r>
    </w:p>
    <w:p>
      <w:pPr>
        <w:pStyle w:val="Heading6"/>
        <w:numPr>
          <w:ilvl w:val="5"/>
          <w:numId w:val="1"/>
        </w:numPr>
        <w:rPr/>
      </w:pPr>
      <w:bookmarkStart w:id="512" w:name="__RefHeading___Toc3235044_3224264995"/>
      <w:bookmarkStart w:id="513" w:name="_Toc191"/>
      <w:bookmarkEnd w:id="512"/>
      <w:r>
        <w:rPr>
          <w:rtl w:val="true"/>
        </w:rPr>
        <w:t>الأمر الرابع</w:t>
      </w:r>
      <w:r>
        <w:rPr>
          <w:rtl w:val="true"/>
        </w:rPr>
        <w:t xml:space="preserve">: </w:t>
      </w:r>
      <w:r>
        <w:rPr>
          <w:rtl w:val="true"/>
        </w:rPr>
        <w:t>اختصاص القاعدة بما إذا شکّ فی تحقّق الشی‌ء صحیحاً</w:t>
      </w:r>
      <w:bookmarkEnd w:id="513"/>
    </w:p>
    <w:p>
      <w:pPr>
        <w:pStyle w:val="Heading6"/>
        <w:numPr>
          <w:ilvl w:val="5"/>
          <w:numId w:val="1"/>
        </w:numPr>
        <w:rPr/>
      </w:pPr>
      <w:bookmarkStart w:id="514" w:name="__RefHeading___Toc3235046_3224264995"/>
      <w:bookmarkStart w:id="515" w:name="_Toc192"/>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إنّ بناء العقلاء علی الصحّة فی عمل الغیر، إنّما هو فیما إذا شُکّ فی صحّة العمل الصادر من الغیر، و أمّا لو عُلم بصدور العمل منه صحیحاً حین صدوره منه، لکن شکّ فی عروض المفسد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وجوده و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فلیس بنائهم علی جریانها فیه، کما لو شکّ فی عروض الریاء أو العُجْب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إفساد الریاء بعد العمل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فالمحکّم هو سائر القواعد و الاصول، لا أصالة الصحّة، و کذا لو شکّ فی لحوق القبول بالإیجاب الذی صدر صحیحاً من البائع و غیره، أو شکّ فی لحوق الإجازة للعقد الفضولی، أو التقابض فی المجلس فی الصرف و السلم، و نحو ذلک، فإنّ أصالة الصحّة فی هذه لا تقتضی لحوق القبول و الإجازة و التقابض فی المجلس؛ لأنّ الصحّة فی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الشیخ الأعظم قدس سره</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الصحّة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کونه بحیث لو تعقّبه القبول ترتّب علیه أثر النقل و الانتقال، و کذلک فی العقد الفضولی لو شکّ فی لحوق الإجازة به، فالصحّة فی أمثال ذلک عبارة عن الصحّة التأهّلیّة، و لا دَخْل للحوق القبول و الإجازة فیها، بل هما من متمّمات سبب الانتقال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بعض أمثلة الشیخ الأعظم قدس سره لا یخلو عن الإشکال، فإنّه قدس سره ذکر فی الأمر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المحقّق الثانی قدس سره</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بلوغ أحد المتعاقدین فهو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صادراً منه فقط بنحو الاستقلال، کالوقف و الطلاق و نحوهما من الإیقاعیّات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یصدر منه لا بنحو الاستقلال فی العمل، کالبیع و نحوه من المعاملات التی تفتقر فی تحقّقها إلی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الصحّة لا تجری فی الأوّل دون الثانی، فلو کان الشکّ فی صحّة المعاملة و فسادها، ناشئاً عن الشکّ فی بلوغ أحد المتعاقدین مع العلم ببلوغ الآخر، فإنّها و إن لم تجرِ بالنسبة إلی فعل المشکوک بلوغه، لکنّها جاریة فی فعل الآخر المعلوم بلوغه، المستلزمة لصحّة فعل المشکوک بلوغه، فیترتّب علیه آثار المعاملة الصحیحة</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منافٍ لما ذکره فی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صحّة کلّ شی‌ء بحسبه، مثلًا صحّة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کونه بحیث لو تعقّبه القبول لترتّب علیه النقل و الانتقال، فلو تجرّد الإیجاب عن القبول فهو لا یوجب عدم صحّة الإیجاب، فإنّه معتبر فی العقد، لا فی الإیجاب، و غیر ذلک ممّا تقدّم من الأمثلة، فإنّ مقتضی ذلک عدم استلزام صحّة کلٍّ من الإیجاب و القبول لصحّة الآخر، فإنّه لو استلزم عدم لحوق القبول أو فساده فساد الایجاب للزوم لغویته فالعکس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القبول بدون تقدّم الإیجاب أو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باللغویة و الفساد، مع أنّه لا معنی لأصالة الصحّة فی الطرف الآخر و هو البالغ؛ لعدم الشکّ فی صحّة فعله، و لا یُراد جریانها فی نفس المعاملة أیضاً،</w:t>
      </w:r>
      <w:bookmarkStart w:id="516" w:name="pg12898_148169"/>
    </w:p>
    <w:p>
      <w:pPr>
        <w:pStyle w:val="BookText"/>
        <w:rPr/>
      </w:pPr>
      <w:bookmarkEnd w:id="516"/>
      <w:r>
        <w:rPr>
          <w:rFonts w:ascii="IRNazanin" w:hAnsi="IRNazanin" w:eastAsia="IRNazanin"/>
          <w:color w:val="111111"/>
          <w:sz w:val="28"/>
          <w:sz w:val="28"/>
          <w:szCs w:val="28"/>
          <w:rtl w:val="true"/>
          <w:lang w:bidi="fa-IR"/>
        </w:rPr>
        <w:t>و أمّا فی فعل المشکوک بلوغه، فصرّح هو قدس سره بعدم جریان أصالة الصحّة فیه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دفع به المیرزا النائینی قدس سره التنافی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إنّما هو فیما إذا توقّف صحّة فعل أحد الطرفین علی صحّة فعل الآخر، و ما منع عنه فی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أصالة الصحّة فی فعل أحد الطرفین، لا تثبت صدور أصل الفعل من الآخر مع عدم توقّفه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بفارق</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3235048_3224264995"/>
      <w:bookmarkStart w:id="518" w:name="_Toc193"/>
      <w:bookmarkEnd w:id="517"/>
      <w:r>
        <w:rPr>
          <w:rtl w:val="true"/>
        </w:rPr>
        <w:t>تذنیب</w:t>
      </w:r>
      <w:r>
        <w:rPr>
          <w:rtl w:val="true"/>
        </w:rPr>
        <w:t xml:space="preserve">: </w:t>
      </w:r>
      <w:r>
        <w:rPr>
          <w:rtl w:val="true"/>
        </w:rPr>
        <w:t>حول الشکّ فی صحّة بیع العین الموقوفة</w:t>
      </w:r>
      <w:bookmarkEnd w:id="518"/>
    </w:p>
    <w:p>
      <w:pPr>
        <w:pStyle w:val="Heading6"/>
        <w:numPr>
          <w:ilvl w:val="5"/>
          <w:numId w:val="1"/>
        </w:numPr>
        <w:rPr/>
      </w:pPr>
      <w:bookmarkStart w:id="519" w:name="__RefHeading___Toc3235050_3224264995"/>
      <w:bookmarkStart w:id="520" w:name="_Toc194"/>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ثمّ إنّه لو شکّ فی صحّة بیع العین الموقوفة من المتولّی علی الوقف أو الناظر؛ من جهة الشکّ فی عروض الجهة المسوِّغة لبیعه و عدمه، فذکر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أولی بعدم جریان أصالة الصحّة ممّا تقدّم؛ لأنّ هذا العقد لو خُلّی و طبعه فاسد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الأمثلة المتقدّمة ممّا تتّصف بالصحّة التأهّلیّة، مع عدم وجود ما یشکّ معه فی صحّته، بخلاف بیع الوقف، فإنّه إمّا أن یقع مصاحباً للصحّة الفعلیّة أو فاسداً</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فی وجه الأولویّة فهو انّما یصلح لجریان أصالة الصحّة فیه؛ و ذلک لأنّه یرد علی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تفریع بیع الوقف علی الأمثلة المتقدّمة غیر وجیه؛ للفرق بینهما، فإنّ أصالة الصحّة فی نفس الإیجاب و إن کانت جاریة، لکنّها لا تفید ترتّب النقل و الانتقال و إثبات صحّة البیع؛ لأنّه مع الشکّ فی وجود القبول یشکّ فی تحقّق البیع و عدمه، و معه لا معنی لجریان أصالة الصحّة، و بیع الوقف لیس کذلک؛</w:t>
      </w:r>
    </w:p>
    <w:p>
      <w:pPr>
        <w:pStyle w:val="BookText"/>
        <w:rPr/>
      </w:pPr>
      <w:r>
        <w:rPr>
          <w:rFonts w:ascii="IRNazanin" w:hAnsi="IRNazanin" w:eastAsia="IRNazanin"/>
          <w:color w:val="111111"/>
          <w:sz w:val="28"/>
          <w:sz w:val="28"/>
          <w:szCs w:val="28"/>
          <w:rtl w:val="true"/>
          <w:lang w:bidi="fa-IR"/>
        </w:rPr>
        <w:t>لعدم اتّصافه بالصحّة التأهّلیّة؛ بأن یتوقّف ترتّب الأثر علیه علی أمر آخر، فأمره دائر بین وقوعه صحیحاً فعلیّاً، ترتّب علیه الأثر، و بین وقوعه فاسداً بالکلّیّة لا یترتّب علیه أثر، نظیر الشکّ فی صحّة البیع من جهة الشکّ فی سائر الشرائط، فإنّ اختلاف ما هو منشأ الشکّ لا یصلح للفارقیّة، و مجرّد وجود المقتضی للبطلان فیه لا یمنع عن جریان أصالة الصحّة؛ لعدم اشتراط أصالة الصحّة بعدم وجود المقتضی للبطلان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أصالة الصحّة و إن کانت جاریة فیه، إلّا أنّ هنا أصلًا موضوعیّاً حاکماً علیها، و هو استصحاب عدم عروض المسوِّغ لبیعه؛ للشکّ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الصحّة أمارة عقلائیّة أمضاها الشارع، فقیامها و جریانها فی المسبّب رافع للشکّ فی السبب أیضاً، کما لو قامت البیّنة علی صحّة هذا البیع، فإنّه لا مجال معها لجریان استصحاب عدم المسوِّغ؛ أی السبب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أصل عقلائیّ، فلیس هذا المورد مورد دعوی حکومة دلیل الاستصحاب علی دلیل أصالة الصحّة؛ 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الحکومة تحتاج إلی لسان و دلیل لفظیّ، و دلیل أصالة الصحّة لبّیّ هو بناء العقلاء، بل المورد مورد دعوی صلاحیّة الاستصحاب للرادعیّة</w:t>
      </w:r>
      <w:r>
        <w:rPr>
          <w:rStyle w:val="FootnoteAnchor"/>
          <w:rtl w:val="true"/>
        </w:rPr>
        <w:footnoteReference w:id="581"/>
      </w:r>
      <w:r>
        <w:rPr>
          <w:rFonts w:ascii="IRNazanin" w:hAnsi="IRNazanin" w:eastAsia="IRNazanin"/>
          <w:color w:val="111111"/>
          <w:sz w:val="28"/>
          <w:sz w:val="28"/>
          <w:szCs w:val="28"/>
          <w:rtl w:val="true"/>
          <w:lang w:bidi="fa-IR"/>
        </w:rPr>
        <w:t>عن بناء العقلاء، و هو غیر صالح لذلک؛ لاحتیاجها إلی بیان واضح، و إلّا ففی جمیع موارد أصالة الصحّة یوجد مثل هذا الاستصحاب</w:t>
      </w:r>
      <w:bookmarkStart w:id="521" w:name="pg12898_148171"/>
    </w:p>
    <w:p>
      <w:pPr>
        <w:pStyle w:val="BookText"/>
        <w:rPr/>
      </w:pPr>
      <w:bookmarkEnd w:id="521"/>
      <w:r>
        <w:rPr>
          <w:rFonts w:ascii="IRNazanin" w:hAnsi="IRNazanin" w:eastAsia="IRNazanin"/>
          <w:color w:val="111111"/>
          <w:sz w:val="28"/>
          <w:sz w:val="28"/>
          <w:szCs w:val="28"/>
          <w:rtl w:val="true"/>
          <w:lang w:bidi="fa-IR"/>
        </w:rPr>
        <w:t>الموضوعی، مثل استصحاب عدم النقل و الانتقال، بل یرتفع الشکّ فی موارد جریان أصالة الصحّة عند العقلاء، مع أنّه یشرط فی الاستصحاب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المسوِّغ فی بیع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فی عقد الوضع لأصالة الصحّة، فلا بدّ من إحرازه فی جریانها، فقد تقدّم ما فیه</w:t>
      </w:r>
      <w:r>
        <w:rPr>
          <w:rFonts w:eastAsia="IRNazanin" w:cs="IRNazanin"/>
          <w:color w:val="111111"/>
          <w:sz w:val="28"/>
          <w:szCs w:val="28"/>
          <w:rtl w:val="true"/>
          <w:lang w:bidi="fa-IR"/>
        </w:rPr>
        <w:t>.</w:t>
      </w:r>
    </w:p>
    <w:p>
      <w:pPr>
        <w:pStyle w:val="Heading6"/>
        <w:numPr>
          <w:ilvl w:val="5"/>
          <w:numId w:val="1"/>
        </w:numPr>
        <w:rPr/>
      </w:pPr>
      <w:bookmarkStart w:id="522" w:name="__RefHeading___Toc3235052_3224264995"/>
      <w:bookmarkStart w:id="523" w:name="_Toc195"/>
      <w:bookmarkEnd w:id="522"/>
      <w:r>
        <w:rPr>
          <w:rtl w:val="true"/>
        </w:rPr>
        <w:t>نقل کلمات السیّد الطباطبائی قدس سره و ما فیها</w:t>
      </w:r>
      <w:bookmarkEnd w:id="523"/>
    </w:p>
    <w:p>
      <w:pPr>
        <w:pStyle w:val="BookText"/>
        <w:rPr/>
      </w:pPr>
      <w:r>
        <w:rPr>
          <w:rFonts w:ascii="IRNazanin" w:hAnsi="IRNazanin" w:eastAsia="IRNazanin"/>
          <w:color w:val="111111"/>
          <w:sz w:val="28"/>
          <w:sz w:val="28"/>
          <w:szCs w:val="28"/>
          <w:rtl w:val="true"/>
          <w:lang w:bidi="fa-IR"/>
        </w:rPr>
        <w:t xml:space="preserve">ثمّ إنّه قال السیّد قدس سره فی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المتولّی الموقوفُ علیه أو الناظر العینَ الموقوفة، و شکّ فی صحّة البیع و عدمها، فلا تجری فیه أصالة الصحّة، فهو نظیر ما لو باع غیرُ ذی الید ملک غیره بدعوی إذنه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المتولّی أو الناظر وجود المسوِّغ لبیعه و عروضه، لا یسمع منه، و یجوز للبطون اللّاحقة انتزاع العین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الاشتراء من الناظر أو المتولّی لو جعلها فی معرض البیع، و مجرّدُ دعواه عروض المسوِّغ، غیرُ مسموعة، و کونه ذا ید علیها لا یفید فی استماع دعواه فی تصرّفاته؛ لأنّ یده ید وقف، و تأثیر یده هو وجوب حفظ العین الموقوفة و مصالحها، لا إفناؤها، نظیر ید الوَدَعیّ، فإنّها مؤثّرة فی حفظ الودیعة و نحوه، لا فی إفنائها، و حینئذٍ فلا بدّ من التمسّک بأصل آخر سوی أصالة الصحّة، و هو استصحاب عدم عروض المسوِّغ</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مسألة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العین الموقوفة فی 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یعامل معها معاملة الملکیّة، فشکّ فی صحّة البیع الذی انتقلت به إلیه، فهل تکون</w:t>
      </w:r>
    </w:p>
    <w:p>
      <w:pPr>
        <w:pStyle w:val="BookText"/>
        <w:rPr/>
      </w:pPr>
      <w:r>
        <w:rPr>
          <w:rFonts w:ascii="IRNazanin" w:hAnsi="IRNazanin" w:eastAsia="IRNazanin"/>
          <w:color w:val="111111"/>
          <w:sz w:val="28"/>
          <w:sz w:val="28"/>
          <w:szCs w:val="28"/>
          <w:rtl w:val="true"/>
          <w:lang w:bidi="fa-IR"/>
        </w:rPr>
        <w:t>یده غاصبة فتجب علیه إقامة البیّنة، أو مالکیّة، فلا بدّ أن یقیم مدّعی البقاء علی الوقفیّة البیّنة؟ الأقوی الثانی</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فی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لیست له یدٌ، بل یده ید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من جانب الواقف أو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ید علیه فی جمیع شئونه و مصالحه من الإجارة و غیرها، و منها بیعه عند عروض المسوِّغ له، فإنّه لم یقل أحد بوجوب تصدّی غیره لبیعه عند عروض المسوِّغ، و هو أیضاً معترف بذلک؛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الشراء منه لو علم بالمسوِّغ، و حینئذٍ فهو ذو یدٍ علیه؛ بمعنی أنّه مستولٍ علیه فی جمیع تصرّفاته السائغة له، و لا ینافیه عدم جواز بیعه عند عدم المسوِّغ، فإنّ مثله متحقّق فی الید المالکیّة أیضاً؛ حیث لا یجوز للمالک بیع ماله ربویّاً و نحوه، فکما أنّه لا یُنافی یده، کذلک فیما نحن فیه، فکما یحکم بصحّة بیع المالک فیما لو شکّ فی أنّه ربویّ أو لا؛ لأصالة الصحّة، فکذلک فیما نحن فیه؛ لما عرفت من عدم الفرق بینهما، إلّا باختلاف منشأ الشکّ، و هو لا یصلح للفارقیّة، فما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مثل بیع غیر ذی الید؛ بدعوی إذنه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یداً مستقلّة، بل هی ید الواقف، فإن أراد أنّه لیس المتولّی ذا یدٍ علی العین الموقوفة، و أنّ الواقف هو ذو الید، کما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مالکة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العقلاء للواقف یداً علی العین الموقوفة، و قد خرجت یده عنها بالوقف، فلیس هو ولیّ العین الموقوفة و غیره نائباً عنه، مضافاً إلی أنّه علی فرض تسلیم ذلک لو عرض المسوّغ لبیعها، فلا یصحّ أن یتصدّی الواقف له، بل یتصدیه غیره من طرفه، و هو 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یده علی العین الموقوفة مثل ید الوَدَعی،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دعوی لا دلیل علیها؛ لما عرفت أنّه مُستولٍ علی جمیع شئونها و تصرّفاتها، حتّی البیع عند المسوِّغ، بخلاف الوَدَعی، فإنّ یده لیست کذلک، و حینئذٍ فإذا کانت للعین الموقوفة حالتان، یجوز بیعهما فی إحداهما دون الاخری، و المفروض استیلاؤه علیها فی کلتا الحالتین، فلو باعها و شکّ فی ذاک البیع من جهة الشکّ فی وجود المسوِّغ، فلا مانع من جریان أصالة الصحّة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انتزاع البطون اللّاحقة لها من المشتری، فهو خلاف ما یقتضیه موازین القضاء، بل لا بدّ من رفع الأمر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المسألة الاخری، فظاهره ینافی ما أفاده فی المسألة الاولی؛ من جواز انتزاع البطون اللّاحقة لها من المشتری؛ لمنافاته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یده علی العین الموقوفة مع دعواه المالکیّة، فإنّه مع فرض العلم بکونها موقوفة سابقاً، فلا بدّ أن تکون ملکیّته لها لأجل شرائه لها من المتولّی بعد عروض المسوِّغ، فمع الشکّ فی عروضه لا مجال للحکم بالصحّة إلّا لقاعدة الصحّة، فلو فرض جریانها فی هذه الصورة فالمسألة الاولی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 المشتری علیها إن کانت أمارة علی الملکیّة هنا، فلتکن کذلک فی المسألة الاولی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المسألتین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الذی له ید علی العین، هو المشتری من المتولّی بلا واسطة، و هو غیر معلوم فی الثانیة؛ لاحتمال وقوع الوسائط فی البین، لکنّه لا یصلح فارقاً بینهما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تقدّم فی باب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بناء العقلاء علی أماریّة الید و اعتبارها؛ فیما لو کان لأحد یدٌ علی العین الموقوفة، و لم یعلم أنّها حصلت قبل زوال الوقفیّة أو بعدها،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من هذا القبیل، ففیما نحن فیه لیس فی العقد</w:t>
      </w:r>
      <w:bookmarkStart w:id="524" w:name="pg12898_148174"/>
    </w:p>
    <w:p>
      <w:pPr>
        <w:pStyle w:val="BookText"/>
        <w:rPr/>
      </w:pPr>
      <w:bookmarkEnd w:id="524"/>
      <w:r>
        <w:rPr>
          <w:rFonts w:ascii="IRNazanin" w:hAnsi="IRNazanin" w:eastAsia="IRNazanin"/>
          <w:color w:val="111111"/>
          <w:sz w:val="28"/>
          <w:sz w:val="28"/>
          <w:szCs w:val="28"/>
          <w:rtl w:val="true"/>
          <w:lang w:bidi="fa-IR"/>
        </w:rPr>
        <w:t>اقتضاء الصحّة، بل فیه اقتضاء الفساد، و لیس بناؤهم علی الصحّة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فرق بین المقام و بین ما تقدّم؛ حیث إنّه لا قصور لید المتولّی و استیلائه علی العین الموقوفة فی جمیع شئونها و التصرّفات و التقلّبات فیها، غایة الأمر أنّه ممنوع شرعاً عن بیعها مع عدم المسوِّغ، فالظاهر بناء العقلاء علی الصحّة هنا، بخلافه فیما تقدّم</w:t>
      </w:r>
      <w:r>
        <w:rPr>
          <w:rFonts w:eastAsia="IRNazanin" w:cs="IRNazanin"/>
          <w:color w:val="111111"/>
          <w:sz w:val="28"/>
          <w:szCs w:val="28"/>
          <w:rtl w:val="true"/>
          <w:lang w:bidi="fa-IR"/>
        </w:rPr>
        <w:t>.</w:t>
      </w:r>
    </w:p>
    <w:p>
      <w:pPr>
        <w:pStyle w:val="Heading6"/>
        <w:numPr>
          <w:ilvl w:val="5"/>
          <w:numId w:val="1"/>
        </w:numPr>
        <w:rPr/>
      </w:pPr>
      <w:bookmarkStart w:id="525" w:name="__RefHeading___Toc3235054_3224264995"/>
      <w:bookmarkStart w:id="526" w:name="_Toc196"/>
      <w:bookmarkEnd w:id="525"/>
      <w:r>
        <w:rPr>
          <w:rtl w:val="true"/>
        </w:rPr>
        <w:t>الأمر الخامس</w:t>
      </w:r>
      <w:r>
        <w:rPr>
          <w:rtl w:val="true"/>
        </w:rPr>
        <w:t xml:space="preserve">: </w:t>
      </w:r>
      <w:r>
        <w:rPr>
          <w:rtl w:val="true"/>
        </w:rPr>
        <w:t>اعتبار إحراز اصل العمل فی جریان أصالة الصحّة</w:t>
      </w:r>
      <w:bookmarkEnd w:id="526"/>
    </w:p>
    <w:p>
      <w:pPr>
        <w:pStyle w:val="BookText"/>
        <w:rPr/>
      </w:pPr>
      <w:r>
        <w:rPr>
          <w:rFonts w:ascii="IRNazanin" w:hAnsi="IRNazanin" w:eastAsia="IRNazanin"/>
          <w:color w:val="111111"/>
          <w:sz w:val="28"/>
          <w:sz w:val="28"/>
          <w:szCs w:val="28"/>
          <w:rtl w:val="true"/>
          <w:lang w:bidi="fa-IR"/>
        </w:rPr>
        <w:t>إنّما تجری أصالة الصحّة فی فعل الغیر لو عُلم أنّه أوجده و فعله بعنوانه؛ سواء عُلم بذلک حین العمل أم بعده، و أمّا لو لم یعلم بذلک فلا، کما لو لم یعلم بأنّه قصد الإخبار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الإنشاء، و کذا لو لم یعلم بأنّ العمل الفلانی الذی فَعله، هل هو بعنوان الصلاة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فعل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عدم جریان أصالة الصحّة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فرّق بین الصلاة علی المیّت و بین النیابة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نعلم وقوع الصلاة من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إبراء ذمّة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الإتیان بالصلاة علی أنّها صلاة؛ لاحتمال ترکه لها بالمرّة، أو إتیانه بمجرّد الصورة لا بعنوان أنّها صلاة عنه، اختصّ الإشکال بما إذا عُلم من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مقام الصلاة عن المیّت إلّا أنّه یحتمل عدم مبالاته بما یخلّ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الفعل الصادر عن المسلم علی وجه النیابة عن الغیر، الذی هو مکلّف به أوّلًا و بالذات، کالعاجز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لفعل النائب عنوانین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فعل من أفعال النائب، و لهذا یجب علیه مراعاة الأجزاء و الشروط بحسب تکلیفه و یترتّب علیه آثاره، مثل استحقاق الاجرة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فعل للمنوب عنه؛ حیث إنّه بمنزلة الفاعل بالتسبیب، و کأنّ الفعل بعد قصد النیابة قائم بالمنوب عنه، و بهذا الاعتبار یُراعی فیه القصر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فعل الغیر یُسقط التکلیف عنه من حیث إنّه فعل الغیر، کفت أصالة الصحّة فی السقوط، کما فی الصلاة علی المیّت، و إن کان إنّما یُسقط التکلیف من حیث اعتبار کونه فعلًا له و لو علی وجه التسبیب، کما فی استنابة العاجز عن الحجّ، لم تنفع أصالة الصحّة فی سقوطه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تصویر النیابة عند العقلاء، فإنّها کالوکالة و الولایة من الامور الاعتباریّة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إیکال الأمر الذی له سلطنة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الغیر أن یوقعه، و العمل إنّما هو للوکیل، فیعدّ صادراً منه، لا من الموکِّل، و نسبته إلیه إنّما هی لأنّه فاعل بالتسبیب؛ من جهة إیکاله الأمر إلی الوکیل، فلا بدّ أن یکون متعلّقها ممّا یقبل التوکیل، کالعقود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اعتبار وجود النائب منزلة وجوب المنوب عنه، و أنّه هو، فلا بدّ أن یکون الفعل ممّا یعتبر فیه المباشرة أوّلًا و بالذات، کما فی الحجّ و نحوه من العبادات، فالاستنابة إنّما هی فی صورة عجز المنوب عنه عن العمل مباشرةً، فموارد النیابة مغایرة لموارد الوکالة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هی من هذا القبیل و لا ذاک، بل هی عبارة عن جعل السلطة و الأولویّة بالتصرف علی المولی علیه فی اموره لقصوره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هی نیابة و لا 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شکّ فی صحّة فعل الولیّ، فلا إشکال فی جریان أصالة الصحّة فیه، و کذلک الوکیل؛ لأنّه فعله، لا فعل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فیها إنّما هو من جهة توهّم اعتبارها تنزیلَ فعل النائب منزلة فعل المنوب عنه، فکأنّه صادر عنه لا عن النائب، فلا مجال لأصالة الصحّة فیه، لکن قد عرفت أنّه لیس کذلک، بل اعتبارها هو تنزیل وجود النائب منزلة وجود المنوب عنه، مع أنّ الفعل للنائب، فقول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 قائم بالمنوب عنه، لا بالنائب؛ بحیث تجری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کذلک، بل هو فعل النائب، فلا مانع من جریان أصالة الصحّة فیه، و مجرّد تنزیل وجوده منزلة وجود المنوب عنه لا یمنع من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من بناء العقلاء غیر تلک الصورة، أیضاً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یمکن أن یکون للفعل 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الاعتباران ممّا لا یجتمعان، فإنّه لو اعتبر أنّ فعل النائب فعل للمنوب عنه، فکیف یمکن اعتبار أنّه فعله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للنائب، لکن اعتبر وجوده وجود المنوب عنه تنزیلًا، و لهذا لا بدّ فی الجهر و الإخفات من مراعاة تکلیف نفسه، و فی القصر و الإتمام من مراعاة تکلیف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بذلک ما فی إشکال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الائتمام بمن یصلّی عن المیّت نیابة؛ لأنّه بمنزلة المیّت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فی غیر محلّه؛ إذ لا ریب فی أنّ المصلّی هذا لیس بمیّت، بل هو منزّل منزلة المیّت، لا أنّه نفسه</w:t>
      </w:r>
      <w:r>
        <w:rPr>
          <w:rFonts w:eastAsia="Amiri" w:cs="Amiri" w:ascii="Amiri" w:hAnsi="Amiri"/>
          <w:color w:val="111111"/>
          <w:sz w:val="28"/>
          <w:szCs w:val="28"/>
          <w:rtl w:val="true"/>
          <w:lang w:bidi="ar-SA"/>
        </w:rPr>
        <w:t>.</w:t>
      </w:r>
      <w:bookmarkStart w:id="527" w:name="pg12898_148177"/>
    </w:p>
    <w:p>
      <w:pPr>
        <w:pStyle w:val="Heading6"/>
        <w:numPr>
          <w:ilvl w:val="5"/>
          <w:numId w:val="1"/>
        </w:numPr>
        <w:rPr/>
      </w:pPr>
      <w:bookmarkStart w:id="528" w:name="__RefHeading___Toc3235056_3224264995"/>
      <w:bookmarkStart w:id="529" w:name="_Toc197"/>
      <w:bookmarkEnd w:id="527"/>
      <w:bookmarkEnd w:id="528"/>
      <w:r>
        <w:rPr>
          <w:rtl w:val="true"/>
        </w:rPr>
        <w:t>الأمر السادس</w:t>
      </w:r>
      <w:r>
        <w:rPr>
          <w:rtl w:val="true"/>
        </w:rPr>
        <w:t xml:space="preserve">: </w:t>
      </w:r>
      <w:r>
        <w:rPr>
          <w:rtl w:val="true"/>
        </w:rPr>
        <w:t>عدم حجیّة مثبتات أصالة الصحّة</w:t>
      </w:r>
      <w:bookmarkEnd w:id="529"/>
    </w:p>
    <w:p>
      <w:pPr>
        <w:pStyle w:val="Heading6"/>
        <w:numPr>
          <w:ilvl w:val="5"/>
          <w:numId w:val="1"/>
        </w:numPr>
        <w:rPr/>
      </w:pPr>
      <w:bookmarkStart w:id="530" w:name="__RefHeading___Toc3235058_3224264995"/>
      <w:bookmarkStart w:id="531" w:name="_Toc198"/>
      <w:bookmarkEnd w:id="530"/>
      <w:r>
        <w:rPr>
          <w:rtl w:val="true"/>
        </w:rPr>
        <w:t>اشارة</w:t>
      </w:r>
      <w:bookmarkEnd w:id="531"/>
    </w:p>
    <w:p>
      <w:pPr>
        <w:pStyle w:val="BookText"/>
        <w:rPr/>
      </w:pPr>
      <w:r>
        <w:rPr>
          <w:rFonts w:ascii="IRNazanin" w:hAnsi="IRNazanin" w:eastAsia="IRNazanin"/>
          <w:color w:val="111111"/>
          <w:sz w:val="28"/>
          <w:sz w:val="28"/>
          <w:szCs w:val="28"/>
          <w:rtl w:val="true"/>
          <w:lang w:bidi="fa-IR"/>
        </w:rPr>
        <w:t>هل تکون أصالة الصحّة من الأمارات العقلائیّة التی مثبتاتها حجّة، أو أنّها و إن کانت کاشفة عن الواقع عندهم، لکن لیست مثبتاتها حجّة، أو أنّها أصل تعبّدیّ عندهم؟</w:t>
      </w:r>
    </w:p>
    <w:p>
      <w:pPr>
        <w:pStyle w:val="BookText"/>
        <w:rPr/>
      </w:pPr>
      <w:r>
        <w:rPr>
          <w:rFonts w:ascii="IRNazanin" w:hAnsi="IRNazanin" w:eastAsia="IRNazanin"/>
          <w:color w:val="111111"/>
          <w:sz w:val="28"/>
          <w:sz w:val="28"/>
          <w:szCs w:val="28"/>
          <w:rtl w:val="true"/>
          <w:lang w:bidi="fa-IR"/>
        </w:rPr>
        <w:t>لا بدّ من ملاحظة بناء العقلاء بالنسبة إلی لوازمها،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من بنائهم هو الحمل علی الصحّة فی نفس العمل، کما لو صلّی أحد إلی جهة، و شکّ فی صحّة صلاته؛ من جهة الشکّ فی أنّ القبلة هی هذه الجهة التی صلّی إلیها أو لا، فإنّ تلک الصلاة عندهم محکومة بالصحّة، و أمّا أنّ القبلة أیضاً هی هذه الجهة؛ لیترتّب علیها آثارها،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أنّ بناءهم علیها، إنّما هو لکشفها عن الواقع و إلغاء احتمال الخلاف، لزم القول بأنّها أمارة، و مثبتاتها حجّة، لکن لیس کذلک؛ لعدم بنائهم فیها علی ثبوت لوازمها العقلیّة و العادیّة و ملزوماتها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کون الثمن فی المعاملة الصادرة من الغیر خمراً أو خلّاً، فأصالة الصحّة فی نفس البیع جاریة، لکن لا یحکم بأنّ الثمن خلّ، و أنّه منتقل إلی البائع؛ لاستصحاب عدم الانتقال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3235060_3224264995"/>
      <w:bookmarkStart w:id="533" w:name="_Toc199"/>
      <w:bookmarkEnd w:id="532"/>
      <w:r>
        <w:rPr>
          <w:rtl w:val="true"/>
        </w:rPr>
        <w:t>و أورد علیه المیرزا النائینی قدس سره بوجهین</w:t>
      </w:r>
      <w:r>
        <w:rPr>
          <w:rtl w:val="true"/>
        </w:rPr>
        <w:t>:</w:t>
      </w:r>
      <w:bookmarkEnd w:id="5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بیانه و عدم تمامیّته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لهذا التفکیک؛ إذ لو قلنا بعدم انتقال الثمن إلی البائع، و لا المثمن إلی المشتری، فلا فائدة فی جریان أصالة الصحّة فی نفس البیع، و إن قلنا بانتقال</w:t>
      </w:r>
    </w:p>
    <w:p>
      <w:pPr>
        <w:pStyle w:val="BookText"/>
        <w:rPr/>
      </w:pPr>
      <w:r>
        <w:rPr>
          <w:rFonts w:ascii="IRNazanin" w:hAnsi="IRNazanin" w:eastAsia="IRNazanin"/>
          <w:color w:val="111111"/>
          <w:sz w:val="28"/>
          <w:sz w:val="28"/>
          <w:szCs w:val="28"/>
          <w:rtl w:val="true"/>
          <w:lang w:bidi="fa-IR"/>
        </w:rPr>
        <w:t>المثمن إلی المشتری، دون الثمن إلی البائع، یلزم وقوع البیع بلا ثمن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التفکیک بین الآثار فی عالم التعبّد؛ أ لا تری أنّه لو توضّأ بالماء المستصحب النجاسة غافلًا و صلّی، فإنّ صلاته صحیحة؛ لقاعدة الفراغ، مع أنّ الماء محکوم بالنجاسة، و کذا أعضاء الوضوء، فلو دار الثمن بین الخمر و الخلّ، فأصالة الصحّة فی البیع لا تثبت کونَ الثمن خلّاً، و وقوعَ البیع بینه و بین المثمن؛ لأنّه لازم عقلیّ لها، و حینئذٍ فیحکم بأنّ المبیع للمشتری، و لا یحکم بأنّ الخلّ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العلم الإجمالی بأنّ أحد المالین للمشتری مطلب آخر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ترتّبت الآثار الشرعیّة علی أصالة الصحّة، کما لو طلّق امرأته، و شکّ فی صحّة الطلاق، فإنّ مقتضی أصالة الصحّة فی طلاق الغیر امرأته، هو الحکم بصحّة الطلاق، و یترتّب علیه وجوب العدّة، ثمّ جواز تزویجها من غیره بعد العدّة، ثمّ ترتیب آثار الزوجیّة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جمیع تلک الآثار لیس مستنداً إلی الاستصحاب، بل الاستصحاب إنّما هو لإثبات مبدأ السلسلة، و أمّا الآثار المتأخّرة عنه بواسطة أو وسائط شرعیّة، فإنّما هی بالکُبریات الشرعیّة الکلّیّة، فکذلک الکلام فیما نحن فیه، فإنّ أصالة الصحّة إنّما هی لإثبات مبدأ السلسلة، و أمّا الآثار الشرعیّة المتأخّرة عنه، فإنّما هی لأجل شمول الکُبریات الکلّیّة الشرعیّة لها، کالأدلّة الدالّة علی وجوب العدّة علی المطلّقة صحیحاً، أو الدالّة علی جواز تزویجها بعد العدّة و أمّا عدم ترتّب الآثار العقلیّة و العادیّة، فهو لعدم الکبری کذلک، لا أنّ بناء العقلاء علی ترتّب الآثار الشرعیّة، دون العقلیّة</w:t>
      </w:r>
      <w:r>
        <w:rPr>
          <w:rFonts w:eastAsia="IRNazanin" w:cs="IRNazanin"/>
          <w:color w:val="111111"/>
          <w:sz w:val="28"/>
          <w:szCs w:val="28"/>
          <w:rtl w:val="true"/>
          <w:lang w:bidi="fa-IR"/>
        </w:rPr>
        <w:t>.</w:t>
      </w:r>
      <w:bookmarkStart w:id="534" w:name="pg12898_148179"/>
    </w:p>
    <w:p>
      <w:pPr>
        <w:pStyle w:val="Heading6"/>
        <w:numPr>
          <w:ilvl w:val="5"/>
          <w:numId w:val="1"/>
        </w:numPr>
        <w:rPr/>
      </w:pPr>
      <w:bookmarkStart w:id="535" w:name="__RefHeading___Toc3235062_3224264995"/>
      <w:bookmarkStart w:id="536" w:name="_Toc200"/>
      <w:bookmarkEnd w:id="534"/>
      <w:bookmarkEnd w:id="535"/>
      <w:r>
        <w:rPr>
          <w:rtl w:val="true"/>
        </w:rPr>
        <w:t>الأمر السابع</w:t>
      </w:r>
      <w:r>
        <w:rPr>
          <w:rtl w:val="true"/>
        </w:rPr>
        <w:t xml:space="preserve">: </w:t>
      </w:r>
      <w:r>
        <w:rPr>
          <w:rtl w:val="true"/>
        </w:rPr>
        <w:t>حول تقدّم أصالة الصحّة علی الاستصحاب</w:t>
      </w:r>
      <w:bookmarkEnd w:id="536"/>
    </w:p>
    <w:p>
      <w:pPr>
        <w:pStyle w:val="BookText"/>
        <w:rPr/>
      </w:pPr>
      <w:r>
        <w:rPr>
          <w:rFonts w:ascii="IRNazanin" w:hAnsi="IRNazanin" w:eastAsia="IRNazanin"/>
          <w:color w:val="111111"/>
          <w:sz w:val="28"/>
          <w:sz w:val="28"/>
          <w:szCs w:val="28"/>
          <w:rtl w:val="true"/>
          <w:lang w:bidi="fa-IR"/>
        </w:rPr>
        <w:t>هل تتعارض أصالة الصحّة مع الاستصحاب مطلقاً، أو أنّه فرق بین الاصول الموضوعیّة و الحکمیّة فی ذلک؟</w:t>
      </w:r>
    </w:p>
    <w:p>
      <w:pPr>
        <w:pStyle w:val="BookText"/>
        <w:rPr/>
      </w:pPr>
      <w:r>
        <w:rPr>
          <w:rFonts w:ascii="IRNazanin" w:hAnsi="IRNazanin" w:eastAsia="IRNazanin"/>
          <w:color w:val="111111"/>
          <w:sz w:val="28"/>
          <w:sz w:val="28"/>
          <w:szCs w:val="28"/>
          <w:rtl w:val="true"/>
          <w:lang w:bidi="fa-IR"/>
        </w:rPr>
        <w:t>قال الشیخ الأعظم قدس سره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تقدّم أصالة الصحّة علی مثل استصحاب عدم النقل و نحوه، لو شکّ فی صحّة البیع الصادر من الغیر؛ لأنّها ترفع الشکّ فی موضوع الاستصحاب المذکور تعبّداً؛ لأنّ الشکّ فی الانتقال مسبّب عن الشکّ فی صحّة العقد و عدمه، و أنّه جامع لشرائطها و عدمه، و بأصالة الصحّة یُحرَز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أصالة عدم البلوغ أو عدم اختیار البائع، ففی تقدیم أصالة الصحّة علیه و عدمه إشکالٌ؛ لأنّه کما یقتضی أصالة الصحّة کون العاقد بالغاً، کذلک یقتضی استصحاب عدم البلوغ عدمه؛ لأنّ العقد أمر وجدانیّ، و الشکّ إنّما هو فی بلوغ العاقد، فیستصحب عدمه، و یترتّب علیه عدم الانتقال، فیتعارضان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للحکم بعدم الانتقال هو عدم صدور العقد من البالغ و هو مورد الاستصحاب، لا صدور العقد عن غیر البالغ، فلا أثر لأصالة عدم البلوغ المقتضیة لعدم سببیّة العقد المذکور للانتقال؛ حتّی تعارض أصالة الصحّة المقتضیة لسببیّة العقد للانتقال، و أصالة الصحّة تثبت تحقّق العقد من البالغ، و لا معارضة فی الظاهر بین عدم سببیّة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وقوع العقد الصادر من البالغ الذی یقتضیه أصالة الصحّة؛ لأنّه من قبیل معارضة المقتضی مع اللامقتضی</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فی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الصبیّ عمده و سهوه سواء، و حینئذٍ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لأثر النقل و الانتقال هو صدور العقد من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عدم صدور العقد من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استصحاب أصل العدم بنحو الکلّی فلا یفید، و إن أراد به استصحاب عدم صدور هذا العقد الخاصّ من بالغ، فلیس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قبیل معارضة المقتضی مع اللّامقتضی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أیضاً مقتضٍ لعدم الانتقال، فهو من قبیل معارضة المقتضِیین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الدلیل علی أصالة الصحّة هو بناء العقلاء، و هو دلیل لبّیّ لا لسان له، فلیس المقام مقام الشکّ السببی و المسبّبی، و ملاحظة حکومتها علی الاستصحاب أو العکس؛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ذلک مختصّ بالدلیلین اللفظیّین، و ما نحن فیه لیس کذلک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أصالة الصحّة بالمتدیّنین بدین الإسلام فی غایة الفساد؛ لما نشاهد بالعیان من بناء غیر المتدیّنین علیها أیضاً، و إن لم تکن باسمها و رسمها فیما بینهم، فإذا کان الدلیل علی أصالة الصحّة هو بناء العقلاء علیها، فالذی هو فیما بینهم هو ترتّب آثار الصحّة فی فعل الغیر من العقد و غیره، و أمّا أنّ بناءهم علی ذلک مستند إلی تحقّق السبب و وجوده أوّلًا، ثمّ ترتّب المسبّب، فلم یثبت ذلک، بل الثابت بینهم هو مجرّد ترتیب الآثار، و حینئذٍ فلیس المقام مقام الشکّ السببی و المسبّبی، و تقدّم بیان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أقسام الشروط و أجزاء العقد، سوی المقوّمة له منها، فبمجرّد الشکّ فی الانتقال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الشکّ فی اجتماع جمیع شرائط العقد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أصالة الصحّة، و بها یرتفع الشکّ، و لا مجال</w:t>
      </w:r>
    </w:p>
    <w:p>
      <w:pPr>
        <w:pStyle w:val="BookText"/>
        <w:rPr/>
      </w:pP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معارَض بأصالة الصحّة فی بعض الصور دون بعض، بل الذی یمکن أن یبحث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استصحاب عدم الانتقال هل یصلح للرادعیّة عن هذا البناء العقلائی، أو لا؟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صلاحیّته لذلک؛ لافتقاره إلی بیانٍ أوفی من ذلک، بل لا یبقی ظنّ و لا شکّ عند العقلاء فی موارد جریان أصالة الصحّة؛ حتّی یجری فیه الاستصحاب، و لهذا لا یصلح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للرادعیّة عنها و عن مثل العمل بخبر الثقة و الید و نحوهما، و لا ینقدح ذلک فی أذهان العرف و العقلاء</w:t>
      </w:r>
      <w:r>
        <w:rPr>
          <w:rFonts w:eastAsia="IRNazanin" w:cs="IRNazanin"/>
          <w:color w:val="111111"/>
          <w:sz w:val="28"/>
          <w:szCs w:val="28"/>
          <w:rtl w:val="true"/>
          <w:lang w:bidi="fa-IR"/>
        </w:rPr>
        <w:t>.</w:t>
      </w:r>
      <w:bookmarkStart w:id="537" w:name="pg12898_148183"/>
    </w:p>
    <w:p>
      <w:pPr>
        <w:pStyle w:val="Heading5"/>
        <w:numPr>
          <w:ilvl w:val="4"/>
          <w:numId w:val="1"/>
        </w:numPr>
        <w:rPr/>
      </w:pPr>
      <w:bookmarkStart w:id="538" w:name="__RefHeading___Toc3235064_3224264995"/>
      <w:bookmarkStart w:id="539" w:name="_Toc201"/>
      <w:bookmarkEnd w:id="537"/>
      <w:bookmarkEnd w:id="538"/>
      <w:r>
        <w:rPr>
          <w:rtl w:val="true"/>
        </w:rPr>
        <w:t>المبحث الرابع حال الاستصحاب مع قاعدة القرعة</w:t>
      </w:r>
      <w:bookmarkEnd w:id="539"/>
    </w:p>
    <w:p>
      <w:pPr>
        <w:pStyle w:val="Heading6"/>
        <w:numPr>
          <w:ilvl w:val="5"/>
          <w:numId w:val="1"/>
        </w:numPr>
        <w:rPr/>
      </w:pPr>
      <w:bookmarkStart w:id="540" w:name="__RefHeading___Toc3235066_3224264995"/>
      <w:bookmarkStart w:id="541" w:name="_Toc202"/>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 xml:space="preserve">و ممّا یمکن أن یعارِض الاستصحابَ من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إنّها من القواعد المهمّة أیضاً، لا بأس بتفصیل الکلام فیها فی امور</w:t>
      </w:r>
      <w:r>
        <w:rPr>
          <w:rFonts w:eastAsia="IRNazanin" w:cs="IRNazanin"/>
          <w:color w:val="111111"/>
          <w:sz w:val="28"/>
          <w:szCs w:val="28"/>
          <w:rtl w:val="true"/>
          <w:lang w:bidi="fa-IR"/>
        </w:rPr>
        <w:t>:</w:t>
      </w:r>
    </w:p>
    <w:p>
      <w:pPr>
        <w:pStyle w:val="Heading6"/>
        <w:numPr>
          <w:ilvl w:val="5"/>
          <w:numId w:val="1"/>
        </w:numPr>
        <w:rPr/>
      </w:pPr>
      <w:bookmarkStart w:id="542" w:name="__RefHeading___Toc3235068_3224264995"/>
      <w:bookmarkStart w:id="543" w:name="_Toc203"/>
      <w:bookmarkEnd w:id="542"/>
      <w:r>
        <w:rPr>
          <w:rtl w:val="true"/>
        </w:rPr>
        <w:t>الأمر الأوّل</w:t>
      </w:r>
      <w:r>
        <w:rPr>
          <w:rtl w:val="true"/>
        </w:rPr>
        <w:t xml:space="preserve">: </w:t>
      </w:r>
      <w:r>
        <w:rPr>
          <w:rtl w:val="true"/>
        </w:rPr>
        <w:t>فی دلیل اعتبارها</w:t>
      </w:r>
      <w:bookmarkEnd w:id="543"/>
    </w:p>
    <w:p>
      <w:pPr>
        <w:pStyle w:val="BookText"/>
        <w:rPr/>
      </w:pPr>
      <w:r>
        <w:rPr>
          <w:rFonts w:ascii="IRNazanin" w:hAnsi="IRNazanin" w:eastAsia="IRNazanin"/>
          <w:color w:val="111111"/>
          <w:sz w:val="28"/>
          <w:sz w:val="28"/>
          <w:szCs w:val="28"/>
          <w:rtl w:val="true"/>
          <w:lang w:bidi="fa-IR"/>
        </w:rPr>
        <w:t>یقع الکلام فی بیان مدرکها، و أنّه هل یستفاد العموم أو الإطلاق من الأخبار الواردة فیها، أو لا؟ و ملاحظة أنّه هل یوجد فی مواردها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فیها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هو مصبّ القُرعة أو لا؟</w:t>
      </w:r>
    </w:p>
    <w:p>
      <w:pPr>
        <w:pStyle w:val="BookText"/>
        <w:rPr/>
      </w:pPr>
      <w:r>
        <w:rPr>
          <w:rFonts w:ascii="IRNazanin" w:hAnsi="IRNazanin" w:eastAsia="IRNazanin"/>
          <w:color w:val="111111"/>
          <w:sz w:val="28"/>
          <w:sz w:val="28"/>
          <w:szCs w:val="28"/>
          <w:rtl w:val="true"/>
          <w:lang w:bidi="fa-IR"/>
        </w:rPr>
        <w:t>و الأخبار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عامّة، و منها واردة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قدس سره بإسناده عن محمّد بن أحمد بن یحیی، عن موسی بن عمر، عن علیّ بن عثمان،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شی‌ء،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 تُصیب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حکم اللَّه به فلیس یخطئ</w:t>
      </w:r>
      <w:r>
        <w:rPr>
          <w:rFonts w:eastAsia="Amiri" w:cs="Amiri" w:ascii="Amiri" w:hAnsi="Amiri"/>
          <w:color w:val="111111"/>
          <w:sz w:val="28"/>
          <w:szCs w:val="28"/>
          <w:rtl w:val="true"/>
          <w:lang w:bidi="ar-SA"/>
        </w:rPr>
        <w:t>)</w:t>
      </w:r>
    </w:p>
    <w:p>
      <w:pPr>
        <w:pStyle w:val="BookText"/>
        <w:rPr/>
      </w:pP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الشیخ إلی محمّد بن حکیم ضعیف، لکن للصدوق رحمه الله إلیه طریقان</w:t>
      </w:r>
      <w:r>
        <w:rPr>
          <w:rStyle w:val="FootnoteAnchor"/>
          <w:rtl w:val="true"/>
        </w:rPr>
        <w:footnoteReference w:id="590"/>
      </w:r>
      <w:r>
        <w:rPr>
          <w:rFonts w:ascii="IRNazanin" w:hAnsi="IRNazanin" w:eastAsia="IRNazanin"/>
          <w:color w:val="111111"/>
          <w:sz w:val="28"/>
          <w:sz w:val="28"/>
          <w:szCs w:val="28"/>
          <w:rtl w:val="true"/>
          <w:lang w:bidi="fa-IR"/>
        </w:rPr>
        <w:t>، کلاهما صحیحان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حکیم فهو و إن لم یوثّقه النجاشی</w:t>
      </w:r>
      <w:r>
        <w:rPr>
          <w:rStyle w:val="FootnoteAnchor"/>
          <w:rtl w:val="true"/>
        </w:rPr>
        <w:footnoteReference w:id="591"/>
      </w:r>
      <w:r>
        <w:rPr>
          <w:rFonts w:ascii="IRNazanin" w:hAnsi="IRNazanin" w:eastAsia="IRNazanin"/>
          <w:color w:val="111111"/>
          <w:sz w:val="28"/>
          <w:sz w:val="28"/>
          <w:szCs w:val="28"/>
          <w:rtl w:val="true"/>
          <w:lang w:bidi="fa-IR"/>
        </w:rPr>
        <w:t>و الشیخ قدس سره</w:t>
      </w:r>
      <w:r>
        <w:rPr>
          <w:rStyle w:val="FootnoteAnchor"/>
          <w:rtl w:val="true"/>
        </w:rPr>
        <w:footnoteReference w:id="592"/>
      </w:r>
      <w:r>
        <w:rPr>
          <w:rFonts w:ascii="IRNazanin" w:hAnsi="IRNazanin" w:eastAsia="IRNazanin"/>
          <w:color w:val="111111"/>
          <w:sz w:val="28"/>
          <w:sz w:val="28"/>
          <w:szCs w:val="28"/>
          <w:rtl w:val="true"/>
          <w:lang w:bidi="fa-IR"/>
        </w:rPr>
        <w:t xml:space="preserve">، لکن الظاهر أنّه ثقة؛ بملاحظة کثرة روایاته، و نَقْل کثیر ممّن لا یروی إلّا عن ثقة عنه، مثل البزنطی و ابن أبی عمیر، مضافاً إلی فتوی کثیر ممّن لا یُفتی إلّا بمضمون الروایات قریباً من ذلک،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أمر مشکل مجهول یشتبه الحکم فیه، فینبغی أن تستعمل فیه القُرعة</w:t>
      </w:r>
    </w:p>
    <w:p>
      <w:pPr>
        <w:pStyle w:val="BookText"/>
        <w:rPr/>
      </w:pPr>
      <w:r>
        <w:rPr>
          <w:rFonts w:ascii="IRNazanin" w:hAnsi="IRNazanin" w:eastAsia="IRNazanin"/>
          <w:color w:val="111111"/>
          <w:sz w:val="28"/>
          <w:sz w:val="28"/>
          <w:szCs w:val="28"/>
          <w:rtl w:val="true"/>
          <w:lang w:bidi="fa-IR"/>
        </w:rPr>
        <w:t>لما روی عن أبی الحسن موسی علیه السلام و عن غیره من آبائه و أبنائه علیهم السلام 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 تُصیب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حکم اللَّه به فلیس بمخطئ</w:t>
      </w:r>
      <w:r>
        <w:rPr>
          <w:rFonts w:eastAsia="Amiri" w:cs="Amiri" w:ascii="Amiri" w:hAnsi="Amiri"/>
          <w:color w:val="111111"/>
          <w:sz w:val="28"/>
          <w:szCs w:val="28"/>
          <w:rtl w:val="true"/>
          <w:lang w:bidi="ar-SA"/>
        </w:rPr>
        <w:t>)</w:t>
      </w:r>
    </w:p>
    <w:p>
      <w:pPr>
        <w:pStyle w:val="BookText"/>
        <w:rPr/>
      </w:pP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عندنا قولهم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مجهول فیه القُرعة</w:t>
      </w:r>
      <w:r>
        <w:rPr>
          <w:rFonts w:eastAsia="Amiri" w:cs="Amiri" w:ascii="Amiri" w:hAnsi="Amiri"/>
          <w:color w:val="111111"/>
          <w:sz w:val="28"/>
          <w:szCs w:val="28"/>
          <w:rtl w:val="true"/>
          <w:lang w:bidi="ar-SA"/>
        </w:rPr>
        <w:t>)</w:t>
      </w:r>
    </w:p>
    <w:p>
      <w:pPr>
        <w:pStyle w:val="BookText"/>
        <w:rPr/>
      </w:pP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مذهبنا أنّ القُرعة لکلّ أمر مجهول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الحلّی علی ذلک الإجماع من الشیعة الإمامیة، و تواترت به الأخبار و الآثار</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هذه الروایة من جهة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لکل أمر مشتبِه أو مشکِل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و أبی جعفر و أبی عبد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أوجبوا القُرعة فیما أشکل،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حکم فی الملتبس أثبت من القُرعة، أ لیس هو التفویض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ذکر قصّة یونس و عبد المطلب</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إذا ورد علیه أمر لم یجد فیه کتاب و سنّة، ساهم فیه و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الرحیم تلک من المعضلات</w:t>
      </w:r>
      <w:r>
        <w:rPr>
          <w:rFonts w:eastAsia="IRNazanin" w:cs="IRNazanin"/>
          <w:color w:val="111111"/>
          <w:sz w:val="28"/>
          <w:szCs w:val="28"/>
          <w:rtl w:val="true"/>
          <w:lang w:bidi="fa-IR"/>
        </w:rPr>
        <w:t>)</w:t>
      </w:r>
    </w:p>
    <w:p>
      <w:pPr>
        <w:pStyle w:val="BookText"/>
        <w:rPr/>
      </w:pPr>
      <w:r>
        <w:rPr>
          <w:rStyle w:val="FootnoteAnchor"/>
          <w:rtl w:val="true"/>
        </w:rPr>
        <w:footnoteReference w:id="5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واردة فی الموارد المعضلة التی أشکل فیها الأمر، أو أنّ تلک القضیّة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فی ذیل صحیحة أبی بصیر بسند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قوم تقارعوا، ثمّ فوّضوا أمرهم إلی اللَّه إلّا خرج سهم المحقّ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روایة عبّاس بن هلال</w:t>
      </w:r>
      <w:r>
        <w:rPr>
          <w:rStyle w:val="FootnoteAnchor"/>
          <w:rtl w:val="true"/>
        </w:rPr>
        <w:footnoteReference w:id="600"/>
      </w:r>
      <w:r>
        <w:rPr>
          <w:rFonts w:ascii="IRNazanin" w:hAnsi="IRNazanin" w:eastAsia="IRNazanin"/>
          <w:color w:val="111111"/>
          <w:sz w:val="28"/>
          <w:sz w:val="28"/>
          <w:szCs w:val="28"/>
          <w:rtl w:val="true"/>
          <w:lang w:bidi="fa-IR"/>
        </w:rPr>
        <w:t>، و مرسلة فقه الرضا علیه السلام</w:t>
      </w:r>
      <w:r>
        <w:rPr>
          <w:rStyle w:val="FootnoteAnchor"/>
          <w:rtl w:val="true"/>
        </w:rPr>
        <w:footnoteReference w:id="601"/>
      </w:r>
      <w:r>
        <w:rPr>
          <w:rFonts w:ascii="IRNazanin" w:hAnsi="IRNazanin" w:eastAsia="IRNazanin"/>
          <w:color w:val="111111"/>
          <w:sz w:val="28"/>
          <w:sz w:val="28"/>
          <w:szCs w:val="28"/>
          <w:rtl w:val="true"/>
          <w:lang w:bidi="fa-IR"/>
        </w:rPr>
        <w:t>، و روایة</w:t>
      </w:r>
    </w:p>
    <w:p>
      <w:pPr>
        <w:pStyle w:val="BookText"/>
        <w:rPr/>
      </w:pPr>
      <w:r>
        <w:rPr>
          <w:rFonts w:ascii="IRNazanin" w:hAnsi="IRNazanin" w:eastAsia="IRNazanin"/>
          <w:color w:val="111111"/>
          <w:sz w:val="28"/>
          <w:sz w:val="28"/>
          <w:szCs w:val="28"/>
          <w:rtl w:val="true"/>
          <w:lang w:bidi="fa-IR"/>
        </w:rPr>
        <w:t>أحمد بن محمّد البرقی</w:t>
      </w:r>
      <w:r>
        <w:rPr>
          <w:rStyle w:val="FootnoteAnchor"/>
          <w:rtl w:val="true"/>
        </w:rPr>
        <w:footnoteReference w:id="602"/>
      </w:r>
      <w:r>
        <w:rPr>
          <w:rFonts w:ascii="IRNazanin" w:hAnsi="IRNazanin" w:eastAsia="IRNazanin"/>
          <w:color w:val="111111"/>
          <w:sz w:val="28"/>
          <w:sz w:val="28"/>
          <w:szCs w:val="28"/>
          <w:rtl w:val="true"/>
          <w:lang w:bidi="fa-IR"/>
        </w:rPr>
        <w:t>، و ابن طاوس</w:t>
      </w:r>
      <w:r>
        <w:rPr>
          <w:rStyle w:val="FootnoteAnchor"/>
          <w:rtl w:val="true"/>
        </w:rPr>
        <w:footnoteReference w:id="603"/>
      </w:r>
      <w:r>
        <w:rPr>
          <w:rFonts w:ascii="IRNazanin" w:hAnsi="IRNazanin" w:eastAsia="IRNazanin"/>
          <w:color w:val="111111"/>
          <w:sz w:val="28"/>
          <w:sz w:val="28"/>
          <w:szCs w:val="28"/>
          <w:rtl w:val="true"/>
          <w:lang w:bidi="fa-IR"/>
        </w:rPr>
        <w:t>، و فی جمیعها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قضیّة أعدل من القُرعة إذا فوّض الأمر إلی اللَّه؛ أ لیس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p>
    <w:p>
      <w:pPr>
        <w:pStyle w:val="BookText"/>
        <w:rPr/>
      </w:pP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الأخبار التی یمکن استفادة العموم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باب تعارض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داود بن سرحان عن أبی عبد اللَّه علیه السلام فی شاهدین شهدا علی أمر واحد، و جاء آخران فشهدا علی غیر الذی شهد الأوّلان علیه، و اختلفوا،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فأیّهما قُرع علیه الیمین، و هو أولی بالقضاء</w:t>
      </w:r>
      <w:r>
        <w:rPr>
          <w:rFonts w:eastAsia="IRNazanin" w:cs="IRNazanin"/>
          <w:color w:val="111111"/>
          <w:sz w:val="28"/>
          <w:szCs w:val="28"/>
          <w:rtl w:val="true"/>
          <w:lang w:bidi="fa-IR"/>
        </w:rPr>
        <w:t>)</w:t>
      </w:r>
    </w:p>
    <w:p>
      <w:pPr>
        <w:pStyle w:val="BookText"/>
        <w:rPr/>
      </w:pP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بأنّه مُنکِر، و الآخر مُدّعٍ، و فی بعض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بالحقّ</w:t>
      </w:r>
      <w:r>
        <w:rPr>
          <w:rFonts w:eastAsia="IRNazanin" w:cs="IRNazanin"/>
          <w:color w:val="111111"/>
          <w:sz w:val="28"/>
          <w:szCs w:val="28"/>
          <w:rtl w:val="true"/>
          <w:lang w:bidi="fa-IR"/>
        </w:rPr>
        <w:t>)</w:t>
      </w:r>
    </w:p>
    <w:p>
      <w:pPr>
        <w:pStyle w:val="BookText"/>
        <w:rPr/>
      </w:pPr>
      <w:r>
        <w:rPr>
          <w:rStyle w:val="FootnoteAnchor"/>
          <w:rtl w:val="true"/>
        </w:rPr>
        <w:footnoteReference w:id="606"/>
      </w:r>
      <w:r>
        <w:rPr>
          <w:rFonts w:ascii="IRNazanin" w:hAnsi="IRNazanin" w:eastAsia="IRNazanin"/>
          <w:color w:val="111111"/>
          <w:sz w:val="28"/>
          <w:sz w:val="28"/>
          <w:szCs w:val="28"/>
          <w:rtl w:val="true"/>
          <w:lang w:bidi="fa-IR"/>
        </w:rPr>
        <w:t>، کما لا یخفی علی من تتبّع اصطلاحات باب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w:t>
      </w:r>
    </w:p>
    <w:p>
      <w:pPr>
        <w:pStyle w:val="BookText"/>
        <w:rPr/>
      </w:pPr>
      <w:r>
        <w:rPr>
          <w:rFonts w:ascii="IRNazanin" w:hAnsi="IRNazanin" w:eastAsia="IRNazanin"/>
          <w:color w:val="111111"/>
          <w:sz w:val="28"/>
          <w:sz w:val="28"/>
          <w:szCs w:val="28"/>
          <w:rtl w:val="true"/>
          <w:lang w:bidi="fa-IR"/>
        </w:rPr>
        <w:t>عبد الرحمن بن أبی عبد اللَّه البصری بروایة الصدوق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إذا أتاه رجلان یختصمان بشهود عَدْلهم سواء و عددهم، أقرع بینهما علی أیّهما تصیر الیمین،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 ربَّ الأرضین السبع أیّهما کان له الحقّ فأدِّهِ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الحقّ للذی یصیر علیه الیمین إذا حلف</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الفقه الرضوی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یتهیّأ فیها الإشهاد فلا بدّ من الرجوع إلی القُرعة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فیها فی الموارد الخاصّة المتشتّتة فی أبواب الشهادات و القضاء و الإرث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قضیّة الإشهاد علی الدابّة</w:t>
      </w:r>
      <w:r>
        <w:rPr>
          <w:rStyle w:val="FootnoteAnchor"/>
          <w:rtl w:val="true"/>
        </w:rPr>
        <w:footnoteReference w:id="609"/>
      </w:r>
      <w:r>
        <w:rPr>
          <w:rFonts w:ascii="IRNazanin" w:hAnsi="IRNazanin" w:eastAsia="IRNazanin"/>
          <w:color w:val="111111"/>
          <w:sz w:val="28"/>
          <w:sz w:val="28"/>
          <w:szCs w:val="28"/>
          <w:rtl w:val="true"/>
          <w:lang w:bidi="fa-IR"/>
        </w:rPr>
        <w:t>، و الإشهاد بالإیداع</w:t>
      </w:r>
      <w:r>
        <w:rPr>
          <w:rStyle w:val="FootnoteAnchor"/>
          <w:rtl w:val="true"/>
        </w:rPr>
        <w:footnoteReference w:id="610"/>
      </w:r>
      <w:r>
        <w:rPr>
          <w:rFonts w:ascii="IRNazanin" w:hAnsi="IRNazanin" w:eastAsia="IRNazanin"/>
          <w:color w:val="111111"/>
          <w:sz w:val="28"/>
          <w:sz w:val="28"/>
          <w:szCs w:val="28"/>
          <w:rtl w:val="true"/>
          <w:lang w:bidi="fa-IR"/>
        </w:rPr>
        <w:t>، و مورد اشتباه الولد</w:t>
      </w:r>
      <w:r>
        <w:rPr>
          <w:rStyle w:val="FootnoteAnchor"/>
          <w:rtl w:val="true"/>
        </w:rPr>
        <w:footnoteReference w:id="611"/>
      </w:r>
      <w:r>
        <w:rPr>
          <w:rFonts w:ascii="IRNazanin" w:hAnsi="IRNazanin" w:eastAsia="IRNazanin"/>
          <w:color w:val="111111"/>
          <w:sz w:val="28"/>
          <w:sz w:val="28"/>
          <w:szCs w:val="28"/>
          <w:rtl w:val="true"/>
          <w:lang w:bidi="fa-IR"/>
        </w:rPr>
        <w:t>، و الإشهاد علی الزوجة</w:t>
      </w:r>
      <w:r>
        <w:rPr>
          <w:rStyle w:val="FootnoteAnchor"/>
          <w:rtl w:val="true"/>
        </w:rPr>
        <w:footnoteReference w:id="612"/>
      </w:r>
      <w:r>
        <w:rPr>
          <w:rFonts w:ascii="IRNazanin" w:hAnsi="IRNazanin" w:eastAsia="IRNazanin"/>
          <w:color w:val="111111"/>
          <w:sz w:val="28"/>
          <w:sz w:val="28"/>
          <w:szCs w:val="28"/>
          <w:rtl w:val="true"/>
          <w:lang w:bidi="fa-IR"/>
        </w:rPr>
        <w:t>، و قضیّة الشابّ الذی خرج أبوه مع جماعة ثمّ جاءوا و شهدوا بموته</w:t>
      </w:r>
      <w:r>
        <w:rPr>
          <w:rStyle w:val="FootnoteAnchor"/>
          <w:rtl w:val="true"/>
        </w:rPr>
        <w:footnoteReference w:id="613"/>
      </w:r>
      <w:r>
        <w:rPr>
          <w:rFonts w:ascii="IRNazanin" w:hAnsi="IRNazanin" w:eastAsia="IRNazanin"/>
          <w:color w:val="111111"/>
          <w:sz w:val="28"/>
          <w:sz w:val="28"/>
          <w:szCs w:val="28"/>
          <w:rtl w:val="true"/>
          <w:lang w:bidi="fa-IR"/>
        </w:rPr>
        <w:t>، و قضیّة عتق ثلث العبید</w:t>
      </w:r>
      <w:r>
        <w:rPr>
          <w:rStyle w:val="FootnoteAnchor"/>
          <w:rtl w:val="true"/>
        </w:rPr>
        <w:footnoteReference w:id="614"/>
      </w:r>
      <w:r>
        <w:rPr>
          <w:rFonts w:ascii="Amiri" w:hAnsi="Amiri" w:eastAsia="Amiri" w:cs="Amiri"/>
          <w:color w:val="111111"/>
          <w:sz w:val="28"/>
          <w:sz w:val="28"/>
          <w:szCs w:val="28"/>
          <w:rtl w:val="true"/>
          <w:lang w:bidi="ar-SA"/>
        </w:rPr>
        <w:t>، و قضیّة وصیّة ثلث أبیه</w:t>
      </w:r>
      <w:r>
        <w:rPr>
          <w:rStyle w:val="FootnoteAnchor"/>
          <w:rtl w:val="true"/>
        </w:rPr>
        <w:footnoteReference w:id="615"/>
      </w:r>
      <w:r>
        <w:rPr>
          <w:rFonts w:ascii="IRNazanin" w:hAnsi="IRNazanin" w:eastAsia="IRNazanin"/>
          <w:color w:val="111111"/>
          <w:sz w:val="28"/>
          <w:sz w:val="28"/>
          <w:szCs w:val="28"/>
          <w:rtl w:val="true"/>
          <w:lang w:bidi="fa-IR"/>
        </w:rPr>
        <w:t>، و مورد الاشتباه بین الولد و العبد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w:t>
      </w:r>
      <w:r>
        <w:rPr>
          <w:rStyle w:val="FootnoteAnchor"/>
          <w:rtl w:val="true"/>
        </w:rPr>
        <w:footnoteReference w:id="616"/>
      </w:r>
      <w:r>
        <w:rPr>
          <w:rFonts w:ascii="IRNazanin" w:hAnsi="IRNazanin" w:eastAsia="IRNazanin"/>
          <w:color w:val="111111"/>
          <w:sz w:val="28"/>
          <w:sz w:val="28"/>
          <w:szCs w:val="28"/>
          <w:rtl w:val="true"/>
          <w:lang w:bidi="fa-IR"/>
        </w:rPr>
        <w:t>، و مورد اشتباه صبیّین أحدهما مملوک و الآخر حرّ</w:t>
      </w:r>
      <w:r>
        <w:rPr>
          <w:rStyle w:val="FootnoteAnchor"/>
          <w:rtl w:val="true"/>
        </w:rPr>
        <w:footnoteReference w:id="617"/>
      </w:r>
      <w:r>
        <w:rPr>
          <w:rFonts w:ascii="Amiri" w:hAnsi="Amiri" w:eastAsia="Amiri" w:cs="Amiri"/>
          <w:color w:val="111111"/>
          <w:sz w:val="28"/>
          <w:sz w:val="28"/>
          <w:szCs w:val="28"/>
          <w:rtl w:val="true"/>
          <w:lang w:bidi="ar-SA"/>
        </w:rPr>
        <w:t>، و مورد الخنثی المُشکِل</w:t>
      </w:r>
      <w:r>
        <w:rPr>
          <w:rStyle w:val="FootnoteAnchor"/>
          <w:rtl w:val="true"/>
        </w:rPr>
        <w:footnoteReference w:id="618"/>
      </w:r>
      <w:r>
        <w:rPr>
          <w:rFonts w:ascii="IRNazanin" w:hAnsi="IRNazanin" w:eastAsia="IRNazanin"/>
          <w:color w:val="111111"/>
          <w:sz w:val="28"/>
          <w:sz w:val="28"/>
          <w:szCs w:val="28"/>
          <w:rtl w:val="true"/>
          <w:lang w:bidi="fa-IR"/>
        </w:rPr>
        <w:t>، و مورد عتق أوّل مملوکه</w:t>
      </w:r>
      <w:r>
        <w:rPr>
          <w:rStyle w:val="FootnoteAnchor"/>
          <w:rtl w:val="true"/>
        </w:rPr>
        <w:footnoteReference w:id="619"/>
      </w:r>
      <w:r>
        <w:rPr>
          <w:rFonts w:ascii="IRNazanin" w:hAnsi="IRNazanin" w:eastAsia="IRNazanin"/>
          <w:color w:val="111111"/>
          <w:sz w:val="28"/>
          <w:sz w:val="28"/>
          <w:szCs w:val="28"/>
          <w:rtl w:val="true"/>
          <w:lang w:bidi="fa-IR"/>
        </w:rPr>
        <w:t>، و مورد اشتباه المعتق بغیره</w:t>
      </w:r>
      <w:r>
        <w:rPr>
          <w:rStyle w:val="FootnoteAnchor"/>
          <w:rtl w:val="true"/>
        </w:rPr>
        <w:footnoteReference w:id="620"/>
      </w:r>
      <w:r>
        <w:rPr>
          <w:rFonts w:ascii="IRNazanin" w:hAnsi="IRNazanin" w:eastAsia="IRNazanin"/>
          <w:color w:val="111111"/>
          <w:sz w:val="28"/>
          <w:sz w:val="28"/>
          <w:szCs w:val="28"/>
          <w:rtl w:val="true"/>
          <w:lang w:bidi="fa-IR"/>
        </w:rPr>
        <w:t>، و مورد عتق عبیده فی مرض الموت و لا مال له</w:t>
      </w:r>
      <w:r>
        <w:rPr>
          <w:rStyle w:val="FootnoteAnchor"/>
          <w:rtl w:val="true"/>
        </w:rPr>
        <w:footnoteReference w:id="621"/>
      </w:r>
      <w:r>
        <w:rPr>
          <w:rFonts w:ascii="Amiri" w:hAnsi="Amiri" w:eastAsia="Amiri" w:cs="Amiri"/>
          <w:color w:val="111111"/>
          <w:sz w:val="28"/>
          <w:sz w:val="28"/>
          <w:szCs w:val="28"/>
          <w:rtl w:val="true"/>
          <w:lang w:bidi="ar-SA"/>
        </w:rPr>
        <w:t>، و مورد اشتباه الغنم الموطوءة</w:t>
      </w:r>
      <w:r>
        <w:rPr>
          <w:rStyle w:val="FootnoteAnchor"/>
          <w:rtl w:val="true"/>
        </w:rPr>
        <w:footnoteReference w:id="622"/>
      </w:r>
      <w:r>
        <w:rPr>
          <w:rFonts w:ascii="IRNazanin" w:hAnsi="IRNazanin" w:eastAsia="IRNazanin"/>
          <w:color w:val="111111"/>
          <w:sz w:val="28"/>
          <w:sz w:val="28"/>
          <w:szCs w:val="28"/>
          <w:rtl w:val="true"/>
          <w:lang w:bidi="fa-IR"/>
        </w:rPr>
        <w:t>، و مورد قسمة أمیر المؤمنین علیه السلام المال الذی اعطی من أصبهان</w:t>
      </w:r>
      <w:r>
        <w:rPr>
          <w:rStyle w:val="FootnoteAnchor"/>
          <w:rtl w:val="true"/>
        </w:rPr>
        <w:footnoteReference w:id="623"/>
      </w:r>
      <w:r>
        <w:rPr>
          <w:rFonts w:ascii="IRNazanin" w:hAnsi="IRNazanin" w:eastAsia="IRNazanin"/>
          <w:color w:val="111111"/>
          <w:sz w:val="28"/>
          <w:sz w:val="28"/>
          <w:szCs w:val="28"/>
          <w:rtl w:val="true"/>
          <w:lang w:bidi="fa-IR"/>
        </w:rPr>
        <w:t>، و قضیّة مساهمة رسول اللَّه صلی الله علیه و آله و سلم قریشاً فی بناء البیت</w:t>
      </w:r>
      <w:r>
        <w:rPr>
          <w:rStyle w:val="FootnoteAnchor"/>
          <w:rtl w:val="true"/>
        </w:rPr>
        <w:footnoteReference w:id="624"/>
      </w:r>
      <w:r>
        <w:rPr>
          <w:rFonts w:ascii="IRNazanin" w:hAnsi="IRNazanin" w:eastAsia="IRNazanin"/>
          <w:color w:val="111111"/>
          <w:sz w:val="28"/>
          <w:sz w:val="28"/>
          <w:szCs w:val="28"/>
          <w:rtl w:val="true"/>
          <w:lang w:bidi="fa-IR"/>
        </w:rPr>
        <w:t>، و مورد استعلام موسی علیه السلام النمّامَ بالقرعة</w:t>
      </w:r>
      <w:r>
        <w:rPr>
          <w:rStyle w:val="FootnoteAnchor"/>
          <w:rtl w:val="true"/>
        </w:rPr>
        <w:footnoteReference w:id="625"/>
      </w:r>
      <w:r>
        <w:rPr>
          <w:rFonts w:ascii="Amiri" w:hAnsi="Amiri" w:eastAsia="Amiri" w:cs="Amiri"/>
          <w:color w:val="111111"/>
          <w:sz w:val="28"/>
          <w:sz w:val="28"/>
          <w:szCs w:val="28"/>
          <w:rtl w:val="true"/>
          <w:lang w:bidi="ar-SA"/>
        </w:rPr>
        <w:t>، و مورد مساهمة</w:t>
      </w:r>
      <w:bookmarkStart w:id="544" w:name="pg12898_148189"/>
    </w:p>
    <w:p>
      <w:pPr>
        <w:pStyle w:val="BookText"/>
        <w:rPr/>
      </w:pPr>
      <w:bookmarkEnd w:id="544"/>
      <w:r>
        <w:rPr>
          <w:rFonts w:ascii="IRNazanin" w:hAnsi="IRNazanin" w:eastAsia="IRNazanin"/>
          <w:color w:val="111111"/>
          <w:sz w:val="28"/>
          <w:sz w:val="28"/>
          <w:szCs w:val="28"/>
          <w:rtl w:val="true"/>
          <w:lang w:bidi="fa-IR"/>
        </w:rPr>
        <w:t>رسول اللَّه صلی الله علیه و آله و سلم بین أزواجه إذا أراد سفراً</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الموارد الخاصّة التی استعملت فیها القُرعة</w:t>
      </w:r>
      <w:r>
        <w:rPr>
          <w:rFonts w:eastAsia="IRNazanin" w:cs="IRNazanin"/>
          <w:color w:val="111111"/>
          <w:sz w:val="28"/>
          <w:szCs w:val="28"/>
          <w:rtl w:val="true"/>
          <w:lang w:bidi="fa-IR"/>
        </w:rPr>
        <w:t>.</w:t>
      </w:r>
    </w:p>
    <w:p>
      <w:pPr>
        <w:pStyle w:val="Heading6"/>
        <w:numPr>
          <w:ilvl w:val="5"/>
          <w:numId w:val="1"/>
        </w:numPr>
        <w:rPr/>
      </w:pPr>
      <w:bookmarkStart w:id="545" w:name="__RefHeading___Toc3235070_3224264995"/>
      <w:bookmarkStart w:id="546" w:name="_Toc204"/>
      <w:bookmarkEnd w:id="545"/>
      <w:r>
        <w:rPr>
          <w:rtl w:val="true"/>
        </w:rPr>
        <w:t>الأمر الثانی</w:t>
      </w:r>
      <w:r>
        <w:rPr>
          <w:rtl w:val="true"/>
        </w:rPr>
        <w:t xml:space="preserve">: </w:t>
      </w:r>
      <w:r>
        <w:rPr>
          <w:rtl w:val="true"/>
        </w:rPr>
        <w:t>القول فی التخصیص المستهجن لعمومات القرعة</w:t>
      </w:r>
      <w:bookmarkEnd w:id="546"/>
    </w:p>
    <w:p>
      <w:pPr>
        <w:pStyle w:val="BookText"/>
        <w:rPr/>
      </w:pPr>
      <w:r>
        <w:rPr>
          <w:rFonts w:ascii="IRNazanin" w:hAnsi="IRNazanin" w:eastAsia="IRNazanin"/>
          <w:color w:val="111111"/>
          <w:sz w:val="28"/>
          <w:sz w:val="28"/>
          <w:szCs w:val="28"/>
          <w:rtl w:val="true"/>
          <w:lang w:bidi="fa-IR"/>
        </w:rPr>
        <w:t>المشهور بین المتأخّرین</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فی أخبار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عموماتها و مطلقاتها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تخصیصات کثیرة جدّاً؛ بحیث صارت مستهجناً لا یصدر من الشارع، فیکشف ذلک عن وجود قیود فی أخبارها لم تصل إلینا، فلا بدّ من الاقتصار فی العمل بالقُرعة علی موارد عَمِلَ المشهور بها فیها، و إلّا فلا یمکن الأخذ بعموماتها و إطلاقاتها، حتّی أنّ ذلک صار من المسلّمات بینهم، و ذکره صاحب الوسائل</w:t>
      </w:r>
      <w:r>
        <w:rPr>
          <w:rStyle w:val="FootnoteAnchor"/>
          <w:rtl w:val="true"/>
        </w:rPr>
        <w:footnoteReference w:id="628"/>
      </w:r>
      <w:r>
        <w:rPr>
          <w:rFonts w:ascii="IRNazanin" w:hAnsi="IRNazanin" w:eastAsia="IRNazanin"/>
          <w:color w:val="111111"/>
          <w:sz w:val="28"/>
          <w:sz w:val="28"/>
          <w:szCs w:val="28"/>
          <w:rtl w:val="true"/>
          <w:lang w:bidi="fa-IR"/>
        </w:rPr>
        <w:t>أیضاً، و لکنّه عبارة اخری عن سقوط أخبار القُرعة عن درجة الاعتبار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مقتضی التأمّل و التتبّع عدم استقامة ذلک، فإنّه لا شکّ فی وجود القُرعة بین العقلاء و اعتبارها عندهم، و استقرار بناؤهم علیها بما هم عقلاء، و إن لم یکونوا منتحلین بدین و مذهب فی موارد المنازعة و الاختصام فی مال أو حقّ، و لم یکن لهم طریق إلی الإصلاح و رفع المخاصمة بینهم، فإنّهم یُقرِعون فی هذه الموارد، و مورد الآیتین هو مورد بناء العقلاء علیها فیه، لا لأجل کشفها عن الواقع کما فی الأمارات، بل لمجرّد الإصلاح و رفع التنازع و الاختصام بینهم، و القُرعات المتداولة بین الناس فی زماننا هذا أیضاً من أقسام القُرعة، مع أنّه لیس فی کثیر من مواردها واقع معین عند اللَّه تعالی مجهول عندنا، کما فی تقسیم الأموال لتعیین سهم کلّ واحد من الشرکاء فیها،</w:t>
      </w:r>
    </w:p>
    <w:p>
      <w:pPr>
        <w:pStyle w:val="BookText"/>
        <w:rPr/>
      </w:pPr>
      <w:r>
        <w:rPr>
          <w:rFonts w:ascii="IRNazanin" w:hAnsi="IRNazanin" w:eastAsia="IRNazanin"/>
          <w:color w:val="111111"/>
          <w:sz w:val="28"/>
          <w:sz w:val="28"/>
          <w:szCs w:val="28"/>
          <w:rtl w:val="true"/>
          <w:lang w:bidi="fa-IR"/>
        </w:rPr>
        <w:t>و کان بناؤهم علیها من سابق الزمان و قدیم الأیّام، مثل زمان یونس علیه السلام</w:t>
      </w:r>
      <w:r>
        <w:rPr>
          <w:rStyle w:val="FootnoteAnchor"/>
          <w:rtl w:val="true"/>
        </w:rPr>
        <w:footnoteReference w:id="629"/>
      </w:r>
      <w:r>
        <w:rPr>
          <w:rFonts w:ascii="IRNazanin" w:hAnsi="IRNazanin" w:eastAsia="IRNazanin"/>
          <w:color w:val="111111"/>
          <w:sz w:val="28"/>
          <w:sz w:val="28"/>
          <w:szCs w:val="28"/>
          <w:rtl w:val="true"/>
          <w:lang w:bidi="fa-IR"/>
        </w:rPr>
        <w:t>، و فی قضیّة مریم علیها السلام و تعیین من یکفلها</w:t>
      </w:r>
      <w:r>
        <w:rPr>
          <w:rStyle w:val="FootnoteAnchor"/>
          <w:rtl w:val="true"/>
        </w:rPr>
        <w:footnoteReference w:id="630"/>
      </w:r>
      <w:r>
        <w:rPr>
          <w:rFonts w:ascii="IRNazanin" w:hAnsi="IRNazanin" w:eastAsia="IRNazanin"/>
          <w:color w:val="111111"/>
          <w:sz w:val="28"/>
          <w:sz w:val="28"/>
          <w:szCs w:val="28"/>
          <w:rtl w:val="true"/>
          <w:lang w:bidi="fa-IR"/>
        </w:rPr>
        <w:t>، و اختلاف قریش فی تعیین سهام بناء البیت الشریف</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لها عند العقلاء مصبّاً خاصّاً، هو باب تزاحم الحقوق عند التنازع و التخاصم و الاختلاف؛ سواء کان هناک واقع معلوم عند اللَّه تعالی مجهول عندهم أم لا، و أمّا فی غیر ذلک فلیس لهم بناء علیها، مثل استخراج الطاهر من الإناءین اللّذین عُلم بنجاسة أحدهما إجمالًا، أو القبلة،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أنّ عدم ردع الشارع عن العمل بها کافٍ فی إمضاء بنائهم، و الموارد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تقرب من خمسین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قبیل تزاحم الحقوق، مثل مورد إرث الخنثی المُشکِل، الذی هو مورد التنازع فی المال، و کذلک اشتباه العبد المعتَق بغیره، فالأخبار الواردة فی القُرعة لیست فی مقام تأسیس حکم جدید، بل إمضاء لما استقرّ علیه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القُرعة فی استخراج الشاة الموطوءة لیست من قبیل الحقوق، مثل</w:t>
      </w:r>
    </w:p>
    <w:p>
      <w:pPr>
        <w:pStyle w:val="BookText"/>
        <w:rPr/>
      </w:pPr>
      <w:r>
        <w:rPr>
          <w:rFonts w:ascii="IRNazanin" w:hAnsi="IRNazanin" w:eastAsia="IRNazanin"/>
          <w:color w:val="111111"/>
          <w:sz w:val="28"/>
          <w:sz w:val="28"/>
          <w:szCs w:val="28"/>
          <w:rtl w:val="true"/>
          <w:lang w:bidi="fa-IR"/>
        </w:rPr>
        <w:t>صحیحة محمّد بن عیسی عن الرجل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نظر إلی راعٍ نزا علی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عرفها ذبحها و أحرقها، و إن لم یعرفها قسّمها نصفین أبداً حتّی یقع السهم بها، فتذبح و تُحرق، و قد نجت سائرها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إرجاع ذلک إلی باب تزاحم الحقوق فی الحیوانات، مضافاً إلی أنّه یمکن أن تکون الشیاه لأشخاص مختلفة متعدّدة، فیصیر من قبیل تزاحم الحقوق فی الآدمیّین، مع أنّه علی فرض استثناء هذا المورد تعبّداً لا یصحّ التعدّی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أخبار القُرعة و مواردها الخاصّة، أیضاً هو مورد بناء العقلاء علی استعمالها فیه، و یشهد لذلک روایة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بمضمونها روایات اخر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مولود لیس بذکر و لا انثی؛ لیس له إلّا الدُّبر، کیف یورِّث؟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یجلس الإمام، و یجلس عنده ناس من المسلمین، فیدعو اللَّه، و تُجال السِّهام علیه علی أیّ میراث یورَّث؛ علی میراث الذکر أو میراث الانثی، فأیّ ذلک خرج علیه ورّثه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قضیّة أعدل من قضیّة تُجال علیها السهام؛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أمر یختلف فیه اثنان إلّا و له أصل فی کتاب اللَّه، و لکن لا تبلغه عقول الرجال</w:t>
      </w:r>
      <w:r>
        <w:rPr>
          <w:rFonts w:eastAsia="IRNazanin" w:cs="IRNazanin"/>
          <w:color w:val="111111"/>
          <w:sz w:val="28"/>
          <w:szCs w:val="28"/>
          <w:rtl w:val="true"/>
          <w:lang w:bidi="fa-IR"/>
        </w:rPr>
        <w:t>)</w:t>
      </w:r>
    </w:p>
    <w:p>
      <w:pPr>
        <w:pStyle w:val="BookText"/>
        <w:rPr/>
      </w:pP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أنّ القُرعة أصلها من کتاب اللَّه، مأخوذة منه، و لا ریب أنّ موردها فی کتاب اللَّه من باب تزاحم الحقوق، و کذلک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اختصاص القُرعة بباب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العتق من المستدرک ما یدلّ علی أنّ حکم القرعة منحصر بالإمام، مثل ما عن أحدهما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لا تکون إلّا للإمام</w:t>
      </w:r>
      <w:r>
        <w:rPr>
          <w:rFonts w:eastAsia="IRNazanin" w:cs="IRNazanin"/>
          <w:color w:val="111111"/>
          <w:sz w:val="28"/>
          <w:szCs w:val="28"/>
          <w:rtl w:val="true"/>
          <w:lang w:bidi="fa-IR"/>
        </w:rPr>
        <w:t>)</w:t>
      </w:r>
    </w:p>
    <w:p>
      <w:pPr>
        <w:pStyle w:val="BookText"/>
        <w:rPr/>
      </w:pPr>
      <w:r>
        <w:rPr>
          <w:rStyle w:val="FootnoteAnchor"/>
          <w:rtl w:val="true"/>
        </w:rPr>
        <w:footnoteReference w:id="635"/>
      </w:r>
      <w:r>
        <w:rPr>
          <w:rFonts w:ascii="IRNazanin" w:hAnsi="IRNazanin" w:eastAsia="IRNazanin"/>
          <w:color w:val="111111"/>
          <w:sz w:val="28"/>
          <w:sz w:val="28"/>
          <w:szCs w:val="28"/>
          <w:rtl w:val="true"/>
          <w:lang w:bidi="fa-IR"/>
        </w:rPr>
        <w:t>یعنی ولیّ أمر المسلمین، لا خصوص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اختصاص القُرعة بباب التزاحم فی الحقوق</w:t>
      </w:r>
    </w:p>
    <w:p>
      <w:pPr>
        <w:pStyle w:val="BookText"/>
        <w:rPr/>
      </w:pPr>
      <w:r>
        <w:rPr>
          <w:rFonts w:ascii="IRNazanin" w:hAnsi="IRNazanin" w:eastAsia="IRNazanin"/>
          <w:color w:val="111111"/>
          <w:sz w:val="28"/>
          <w:sz w:val="28"/>
          <w:szCs w:val="28"/>
          <w:rtl w:val="true"/>
          <w:lang w:bidi="fa-IR"/>
        </w:rPr>
        <w:t>روایة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الطیّار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المساهمة أ لیس حقّاً؟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یخرج سهم المحِقّ؟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حتّی أدّعی أنا و أنت شیئاً، ثمّ نُساهم علیه، و ننظر هکذا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لیس من قوم فوّضوا أمرهم إلی اللَّه، ثمّ اقترعوا، إلّا خرج سهم المُحِقّ، فأمّا علی التجارب، فلم توضع علی 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کانا جمیعاً مدّعیین ما لیس لهما من أین یخرج سهم أحدهما؟</w:t>
      </w:r>
    </w:p>
    <w:p>
      <w:pPr>
        <w:pStyle w:val="BookText"/>
        <w:rPr/>
      </w:pP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جُعل معه سهم مبیح، فإن کانا ادّعیا ما لیس لهما خرج سهم المبیح</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محمّد بن حکیم المتقدّمة، فحیث إنّ الشی‌ء المذکور فی السؤال ممّا لا یصلح أن یکون مورداً للسؤال، فلا بدّ أن یکون قد ذکر فی السؤال ما یصلح أن یسأل عنه، قد أسقطه الراوی، و حیث إنّ الساقط فی السؤال غیر معلوم، فلعلّه کان ممّا یصلح للقرینیّة علی عدم إرادة العموم فی الجواب، فلا یصحّ التمسّک بعموم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المرتکز فی أذهان العرف و العقلاء اختصاص القُرعة بباب تزاحم الحقوق، و الروایات المتقدّمة کلّها متّفقة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حینئذٍ رفع الید عن تلک بمجرّد هذه الروایة مع الاحتمال المتقدّم ذکره فیها، مع أنّ هذه الروایة بعینها بمرأی و منظر الشیخ قدس سره و الحلّی و الشهید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و مع ذلک لم یذکر واحد من هؤلاء الأعاظم القُرعة فی غیر باب تزاحم الحقوق، کما تقدّمت عبائرهم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الضغائن و الاختلافات تُرفع بها</w:t>
      </w:r>
      <w:r>
        <w:rPr>
          <w:rStyle w:val="FootnoteAnchor"/>
          <w:rtl w:val="true"/>
        </w:rPr>
        <w:footnoteReference w:id="637"/>
      </w:r>
      <w:r>
        <w:rPr>
          <w:rFonts w:ascii="IRNazanin" w:hAnsi="IRNazanin" w:eastAsia="IRNazanin"/>
          <w:color w:val="111111"/>
          <w:sz w:val="28"/>
          <w:sz w:val="28"/>
          <w:szCs w:val="28"/>
          <w:rtl w:val="true"/>
          <w:lang w:bidi="fa-IR"/>
        </w:rPr>
        <w:t xml:space="preserve">، 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إیراده إیّاها فی ضمن القضایا المشکلة فی باب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القُرعة لکلّ أمر أشکل فیه الأمر عند القاضی، لا مطلقاً، و المراد بالحکم فیها هو حکم القاضی، لا حکم اللَّه تعالی الواقعی، کما لا یخفی علی من له انس باصطلاحات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البیّنات بعد اختیار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علی أنّ القُرعة لکلّ أمر مجهول مشتبه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عمّ الإجماع المذکور غیر موارد التنازع فی الحقوق أیضاً، لما افتقر العمل بالقُرعة إلی الشهرة فی کلّ مورد یتمسّک بها من الموارد الخاصّة، کما ذکره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ذکره ابن إدریس فی باب سماع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مشکل یشتبه فیه الحکم ففیه القُرعة؛ لما روی عنهم علیهم السلام، و أجمعت به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بالحکم فیها هو حکم القاضی، فإنّه الذی تواترت به الأخبار، و أجمعت علیه الشیعة الإمامیّة، لا حکم اللَّه تعالی فی الوقائع، فإنّه لم یرد فیه روایة، و لم یقل به أحد من الشیعة، و کذلک فی الموضوعات، إلّا سعید بن طاوس فی مورد اشتباه</w:t>
      </w:r>
      <w:bookmarkStart w:id="547" w:name="pg12898_148194"/>
    </w:p>
    <w:p>
      <w:pPr>
        <w:pStyle w:val="BookText"/>
        <w:rPr/>
      </w:pPr>
      <w:bookmarkEnd w:id="547"/>
      <w:r>
        <w:rPr>
          <w:rFonts w:ascii="Amiri" w:hAnsi="Amiri" w:eastAsia="Amiri" w:cs="Amiri"/>
          <w:color w:val="111111"/>
          <w:sz w:val="28"/>
          <w:sz w:val="28"/>
          <w:szCs w:val="28"/>
          <w:rtl w:val="true"/>
          <w:lang w:bidi="ar-SA"/>
        </w:rPr>
        <w:t>القبلة</w:t>
      </w:r>
      <w:r>
        <w:rPr>
          <w:rStyle w:val="FootnoteAnchor"/>
          <w:rtl w:val="true"/>
        </w:rPr>
        <w:footnoteReference w:id="640"/>
      </w:r>
      <w:r>
        <w:rPr>
          <w:rFonts w:ascii="IRNazanin" w:hAnsi="IRNazanin" w:eastAsia="IRNazanin"/>
          <w:color w:val="111111"/>
          <w:sz w:val="28"/>
          <w:sz w:val="28"/>
          <w:szCs w:val="28"/>
          <w:rtl w:val="true"/>
          <w:lang w:bidi="fa-IR"/>
        </w:rPr>
        <w:t>، و أفتی بها جمیع الفقهاء فی موارد التنازع فی الحقوق و إن لم یرد فیه نصّ بالخصوص، بل ممّا هو شبیه بموارد النصوص، فراجع مسائل التنازع من أبواب النکاح، و الطلاق، و التجارة، و اللُّقَطَة، و القضاء، و الإجارة، و الصلح، و الوصیّة، و المیراث، و العِتق، و کتاب الصید، و الذباحة، و إحیاء الموات، و الشُّفعة، و الإقرار، و الغصب، و غیر ذلک من کتب الفقه، و فتوی الفقهاء بها فی موارد لم یرد فیها نصّ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فی أخبار القُرعة نادر جدّاً، کما فی الدرهم الوَدَعیّ و نحوه، فما ذکره المتأخّرون مبنیّ علی دعوی عموم أخبار القُرعة لجمیع موارد الشبهة حتّی فی غیر باب التنازع فی الحقوق، و لیس کذلک</w:t>
      </w:r>
      <w:r>
        <w:rPr>
          <w:rFonts w:eastAsia="IRNazanin" w:cs="IRNazanin"/>
          <w:color w:val="111111"/>
          <w:sz w:val="28"/>
          <w:szCs w:val="28"/>
          <w:rtl w:val="true"/>
          <w:lang w:bidi="fa-IR"/>
        </w:rPr>
        <w:t>.</w:t>
      </w:r>
    </w:p>
    <w:p>
      <w:pPr>
        <w:pStyle w:val="Heading6"/>
        <w:numPr>
          <w:ilvl w:val="5"/>
          <w:numId w:val="1"/>
        </w:numPr>
        <w:rPr/>
      </w:pPr>
      <w:bookmarkStart w:id="548" w:name="__RefHeading___Toc3235072_3224264995"/>
      <w:bookmarkStart w:id="549" w:name="_Toc205"/>
      <w:bookmarkEnd w:id="548"/>
      <w:r>
        <w:rPr>
          <w:rtl w:val="true"/>
        </w:rPr>
        <w:t>الأمر الثالث</w:t>
      </w:r>
      <w:r>
        <w:rPr>
          <w:rtl w:val="true"/>
        </w:rPr>
        <w:t xml:space="preserve">: </w:t>
      </w:r>
      <w:r>
        <w:rPr>
          <w:rtl w:val="true"/>
        </w:rPr>
        <w:t>هل القرعة أمارة علی الواقع أم أصل؟</w:t>
      </w:r>
      <w:bookmarkEnd w:id="549"/>
    </w:p>
    <w:p>
      <w:pPr>
        <w:pStyle w:val="BookText"/>
        <w:rPr/>
      </w:pPr>
      <w:r>
        <w:rPr>
          <w:rFonts w:ascii="IRNazanin" w:hAnsi="IRNazanin" w:eastAsia="IRNazanin"/>
          <w:color w:val="111111"/>
          <w:sz w:val="28"/>
          <w:sz w:val="28"/>
          <w:szCs w:val="28"/>
          <w:rtl w:val="true"/>
          <w:lang w:bidi="fa-IR"/>
        </w:rPr>
        <w:t>لا ریب فی أنّ القُرعة لیست أمارة عند العقلاء؛ سواء کان هناک معلوم معیّن فی 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الثانی فواضح؛ لفرض عدم واقع معیّن فیه؛ حتّی یستکشف بالقُرْعة، کما فی القُرعة فی مقام تقسیم الأموال المشترکة لإخراج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الأوّل؛ لأنّها لیست عندهم علی نحوین کاشفة عن الواقع فی أحدهما دون الآخر،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أنّها کذلک عند الشارع أیضاً، أو أنّها أمارة عنده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الذی تطمئنّ به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لم یؤسّس فیها شیئاً، کما</w:t>
      </w:r>
    </w:p>
    <w:p>
      <w:pPr>
        <w:pStyle w:val="BookText"/>
        <w:rPr/>
      </w:pPr>
      <w:r>
        <w:rPr>
          <w:rFonts w:ascii="IRNazanin" w:hAnsi="IRNazanin" w:eastAsia="IRNazanin"/>
          <w:color w:val="111111"/>
          <w:sz w:val="28"/>
          <w:sz w:val="28"/>
          <w:szCs w:val="28"/>
          <w:rtl w:val="true"/>
          <w:lang w:bidi="fa-IR"/>
        </w:rPr>
        <w:t>فی قصّة یونس علیه السلام</w:t>
      </w:r>
      <w:r>
        <w:rPr>
          <w:rStyle w:val="FootnoteAnchor"/>
          <w:rtl w:val="true"/>
        </w:rPr>
        <w:footnoteReference w:id="641"/>
      </w:r>
      <w:r>
        <w:rPr>
          <w:rFonts w:ascii="IRNazanin" w:hAnsi="IRNazanin" w:eastAsia="IRNazanin"/>
          <w:color w:val="111111"/>
          <w:sz w:val="28"/>
          <w:sz w:val="28"/>
          <w:szCs w:val="28"/>
          <w:rtl w:val="true"/>
          <w:lang w:bidi="fa-IR"/>
        </w:rPr>
        <w:t>و مریم علیها السلام</w:t>
      </w:r>
      <w:r>
        <w:rPr>
          <w:rStyle w:val="FootnoteAnchor"/>
          <w:rtl w:val="true"/>
        </w:rPr>
        <w:footnoteReference w:id="642"/>
      </w:r>
      <w:r>
        <w:rPr>
          <w:rFonts w:ascii="IRNazanin" w:hAnsi="IRNazanin" w:eastAsia="IRNazanin"/>
          <w:color w:val="111111"/>
          <w:sz w:val="28"/>
          <w:sz w:val="28"/>
          <w:szCs w:val="28"/>
          <w:rtl w:val="true"/>
          <w:lang w:bidi="fa-IR"/>
        </w:rPr>
        <w:t>، فإنّه إخبار من اللَّه تعالی عن ذلک، لا أنّه تشریع لأصل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عرفت من أنّ الطریقیّة و الأماریّة لیست قابلة للجعل، و علی فرض تسلیم ذلک فهو غیر ممکن بالنسبة إلی القُرعة التی لا کاشفیّة لها أصلًا، و لذا لا یمکن جعل الشکّ طریقاً إلی الواقع، نعم یمکن التعبّد فیه بأحد الطرفین، لکنّه غیر جعل الطریقیّة و الکاشفیّة له، مع أنّ لسان الأخبار فیها لیس لسان جعل الطریقیّة؛ لأخذ الشکّ و الجهل فی موضوعها؛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مجهول أو مشتبه</w:t>
      </w:r>
      <w:r>
        <w:rPr>
          <w:rFonts w:eastAsia="IRNazanin" w:cs="IRNazanin"/>
          <w:color w:val="111111"/>
          <w:sz w:val="28"/>
          <w:szCs w:val="28"/>
          <w:rtl w:val="true"/>
          <w:lang w:bidi="fa-IR"/>
        </w:rPr>
        <w:t>)</w:t>
      </w:r>
    </w:p>
    <w:p>
      <w:pPr>
        <w:pStyle w:val="BookText"/>
        <w:rPr/>
      </w:pPr>
      <w:r>
        <w:rPr>
          <w:rStyle w:val="FootnoteAnchor"/>
          <w:rtl w:val="true"/>
        </w:rPr>
        <w:footnoteReference w:id="643"/>
      </w:r>
      <w:r>
        <w:rPr>
          <w:rFonts w:ascii="IRNazanin" w:hAnsi="IRNazanin" w:eastAsia="IRNazanin"/>
          <w:color w:val="111111"/>
          <w:sz w:val="28"/>
          <w:sz w:val="28"/>
          <w:szCs w:val="28"/>
          <w:rtl w:val="true"/>
          <w:lang w:bidi="fa-IR"/>
        </w:rPr>
        <w:t>، فهو نظیر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الروایات الواردة فی الموارد الخاصّة حتّی قولهم علیهم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قوم فوّضوا أمرهم إلی اللَّه تعالی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5"/>
      </w:r>
      <w:r>
        <w:rPr>
          <w:rFonts w:ascii="IRNazanin" w:hAnsi="IRNazanin" w:eastAsia="IRNazanin"/>
          <w:color w:val="111111"/>
          <w:sz w:val="28"/>
          <w:sz w:val="28"/>
          <w:szCs w:val="28"/>
          <w:rtl w:val="true"/>
          <w:lang w:bidi="fa-IR"/>
        </w:rPr>
        <w:t>، فإنّها أیضاً لا تدلّ علی أماریّتها، بل هی ظاهرة فی أنّ اللَّه تعالی یُوقع الحقّ علی مستحقّه بأسباب غیبیّة، لا أنّها کاشفة بنفسها عن الواقع، کما فی خبر الواحد و الید و نحوهما؛ ممّا هو بنفسه أمارة علی الواقع، و لذا یبقی الجهل و الشکّ بحاله بعد القُرعة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روایة مباحثة الطیّار مع زرارة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فهم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القُرعة أمارة، لکنّه لیس 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بعض روایات التفویض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سهم المُحِقّ</w:t>
      </w:r>
      <w:r>
        <w:rPr>
          <w:rFonts w:eastAsia="Amiri" w:cs="Amiri" w:ascii="Amiri" w:hAnsi="Amiri"/>
          <w:color w:val="111111"/>
          <w:sz w:val="28"/>
          <w:szCs w:val="28"/>
          <w:rtl w:val="true"/>
          <w:lang w:bidi="ar-SA"/>
        </w:rPr>
        <w:t>)</w:t>
      </w:r>
    </w:p>
    <w:p>
      <w:pPr>
        <w:pStyle w:val="BookText"/>
        <w:rPr/>
      </w:pPr>
      <w:r>
        <w:rPr>
          <w:rStyle w:val="FootnoteAnchor"/>
          <w:rtl w:val="true"/>
        </w:rPr>
        <w:footnoteReference w:id="646"/>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یجعل المحقّ من خرج اسمه، و لذا یفتقر إلی الیمین، و لو کانت أمارة لما احتاج إلی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بالحقّ</w:t>
      </w:r>
      <w:r>
        <w:rPr>
          <w:rFonts w:eastAsia="IRNazanin" w:cs="IRNazanin"/>
          <w:color w:val="111111"/>
          <w:sz w:val="28"/>
          <w:szCs w:val="28"/>
          <w:rtl w:val="true"/>
          <w:lang w:bidi="fa-IR"/>
        </w:rPr>
        <w:t>)</w:t>
      </w:r>
    </w:p>
    <w:p>
      <w:pPr>
        <w:pStyle w:val="BookText"/>
        <w:rPr/>
      </w:pPr>
      <w:r>
        <w:rPr>
          <w:rStyle w:val="FootnoteAnchor"/>
          <w:rtl w:val="true"/>
        </w:rPr>
        <w:footnoteReference w:id="647"/>
      </w:r>
      <w:r>
        <w:rPr>
          <w:rFonts w:ascii="IRNazanin" w:hAnsi="IRNazanin" w:eastAsia="IRNazanin"/>
          <w:color w:val="111111"/>
          <w:sz w:val="28"/>
          <w:sz w:val="28"/>
          <w:szCs w:val="28"/>
          <w:rtl w:val="true"/>
          <w:lang w:bidi="fa-IR"/>
        </w:rPr>
        <w:t>أو القضاء</w:t>
      </w:r>
      <w:r>
        <w:rPr>
          <w:rStyle w:val="FootnoteAnchor"/>
          <w:rtl w:val="true"/>
        </w:rPr>
        <w:footnoteReference w:id="64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مُنکِراً و یکلّف الآخر بالبیّنة، کما فعل الإمام کذلک بعد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بعضٍ آخر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صادق</w:t>
      </w:r>
      <w:r>
        <w:rPr>
          <w:rFonts w:eastAsia="IRNazanin" w:cs="IRNazanin"/>
          <w:color w:val="111111"/>
          <w:sz w:val="28"/>
          <w:szCs w:val="28"/>
          <w:rtl w:val="true"/>
          <w:lang w:bidi="fa-IR"/>
        </w:rPr>
        <w:t>)</w:t>
      </w:r>
    </w:p>
    <w:p>
      <w:pPr>
        <w:pStyle w:val="BookText"/>
        <w:rPr/>
      </w:pPr>
      <w:r>
        <w:rPr>
          <w:rStyle w:val="FootnoteAnchor"/>
          <w:rtl w:val="true"/>
        </w:rPr>
        <w:footnoteReference w:id="649"/>
      </w:r>
      <w:r>
        <w:rPr>
          <w:rFonts w:ascii="IRNazanin" w:hAnsi="IRNazanin" w:eastAsia="IRNazanin"/>
          <w:color w:val="111111"/>
          <w:sz w:val="28"/>
          <w:sz w:val="28"/>
          <w:szCs w:val="28"/>
          <w:rtl w:val="true"/>
          <w:lang w:bidi="fa-IR"/>
        </w:rPr>
        <w:t>، فهو فی مقام الظاهر الذی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حکم المنکر الذی تکلیفه الیمین، مع عدم إقامة الآخر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عبّاس بن هلال ظاهرة فی أنّها أمارة، و هی</w:t>
      </w:r>
    </w:p>
    <w:p>
      <w:pPr>
        <w:pStyle w:val="BookText"/>
        <w:rPr/>
      </w:pPr>
      <w:r>
        <w:rPr>
          <w:rFonts w:ascii="IRNazanin" w:hAnsi="IRNazanin" w:eastAsia="IRNazanin"/>
          <w:color w:val="111111"/>
          <w:sz w:val="28"/>
          <w:sz w:val="28"/>
          <w:szCs w:val="28"/>
          <w:rtl w:val="true"/>
          <w:lang w:bidi="fa-IR"/>
        </w:rPr>
        <w:t>ما رواه الشیخ قدس سره بإسناده عن الحسن بن محمّد بن سماعة، عن محمّد بن الولید، عن العبّاس بن هلال،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ابن أبی لیلی و ابن شبرمة دخلا المسجد الحرام، فأتیا محمّد بن علی علیهما السلام، فقال علیه السلام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تقضیان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اللَّه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لم تجداه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نجتهد رأینا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رأیکما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تقولان فی جاریتین ترضعان صبیّین فی بیت</w:t>
      </w:r>
    </w:p>
    <w:p>
      <w:pPr>
        <w:pStyle w:val="BookText"/>
        <w:rPr/>
      </w:pPr>
      <w:r>
        <w:rPr>
          <w:rFonts w:ascii="Amiri" w:hAnsi="Amiri" w:eastAsia="Amiri" w:cs="Amiri"/>
          <w:color w:val="111111"/>
          <w:sz w:val="28"/>
          <w:sz w:val="28"/>
          <w:szCs w:val="28"/>
          <w:rtl w:val="true"/>
          <w:lang w:bidi="ar-SA"/>
        </w:rPr>
        <w:t>و سقط علیهما، فماتتا و سَلِمَ الصبیّان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القافة یتجهّم منه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داود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بلغنی أنّ أمیر المؤمنین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فوّضوا أمرهم إلی اللَّه عزّ و جلّ، و ألقوا سهامهم، إلّا خرج السهم الأصوب</w:t>
      </w:r>
      <w:r>
        <w:rPr>
          <w:rFonts w:eastAsia="IRNazanin" w:cs="IRNazanin"/>
          <w:color w:val="111111"/>
          <w:sz w:val="28"/>
          <w:szCs w:val="28"/>
          <w:rtl w:val="true"/>
          <w:lang w:bidi="fa-IR"/>
        </w:rPr>
        <w:t>)</w:t>
      </w:r>
    </w:p>
    <w:p>
      <w:pPr>
        <w:pStyle w:val="BookText"/>
        <w:rPr/>
      </w:pP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السهم الأصوب إنّما هو لأجل تفویض الأمر إلی اللَّه تعالی، و بجعله تعالی ذلک، لا أنّ القُرعة کاشفة عن ذلک،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لسانَ الأمارة؛ أی إلغاء احتمال الخلاف فیما یصلح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واضحة الدلالة، و من الممکن أن یکون الصادر من الإمام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سهم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سائر الروایات المتقدّمة، فنقله الراوی بالمعنی؛ لزعمه اتّحاد مفاد العبارتین، مع أنّها تقریر للإمام لا بیان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الموارد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لها لبیان مورد القُرعة؛ و أنّها فی أیّ مورد من الموارد، نعم الروایات العامّة متعرِّضة لموردها، فلا بدّ أن تلاحظ النسبة بینها و بین الاستصحاب، لا الروایات الخاصّة، و لا ریب أنّ لسان الروایات العامّة لسان الأصل؛ لأخذ الشکّ و الجهل و الاشتباه فی موضوعها، و حینئذٍ فالاستصحاب حاکم علیها؛ لارتفاع الجهل و الشکّ الذی هو موضوعها به، نظیر</w:t>
      </w:r>
    </w:p>
    <w:p>
      <w:pPr>
        <w:pStyle w:val="BookText"/>
        <w:rPr/>
      </w:pPr>
      <w:r>
        <w:rPr>
          <w:rFonts w:ascii="IRNazanin" w:hAnsi="IRNazanin" w:eastAsia="IRNazanin"/>
          <w:color w:val="111111"/>
          <w:sz w:val="28"/>
          <w:sz w:val="28"/>
          <w:szCs w:val="28"/>
          <w:rtl w:val="true"/>
          <w:lang w:bidi="fa-IR"/>
        </w:rPr>
        <w:t>حکومته علی أصالة الحِلّ و الإباحة و الطهارة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مؤدّاهما العموم من وجه، فمن حیث اختصاص القُرعة بباب تزاحم الحقوق، هی أخصّ من الاستصحاب من هذه الجهة، و من حیث اعتبار لحاظ الحالة السابقة فی الاستصحاب فقط، فالاستصحاب أخصّ منها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الشیخ الأعظم قدس سره من أنّ بینهما العموم المطلق، و أنّ مورد الاستصحاب أخصّ من مورد القُرعة</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عدم اختصاصها بباب تزاحم الحقوق، و عمومها لجمیع موارد الجهل، لکن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إمکان اجتماع القُرعة مع الاستصحاب فی مورد؛ حتّی تلاحظ النسبة بینهما؛ لأنّ التعبّد بالقُرعة إنّما هو فی مورد یشتبه فیه موضوع التکلیف، و یتردّد بین الامور المتباینة، و لا محلّ للقُرعة فی الشبهات البَدْویّة؛ من غیر فرق بین الشبهة التی هی مجری أصالة البراءة و الحِلّ، و بین مجری الاستصحاب</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القُرعة و إن اختصّ بما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الاستصحاب لا یختصّ بالشبهات البَدْویة الحکمیّة، بل یجری فی کثیر من موارد العلم الإجمالی، کما هو معترف بذلک</w:t>
      </w:r>
      <w:r>
        <w:rPr>
          <w:rStyle w:val="FootnoteAnchor"/>
          <w:rtl w:val="true"/>
        </w:rPr>
        <w:footnoteReference w:id="653"/>
      </w:r>
      <w:r>
        <w:rPr>
          <w:rFonts w:ascii="IRNazanin" w:hAnsi="IRNazanin" w:eastAsia="IRNazanin"/>
          <w:color w:val="111111"/>
          <w:sz w:val="28"/>
          <w:sz w:val="28"/>
          <w:szCs w:val="28"/>
          <w:rtl w:val="true"/>
          <w:lang w:bidi="fa-IR"/>
        </w:rPr>
        <w:t>، و صرّح بجریان استصحاب عدم عقد الأب إلی زمان وجود عقد الجدّ؛ فیما لو علم بوقوعهما، و شکّ فی المتقدّم و المتأخّر منهما مع العلم بتأریخ عقد الجدّ</w:t>
      </w:r>
      <w:r>
        <w:rPr>
          <w:rStyle w:val="FootnoteAnchor"/>
          <w:rtl w:val="true"/>
        </w:rPr>
        <w:footnoteReference w:id="654"/>
      </w:r>
      <w:r>
        <w:rPr>
          <w:rFonts w:ascii="IRNazanin" w:hAnsi="IRNazanin" w:eastAsia="IRNazanin"/>
          <w:color w:val="111111"/>
          <w:sz w:val="28"/>
          <w:sz w:val="28"/>
          <w:szCs w:val="28"/>
          <w:rtl w:val="true"/>
          <w:lang w:bidi="fa-IR"/>
        </w:rPr>
        <w:t>، فإنّ فی هذا المورد لو فرض عدم جریان الاستصحاب، أو لم نقل</w:t>
      </w:r>
      <w:bookmarkStart w:id="550" w:name="pg12898_148199"/>
    </w:p>
    <w:p>
      <w:pPr>
        <w:pStyle w:val="BookText"/>
        <w:rPr/>
      </w:pPr>
      <w:bookmarkEnd w:id="550"/>
      <w:r>
        <w:rPr>
          <w:rFonts w:ascii="IRNazanin" w:hAnsi="IRNazanin" w:eastAsia="IRNazanin"/>
          <w:color w:val="111111"/>
          <w:sz w:val="28"/>
          <w:sz w:val="28"/>
          <w:szCs w:val="28"/>
          <w:rtl w:val="true"/>
          <w:lang w:bidi="fa-IR"/>
        </w:rPr>
        <w:t>بتقدّمه علی القُرعة، فلا مانع من جریانها، و مثله ما لو کان لأحد مال سابقاً، ثمّ تنازع فیه هو مع غیره مع فرض عدم الید علیه لأحدهما، فإنّه یستصحب ملکیّته السابقة، و علی فرض عدم تقدّم الاستصحاب علی القُرعة یُقرع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إشکال فیه</w:t>
      </w:r>
      <w:r>
        <w:rPr>
          <w:rFonts w:eastAsia="IRNazanin" w:cs="IRNazanin"/>
          <w:color w:val="111111"/>
          <w:sz w:val="28"/>
          <w:szCs w:val="28"/>
          <w:rtl w:val="true"/>
          <w:lang w:bidi="fa-IR"/>
        </w:rPr>
        <w:t>.</w:t>
      </w:r>
    </w:p>
    <w:p>
      <w:pPr>
        <w:pStyle w:val="Heading6"/>
        <w:numPr>
          <w:ilvl w:val="5"/>
          <w:numId w:val="1"/>
        </w:numPr>
        <w:rPr/>
      </w:pPr>
      <w:bookmarkStart w:id="551" w:name="__RefHeading___Toc3235074_3224264995"/>
      <w:bookmarkStart w:id="552" w:name="_Toc206"/>
      <w:bookmarkEnd w:id="551"/>
      <w:r>
        <w:rPr>
          <w:rtl w:val="true"/>
        </w:rPr>
        <w:t>الأمر الرابع</w:t>
      </w:r>
      <w:r>
        <w:rPr>
          <w:rtl w:val="true"/>
        </w:rPr>
        <w:t xml:space="preserve">: </w:t>
      </w:r>
      <w:r>
        <w:rPr>
          <w:rtl w:val="true"/>
        </w:rPr>
        <w:t>هل للأدلّة العامة للقرعة إطلاق من جمیع الجهات أم لا؟</w:t>
      </w:r>
      <w:bookmarkEnd w:id="552"/>
    </w:p>
    <w:p>
      <w:pPr>
        <w:pStyle w:val="Heading6"/>
        <w:numPr>
          <w:ilvl w:val="5"/>
          <w:numId w:val="1"/>
        </w:numPr>
        <w:rPr/>
      </w:pPr>
      <w:bookmarkStart w:id="553" w:name="__RefHeading___Toc3235076_3224264995"/>
      <w:bookmarkStart w:id="554" w:name="_Toc207"/>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فی عمومات أخبار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لکلّ أمر مُشکِل</w:t>
      </w:r>
      <w:r>
        <w:rPr>
          <w:rFonts w:eastAsia="Amiri" w:cs="Amiri" w:ascii="Amiri" w:hAnsi="Amiri"/>
          <w:color w:val="111111"/>
          <w:sz w:val="28"/>
          <w:szCs w:val="28"/>
          <w:rtl w:val="true"/>
          <w:lang w:bidi="ar-SA"/>
        </w:rPr>
        <w:t>)</w:t>
      </w:r>
    </w:p>
    <w:p>
      <w:pPr>
        <w:pStyle w:val="BookText"/>
        <w:rPr/>
      </w:pPr>
      <w:r>
        <w:rPr>
          <w:rStyle w:val="FootnoteAnchor"/>
          <w:rtl w:val="true"/>
        </w:rPr>
        <w:footnoteReference w:id="655"/>
      </w:r>
      <w:r>
        <w:rPr>
          <w:rFonts w:ascii="IRNazanin" w:hAnsi="IRNazanin" w:eastAsia="IRNazanin"/>
          <w:color w:val="111111"/>
          <w:sz w:val="28"/>
          <w:sz w:val="28"/>
          <w:szCs w:val="28"/>
          <w:rtl w:val="true"/>
          <w:lang w:bidi="fa-IR"/>
        </w:rPr>
        <w:t>بحسب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له واقع معلوم عند اللَّه تعالی مجهول عندنا، ففیه القُرعة، کالمال المردّد بین کونه لزید أو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من موارد التنازع، اشتبه حکمه علی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التبس علیه میزان القضاء؛ لعدم ما یمیّز به المدّعی 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القُرعة لتشخیص ذلک، کما لو وطأ اثنان امرأة واحدة فی طُهْر واحد، فاحتبلت و ادّعاه کلّ واحد منهما، فإنّه لیس فیه ما یمیِّز به المدّعی عن المنکر، فتختصّ بما إذا رُفع الأمر إلی القاضی الشرعی، و التبس علیه أمر القضاء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 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رُفع الأمر إلی الحاکم السیاسی أیضاً فی الامور السیاسیّة من الحدود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تختصّ بالحاکم الشرعی و السیاسی أیضاً، بل تعمّ جمیع الموارد المشکلة فی مقام رفع التشاحّ و التنازع فی الحقوق بالنسبة إلی 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قوله علیه السلام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لکلّ أمر مُشکِل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الثانی إنّما یطلق فیما لو کان هناک واقع معلوم عند اللَّه تعالی مجهول عندنا، و لا یُطلق فیما لم یکن هناک واقع معلوم أصلًا؛ حیث إنّ الظاهر من لفظ المجهول، هو تعلّق الجهل بنفس الشی‌ء،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مجهول غیر معلوم، بخلاف الأوّل، فإنّه إنّما یُطلق فیما أشکل فیه حلّ التنازع و رفعه، فمعنی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حلّه مُشکِل و حکمه مُشکل، لا نفسه، و لا اختصاص له بما إذا کان للشی‌ء فیه واقع معلوم عند اللَّه تعالی، بل هو عامّ یشمل جمیع الاحتمالات المتقدّمة، إلّا أن یقوم دلیل علی الخلاف، لکن یستفاد من جُلّ الروایات الواردة فی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هو الذی یقرع لتشخیص المدّعی و المدّعی علیه؛ لقوله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و حینئذٍ فالمراد بالمُشکِل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أشکل و التبس حکمه علی القاضی فی مقام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أوجبوا الحکم بالقُرعة فیما أشکل</w:t>
      </w:r>
    </w:p>
    <w:p>
      <w:pPr>
        <w:pStyle w:val="BookText"/>
        <w:rPr/>
      </w:pPr>
      <w:r>
        <w:rPr>
          <w:rFonts w:ascii="IRNazanin" w:hAnsi="IRNazanin" w:eastAsia="IRNazanin"/>
          <w:color w:val="111111"/>
          <w:sz w:val="28"/>
          <w:sz w:val="28"/>
          <w:szCs w:val="28"/>
          <w:rtl w:val="true"/>
          <w:lang w:bidi="fa-IR"/>
        </w:rPr>
        <w:t>، و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حکم فی الملتبس أثبت من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هو التفویض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یونس و مریم و عبد المطّلب</w:t>
      </w:r>
      <w:r>
        <w:rPr>
          <w:rStyle w:val="FootnoteAnchor"/>
          <w:rtl w:val="true"/>
        </w:rPr>
        <w:footnoteReference w:id="656"/>
      </w:r>
      <w:r>
        <w:rPr>
          <w:rFonts w:ascii="IRNazanin" w:hAnsi="IRNazanin" w:eastAsia="IRNazanin"/>
          <w:color w:val="111111"/>
          <w:sz w:val="28"/>
          <w:sz w:val="28"/>
          <w:szCs w:val="28"/>
          <w:rtl w:val="true"/>
          <w:lang w:bidi="fa-IR"/>
        </w:rPr>
        <w:t>، فإنّه لیس فی موارد هذه القصص الثلاث واقع معلوم عند اللَّه تعالی مجهول عندهم، فارتفع بالقرعة إشکال التنازع فی کفالة مریم و قصّة یونس و عبد المطّلب، فهی تدلّ علی شمول حکم القُرعة للحاکم السیاسی أیضاً، و کذلک</w:t>
      </w:r>
    </w:p>
    <w:p>
      <w:pPr>
        <w:pStyle w:val="BookText"/>
        <w:rPr/>
      </w:pPr>
      <w:r>
        <w:rPr>
          <w:rFonts w:ascii="IRNazanin" w:hAnsi="IRNazanin" w:eastAsia="IRNazanin"/>
          <w:color w:val="111111"/>
          <w:sz w:val="28"/>
          <w:sz w:val="28"/>
          <w:szCs w:val="28"/>
          <w:rtl w:val="true"/>
          <w:lang w:bidi="fa-IR"/>
        </w:rPr>
        <w:t xml:space="preserve">روایة عبد الرحیم المتقدّمة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إذا ورد علیه أمر لم یجی‌ء فیه کتاب، و لم تجرِ فیه سُنّة، و جم فیه؛ یعنی ساهم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الرحیم تلک من المعضلات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7"/>
      </w:r>
      <w:r>
        <w:rPr>
          <w:rFonts w:ascii="Amiri" w:hAnsi="Amiri" w:eastAsia="Amiri" w:cs="Amiri"/>
          <w:color w:val="111111"/>
          <w:sz w:val="28"/>
          <w:sz w:val="28"/>
          <w:szCs w:val="28"/>
          <w:rtl w:val="true"/>
          <w:lang w:bidi="ar-SA"/>
        </w:rPr>
        <w:t>، فهی أیضاً تدلّ علی عدم</w:t>
      </w:r>
    </w:p>
    <w:p>
      <w:pPr>
        <w:pStyle w:val="BookText"/>
        <w:rPr/>
      </w:pPr>
      <w:r>
        <w:rPr>
          <w:rFonts w:ascii="IRNazanin" w:hAnsi="IRNazanin" w:eastAsia="IRNazanin"/>
          <w:color w:val="111111"/>
          <w:sz w:val="28"/>
          <w:sz w:val="28"/>
          <w:szCs w:val="28"/>
          <w:rtl w:val="true"/>
          <w:lang w:bidi="fa-IR"/>
        </w:rPr>
        <w:t>اختصاص القُرعة بما له واقع معلوم مجهول عند المُقرِع، و عدم شمولها لجمیع الأحکام الشرعیّة؛ لأنّها کانت معلومة للنبیّ صلی الله علیه و آله و سلم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علیه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خاصّ فی باب القضاء و مختصّ بورود الأمر و رفعه إلی الحاکم عند التنازع، و کذلک قوله علیه السلام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یجی‌ء فیه کتاب، و لم یجرِ فیه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لا یصلح فی الأحکام الشرعیّة، فیظهر من هذه الروایة عدم عمومیّة أخبارها؛ لاشتباه الأحکام الشرعیّة التکلیفیّة، بل تختصّ بباب المنازعات و المجادلات؛ سواء کان هناک واقع معلوم بحسب الواقع مجهول عندنا،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لفظ المجهول فیما له واقع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لکن التعبیر به إنّما وقع فی روایة محمّد بن حکیم المتقدّمة فقط لا غیر، و تقدّم أنّ السؤال فیها غیر معلوم و غیر مذکور، و حینئذٍ لا یصحّ الأخذ بظاهر الجواب فیها؛ لاحتمال أنّ ما وقع فی السؤال ممّا یصلح قرینة لصرف الجواب عن ظاهره، کما لو فرض وقوع السؤال فیها عمّا لیس له واقع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أصالة عدم القرینة، و مقتضاها بقاء الجواب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یصحّ إذا لم یعلم بسقوط شی‌ء فی السؤال ممّا یصلح للقرینیّة، و أمّا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لهذا جمع بین عنوان المجهول و المشتبه و المُشکِل فی مثل عبارة الشیخ المتقدّمة، و کذلک الشهید و الحلّی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یفرّقا بین تلک العناوین، مع وجود هذه الروایة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فتقدّم الاستصحاب علی القُرعة من باب الورود؛ لارتفاع الجهل و الاشتباه بالقرعة</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بالنسبة إلی أدلّة الشکوک، و هو معنی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898_148202"/>
    </w:p>
    <w:p>
      <w:pPr>
        <w:pStyle w:val="Heading6"/>
        <w:numPr>
          <w:ilvl w:val="5"/>
          <w:numId w:val="1"/>
        </w:numPr>
        <w:rPr/>
      </w:pPr>
      <w:bookmarkStart w:id="556" w:name="__RefHeading___Toc3235078_3224264995"/>
      <w:bookmarkStart w:id="557" w:name="_Toc208"/>
      <w:bookmarkEnd w:id="555"/>
      <w:bookmarkEnd w:id="556"/>
      <w:r>
        <w:rPr>
          <w:rtl w:val="true"/>
        </w:rPr>
        <w:t>تتمّة</w:t>
      </w:r>
      <w:bookmarkEnd w:id="557"/>
    </w:p>
    <w:p>
      <w:pPr>
        <w:pStyle w:val="BookText"/>
        <w:rPr/>
      </w:pPr>
      <w:r>
        <w:rPr>
          <w:rFonts w:ascii="IRNazanin" w:hAnsi="IRNazanin" w:eastAsia="IRNazanin"/>
          <w:color w:val="111111"/>
          <w:sz w:val="28"/>
          <w:sz w:val="28"/>
          <w:szCs w:val="28"/>
          <w:rtl w:val="true"/>
          <w:lang w:bidi="fa-IR"/>
        </w:rPr>
        <w:t>حیث إنّ المقصود من القُرعة ترتیب الآثار و الأحکام علیها، کالحکم بالحرّیّة و المملوکیّة و الإرث و نحو ذلک من الأحکام التی تخالف القواعد و الاصول، فلا بدّ إمّا من إحراز الإطلاق فی روایات القُرعة؛ لتعمّ جمیع موارد المنازعات و تزاحم الحقوق، مع عدم إمکان التصالح بین المتنازعین، أو إحراز عمل الفقهاء بها فی جمیع الموارد المذکورة بنحو الإطلاق، فمع إحراز أحد هذین الأمرین، لا بدّ لمن یدّعی اشتراط القُرعة بکیفیّة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سهام مخصوصة أو دعاء خاصّ أو مُقرع خاصّ، کالإمام أو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إقامة الدلیل علی دعواه؛ لفرض الإطلاق فی الروایات، أو عدم اختصاص بناء العقلاء علی ذلک، فالعمدة إحراز أحد هذین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روایة محمّد بن حکیم</w:t>
      </w:r>
      <w:r>
        <w:rPr>
          <w:rStyle w:val="FootnoteAnchor"/>
          <w:rtl w:val="true"/>
        </w:rPr>
        <w:footnoteReference w:id="659"/>
      </w:r>
      <w:r>
        <w:rPr>
          <w:rFonts w:ascii="IRNazanin" w:hAnsi="IRNazanin" w:eastAsia="IRNazanin"/>
          <w:color w:val="111111"/>
          <w:sz w:val="28"/>
          <w:sz w:val="28"/>
          <w:szCs w:val="28"/>
          <w:rtl w:val="true"/>
          <w:lang w:bidi="fa-IR"/>
        </w:rPr>
        <w:t>فلیست هی فی مقام بیان شرائط القُرعة و من یتصدّی لها، بل هی فی مقام بیان موارد القُرعة و مصبّها، و أنّها جاریة فی جمیع موارد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التی عبّر فیها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فوّضوا أمرهم إلی اللَّه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0"/>
      </w:r>
      <w:r>
        <w:rPr>
          <w:rFonts w:ascii="IRNazanin" w:hAnsi="IRNazanin" w:eastAsia="IRNazanin"/>
          <w:color w:val="111111"/>
          <w:sz w:val="28"/>
          <w:sz w:val="28"/>
          <w:szCs w:val="28"/>
          <w:rtl w:val="true"/>
          <w:lang w:bidi="fa-IR"/>
        </w:rPr>
        <w:t>أو ما یقرب من ذلک، فهی أیضاً لیست فی مقام بیان کیفیّة القُرعة، بل فی مقام بیان أنّه بالقُرعة یخرج سهم المحقّ بالمعنی المتقدّم، خصوصاً التی عبّر فیها بخروج سهم</w:t>
      </w:r>
    </w:p>
    <w:p>
      <w:pPr>
        <w:pStyle w:val="BookText"/>
        <w:rPr/>
      </w:pPr>
      <w:r>
        <w:rPr>
          <w:rFonts w:ascii="Amiri" w:hAnsi="Amiri" w:eastAsia="Amiri" w:cs="Amiri"/>
          <w:color w:val="111111"/>
          <w:sz w:val="28"/>
          <w:sz w:val="28"/>
          <w:szCs w:val="28"/>
          <w:rtl w:val="true"/>
          <w:lang w:bidi="ar-SA"/>
        </w:rPr>
        <w:t>المُحقّ</w:t>
      </w:r>
      <w:r>
        <w:rPr>
          <w:rStyle w:val="FootnoteAnchor"/>
          <w:rtl w:val="true"/>
        </w:rPr>
        <w:footnoteReference w:id="661"/>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الإمام و یقرع</w:t>
      </w:r>
      <w:r>
        <w:rPr>
          <w:rFonts w:eastAsia="IRNazanin" w:cs="IRNazanin"/>
          <w:color w:val="111111"/>
          <w:sz w:val="28"/>
          <w:szCs w:val="28"/>
          <w:rtl w:val="true"/>
          <w:lang w:bidi="fa-IR"/>
        </w:rPr>
        <w:t>)</w:t>
      </w:r>
    </w:p>
    <w:p>
      <w:pPr>
        <w:pStyle w:val="BookText"/>
        <w:rPr/>
      </w:pPr>
      <w:r>
        <w:rPr>
          <w:rStyle w:val="FootnoteAnchor"/>
          <w:rtl w:val="true"/>
        </w:rPr>
        <w:footnoteReference w:id="662"/>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کان یقرع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الروایات التی تدلّ علی أنّها من شئون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یُقرع لو اشتبه علیه میزان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مورد اشتبه فیه الأمر یلزم المتنازعین أن یُقرعوا، بل لو رفعوا الأمر إلی القاضی، فهو یقرع بینهم لو اشتبه علیه أمر القضاء و میزانه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 عدم اختصاصها بالإمام فی بعض الموارد الجزئیّة، مثل موارد قسمة الأموال المشترکة لإخراج السهام، و أمّا فی مقام التنازع و التشاحّ فلا تصحّ دعوی عدم اختصاصها بالإمام القاضی؛ سواء کان إمام العصر عجّل اللَّه فرجه الشریف، و جعلنا لتراب مقدمه الفداء، أو غیره من الحکّام و الولاة من قبلهم</w:t>
      </w:r>
      <w:r>
        <w:rPr>
          <w:rFonts w:eastAsia="IRNazanin" w:cs="IRNazanin"/>
          <w:color w:val="111111"/>
          <w:sz w:val="28"/>
          <w:szCs w:val="28"/>
          <w:rtl w:val="true"/>
          <w:lang w:bidi="fa-IR"/>
        </w:rPr>
        <w:t>.</w:t>
      </w:r>
      <w:bookmarkStart w:id="558" w:name="pg12898_148205"/>
    </w:p>
    <w:p>
      <w:pPr>
        <w:pStyle w:val="Heading2"/>
        <w:numPr>
          <w:ilvl w:val="1"/>
          <w:numId w:val="1"/>
        </w:numPr>
        <w:rPr/>
      </w:pPr>
      <w:bookmarkStart w:id="559" w:name="__RefHeading___Toc3235080_3224264995"/>
      <w:bookmarkStart w:id="560" w:name="_Toc209"/>
      <w:bookmarkEnd w:id="558"/>
      <w:bookmarkEnd w:id="559"/>
      <w:r>
        <w:rPr>
          <w:rtl w:val="true"/>
        </w:rPr>
        <w:t>مبحث التعارض و اختلاف الأدلّة</w:t>
      </w:r>
      <w:bookmarkEnd w:id="560"/>
    </w:p>
    <w:p>
      <w:pPr>
        <w:pStyle w:val="Heading3"/>
        <w:numPr>
          <w:ilvl w:val="2"/>
          <w:numId w:val="1"/>
        </w:numPr>
        <w:rPr/>
      </w:pPr>
      <w:bookmarkStart w:id="561" w:name="__RefHeading___Toc3235082_3224264995"/>
      <w:bookmarkStart w:id="562" w:name="_Toc210"/>
      <w:bookmarkEnd w:id="561"/>
      <w:r>
        <w:rPr>
          <w:rtl w:val="true"/>
        </w:rPr>
        <w:t>اشارة</w:t>
      </w:r>
      <w:bookmarkEnd w:id="56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الورود فی أصل المطلب لا بدّ من ذکر امور</w:t>
      </w:r>
      <w:r>
        <w:rPr>
          <w:rFonts w:eastAsia="IRNazanin" w:cs="IRNazanin"/>
          <w:color w:val="111111"/>
          <w:sz w:val="28"/>
          <w:szCs w:val="28"/>
          <w:rtl w:val="true"/>
          <w:lang w:bidi="fa-IR"/>
        </w:rPr>
        <w:t>:</w:t>
      </w:r>
      <w:bookmarkStart w:id="563" w:name="pg12898_148207"/>
    </w:p>
    <w:p>
      <w:pPr>
        <w:pStyle w:val="Heading3"/>
        <w:numPr>
          <w:ilvl w:val="2"/>
          <w:numId w:val="1"/>
        </w:numPr>
        <w:rPr/>
      </w:pPr>
      <w:bookmarkStart w:id="564" w:name="__RefHeading___Toc3235084_3224264995"/>
      <w:bookmarkStart w:id="565" w:name="_Toc211"/>
      <w:bookmarkEnd w:id="563"/>
      <w:bookmarkEnd w:id="564"/>
      <w:r>
        <w:rPr>
          <w:rtl w:val="true"/>
        </w:rPr>
        <w:t>الأمر الأوّل عدم تعارض العامّ و الخاصّ</w:t>
      </w:r>
      <w:bookmarkEnd w:id="565"/>
    </w:p>
    <w:p>
      <w:pPr>
        <w:pStyle w:val="Heading4"/>
        <w:numPr>
          <w:ilvl w:val="3"/>
          <w:numId w:val="1"/>
        </w:numPr>
        <w:rPr/>
      </w:pPr>
      <w:bookmarkStart w:id="566" w:name="__RefHeading___Toc3235086_3224264995"/>
      <w:bookmarkStart w:id="567" w:name="_Toc212"/>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اختصاص الکلام فی هذا الباب بتعارض الأخبار</w:t>
      </w:r>
    </w:p>
    <w:p>
      <w:pPr>
        <w:pStyle w:val="BookText"/>
        <w:rPr/>
      </w:pPr>
      <w:r>
        <w:rPr>
          <w:rFonts w:ascii="IRNazanin" w:hAnsi="IRNazanin" w:eastAsia="IRNazanin"/>
          <w:color w:val="111111"/>
          <w:sz w:val="28"/>
          <w:sz w:val="28"/>
          <w:szCs w:val="28"/>
          <w:rtl w:val="true"/>
          <w:lang w:bidi="fa-IR"/>
        </w:rPr>
        <w:t>إنّ مبحث التعارض و إن کان بعنوانه أعمّ من عنوان تعارض الأخبار، و هو واضح، و لکن حیث إنّ الأغلب هو تعارض الأخبار خصّوا عنوان البحث بهذا العنوان، دون تعارض قول اللُّغویّین و نحوه، و المذکور فی جمیع أخبار الباب هو عنوانان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تعارض الخبرین کما فی مرفوعة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المتنافیان کما فی سائر الروایات علی اختلافها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باب التعارض مدار هذین العنوانین، بل عنوان الخبرین المتخالفین؛ لأنّ مرجع العنوانین واحد، و هو اختلاف مضمونی الخبرین، و حیث إنّ فهم المعانی و تشخیص موضوعات الأحکام الاصولیّة و الفرعیّة،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3"/>
      </w:r>
      <w:r>
        <w:rPr>
          <w:rFonts w:ascii="IRNazanin" w:hAnsi="IRNazanin" w:eastAsia="IRNazanin"/>
          <w:color w:val="111111"/>
          <w:sz w:val="28"/>
          <w:sz w:val="28"/>
          <w:szCs w:val="28"/>
          <w:rtl w:val="true"/>
          <w:lang w:bidi="fa-IR"/>
        </w:rPr>
        <w:t>، أو الخبرین المتعارضین، منوط بنظر العرف و العقلاء، فلا بدّ من عرض هذا</w:t>
      </w:r>
      <w:bookmarkStart w:id="568" w:name="pg12898_148208"/>
    </w:p>
    <w:p>
      <w:pPr>
        <w:pStyle w:val="BookText"/>
        <w:rPr/>
      </w:pPr>
      <w:bookmarkEnd w:id="568"/>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الخبرین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العرف، و ملاحظة أنّه فی أیّ مورد یصدق علیه هذا العنوان، و أیّ مورد لا یصدق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أیضاً فی أنّ الموجبة الجزئیّة و السالبة الکلّیّة متنافیتان، و کذلک الموجبة الکلّیّة و السالبة الجزئیّة، کما قُرّر ذلک فی المنطق</w:t>
      </w:r>
      <w:r>
        <w:rPr>
          <w:rStyle w:val="FootnoteAnchor"/>
          <w:rtl w:val="true"/>
        </w:rPr>
        <w:footnoteReference w:id="664"/>
      </w:r>
      <w:r>
        <w:rPr>
          <w:rFonts w:ascii="Amiri" w:hAnsi="Amiri" w:eastAsia="Amiri" w:cs="Amiri"/>
          <w:color w:val="111111"/>
          <w:sz w:val="28"/>
          <w:sz w:val="28"/>
          <w:szCs w:val="28"/>
          <w:rtl w:val="true"/>
          <w:lang w:bidi="ar-SA"/>
        </w:rPr>
        <w:t>، و مع ذلک لا یعدّ العامّ و الخاصّ المطلقان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الواردان فی الکتاب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و المقیّد متنافیین بلا إشکال، و لهذا لم یعترض بذلک أحد، مع أنّه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و أنّ هذا هو الاختلاف</w:t>
      </w:r>
      <w:r>
        <w:rPr>
          <w:rFonts w:eastAsia="IRNazanin" w:cs="IRNazanin"/>
          <w:color w:val="111111"/>
          <w:sz w:val="28"/>
          <w:szCs w:val="28"/>
          <w:rtl w:val="true"/>
          <w:lang w:bidi="fa-IR"/>
        </w:rPr>
        <w:t>.</w:t>
      </w:r>
    </w:p>
    <w:p>
      <w:pPr>
        <w:pStyle w:val="Heading4"/>
        <w:numPr>
          <w:ilvl w:val="3"/>
          <w:numId w:val="1"/>
        </w:numPr>
        <w:rPr/>
      </w:pPr>
      <w:bookmarkStart w:id="569" w:name="__RefHeading___Toc3235088_3224264995"/>
      <w:bookmarkStart w:id="570" w:name="_Toc213"/>
      <w:bookmarkEnd w:id="569"/>
      <w:r>
        <w:rPr>
          <w:rtl w:val="true"/>
        </w:rPr>
        <w:t>لزوم فرض التعارض فی محیط التشریع</w:t>
      </w:r>
      <w:bookmarkEnd w:id="57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فرق بین مقام جعل القوانین و الأحکام الکلّیّة و بین المتکلّمین و المصنّفین فی الأحکام الفرعیّة، فإنّه لا ریب فی تناقض العامّ و الخاصّ المتنافیین فی الثانی، کما لو قیل فی موضع من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المعاملة الکذائیّة تُضمن بصحیحها دون فاسدها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یعدّ ذلک تناقضاً، و لا یجمع بینهما بالتخصیص، بخلاف المتکلّم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محیط التقنین و جعل الأحکام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الجاعل هو اللَّه عزّ و جلّ، أم غیره من الموالی العرفیّة، أو النبیّ صلی الله علیه و آله و سلم و الأئمّة علیهم السلام، فإنّ المتعارف فی ذلک المقام هو جعل القوانین الکلّیّة ابتداءً، ثمّ بیان المخصِّصات و المقیّدات، و حیث إنّ ذلک متعارف بین جمیع المقنّنین من الموالی الحقیقیّة و العرفیّة، لا یعدّ ذلک تناقضاً و تنافیاً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تقیید عنوان تعارض الخبرین و تنافی الدلیلین، بکونهما فی مقام التشریع و محیط جعل القوانین، و حینئذٍ یخرج کثیر من الموارد عن دائرة هذا العنوان، کالحاکم و المحکوم، و الوارد و المورود، و العامّ و الخاصّ المطلقین، و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کون العامّ قطعیّ السند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فالسرّ فی تقدیم ذلک کلّه إنّما هو لمکان هذا التعارف، لا من جهة أظهریّة الخاصّ و المقیّد علی العامّ و المطلق، و لا فرق أیضاً بین کون الخاصّ قطعیّ السند و الدلالة أو ظنیّیهما أو قطعیّ السند ظنّیّ الدلالة، و بالعکس؛ کلّ ذلک لأنّ أصالة الجدّ فی العامّ و المطلق ضعیفة؛ لا تقاوم أصالته فی الخاصّ و المقیّد، و لذا لا یجوز التمسّک بهما قبل الفحص عن المخصّص و المقیّد، بل بعد الظفر به أیضاً فی عمومات الکتاب و السُّنّة؛ لاحتمال وجود مخصِّص آخر، بخلاف عمومات الکتب الفرعیّة، فإنّه یتمسّک بعمومها و مطلقاتها بدون الفحص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کون الخاصّ قطعیّاً سنداً و دلالة، فتقدیمه علی العامّ إنّما هو بالتخصّص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و العقلاء؛ لأنّ أصالة العموم و الظهور و أصالة الجدّ إنّما تجری فی العامّ لو لم یقطع بالخلاف، و معه لا تجری أصلًا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یخرج عن تحت التعارض، ما لو کان موضوع أحد الدلیلین هو نفس الشی‌ء بعنوانه الأوّلی، و موضوع الآخر هو بوصف أنّه مشکوک الحکم،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و المشکوک الخمریّة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ینفی أحد الدلیلین موضوع الحکم فی الدلیل الآخر،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بالنسبة إلی الأدلّة المتضمّنة لأحکام الشکوک،</w:t>
      </w:r>
      <w:bookmarkStart w:id="571" w:name="pg12898_148210"/>
    </w:p>
    <w:p>
      <w:pPr>
        <w:pStyle w:val="BookText"/>
        <w:rPr/>
      </w:pPr>
      <w:bookmarkEnd w:id="571"/>
      <w:r>
        <w:rPr>
          <w:rFonts w:ascii="IRNazanin" w:hAnsi="IRNazanin" w:eastAsia="IRNazanin"/>
          <w:color w:val="111111"/>
          <w:sz w:val="28"/>
          <w:sz w:val="28"/>
          <w:szCs w:val="28"/>
          <w:rtl w:val="true"/>
          <w:lang w:bidi="fa-IR"/>
        </w:rPr>
        <w:t>و کذلک الأدلّة المتکفّلة لأحکام العناوین الثانویّة، مثل أدلّة نفی الضرر</w:t>
      </w:r>
      <w:r>
        <w:rPr>
          <w:rStyle w:val="FootnoteAnchor"/>
          <w:rtl w:val="true"/>
        </w:rPr>
        <w:footnoteReference w:id="667"/>
      </w:r>
      <w:r>
        <w:rPr>
          <w:rFonts w:ascii="IRNazanin" w:hAnsi="IRNazanin" w:eastAsia="IRNazanin"/>
          <w:color w:val="111111"/>
          <w:sz w:val="28"/>
          <w:sz w:val="28"/>
          <w:szCs w:val="28"/>
          <w:rtl w:val="true"/>
          <w:lang w:bidi="fa-IR"/>
        </w:rPr>
        <w:t>و الحرج</w:t>
      </w:r>
      <w:r>
        <w:rPr>
          <w:rStyle w:val="FootnoteAnchor"/>
          <w:rtl w:val="true"/>
        </w:rPr>
        <w:footnoteReference w:id="668"/>
      </w:r>
      <w:r>
        <w:rPr>
          <w:rFonts w:ascii="IRNazanin" w:hAnsi="IRNazanin" w:eastAsia="IRNazanin"/>
          <w:color w:val="111111"/>
          <w:sz w:val="28"/>
          <w:sz w:val="28"/>
          <w:szCs w:val="28"/>
          <w:rtl w:val="true"/>
          <w:lang w:bidi="fa-IR"/>
        </w:rPr>
        <w:t>، بالنسبة إلی الأدلّة المتکفّلة لأحکام الموضوعات بعناوینها الأوّلیّة، مثل وجوب الغُسْل و الوضوء و نحوهما، و لهذا لا یوجد مورد یقدّم فیه العامّ أو المطلق أو المحکوم علی الخاصّ و المقیّد و الحاکم</w:t>
      </w:r>
      <w:r>
        <w:rPr>
          <w:rFonts w:eastAsia="IRNazanin" w:cs="IRNazanin"/>
          <w:color w:val="111111"/>
          <w:sz w:val="28"/>
          <w:szCs w:val="28"/>
          <w:rtl w:val="true"/>
          <w:lang w:bidi="fa-IR"/>
        </w:rPr>
        <w:t>.</w:t>
      </w:r>
    </w:p>
    <w:p>
      <w:pPr>
        <w:pStyle w:val="Heading4"/>
        <w:numPr>
          <w:ilvl w:val="3"/>
          <w:numId w:val="1"/>
        </w:numPr>
        <w:rPr/>
      </w:pPr>
      <w:bookmarkStart w:id="572" w:name="__RefHeading___Toc3235090_3224264995"/>
      <w:bookmarkStart w:id="573" w:name="_Toc214"/>
      <w:bookmarkEnd w:id="572"/>
      <w:r>
        <w:rPr>
          <w:rtl w:val="true"/>
        </w:rPr>
        <w:t>کلام المحقّقین فی وجه تقدیم الخاصّ علی العامّ</w:t>
      </w:r>
      <w:bookmarkEnd w:id="573"/>
    </w:p>
    <w:p>
      <w:pPr>
        <w:pStyle w:val="Heading5"/>
        <w:numPr>
          <w:ilvl w:val="4"/>
          <w:numId w:val="1"/>
        </w:numPr>
        <w:rPr/>
      </w:pPr>
      <w:bookmarkStart w:id="574" w:name="__RefHeading___Toc3235092_3224264995"/>
      <w:bookmarkStart w:id="575" w:name="_Toc215"/>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الخاصّ علی العامّ ممّا لا إشکال فیه و لا خلاف، إنّما الإشکال و الخلاف فی وجه تقدیمه، و السرّ فیه و الوجه هو ما ذکرناه</w:t>
      </w:r>
      <w:r>
        <w:rPr>
          <w:rFonts w:eastAsia="IRNazanin" w:cs="IRNazanin"/>
          <w:color w:val="111111"/>
          <w:sz w:val="28"/>
          <w:szCs w:val="28"/>
          <w:rtl w:val="true"/>
          <w:lang w:bidi="fa-IR"/>
        </w:rPr>
        <w:t>.</w:t>
      </w:r>
    </w:p>
    <w:p>
      <w:pPr>
        <w:pStyle w:val="Heading5"/>
        <w:numPr>
          <w:ilvl w:val="4"/>
          <w:numId w:val="1"/>
        </w:numPr>
        <w:rPr/>
      </w:pPr>
      <w:bookmarkStart w:id="576" w:name="__RefHeading___Toc3235094_3224264995"/>
      <w:bookmarkStart w:id="577" w:name="_Toc216"/>
      <w:bookmarkEnd w:id="576"/>
      <w:r>
        <w:rPr>
          <w:rtl w:val="true"/>
        </w:rPr>
        <w:t>کلام الشیخ الأعظم قدس سره و ما یرد علیه</w:t>
      </w:r>
      <w:bookmarkEnd w:id="577"/>
    </w:p>
    <w:p>
      <w:pPr>
        <w:pStyle w:val="BookText"/>
        <w:rPr/>
      </w:pPr>
      <w:r>
        <w:rPr>
          <w:rFonts w:ascii="IRNazanin" w:hAnsi="IRNazanin" w:eastAsia="IRNazanin"/>
          <w:color w:val="111111"/>
          <w:sz w:val="28"/>
          <w:sz w:val="28"/>
          <w:szCs w:val="28"/>
          <w:rtl w:val="true"/>
          <w:lang w:bidi="fa-IR"/>
        </w:rPr>
        <w:t>قال الشیخ الأعظم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یتحقّق الورود و الحکومة بین الاصول العملیّة و الأدلّة الاجتهادیّة، کذلک یتحقّقان فی الأدلّة الاجتهادیّة بالنسبة إلی الاصول اللّفظیّة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الخاصّ قطعیّاً من جمیع الجهات، فهو وارد علی أصالة العموم و نحوها من الاصول اللفظیّة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ظنّیّاً من حیث السند و قطعیّاً من حیث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w:t>
      </w:r>
    </w:p>
    <w:p>
      <w:pPr>
        <w:pStyle w:val="BookText"/>
        <w:rPr/>
      </w:pPr>
      <w:r>
        <w:rPr>
          <w:rFonts w:ascii="IRNazanin" w:hAnsi="IRNazanin" w:eastAsia="IRNazanin"/>
          <w:color w:val="111111"/>
          <w:sz w:val="28"/>
          <w:sz w:val="28"/>
          <w:szCs w:val="28"/>
          <w:rtl w:val="true"/>
          <w:lang w:bidi="fa-IR"/>
        </w:rPr>
        <w:t>الظهور مبتنیة علی أصالة عدم القرینة فهو حاکم، و یحتمل الورود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بابتنائها علی عدم حصول الظنّ المعتبر علی الخلاف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بابتناء حجّیّتها علی الغلبة؛ أی الظنّ النوعی بإرادة الحقیقة الحاصل من الغلبة، فالظاهر أنّ الخاصّ وارد علیها و إن کان ظنّیّاً؛ لأنّ الظاهر أنّ دلیل حجّیّة ذلک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مستند 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بعدم وجود ظنّ معتبر علی خلافه، فإذا وجد ارتفع موضوع 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یکشف عمّا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 و لا نجد من أنفسنا مورداً یقدّم فیه العامّ من حیث هو علی الخاصّ، و إن فرض کونه أضعف الظنون المعتبرة،، و لو کانت حجّیّة ظهور العامّ غیر معلّقة علی عدم الظنّ المعتبر علی خلافه، لوجد مورد یفرض فیه أضعفیّة مرتبة الظنّ الخاصّ من الظنّ العامّ حتّی یُقدّم علیه، أو مکافئة له حتّی 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کون الخاصّ ظاهراً خرج عن النصّ، و صار من باب تعارض الظاهرین، فربّما یقدّم العامّ</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الخاصّ القطعی من جمیع الجهات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الاصطلاح الجاری علی ألسنة الاصولیّین</w:t>
      </w:r>
      <w:r>
        <w:rPr>
          <w:rStyle w:val="FootnoteAnchor"/>
          <w:rtl w:val="true"/>
        </w:rPr>
        <w:footnoteReference w:id="671"/>
      </w:r>
      <w:r>
        <w:rPr>
          <w:rFonts w:ascii="IRNazanin" w:hAnsi="IRNazanin" w:eastAsia="IRNazanin"/>
          <w:color w:val="111111"/>
          <w:sz w:val="28"/>
          <w:sz w:val="28"/>
          <w:szCs w:val="28"/>
          <w:rtl w:val="true"/>
          <w:lang w:bidi="fa-IR"/>
        </w:rPr>
        <w:t>لأنّه یسمّی تخصیصاً فی اصطلاحهم، لا وروداً؛ لأنّ الورود هو خروج شی‌ء عن موضوع الدلیل الآخر تعبّداً وجداناً، مثل ورود الأمارات الشرعیّة علی حدیث الرفع</w:t>
      </w:r>
      <w:r>
        <w:rPr>
          <w:rStyle w:val="FootnoteAnchor"/>
          <w:rtl w:val="true"/>
        </w:rPr>
        <w:footnoteReference w:id="672"/>
      </w:r>
      <w:r>
        <w:rPr>
          <w:rFonts w:ascii="Amiri" w:hAnsi="Amiri" w:eastAsia="Amiri" w:cs="Amiri"/>
          <w:color w:val="111111"/>
          <w:sz w:val="28"/>
          <w:sz w:val="28"/>
          <w:szCs w:val="28"/>
          <w:rtl w:val="true"/>
          <w:lang w:bidi="ar-SA"/>
        </w:rPr>
        <w:t>بناءً علی أنّ 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یقم الحجّة علیه، فمع قیام الدلیل الشرعی یتبدّل الموضوع و ینتفی وجداناً بإعمال</w:t>
      </w:r>
    </w:p>
    <w:p>
      <w:pPr>
        <w:pStyle w:val="BookText"/>
        <w:rPr/>
      </w:pPr>
      <w:r>
        <w:rPr>
          <w:rFonts w:ascii="IRNazanin" w:hAnsi="IRNazanin" w:eastAsia="IRNazanin"/>
          <w:color w:val="111111"/>
          <w:sz w:val="28"/>
          <w:sz w:val="28"/>
          <w:szCs w:val="28"/>
          <w:rtl w:val="true"/>
          <w:lang w:bidi="fa-IR"/>
        </w:rPr>
        <w:t xml:space="preserve">التعبّد، بخلاف خروج زید الغیر العالم عن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یسمّی وروداً، بل هو تخصّص، و ما نحن فیه من هذا القبیل؛ لأنّ خروج الفرد الذی هو مورد الخاصّ القطعی تکوینیّ؛ لعدم إعمال التعبّد و عدم بقاء الشکّ حینئذٍ</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مع عدم قطعیّة الخاصّ من جمیع الجهات، بل حجّیّته بإعمال التعبّد، فهو ورود لا حکومة، فمع فرض تعلیق بناء العقلاء علی أصالة الظهور علی عدم القرینة، فمع التعبّد بوجود القرینة، فهی متحقّقة بالوجدان، و التعبّد إنّما هو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حجّیّة الظواهر مستندة إلی حصول الظنّ النوعی من الغلبة، فالخاصّ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تقدیمه بنحو الحکومة لا الورود؛ لأنّ الاستناد إنّما هو علی الظنّ المذکور، فلو تعبّد بالخاصّ علی الخلاف فذلک حکومة؛ إذ لیس حجّیّة الظهور مستندة و معلّقة علی أصالة عدم القرینة، کما فرضه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وجه تقدیم الخاصّ الظنّیّ السند علی العامّ الظنّی، هو أنّه بنحو الحکومة؛ بمعنی تحکیم دلیل اعتبار السند علی دلیل اعتبار الظهور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الحکومة تفتقر إلی اللسان و اللفظ؛ أی الدلیل اللفظی، و الدلیل علی اعتبار السند هو بناء العقلاء علی حجّیّة خبر الواحد، و هو دلیل</w:t>
      </w:r>
      <w:bookmarkStart w:id="578" w:name="pg12898_148213"/>
    </w:p>
    <w:p>
      <w:pPr>
        <w:pStyle w:val="BookText"/>
        <w:rPr/>
      </w:pPr>
      <w:bookmarkEnd w:id="578"/>
      <w:r>
        <w:rPr>
          <w:rFonts w:ascii="IRNazanin" w:hAnsi="IRNazanin" w:eastAsia="IRNazanin"/>
          <w:color w:val="111111"/>
          <w:sz w:val="28"/>
          <w:sz w:val="28"/>
          <w:szCs w:val="28"/>
          <w:rtl w:val="true"/>
          <w:lang w:bidi="fa-IR"/>
        </w:rPr>
        <w:t>لبّیّ؛ لما تقدّم فی محلّه من عدم ورود آیة و لا روایة فی مقام تأسیس جعْلِ الحجّیّة لخبر الواحد، بل هی فی مقام مطلب آخر، فبناء علی أنّه لا بدّ فی الحکومة أن یکون الدلیل الحاکم مفسِّراً و شارحاً للدلیل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هو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فیفتقر الدلیل الحاکم إلی اللفظ، و لا معنی للحکومة بهذا المعنی فی الأدلّة اللُّبّیّة، فکما أنّ الدلیل علی حجّیّة الظواهر، هو بناء العقلاء علی العمل بها، کذلک الدلیل علی حجّیّة خبر الواحد، هو استقرار بنائهم علی العمل به، و الاستناد إلیه؛ من غیر فرق بینهما فی ذلک، و حینئذٍ فلا نُسلِّم أنّ دلیل اعتبار السند هو مثل الأمارة، و دلیل اعتبار الظواهر هو کالأصل، و مجرّد کون الخاصّ قطعیّ الدلالة، لا یفید إلّا إذا اعتبر سنده، فلو کان التعارض بین دلیل سند الأمارة و بین دلیل حجّیّة ظهور العامّ، فالدلیل علی کلیهما هو بناء العقلاء، فلا وجه للقول بحکومة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نَرَ بالوجدان و لا نری مورداً یقدّم فیه العامّ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یصلح دلیلًا علی أنّ وجه التقدیم ما ذکره</w:t>
      </w:r>
      <w:r>
        <w:rPr>
          <w:rFonts w:eastAsia="IRNazanin" w:cs="IRNazanin"/>
          <w:color w:val="111111"/>
          <w:sz w:val="28"/>
          <w:szCs w:val="28"/>
          <w:rtl w:val="true"/>
          <w:lang w:bidi="fa-IR"/>
        </w:rPr>
        <w:t>.</w:t>
      </w:r>
    </w:p>
    <w:p>
      <w:pPr>
        <w:pStyle w:val="Heading5"/>
        <w:numPr>
          <w:ilvl w:val="4"/>
          <w:numId w:val="1"/>
        </w:numPr>
        <w:rPr/>
      </w:pPr>
      <w:bookmarkStart w:id="579" w:name="__RefHeading___Toc3235096_3224264995"/>
      <w:bookmarkStart w:id="580" w:name="_Toc217"/>
      <w:bookmarkEnd w:id="579"/>
      <w:r>
        <w:rPr>
          <w:rtl w:val="true"/>
        </w:rPr>
        <w:t>کلام صاحب الکفایة و نقده</w:t>
      </w:r>
      <w:bookmarkEnd w:id="580"/>
    </w:p>
    <w:p>
      <w:pPr>
        <w:pStyle w:val="BookText"/>
        <w:rPr/>
      </w:pPr>
      <w:r>
        <w:rPr>
          <w:rFonts w:ascii="IRNazanin" w:hAnsi="IRNazanin" w:eastAsia="IRNazanin"/>
          <w:color w:val="111111"/>
          <w:sz w:val="28"/>
          <w:sz w:val="28"/>
          <w:szCs w:val="28"/>
          <w:rtl w:val="true"/>
          <w:lang w:bidi="fa-IR"/>
        </w:rPr>
        <w:t>قال المحقّق الخراسانی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تقدیم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الخاصّ فی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نصّ، أو أظهر من ظهور العامّ فی مدلوله، و النصّ و الأظهر مقدّمان علی الظاهر عند العرف</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أظهریّة الخاصّ غالباً و بحسب النوع من العامّ ممنوعة، فإنّ دلالة کلّ واحد من مفردات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بهیئته و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مفاده و مدلوله، لیست أظهر من دلالة کلّ واحد من مفردات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p>
    <w:p>
      <w:pPr>
        <w:pStyle w:val="BookText"/>
        <w:rPr/>
      </w:pPr>
      <w:r>
        <w:rPr>
          <w:rFonts w:ascii="IRNazanin" w:hAnsi="IRNazanin" w:eastAsia="IRNazanin"/>
          <w:color w:val="111111"/>
          <w:sz w:val="28"/>
          <w:sz w:val="28"/>
          <w:szCs w:val="28"/>
          <w:rtl w:val="true"/>
          <w:lang w:bidi="fa-IR"/>
        </w:rPr>
        <w:t>فإنّ دلالة هیئة الأمر علی البعث و الوجوب، مثل دلالة هیئة النهی علی الزجر و الحرمة، و کذلک مادّتهما، و لیس للمجموع وضع آخر یوجب أظهریّة الأوّل من الثانی، فلا فرق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دعوی أظهریّة الخاصّ،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لدعوی أضعفیّة دلالة الألفاظ المستعملة فی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واحد منها فی مدلوله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الألفاظ المستعملة فی الخاصّ؛ کلٍّ علی مدلوله الموضوع له مادّة و هیئة، فهو خلاف الضرورة؛ لأنّ هیئات الألفاظ المفردة فی کلّ واحد من العامّ و الخاصّ، علی حدّ سواء فی الدلالة علی معانیها المفردة الموضوعة لها؛ لأنّها مستعملة فی الموضوع لها بالوضع النوعی، مثل هیئة الفاعل أو هیئة الأمر و النهی الموضوعة لمعانیها بالوضع النوعی، فلا فرق بینهما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لدعوی ابتناء أظهریّة دلالة الخاصّ علی دعوی وضع علی حدة لمجموع الجملة فیه، فلأجل هذا الوضع هو أظهر 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ثبوت الوضع لمجموع الجملة سوی وضع مفرداتها، مع أنّه لا فرق بینهما من هذه الجهة، فلو فرض ثبوت وضع آخر للجملة فی الخاصّ فالعامّ أیضاً کذلک، و لا اختصاص له بالخاصّ؛ لیصیر أظهر، و إمّا لأنّ العامّ؛ حیث إنّ أفراده أکثر من أفراد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الأفراد النفس الأمریّة للعام التی منها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العامّ علی وجوب إکرام الفسّاق أضعف من دلالة الخاصّ علی حرمة إکرامهم؛ لقلّة أفراده بالنسبة إلی العامّ، المستلزمة لأقوائیّة دلالته من دلالة العامّ علی وجوب إکرامهم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للفظ العامّ علی الأفراد، و لا الخاصّ علی أفراده؛ حتّی یقال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مدلول الأوّل أکثر من مدلول الثانی؛ لأنّ وضع المشتقّات و کذلک الموضوع له فیها عامّ، و کذلک المستعمل فیه فیها، کما هو مذهبه قدس سره، و صرّح به، فهی لم توضع للأفراد</w:t>
      </w:r>
      <w:bookmarkStart w:id="581" w:name="pg12898_148215"/>
    </w:p>
    <w:p>
      <w:pPr>
        <w:pStyle w:val="BookText"/>
        <w:rPr/>
      </w:pPr>
      <w:bookmarkEnd w:id="581"/>
      <w:r>
        <w:rPr>
          <w:rFonts w:ascii="IRNazanin" w:hAnsi="IRNazanin" w:eastAsia="IRNazanin"/>
          <w:color w:val="111111"/>
          <w:sz w:val="28"/>
          <w:sz w:val="28"/>
          <w:szCs w:val="28"/>
          <w:rtl w:val="true"/>
          <w:lang w:bidi="fa-IR"/>
        </w:rPr>
        <w:t>کی تدلّ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من ذلک دلالة أداة الاستغراق،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منهما لم یوضع للأفراد، بل هما موضوعان للدلالة علی الکثرة أی کثرة مدخولهما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به أنّ انطباق المعنی و المدلول علی أفراده الذاتیّة فی العامّ، أضعف من انطباق معنی الخاصّ علی أفراده؛ لکثرة الاولی و قلّة الثانیة، فأوجب ذلک ضعف دلالة العامّ بالنسبة إلی الخاصّ و شموله لأفراده، فهو أسوأ حالًا ممّا قبله؛ لأنّ انطباق المعنی علی الأفراد أمر قهریّ عقلیّ، لا دَخْل له بمسألة الدلالة، التی هی مقام الظهور و الأظهریّة، فاللفظ إنّما یدلّ علی معناه، و المعنی ینطبق علی الأفراد، و هو غیر دلالة اللفظ علی الافراد، و لذا یدلّ اللفظ علی معناه الموضوع له؛ سواء وُجد له مصداق فی الخارج أم لا، و لا دَخْل لکثرة الأفراد و قلّتها، و کونها متناهیة أو غیر متناهیة، کثیرة أو قلیلة؛ من غیر فرق بینهما فی دلالة اللفظ علی معناه،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معناه الکلّی العامّ،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ینطبق المعنی فی کلّ واحد منهما علی أفراده</w:t>
      </w:r>
      <w:r>
        <w:rPr>
          <w:rFonts w:eastAsia="IRNazanin" w:cs="IRNazanin"/>
          <w:color w:val="111111"/>
          <w:sz w:val="28"/>
          <w:szCs w:val="28"/>
          <w:rtl w:val="true"/>
          <w:lang w:bidi="fa-IR"/>
        </w:rPr>
        <w:t>.</w:t>
      </w:r>
    </w:p>
    <w:p>
      <w:pPr>
        <w:pStyle w:val="Heading5"/>
        <w:numPr>
          <w:ilvl w:val="4"/>
          <w:numId w:val="1"/>
        </w:numPr>
        <w:rPr/>
      </w:pPr>
      <w:bookmarkStart w:id="582" w:name="__RefHeading___Toc3235098_3224264995"/>
      <w:bookmarkStart w:id="583" w:name="_Toc218"/>
      <w:bookmarkEnd w:id="582"/>
      <w:r>
        <w:rPr>
          <w:rtl w:val="true"/>
        </w:rPr>
        <w:t>کلام شیخنا الحائری قدس سره و ما یرد علیه</w:t>
      </w:r>
      <w:bookmarkEnd w:id="583"/>
    </w:p>
    <w:p>
      <w:pPr>
        <w:pStyle w:val="BookText"/>
        <w:rPr/>
      </w:pPr>
      <w:r>
        <w:rPr>
          <w:rFonts w:ascii="IRNazanin" w:hAnsi="IRNazanin" w:eastAsia="IRNazanin"/>
          <w:color w:val="111111"/>
          <w:sz w:val="28"/>
          <w:sz w:val="28"/>
          <w:szCs w:val="28"/>
          <w:rtl w:val="true"/>
          <w:lang w:bidi="fa-IR"/>
        </w:rPr>
        <w:t xml:space="preserve">قال الاستاذ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 الخاصّ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اعتبار السند فی الخاصّ یجعل ظهور العامّ فی الخاصّ بمنزلة معلوم الخلاف</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رتبة السند متقدّمة علی رتبة المتن فی الروایات، و لهذا فلا مزاحم لدلیل اعتبار السند فی مرتبته، فدلیل اعتبار سنده یحقّق القرینة، و المفروض أنّ</w:t>
      </w:r>
    </w:p>
    <w:p>
      <w:pPr>
        <w:pStyle w:val="BookText"/>
        <w:rPr/>
      </w:pPr>
      <w:r>
        <w:rPr>
          <w:rFonts w:ascii="IRNazanin" w:hAnsi="IRNazanin" w:eastAsia="IRNazanin"/>
          <w:color w:val="111111"/>
          <w:sz w:val="28"/>
          <w:sz w:val="28"/>
          <w:szCs w:val="28"/>
          <w:rtl w:val="true"/>
          <w:lang w:bidi="fa-IR"/>
        </w:rPr>
        <w:t>الخاصّ قطعیّ الدلالة، فیرفع به موضوع دلیل اعتبار الظهور فی العامّ، و ینتفی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ذکر فی الشکّ السببی و المسبّبی، فحیث انّ الشکّ السببی متقدّم بالطبع علی الشکّ المسبّبی، یشمله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Style w:val="FootnoteAnchor"/>
          <w:rtl w:val="true"/>
        </w:rPr>
        <w:footnoteReference w:id="676"/>
      </w:r>
      <w:r>
        <w:rPr>
          <w:rFonts w:ascii="IRNazanin" w:hAnsi="IRNazanin" w:eastAsia="IRNazanin"/>
          <w:color w:val="111111"/>
          <w:sz w:val="28"/>
          <w:sz w:val="28"/>
          <w:szCs w:val="28"/>
          <w:rtl w:val="true"/>
          <w:lang w:bidi="fa-IR"/>
        </w:rPr>
        <w:t>فی مرتبة متقدّمة علی شموله للشکّ المسبّبی بلا معارض، و یرتفع به موضوع الدلیل فی الشکّ المسبّبی</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للقول بتقدّم رتبة السند علی رتبة الدلالة طبعاً؛ لأنّ للتقدّم الطبعی ملاکاً من العلّیّة و المعلولیّة أو جزئیة شی‌ء لشی‌ء، و هذا الملاک مفقود فیما نحن فیه،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متقدّماً فی التحقّق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متن الحدیث، لکن لیس فیه ملاک التقدّم الرتبی و الطبعی، کأجزاء الکلام الصادرة من المتکلّم تدریجاً، فإنّ بعض أجزائه متقدّم علی البعض الآخر بحسب الزمان، لکنّه لیس متقدّماً علیه رتبة؛ لافتقار التقدّم الرُّتبی إلی ملاک مفقود فیه، و لهذا لا یقدّم العامّ الصادر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صدور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مع أنّه فی أوان صدوره بلا معارض، و حینئذٍ فرق بین ما نحن فیه و بین الشکّ السببی و المسبّبی؛ من حیث تأخّر مرتبة الشکّ المسبّبی عن مرتبة الشکّ السببی؛ لنشوه عنه و علّیّة الشکّ السببی له، فملاک التقدّم و التأخّر الرتبیّین متحقّق فیهما، بخلاف متن الخبر و سنده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رتبة السند متقدّمة علی رتبة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الشکّ السببی و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موجودان فی الخارج معاً، فلا تقدّم لأحدهما علی الآخر فی الوجود الخارجی فی نظر العرف، و دلیل الاعتبار منزّل علی الفهم العرفی، فلا بدّ من ملاحظة الانفهامات العرفیّة فی ذلک، و لا ریب أنّه لا تقدّم لأحدهما علی الآخر فی أنظار العرف</w:t>
      </w:r>
      <w:bookmarkStart w:id="584" w:name="pg12898_148217"/>
    </w:p>
    <w:p>
      <w:pPr>
        <w:pStyle w:val="BookText"/>
        <w:rPr/>
      </w:pPr>
      <w:bookmarkEnd w:id="584"/>
      <w:r>
        <w:rPr>
          <w:rFonts w:ascii="IRNazanin" w:hAnsi="IRNazanin" w:eastAsia="IRNazanin"/>
          <w:color w:val="111111"/>
          <w:sz w:val="28"/>
          <w:sz w:val="28"/>
          <w:szCs w:val="28"/>
          <w:rtl w:val="true"/>
          <w:lang w:bidi="fa-IR"/>
        </w:rPr>
        <w:t>و العقلاء، فالتقدّم الرُّتبی لا یوجب شمول دلیل الاعتبار للمتقدّم رتبة فقط، کما تقدّم نظیره فی الاستصحاب السببی و المسبّبی،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تقدّم الشکّ السببی رتبة، لا یوجب 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 انطباقه علیه فقط و بلا معارض، بل التقدّم الزمانی أیضاً لا یوجب ذلک، و لذا یقدّم الخاصّ علی العامّ فی جمیع الموارد، مع أنّ الغالب تقدّم صدور العامّ زماناً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أنّ سند کلّ خبر متقدّم فی الرُّتبة علی متنه، و شمول دلیل الاعتبار له قبل شمول دلیل اعتبار ظهوره، لکن دلیل سند الخاصّ لیس متقدّماً علی دلیل اعتبار ظهور العامّ، و لو فرض أنّ ظهور العامّ فی مرتبة ظهور الخاصّ و معه، و سند الخاصّ فی مرتبة سند العامّ، لکن سند کلّ خبر متقدّم علی ظهور ذلک الخبر، لا علی ظهور خبر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مع المتقدّم متقدّم علی ما هو متأخّر، و ما مع المتأخّر متأخّر علی ما هو متقدّم، و ذُکر لذلک أمثلة، فإنّ من کان فی عصر متقدّم علی من هو فی عصر متأخّر، متقدّمٌ علیه أیضاً، فمن هو فی عصر الأوّل متقدّم علی من هو فی عصر المتأخّر، و غیر ذلک من الأمثلة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سند الخاصّ متقدّم علی ظهور العامّ؛ لأنّ ظهور العامّ فی مرتبة ظهور الخاصّ المتأخّر عن سند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یصحّ فی الأمثلة العرفیّة و التقدّم الزمانی، و أمّا التقدّم الرُّتبی العقلی فلا تصحّ فیه تلک القاعدة؛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ملاکاً خاصّاً مفقود فی المقام</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235100_3224264995"/>
      <w:bookmarkStart w:id="586" w:name="_Toc219"/>
      <w:bookmarkEnd w:id="585"/>
      <w:r>
        <w:rPr>
          <w:rtl w:val="true"/>
        </w:rPr>
        <w:t>کلام المیرزا النائینی قدس سره و نقده</w:t>
      </w:r>
      <w:bookmarkEnd w:id="58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النائینی قدس سره فی وجه تقدّم الخاصّ علی العامّ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الظهور فی الخاصّ متقدّمة دائماً علی أصالة الظهور فی العامّ؛ و لو فرض کون ظهور</w:t>
      </w:r>
    </w:p>
    <w:p>
      <w:pPr>
        <w:pStyle w:val="BookText"/>
        <w:rPr/>
      </w:pPr>
      <w:r>
        <w:rPr>
          <w:rFonts w:ascii="IRNazanin" w:hAnsi="IRNazanin" w:eastAsia="IRNazanin"/>
          <w:color w:val="111111"/>
          <w:sz w:val="28"/>
          <w:sz w:val="28"/>
          <w:szCs w:val="28"/>
          <w:rtl w:val="true"/>
          <w:lang w:bidi="fa-IR"/>
        </w:rPr>
        <w:t xml:space="preserve">العامّ أقوی من ظهور الخاصّ؛ لأنّ الخاصّ بالنسبة إلی العامّ کالقرینة بالنسبة إلی ذی القرینة، و لذا لو صدر العامّ و الخاصّ فی مجلس واحد، فالخاصّ قرینة علی التصرّف فی العامّ عرفاً بلا إشکال، و ظهور القرینة و إن کان ضعیفاً، فهو مقدّم عرفاً علی ظهور ذی القرینة و إن کان قویّاً، و لهذا یقدّم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رمی النبل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المفترس، و إن کان الأوّل مستفاداً من الإطلاق و الثانی من الوضع، فحیث إنّ العامّ و الخاصّ کذلک یقدّم الخاصّ علیه</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ینحلّ إلی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الخاصّ بالنسبة إلی العامّ، مثل القرینة بالنسبة إلی 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ظهور القرینة علی ذی القرینة، لیس لأجل الأظهریّة و نحوها، بل هو لأجل خصوصیّة کامنة فی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واحدة من الدعویین محلّ نظر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القرینة لیست مشخَّصةً معیّنة فی الکلام ابتداءً عند العقلاء و الانفهامات العرفیّة، فإنّه لو القی إلینا کلام، یتردّد الأمر فیه بین قرینیّة کلّ جزء منه لصرف الآخر عن ظهوره؛ بأن یکون کلّ واحد من أجزائه صالحاً لذلک، فمن أین تتشخّص و تتمیّز القرینة عن ذی القرینة، کالمثال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عمّا هو المرتکز فی الأذهان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الناشئ عن کثرة فرض ذلک، فإنّ کلّ واحد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یصلح للقرینیّة لصرف الظهور عن الآخر، فلو لا أظهریّة أحدهما، و عدم لسان الحکومة فی أحدهما علی الآخر فبِمَ یتعیّن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و الآخر ذی القرینة، فتقدّم أصالة الظهور فی</w:t>
      </w:r>
    </w:p>
    <w:p>
      <w:pPr>
        <w:pStyle w:val="BookText"/>
        <w:rPr/>
      </w:pPr>
      <w:r>
        <w:rPr>
          <w:rFonts w:ascii="IRNazanin" w:hAnsi="IRNazanin" w:eastAsia="IRNazanin"/>
          <w:color w:val="111111"/>
          <w:sz w:val="28"/>
          <w:sz w:val="28"/>
          <w:szCs w:val="28"/>
          <w:rtl w:val="true"/>
          <w:lang w:bidi="fa-IR"/>
        </w:rPr>
        <w:t>القرینة علی أصالة الظهور فی ذی القرینة یتوقّف علی تشخیص القرینة و تمییزها عن ذی القرینة، فإنّ تشخیص القرینة و تمییزها عن ذی القرینة بأصالة الظهور، یستلزم الدور الصریح، فلو لا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تقدّم ظهور أحد اللّفظین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یصلح ما ذکره قدس سره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ممنوعة؛ إذ لا ریب و لا إشکال فی تقدّم ظهور الخاصّ علی ظهور العامّ؛ سواء کان فی مجلس واحد أم لا، کما تقدّم و إنّما الکلام و الاختلاف فی وجه التقدیم، و عرفت ما هو التحقیق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المُلقی من المولی إلی الرعیّة یحتاج إلی رفع الشکوک، و سدّ باب الاحتمالات المتطرّقة فیه، فإنّ منها احتمال التجوّز، إن لم ینصب قرینة علیه، کأن یحتمل استعماله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فرقة خاصّة منهم، کالفقهاء فقط، أو بنحو الحقیقة الادّعائیّة مع استعمال اللفظ فی معناه الموضوع له؛ بادّعاء أنّ العلماء هم الفقهاء فقط، فالرافع لهذا الشکّ و الاحتمال هو أصالة الحقیقة أو العموم أو عدم القرینة و نحوها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یحتمل المجازیّة بأحد النحوین المذکورین، و لکن فرض أنّ المتکلّم فی مقام جعل القوانین، و عُلِمَ أنّ عادته استعمال الألفاظ فی معانیها، لکن قد تتعلّق إرادته الجدّیة ببعث المکلّفین نحو الإتیان بجمیع الأفراد، و قد لا تتعلّق إرادته الجدّیّة کذلک، بل ببعثهم إلی الإتیان ببعض الأفراد، لکن لا یرید بیانه و إفهامه فعلًا لمصلحة، مع ظهور الکلام فی العموم،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موافقة الإرادة الجدّیّة، الاستعمالیّة بعد الفحص و الیأس عن المخصِّص و المقیِّد تجری فیه أصالة تطابق الجدّ و الاستعمال، التی عبّر عنها القوم بأصالة الجهة، و یرفع بها الشکّ، و باب العامّ و الخاصّ من هذا القبیل، و لا ارتباط له بباب المجازات مطلقاً</w:t>
      </w:r>
      <w:r>
        <w:rPr>
          <w:rFonts w:eastAsia="IRNazanin" w:cs="IRNazanin"/>
          <w:color w:val="111111"/>
          <w:sz w:val="28"/>
          <w:szCs w:val="28"/>
          <w:rtl w:val="true"/>
          <w:lang w:bidi="fa-IR"/>
        </w:rPr>
        <w:t>.</w:t>
      </w:r>
      <w:bookmarkStart w:id="587" w:name="pg12898_148220"/>
    </w:p>
    <w:p>
      <w:pPr>
        <w:pStyle w:val="Heading5"/>
        <w:numPr>
          <w:ilvl w:val="4"/>
          <w:numId w:val="1"/>
        </w:numPr>
        <w:rPr/>
      </w:pPr>
      <w:bookmarkStart w:id="588" w:name="__RefHeading___Toc3235102_3224264995"/>
      <w:bookmarkStart w:id="589" w:name="_Toc220"/>
      <w:bookmarkEnd w:id="587"/>
      <w:bookmarkEnd w:id="588"/>
      <w:r>
        <w:rPr>
          <w:rtl w:val="true"/>
        </w:rPr>
        <w:t>بیان أصالتی الحقیقة و الجدّ</w:t>
      </w:r>
      <w:bookmarkEnd w:id="58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أصالة العموم أو الحقیقة أو الظهور و نحوها، و الثانی أصالة الجدّ، و أنّ الاولی إنّما تجری فیما لو شکّ فی استعمال اللفظ فی غیر ما وُضع له أوّلًا، و الثانیة فیما لو شکّ فی تطابق جدّه مع الاستعمال؛ بعد فرض العلم باستعماله فیما وضع له، لکن مرجع الاولی إلی أصالة عدم الغلط و الاشتباه و عدم الإغراء بالجهل؛ حیث إنّ استعماله فی غیر ما وضع له، مع عدم نصب القرینة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احتمال الاشتباه و الغلط فی عدم نصب القرینة، أو لاحتمال تعمّده له؛ لقصد الإغراء بالجهل، و کلّ هذا مخالف للأصل، بل لا معنی لأصالة الظهور، إلّا أن یقدّر فی الکلام مضاف،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إرادة الظهور التی مرجعها إلی أصالة الجدّ، 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أصالة 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مبنی الحجّیّة، و لا ریب فی أنّ مبناها أصالة عدم الغلط و الاشتباه و الإغراء بالجهل</w:t>
      </w:r>
      <w:r>
        <w:rPr>
          <w:rFonts w:eastAsia="IRNazanin" w:cs="IRNazanin"/>
          <w:color w:val="111111"/>
          <w:sz w:val="28"/>
          <w:szCs w:val="28"/>
          <w:rtl w:val="true"/>
          <w:lang w:bidi="fa-IR"/>
        </w:rPr>
        <w:t>.</w:t>
      </w:r>
      <w:bookmarkStart w:id="590" w:name="pg12898_148221"/>
    </w:p>
    <w:p>
      <w:pPr>
        <w:pStyle w:val="Heading3"/>
        <w:numPr>
          <w:ilvl w:val="2"/>
          <w:numId w:val="1"/>
        </w:numPr>
        <w:rPr/>
      </w:pPr>
      <w:bookmarkStart w:id="591" w:name="__RefHeading___Toc3235104_3224264995"/>
      <w:bookmarkStart w:id="592" w:name="_Toc221"/>
      <w:bookmarkEnd w:id="590"/>
      <w:bookmarkEnd w:id="591"/>
      <w:r>
        <w:rPr>
          <w:rtl w:val="true"/>
        </w:rPr>
        <w:t>الأمر الثانی فی عدم شمول أخبار العلاج للعامّ و الخاصّ</w:t>
      </w:r>
      <w:bookmarkEnd w:id="592"/>
    </w:p>
    <w:p>
      <w:pPr>
        <w:pStyle w:val="Heading4"/>
        <w:numPr>
          <w:ilvl w:val="3"/>
          <w:numId w:val="1"/>
        </w:numPr>
        <w:rPr/>
      </w:pPr>
      <w:bookmarkStart w:id="593" w:name="__RefHeading___Toc3235106_3224264995"/>
      <w:bookmarkStart w:id="594" w:name="_Toc222"/>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فظهر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الحاکم و المحکوم و العامّ و الخاصّ و المطلق و المقیّد عن تحت أخبار العلاج و تعارض الخبرین؛ لعدم صدق التعارض فی الأوّل عرفاً أصلًا، و فی الأخیرین بعد التأمّل، فإنّ المستفاد من أخبار التعارض و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بما ذُکر منها إنّما هو إذا کان بین الخبرین تنافٍ فی مضمونیهما، و تحیّر المکلّف فیهما، فمع الجمع العرفی بینهما یخرجان عن تحت الأخبار وفاقاً للمشهور</w:t>
      </w:r>
      <w:r>
        <w:rPr>
          <w:rFonts w:eastAsia="IRNazanin" w:cs="IRNazanin"/>
          <w:color w:val="111111"/>
          <w:sz w:val="28"/>
          <w:szCs w:val="28"/>
          <w:rtl w:val="true"/>
          <w:lang w:bidi="fa-IR"/>
        </w:rPr>
        <w:t>.</w:t>
      </w:r>
    </w:p>
    <w:p>
      <w:pPr>
        <w:pStyle w:val="Heading4"/>
        <w:numPr>
          <w:ilvl w:val="3"/>
          <w:numId w:val="1"/>
        </w:numPr>
        <w:rPr/>
      </w:pPr>
      <w:bookmarkStart w:id="595" w:name="__RefHeading___Toc3235108_3224264995"/>
      <w:bookmarkStart w:id="596" w:name="_Toc223"/>
      <w:bookmarkEnd w:id="595"/>
      <w:r>
        <w:rPr>
          <w:rtl w:val="true"/>
        </w:rPr>
        <w:t xml:space="preserve">کلام المحقّق الخراسانی و شیخنا العلّامة </w:t>
      </w:r>
      <w:r>
        <w:rPr/>
        <w:t>0</w:t>
      </w:r>
      <w:bookmarkEnd w:id="596"/>
    </w:p>
    <w:p>
      <w:pPr>
        <w:pStyle w:val="Heading5"/>
        <w:numPr>
          <w:ilvl w:val="4"/>
          <w:numId w:val="1"/>
        </w:numPr>
        <w:rPr/>
      </w:pPr>
      <w:bookmarkStart w:id="597" w:name="__RefHeading___Toc3235110_3224264995"/>
      <w:bookmarkStart w:id="598" w:name="_Toc224"/>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 xml:space="preserve">لکن 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أنّه لا تعارض فی موارد الجمع العرفی، و لا یشمله ما یقتضیه الأصل فی المتعارضین؛ من سقوط أحدهما رأساً، أو کلّ منهما، فهل التخییر أو الترجیح یختصّ أیضاً بغیر موارده أو یعمّها؟</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 قُصاری ما یقال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الأخبار العلاجیّة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 و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أو الترجیح فی موارد التحیّر؛ ممّا لا یکاد یُستفاد المراد هناک عرفاً، لا فیما یستفاد و لو بالتوفیق، فإنّه من أنحاء طرق الاستفادة عند أبناء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مساعدة العرف علی الجمع و ارتکازه فی أذهانهم علی وجه وثیق، لا یوجب اختصاص السؤالان بغیر موارد الجمع؛ لصحّة السؤال بملاحظة التحیّر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یتراءی من المعارضة و إن کان یزول عرفاً بحسب المآل، أو للتحیّر فی الحکم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یتحیّر فیه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کافٍ فی صحّة السؤال، مع إمکان أن یکون السؤال لاحتمال الردع شرعاً عن هذه الطریقة المتعارفة بین أبناء المحاورة، و جُلّ العناوین المأخوذة فی أسئلة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فی مثل العامّ و الخاصّ و المطلق و المقیّد کانت علیه السیرة القطعیّة من لدن زمان الأئمّة علیهم السلام، و هی کاشفة إجمالًا عمّا یوجب تخصیص أخبار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بأخبار العلاج ردع عمّا هو علیه بناء العقلاء و سیرة العلماء؛ من التوفیق و حمل الظاهر علی الأظهر</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تقدیم العرف الخاصّ علی العامّ، لا یستلزم حمل الأسئلة الواردة فی الأخبار علی غیر الموارد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یقرب ممّا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عموم الأخبار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مکاتبة الحمیری إلی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الجواب عن ذلک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حالة إلی اخری، فعلیه التکبیر، و أمّا الآخر فإنّه روی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Fonts w:eastAsia="IRNazanin" w:cs="IRNazanin"/>
          <w:color w:val="111111"/>
          <w:sz w:val="28"/>
          <w:szCs w:val="28"/>
          <w:rtl w:val="true"/>
          <w:lang w:bidi="fa-IR"/>
        </w:rPr>
        <w:t>)</w:t>
      </w:r>
    </w:p>
    <w:p>
      <w:pPr>
        <w:pStyle w:val="BookText"/>
        <w:rPr/>
      </w:pP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روایاتهم عن أبی عبد اللَّه علیه السلام فی رکعتی الفجر فی السفر، فروی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فی المحمل، و 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تصلِّها إلّا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علیک بأیّةٍ عملت</w:t>
      </w:r>
      <w:r>
        <w:rPr>
          <w:rFonts w:eastAsia="Amiri" w:cs="Amiri" w:ascii="Amiri" w:hAnsi="Amiri"/>
          <w:color w:val="111111"/>
          <w:sz w:val="28"/>
          <w:szCs w:val="28"/>
          <w:rtl w:val="true"/>
          <w:lang w:bidi="ar-SA"/>
        </w:rPr>
        <w:t>)</w:t>
      </w:r>
    </w:p>
    <w:p>
      <w:pPr>
        <w:pStyle w:val="BookText"/>
        <w:rPr/>
      </w:pP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فی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الأوّل، و مع ذلک حکم علیه السلام بالتخییر، و أنّ الروایتین فی الخبر الثانی من قبیل النصّ و الظاهر؛ لأنّ الاولی نصّ فی الجواز، و الثانیة ظاهرة فی عدمه؛ لإمکان حملها علی الأفضلیّة، و مع ذلک حکم علیه السلام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السیرة القطعیّة بالتوفیق بین العامّ و الخاصّ و المطلق و المقیّد من لدن زمان الأئمّة علیهم السلام، و عدم رجوع أحد من العلماء إلی المرجّحات الاخر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یمکن منعها،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لما خفیت علی مثل شیخ الطائفة، فلا یظنّ بالسیرة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القطع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ذهاب مثله إلی العمل بالمرجّحات فی تعارض النصّ و الظاهر، کما یظهر من عبارته المحکیّة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682"/>
      </w:r>
      <w:bookmarkStart w:id="599" w:name="pg12898_148224"/>
    </w:p>
    <w:p>
      <w:pPr>
        <w:pStyle w:val="BookText"/>
        <w:rPr/>
      </w:pPr>
      <w:bookmarkEnd w:id="59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 و قد نقل العبارتین شیخنا المرتضی فی رسالة التعادل و الترجیح</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600" w:name="__RefHeading___Toc3235112_3224264995"/>
      <w:bookmarkStart w:id="601" w:name="_Toc225"/>
      <w:bookmarkEnd w:id="600"/>
      <w:r>
        <w:rPr>
          <w:rtl w:val="true"/>
        </w:rPr>
        <w:t xml:space="preserve">الإشکال علی کلام العلمین </w:t>
      </w:r>
      <w:r>
        <w:rPr/>
        <w:t>0</w:t>
      </w:r>
      <w:bookmarkEnd w:id="6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یتوجّه لو کان السؤال فی الأخبار العلاجیّة عن خصوص العامّ و الخاصّ، فإنّه حینئذٍ تتوجّه الاحتمالات التی ذکرها، لکن السؤال فیها إنّما هو عن تعارض الخبرین بعنوان کلّیّ، و مصبّ جواب الإمام علیه السلام بما ذکره فیها، هو ما صدق علیه التعارض عرفاً، و أمّا مع عدم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العامّ و الخاصّ المطلقین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السؤال فیها عن الحکم الواقعی فی جمیع الوقائع فی المتعارضین، لا عن الحکم الظاهری فیهما، کما تری؛ لامتناع ذلک لعدم إمکان الجواب عن جمیعها مع کثرة أفرادها؛ لإمکان وقوع التعارض فی أغلب المسائل المتفرّقة من مسائل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أن یکون مراده قدس سره من الحکم الذی وقع فی السؤال، هو الحکم الواقعی؛ لتعارض الأخبار، مع وضوح حکمه الظاهری؛ أی الجمع العرفی فی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المتعارضین حکم ظاهریّ لا واقعیّ؛ لأخذ الشکّ و التحیّر فی موضوعه، فالسؤال إنّما هو عن حکمهما الظاهری، لا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العناوین المسئول عنها فی أخبار العلاج، هو عنوان المتعارضین أو المختلفین و نحو ذلک، و لا تصدق هذه العناوین علی الخبرین اللّذین بینهما الجمع العرفی؛ لعدم صدق التعارض و الاختلاف علیهما عند العرف و العقلاء</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فاحتمال أنّ المرکوز فی ذهن السائل، هو السؤال عن الحکم الواقعی</w:t>
      </w:r>
    </w:p>
    <w:p>
      <w:pPr>
        <w:pStyle w:val="BookText"/>
        <w:rPr/>
      </w:pPr>
      <w:r>
        <w:rPr>
          <w:rFonts w:ascii="IRNazanin" w:hAnsi="IRNazanin" w:eastAsia="IRNazanin"/>
          <w:color w:val="111111"/>
          <w:sz w:val="28"/>
          <w:sz w:val="28"/>
          <w:szCs w:val="28"/>
          <w:rtl w:val="true"/>
          <w:lang w:bidi="fa-IR"/>
        </w:rPr>
        <w:t>للمتعارضین، لا الحکم الظاهری لهما، و أنّ ذکر لفظ المتعارضین أو المختلفین فی السؤال، وقع من السائل غفلة و اشتباهاً، فی غایة الوهن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أنّ السائل احتمل الردع عن الجمع العرفی، و السؤال إنّما هو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مجرّد هذا الاحتمال، لا یصحّ رفع الید عن الأمر العرفی و الطریقة العقلائیّة؛ من التوفیق بین العامّ و الخاصّ و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الجواب عمّا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المرتکزات العقلائیّة حیث إنّها مبهمة غیر مبیّنة،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السائل فی الأخبار العلاجیّة هو السؤال عن العامّ و الخاصّ، فإنّ مجرّد هذا الاحتمال لا یفید مع ظهور الجواب فی غیرهما، و لا ترفع الید عن ظهوره بمجرّد هذا الاحتمال، کما لا ترفع الید عنه بمجرّد احتمال الاشتباه و الخطاء فی ذکر عنوان التعارض فی موضوع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سندها؛ لعدم ثبوت صحّة سند مکاتبات الحمیری و إن صحّحها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متنها لا یخلو عن إشکال؛ لأنّ السؤال فیها لیس عن عنوان المتعارضین، بل هو فی خصوص التکبیر فی المورد المذکور فیها، و حینئذٍ فالجواب المذکور فیها لا یلیق بشأن الإمام؛ لأنّ مثله إنّما یصدر عن الغیر العالم بأحکام الوقائع الواقعیّة، لا من الإمام العالم بالأحکام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قدس سره کان یقول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یُشکل عندی حمل المطلق الوارد فی مقام البیان علی المقیّد؛ لأنّ ظهور الأمر و النهی فی الوجوب و الحرمة، لیس بمثابةٍ لا یمکن رفع الید عنه، حتّی أنکره صاحب المعالم، و حینئذٍ یمکن حمل الأمر بالمقیّد علی الاستحباب، و النهی علی الکراهة، لا تقیید المطلق لو دار الأمر بینهما، فتقیید المطلق بمجرّد صدور المقیّد مشکل عندی جدّاً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قدس سره فالعامّ و الخاصّ أیضاً کذلک، و الروایتان</w:t>
      </w:r>
    </w:p>
    <w:p>
      <w:pPr>
        <w:pStyle w:val="BookText"/>
        <w:rPr/>
      </w:pPr>
      <w:r>
        <w:rPr>
          <w:rFonts w:ascii="IRNazanin" w:hAnsi="IRNazanin" w:eastAsia="IRNazanin"/>
          <w:color w:val="111111"/>
          <w:sz w:val="28"/>
          <w:sz w:val="28"/>
          <w:szCs w:val="28"/>
          <w:rtl w:val="true"/>
          <w:lang w:bidi="fa-IR"/>
        </w:rPr>
        <w:t>الواردتان اللّتان ذکرهما الإمام فی تکبیرة الصلاة من هذا القبیل،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الإمام علیه السلام فی تلک الروایة من التخییر طریق آخر للجمع بین الروایتین، و حیث إنّ الأمر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الإمام علیه السلام بالتخییر و مطابقته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أحدهما فلأنّه حکم ندبیّ، و أمّا الآخر فلأجل أنّه مرخّص فیه، فإنّ اللَّه تعالی کما یحبّ أن یؤخذ بعزائمه، یحبّ أن یؤخذ برخصه، و یمکن ترتّب المثوبة علی ترک المندوب بهذا القصد أیضاً، و حینئذٍ فهذه الروایة خارجة عن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الإمام علیه السلام لم یذکر الروایتین بنحو التحدیث، بل نقلهما بالمعنی، فمن الممکن أنّ المذکور فی إحدی الروایتین، وجوب التکبیر فی کلّ واحد من موارد الانتقال من حالة إلی اخری مفصّلًا، فتصیر مباینة للروایة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الروایة مُعرَض عنها؛ لعدم فتوی المشهور باستحباب التکبیر بعد التشهّد الأوّل، و أمّا الروایة الثانیة فذکرها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فأعلمنی کیف تصنع أنت لأقتدی بک فی ذلک؟</w:t>
      </w:r>
      <w:r>
        <w:rPr>
          <w:rFonts w:eastAsia="IRNazanin" w:cs="IRNazanin"/>
          <w:color w:val="111111"/>
          <w:sz w:val="28"/>
          <w:szCs w:val="28"/>
          <w:rtl w:val="true"/>
          <w:lang w:bidi="fa-IR"/>
        </w:rPr>
        <w:t>)</w:t>
      </w:r>
    </w:p>
    <w:p>
      <w:pPr>
        <w:pStyle w:val="BookText"/>
        <w:rPr/>
      </w:pP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علیها بعض ما أوردناه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الجواب المذکور فیها لا یلیق بالإمام علیه السلام؛ لأنّه جواب من غیر العالم بالحکم الواقعی، مضافاً إلی أنّ الإمام علیه السلام فیها فی مقام بیان الحکم الواقعی، و هو جواز العمل بکلّ واحدة منهما، فإنّ الحکم الواقعی فی مورد السؤال هو ذلک، فهی أیضاً غیر مربوطة حینئذٍ بباب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الإشکال علی السیرة بذهاب شیخ الطائفة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یظهر من ملاحظة عبارة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نقلها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المطلق و المقیّد خارجان عن تحت أخبار العلاج؛ لمکان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العرفی بینهما</w:t>
      </w:r>
      <w:r>
        <w:rPr>
          <w:rStyle w:val="FootnoteAnchor"/>
          <w:rtl w:val="true"/>
        </w:rPr>
        <w:footnoteReference w:id="687"/>
      </w:r>
      <w:r>
        <w:rPr>
          <w:rFonts w:ascii="IRNazanin" w:hAnsi="IRNazanin" w:eastAsia="IRNazanin"/>
          <w:color w:val="111111"/>
          <w:sz w:val="28"/>
          <w:sz w:val="28"/>
          <w:szCs w:val="28"/>
          <w:rtl w:val="true"/>
          <w:lang w:bidi="fa-IR"/>
        </w:rPr>
        <w:t>، و غیرها من عباراته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ذکره قدس سره و نسبه إلیه، و ترتفع شبهة التناقض فی عبائره، و لذا لم یذهب إلی ذلک فی کتبه الفقهیّة فی جمیع مسائل الفقه أصلًا</w:t>
      </w:r>
      <w:r>
        <w:rPr>
          <w:rFonts w:eastAsia="IRNazanin" w:cs="IRNazanin"/>
          <w:color w:val="111111"/>
          <w:sz w:val="28"/>
          <w:szCs w:val="28"/>
          <w:rtl w:val="true"/>
          <w:lang w:bidi="fa-IR"/>
        </w:rPr>
        <w:t>.</w:t>
      </w:r>
      <w:bookmarkStart w:id="602" w:name="pg12898_148229"/>
    </w:p>
    <w:p>
      <w:pPr>
        <w:pStyle w:val="Heading3"/>
        <w:numPr>
          <w:ilvl w:val="2"/>
          <w:numId w:val="1"/>
        </w:numPr>
        <w:rPr/>
      </w:pPr>
      <w:bookmarkStart w:id="603" w:name="__RefHeading___Toc3235114_3224264995"/>
      <w:bookmarkStart w:id="604" w:name="_Toc226"/>
      <w:bookmarkEnd w:id="602"/>
      <w:bookmarkEnd w:id="603"/>
      <w:r>
        <w:rPr>
          <w:rtl w:val="true"/>
        </w:rPr>
        <w:t>الأمر الثالث فی إبطال قاعدة الجمع مهما أمکن، أولی</w:t>
      </w:r>
      <w:bookmarkEnd w:id="604"/>
    </w:p>
    <w:p>
      <w:pPr>
        <w:pStyle w:val="BookText"/>
        <w:rPr/>
      </w:pPr>
      <w:r>
        <w:rPr>
          <w:rFonts w:ascii="IRNazanin" w:hAnsi="IRNazanin" w:eastAsia="IRNazanin"/>
          <w:color w:val="111111"/>
          <w:sz w:val="28"/>
          <w:sz w:val="28"/>
          <w:szCs w:val="28"/>
          <w:rtl w:val="true"/>
          <w:lang w:bidi="fa-IR"/>
        </w:rPr>
        <w:t xml:space="preserve">نقل عن ابن أبی جمهور الأحسائی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حدیثین ظاهرهما التعارض، یجب علیک البحث عن معناهما و کیفیّة دلالة ألفاظهما، فإن أمکنک التوفیق بینهما؛ بالحمل علی جهات التأویل و الدلالات، فأحرص علیه، و اجتهد فی تحصیله، فإنّ العمل بالدلیلین مهما أمکن، خیر من ترک أحدهما و تعطیله بإجماع العلماء، فإذا لم تتمکّن من ذلک، و لم یظهر لک وجه، فارجع إلی العمل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بهذا إلی مقبولة عمر بن حنظلة</w:t>
      </w:r>
      <w:r>
        <w:rPr>
          <w:rStyle w:val="FootnoteAnchor"/>
          <w:rtl w:val="true"/>
        </w:rPr>
        <w:footnoteReference w:id="688"/>
      </w:r>
      <w:r>
        <w:rPr>
          <w:rFonts w:ascii="IRNazanin" w:hAnsi="IRNazanin" w:eastAsia="IRNazanin"/>
          <w:color w:val="111111"/>
          <w:sz w:val="28"/>
          <w:sz w:val="28"/>
          <w:szCs w:val="28"/>
          <w:rtl w:val="true"/>
          <w:lang w:bidi="fa-IR"/>
        </w:rPr>
        <w:t>، و استدلّ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الدلیلین الإعمال، فیجب الجمع بینهما مهما أمکن؛ لاستحالة الترجیح من غیر مرجّح</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اللفظ علی تمام معناه أصلیّة، و علی جزئه تبعیّة، و علی تقدیر الجمع یلزم إهمال دلالةٍ تبعیّة، و هو أولی ممّا یلزم من عدمه، و هو إهمال دلالة أصلیّة</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من الجمع المذکور هو العرفی العقلائی؛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تمسّکه بالإجماع، فلو أراد منه الجمع العقلی فالإجماع منعقد علی خلافه، فکیف یصحّ 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دلالة اللفظ علی تمام معناه 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یصحّ فی مثل العامّ و الخاصّ اللّذین بینهما الجمع العرفی، فإنّ دلالة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تمام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أصلیّة، و علی خصوص الفسّاق منهم تبعیّة؛ لأنّ الظاهر أنّ مراده منها الدلالة التضمّنیّة فلا یلزم من حمل العامّ علی الخاصّ إلّا رفع الید عن دلالته التبعیّة و طرحها، بخلاف طرح أحدهما رأساً، فإنّه طرح لدلالته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أراد الجمع العرفی العقلائی فهو صحیح، و إلّا فهو ممنوع؛ للإجماع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فی الدلیلین الإعمال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الأصل هو ذلک؛ فی کلّ واحد من المتعارضین فی نفسه؛ مع قطع النظر عن ابتلائه بالمعارض، فهو صحیح، لکنّه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ذلک مع ملاحظة ابتلائه بالمعارض،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p>
    <w:p>
      <w:pPr>
        <w:pStyle w:val="BookText"/>
        <w:rPr/>
      </w:pPr>
      <w:r>
        <w:rPr>
          <w:rStyle w:val="FootnoteAnchor"/>
          <w:rtl w:val="true"/>
        </w:rPr>
        <w:footnoteReference w:id="6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1"/>
      </w:r>
      <w:r>
        <w:rPr>
          <w:rFonts w:ascii="IRNazanin" w:hAnsi="IRNazanin" w:eastAsia="IRNazanin"/>
          <w:color w:val="111111"/>
          <w:sz w:val="28"/>
          <w:sz w:val="28"/>
          <w:szCs w:val="28"/>
          <w:rtl w:val="true"/>
          <w:lang w:bidi="fa-IR"/>
        </w:rPr>
        <w:t>، فهو ممنوع، فإنّ المتّبع فیه الانفهامات العرفیّة و أنظار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بعض ما أفاده الشیخ الأعظم فی المقام لا یخلو عن الإشکال، مثل</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ورد دلیلان مقطوعا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کآیتین أو خبرین متواترین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التصرّف فی ظاهرهما و العمل بهما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ممنوع مع تعارضهما عند العرف و العقلاء، و لا دلیل علی وجوب العمل بهما و لو مع فرض مقطوعیّة صدورهما، غایة الأمر أنّه لا یُعلم وجه التخلّص من تعارضهما، فإنّه لا یوجب الجمع بینهما بحمل کلّ واحد منهما علی بعض أفراد معانیهما؛ لإمکان الجمع بینهما بطریق آخر، کما ذکره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p>
    <w:p>
      <w:pPr>
        <w:pStyle w:val="BookText"/>
        <w:rPr/>
      </w:pPr>
      <w:r>
        <w:rPr>
          <w:rStyle w:val="FootnoteAnchor"/>
          <w:rtl w:val="true"/>
        </w:rPr>
        <w:footnoteReference w:id="693"/>
      </w:r>
      <w:r>
        <w:rPr>
          <w:rFonts w:ascii="IRNazanin" w:hAnsi="IRNazanin" w:eastAsia="IRNazanin"/>
          <w:color w:val="111111"/>
          <w:sz w:val="28"/>
          <w:sz w:val="28"/>
          <w:szCs w:val="28"/>
          <w:rtl w:val="true"/>
          <w:lang w:bidi="fa-IR"/>
        </w:rPr>
        <w:t>علی الأمکنة التی لا یُنتفع بها، و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البلاد التی ینتفع منها، و نحو ذلک، فلا یتعیّن الجمع بینهما بما ذکره، و أمّا مقایسة ذلک بالعامّ و الخاصّ و الظاهر و الأظهر، فهی واضحة الفساد؛ لوجود الجمع العرفی فی المقیس علیه، بخلافه فی المقام</w:t>
      </w:r>
      <w:r>
        <w:rPr>
          <w:rFonts w:eastAsia="IRNazanin" w:cs="IRNazanin"/>
          <w:color w:val="111111"/>
          <w:sz w:val="28"/>
          <w:szCs w:val="28"/>
          <w:rtl w:val="true"/>
          <w:lang w:bidi="fa-IR"/>
        </w:rPr>
        <w:t>.</w:t>
      </w:r>
      <w:bookmarkStart w:id="605" w:name="pg12898_148233"/>
    </w:p>
    <w:p>
      <w:pPr>
        <w:pStyle w:val="Heading3"/>
        <w:numPr>
          <w:ilvl w:val="2"/>
          <w:numId w:val="1"/>
        </w:numPr>
        <w:rPr/>
      </w:pPr>
      <w:bookmarkStart w:id="606" w:name="__RefHeading___Toc3235116_3224264995"/>
      <w:bookmarkStart w:id="607" w:name="_Toc227"/>
      <w:bookmarkEnd w:id="605"/>
      <w:bookmarkEnd w:id="606"/>
      <w:r>
        <w:rPr>
          <w:rtl w:val="true"/>
        </w:rPr>
        <w:t>الأمر الرابع کلام الشیخ فی موضوع الترجیح بحسب الدلالة و ما فیه</w:t>
      </w:r>
      <w:bookmarkEnd w:id="607"/>
    </w:p>
    <w:p>
      <w:pPr>
        <w:pStyle w:val="BookText"/>
        <w:rPr/>
      </w:pPr>
      <w:r>
        <w:rPr>
          <w:rFonts w:ascii="IRNazanin" w:hAnsi="IRNazanin" w:eastAsia="IRNazanin"/>
          <w:color w:val="111111"/>
          <w:sz w:val="28"/>
          <w:sz w:val="28"/>
          <w:szCs w:val="28"/>
          <w:rtl w:val="true"/>
          <w:lang w:bidi="fa-IR"/>
        </w:rPr>
        <w:t>ثمّ إنّه یظهر من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فی 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 و الظاهر خارجان عن تحت الأخبار العلاجیّة موضوعاً، و أنّ مصبّها غیرهما، بخلاف الظاهر و الأظهر، فإنّهما خارجان عنها حکماً مع دخولهما فیها موضوعاً؛ لأنّ الجمع الدلالی مقدّم علی الترجیح بالمرجِّحات السندیّة، فالجمع الدلالی من المرجِّحات فی باب التعارض؛ و مرتبة هذا المرجِّح متقدّمة علی المرجِّحات السندیّة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 رحمه الله و من غیره أیضاً مطلب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فرق بین ترجیح النصّ علی الظاهر، و بین ترجیح الأظهر و تقدیمه علی الظاهر، و أنّ الأوّل بلا شرط، و الثانی مشروط بکونه عقلائیّاً یستحسنه العرف فی محاوراتهم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 الأمرین إشکال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من تعارض الخبرین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التعارض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بدو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 و الظاهر أیضاً داخلان تحت أخبار العلاج موضوعاً؛ ضرورة تحقّق التعارض البَدْوی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وجود الجمع العرفی بین الظاهر و الأظهر، لا معارضة بینهما حینئذٍ عرفاً، فهما أیضاً خارجان عنها موضوعاً، کالنصّ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فرض دخولهما موضوعاً تحت أخبار العلاج، فلا دلیل علی خروجهما عن حکمها؛ لا عقلًا و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وجود الجمع العقلائی بینهما هو ذلک، الذی هو المراد من المحکمات فی بعض الأخبار، الدالّة علی أنّ فی أحادیثنا محکمات و متشابهات، فاحملوا متشابهاتها علی المحکمات، و معه لا معارضة بینهما حتّی یعدّ ذلک من قبیل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المطلب الثانی،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حمل الظاهر علی النصّ، و بین حمل الظاهر علی الأظهر؛ فی أنّه یعتبر فیهما أن یکون ذلک جمعاً عقلائیّاً و عرفیّاً، و لا یجوز حمل مطلق النصّ علی مطلق الظاهر و إن لم یکن عقلائیّاً، و لذلک لا یُجمع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الأوّل نصّ فی الجواز، و الثانی ظاهر فی عدمه، و کذلک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تکرمهم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دلیل تعبّدی علی وجوب تقدیم النصّ علی الظاهر، بل تقدیمه فی بعض الموارد إنّما هو لأجل أنّه عرفیّ عقلائیّ، و عدم المعارضة بینهما فی المتفاهم العُرفی، و لا فرق فی ذلک بین حمل الظاهر علی النصّ، و بین حمله علی الأظهر</w:t>
      </w:r>
      <w:r>
        <w:rPr>
          <w:rFonts w:eastAsia="IRNazanin" w:cs="IRNazanin"/>
          <w:color w:val="111111"/>
          <w:sz w:val="28"/>
          <w:szCs w:val="28"/>
          <w:rtl w:val="true"/>
          <w:lang w:bidi="fa-IR"/>
        </w:rPr>
        <w:t>.</w:t>
      </w:r>
      <w:bookmarkStart w:id="608" w:name="pg12898_148235"/>
    </w:p>
    <w:p>
      <w:pPr>
        <w:pStyle w:val="Heading3"/>
        <w:numPr>
          <w:ilvl w:val="2"/>
          <w:numId w:val="1"/>
        </w:numPr>
        <w:rPr/>
      </w:pPr>
      <w:bookmarkStart w:id="609" w:name="__RefHeading___Toc3235118_3224264995"/>
      <w:bookmarkStart w:id="610" w:name="_Toc228"/>
      <w:bookmarkEnd w:id="608"/>
      <w:bookmarkEnd w:id="609"/>
      <w:r>
        <w:rPr>
          <w:rtl w:val="true"/>
        </w:rPr>
        <w:t>الأمر الخامس الموارد الخارجة عن أخبار العلاج</w:t>
      </w:r>
      <w:bookmarkEnd w:id="610"/>
    </w:p>
    <w:p>
      <w:pPr>
        <w:pStyle w:val="Heading4"/>
        <w:numPr>
          <w:ilvl w:val="3"/>
          <w:numId w:val="1"/>
        </w:numPr>
        <w:rPr/>
      </w:pPr>
      <w:bookmarkStart w:id="611" w:name="__RefHeading___Toc3235120_3224264995"/>
      <w:bookmarkStart w:id="612" w:name="_Toc229"/>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ثمّ إنّه لا بأس بصرف عنان الکلام إلی الموارد، التی ذکر الشیخ الأعظم و المحقّق الخراسانی و المیرزا النائینی خروجها عن التعارض و عدم شمول أخباره لها؛ لعدم صدق تعارض الدلیلین علیها و إن کان خارجاً عن المباحث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النصّ و الظاهر فی مدلولهما، و منها ما لو کان أحدهما بظهوره أو أظهریّته، قرینةً عرفیّة علی التصرّف فی الآخر</w:t>
      </w:r>
      <w:r>
        <w:rPr>
          <w:rFonts w:eastAsia="IRNazanin" w:cs="IRNazanin"/>
          <w:color w:val="111111"/>
          <w:sz w:val="28"/>
          <w:szCs w:val="28"/>
          <w:rtl w:val="true"/>
          <w:lang w:bidi="fa-IR"/>
        </w:rPr>
        <w:t>.</w:t>
      </w:r>
    </w:p>
    <w:p>
      <w:pPr>
        <w:pStyle w:val="Heading4"/>
        <w:numPr>
          <w:ilvl w:val="3"/>
          <w:numId w:val="1"/>
        </w:numPr>
        <w:rPr/>
      </w:pPr>
      <w:bookmarkStart w:id="613" w:name="__RefHeading___Toc3235122_3224264995"/>
      <w:bookmarkStart w:id="614" w:name="_Toc230"/>
      <w:bookmarkEnd w:id="613"/>
      <w:r>
        <w:rPr>
          <w:rtl w:val="true"/>
        </w:rPr>
        <w:t>المبحث الأوّل فیما یکون من قبیل النصّ و الظاهر</w:t>
      </w:r>
      <w:bookmarkEnd w:id="614"/>
    </w:p>
    <w:p>
      <w:pPr>
        <w:pStyle w:val="BookText"/>
        <w:rPr/>
      </w:pPr>
      <w:r>
        <w:rPr>
          <w:rFonts w:ascii="IRNazanin" w:hAnsi="IRNazanin" w:eastAsia="IRNazanin"/>
          <w:color w:val="111111"/>
          <w:sz w:val="28"/>
          <w:sz w:val="28"/>
          <w:szCs w:val="28"/>
          <w:rtl w:val="true"/>
          <w:lang w:bidi="fa-IR"/>
        </w:rPr>
        <w:t>و فیه موارد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المیرزا النائینی قدس سره، و هو ما لو کان لأحد الدلیلین قدر متیقّن فی مقام التخاطب، فإنّه و إن لم یصل إلی حدّ یوجب انصراف المطلق إلی المقیّد فیقیّده، إلّا أنّ وجود القدر المتیقّن ینفع فی مقام رفع التعارض عن الدلیلین، فإنّ الدلیل المشتمل</w:t>
      </w:r>
    </w:p>
    <w:p>
      <w:pPr>
        <w:pStyle w:val="BookText"/>
        <w:rPr/>
      </w:pPr>
      <w:r>
        <w:rPr>
          <w:rFonts w:ascii="IRNazanin" w:hAnsi="IRNazanin" w:eastAsia="IRNazanin"/>
          <w:color w:val="111111"/>
          <w:sz w:val="28"/>
          <w:sz w:val="28"/>
          <w:szCs w:val="28"/>
          <w:rtl w:val="true"/>
          <w:lang w:bidi="fa-IR"/>
        </w:rPr>
        <w:t>علی القدر المتیقّن کالنصّ فیه، فیصلح للقرینیّة علی التصرّف فی الدلیل الآخر، کما 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یعلم من حال الآمر أنّه یُبغض العالم الفاسق، و یکرهه أشدّ کراهته لسائر أفراد الفسّاق، فالعالم الفاسق متیقّن الاندراج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بمنزلة التصریح بحرمة إکرام العالم الفاسق، و حینئذٍ فلا بدّ من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عدا الفُسّاق منهم</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علم و حصل الیقین باندراج الفسّاق من العلماء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التخاطب، أوجب ذلک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إن لم یصل إلی حدّ یوجب الانصراف، یُنافی فرض حصول العلم بعدم إرادة الفسّاق منهم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القدر المتیقّن بکونه فی مقام التخاطب لا وجه له، و لا دَخْل له فیما ذکره؛ بناءً علی ما ذهب هو قدس سره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إیجابه انصراف المطلق إلیه، فإنّ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لأجل أظهریّته من الآخر، بل لأجل العلم بعدم إرادة الفسّاق من العلماء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فرق حینئذٍ بین وجوده حال التخاطب و بینه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فی الإشکال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أراد حصول العلم الفعلی بحرمة إکرام العالم الفاسق، فمرجعه إلی العلم بعدم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فهو لیس من التعارض کی یحتاج إلی الجمع بین الدلیلین المتعارضین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العلم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تقدیر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المفروض أنّه ظنّیُّ السند، و إرادةِ ظاهره جدّاً، یحصل له العلم المذکور؛ لعدم انفکاک</w:t>
      </w:r>
    </w:p>
    <w:p>
      <w:pPr>
        <w:pStyle w:val="BookText"/>
        <w:rPr/>
      </w:pPr>
      <w:r>
        <w:rPr>
          <w:rFonts w:ascii="IRNazanin" w:hAnsi="IRNazanin" w:eastAsia="IRNazanin"/>
          <w:color w:val="111111"/>
          <w:sz w:val="28"/>
          <w:sz w:val="28"/>
          <w:szCs w:val="28"/>
          <w:rtl w:val="true"/>
          <w:lang w:bidi="fa-IR"/>
        </w:rPr>
        <w:t>حرمة إکرام فسّاق العلماء عن حرمة إکرام فسّاق غیر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یُنتج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التقدیم الفعلی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المتیقَّن اندراج العالم الفاسق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تقدیر صدوره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الحرمة الفعلیّة لإکرامهم، فهو لا یوجب تقدیم أحد الظهورین علی الآخر؛ لأنّه کالنصّ، بل هما متعارضان؛ لا بدّ أن یعامل معهما معاملة المتعارضین، و الرجوع إلی المرجِّحات السندیّة و غیرها، أو التساقط مع عدم المرجِّح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من البیان لا یصلح دلیلًا علی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کالنصّ، بل لا بدّ من الرجوع إلی المرجِّحات، و مع عدمها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أفراد أحد العامّین من وجه بمرتبة من الکثرة؛ بحیث لو خُصّص بما عداه لزم التخصیص المستهجَن فی العامّ الآخر، فیجمع بینهما بتخصیص ما لا یلزم منه ذلک، و إبقاء ما یلزم من تخصیصه ذلک علی عمومه؛ لأنّ العامّ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المقدار الذی یلزم من تخصیصه الاستهجان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کالنصّ، فیقدّم علی الآخر،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کلّ رُمّانٍ فی هذا البستان، و لا تبع کلّ رمان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أنّ جمیع أفراده حامض إلّا واحداً، فإنّ تخصیص الأوّل بإخراج الحامض منه مستهجَن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النصوصیّة من أوصاف دلالة اللفظ، و مرتبطة بها، لا أنّها أمر خارج عنها، و ما ذکره لیس مربوطاً بالدلالات، بل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بحکم العقل، لا لأنّ الأوّل نصّ فی مدلوله، فإنّ 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کلّ</w:t>
      </w:r>
    </w:p>
    <w:p>
      <w:pPr>
        <w:pStyle w:val="BookText"/>
        <w:rPr/>
      </w:pP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مدلوله، لیست أقوی من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کلّ 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مدلوله؛ لیکون نصّاً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طریق التخلّص من الاستهجان فی تقدیم الأوّل علی الثانی؛ کی یستدلّ به علیه، إلّا إذا فرض دوران الأمر بین تقدیم هذا أو ذاک، لکنّه ممنوع؛ لأنّ له طریقاً آخر، و هو الرجوع إلی المرجّحات؛ لأنّهما متعارضان، و مع عدم المرجّح یتساقطان، کما لو فرض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أهِن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فلنظیره من العامّ و الخاصّ المطلقین، و فرض أنّ أکثر أفرادهم عدول، فإنّ تخصیص العامّ بالخاصّ مستلزم لتخصیص الأکثر المستهجن، و مع ذلک هو لا یوجب تقدیم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 أی الخاصّ، بل یتعارضان؛ لأنّهما حینئذٍ کالمتباینین؛ لأنّ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بتخصیص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عقلائیّاً، فیتساقطان مع عدم الترجیح، و لا یلزم منه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أحد الدلیلین وارداً مورد التحدیدات و الأوزان و المقادیر و المسافة و نحو ذلک، فإنّ وروده فی هذه الموارد یوجب قوّة الظهور فی المدلول؛ بحیث یُلحقه بالنصّ، فیقدّم علی غیره عند المعارضة</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مجرّد دعوی لا شاهد لها؛ لما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واحد من مفردات الجملتین فی المتعارضین دالّ علی معناه علی حدّ سواء فیهما، و لیس فی الوارد مورد التحدیدات و الأوزان ما یوجب قوّة الدلالة علی معانیها، و ما هو المعروف من أنّ باب التحدیدات و مقام بیان الأوزان و المسافات، مبنیّة علی الدقّة، فالدلیل القائم علیها کذلک، إن ارید به الدقّة العقلیّة بالبراهین القطعیّة الدقیقة فهو ممنوع؛ إذ لا ریب فی بلوغ الشخص إذا کمل سنّه خمس عشرة سنة عرفاً؛ و إن بقی جزء من آلاف جزء</w:t>
      </w:r>
    </w:p>
    <w:p>
      <w:pPr>
        <w:pStyle w:val="BookText"/>
        <w:rPr/>
      </w:pPr>
      <w:r>
        <w:rPr>
          <w:rFonts w:ascii="IRNazanin" w:hAnsi="IRNazanin" w:eastAsia="IRNazanin"/>
          <w:color w:val="111111"/>
          <w:sz w:val="28"/>
          <w:sz w:val="28"/>
          <w:szCs w:val="28"/>
          <w:rtl w:val="true"/>
          <w:lang w:bidi="fa-IR"/>
        </w:rPr>
        <w:t>من الدقیقة بالدقّة العقلیّة، مع أنّ الدلیل علی ذلک وارد مورد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منها الدقّة العرفیّة فهو صحیح، لکن لا فرق فی ذلک بین الأدلّة الواردة فی مقام التحدیدات و بین غیرها، مضافاً إلی أنّه لو سُلِّم ذلک فهو یصیر من قبیل الظاهر و الأظهر، لا 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ورد أحد العامّین من وجه فی مورد الاجتماع مع الآخر، کما 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السؤال عن حکم الخمر، و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النسبة بینهما عموم من وجه، لکن لا یمکن تخصیص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عدا الخمر؛ لعدم جواز إخراج المورد؛ لأنّ الدلیل نصّ فیه، فلا بدّ من تخصیص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سوی الخمر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 السؤال و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الخمر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أخصّ من موضوع الدلیل الآخر، و هو الماء المتّخذ من التمر، فتقدیمه علی الثانی مسلّم، لکن لا لأجل أنّه من قبیل النصّ و الظاهر، بل من قبیل الأظهر و الظاهر؛ لأنّ الدلیل الأوّل أظهر فی شموله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مورد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الثانی علی جوازه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بینهما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فرض کون الخمر أعمّ من المتّخذ من العنب و التمر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تقدیم الأوّل علی الثانی، کما فی سائر موارد العامّین من وجه، بل لا بدّ من معاملة المتعارضین معهما کما لو صرّح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عمومیّة الخمر للمتّخذ من التمر و العنب، فإنّ بینه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وجه، فیتعارضان، و لا یوجب ذلک تقدیم الأوّل علی الثانی</w:t>
      </w:r>
      <w:r>
        <w:rPr>
          <w:rFonts w:eastAsia="IRNazanin" w:cs="IRNazanin"/>
          <w:color w:val="111111"/>
          <w:sz w:val="28"/>
          <w:szCs w:val="28"/>
          <w:rtl w:val="true"/>
          <w:lang w:bidi="fa-IR"/>
        </w:rPr>
        <w:t>.</w:t>
      </w:r>
      <w:bookmarkStart w:id="615" w:name="pg12898_148240"/>
    </w:p>
    <w:p>
      <w:pPr>
        <w:pStyle w:val="Heading4"/>
        <w:numPr>
          <w:ilvl w:val="3"/>
          <w:numId w:val="1"/>
        </w:numPr>
        <w:rPr/>
      </w:pPr>
      <w:bookmarkStart w:id="616" w:name="__RefHeading___Toc3235124_3224264995"/>
      <w:bookmarkStart w:id="617" w:name="_Toc231"/>
      <w:bookmarkEnd w:id="615"/>
      <w:bookmarkEnd w:id="616"/>
      <w:r>
        <w:rPr>
          <w:rtl w:val="true"/>
        </w:rPr>
        <w:t>المبحث الثانی فیما عدّ من المرجّحات النوعیّة الدلالیّة</w:t>
      </w:r>
      <w:bookmarkEnd w:id="617"/>
    </w:p>
    <w:p>
      <w:pPr>
        <w:pStyle w:val="Heading5"/>
        <w:numPr>
          <w:ilvl w:val="4"/>
          <w:numId w:val="1"/>
        </w:numPr>
        <w:rPr/>
      </w:pPr>
      <w:bookmarkStart w:id="618" w:name="__RefHeading___Toc3235126_3224264995"/>
      <w:bookmarkStart w:id="619" w:name="_Toc232"/>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و أمّا الموارد التی ادُّعی فیها تقدیم أحد الدلیلین علی الآخر؛ لأنّه قرینة علی التصرّف فیه</w:t>
      </w:r>
      <w:r>
        <w:rPr>
          <w:rFonts w:eastAsia="IRNazanin" w:cs="IRNazanin"/>
          <w:color w:val="111111"/>
          <w:sz w:val="28"/>
          <w:szCs w:val="28"/>
          <w:rtl w:val="true"/>
          <w:lang w:bidi="fa-IR"/>
        </w:rPr>
        <w:t>:</w:t>
      </w:r>
    </w:p>
    <w:p>
      <w:pPr>
        <w:pStyle w:val="Heading5"/>
        <w:numPr>
          <w:ilvl w:val="4"/>
          <w:numId w:val="1"/>
        </w:numPr>
        <w:rPr/>
      </w:pPr>
      <w:bookmarkStart w:id="620" w:name="__RefHeading___Toc3235128_3224264995"/>
      <w:bookmarkStart w:id="621" w:name="_Toc233"/>
      <w:bookmarkEnd w:id="620"/>
      <w:r>
        <w:rPr>
          <w:rtl w:val="true"/>
        </w:rPr>
        <w:t>تعارض العموم و الإطلاق</w:t>
      </w:r>
      <w:bookmarkEnd w:id="621"/>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الأمر بین تقیید المطلق و تخصیص العامّ،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تقیید المطلق أولی من تخصیص العامّ، اختاره الشیخ الأعظم، و تبعه المیرزا النائینی </w:t>
      </w:r>
      <w:r>
        <w:rPr>
          <w:rFonts w:eastAsia="IRNazanin" w:cs="IRNazanin"/>
          <w:color w:val="111111"/>
          <w:sz w:val="28"/>
          <w:szCs w:val="28"/>
          <w:lang w:bidi="fa-IR"/>
        </w:rPr>
        <w:t>0</w:t>
      </w:r>
      <w:r>
        <w:rPr>
          <w:rStyle w:val="FootnoteAnchor"/>
          <w:rtl w:val="true"/>
        </w:rPr>
        <w:footnoteReference w:id="700"/>
      </w:r>
      <w:r>
        <w:rPr>
          <w:rFonts w:ascii="IRNazanin" w:hAnsi="IRNazanin" w:eastAsia="IRNazanin"/>
          <w:color w:val="111111"/>
          <w:sz w:val="28"/>
          <w:sz w:val="28"/>
          <w:szCs w:val="28"/>
          <w:rtl w:val="true"/>
          <w:lang w:bidi="fa-IR"/>
        </w:rPr>
        <w:t xml:space="preserve">، و أنکره المحقّق الخراسانی و شیخنا الحائری </w:t>
      </w:r>
      <w:r>
        <w:rPr>
          <w:rFonts w:eastAsia="IRNazanin" w:cs="IRNazanin"/>
          <w:color w:val="111111"/>
          <w:sz w:val="28"/>
          <w:szCs w:val="28"/>
          <w:lang w:bidi="fa-IR"/>
        </w:rPr>
        <w:t>0</w:t>
      </w:r>
      <w:r>
        <w:rPr>
          <w:rStyle w:val="FootnoteAnchor"/>
          <w:rtl w:val="true"/>
        </w:rPr>
        <w:footnoteReference w:id="701"/>
      </w:r>
      <w:r>
        <w:rPr>
          <w:rFonts w:ascii="IRNazanin" w:hAnsi="IRNazanin" w:eastAsia="IRNazanin"/>
          <w:color w:val="111111"/>
          <w:sz w:val="28"/>
          <w:sz w:val="28"/>
          <w:szCs w:val="28"/>
          <w:rtl w:val="true"/>
          <w:lang w:bidi="fa-IR"/>
        </w:rPr>
        <w:t>و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ملاحظة خصوصیّات الموارد، فربّما یقدّم تخصیص العامّ علی تقیید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توضیح محطّ البحث فی المقام؛ لما یتراءی من وقوع الخلط فیه فی کلماتهم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و المطلقات یشترکان فی أنّه لا یجوز العمل و الاحتجاج بهما قبل الفحص عن المخصّص و المقیّد، فحجّیّة کلٍّ منهما مُعلَّقة علی الفحص عنهما و الیأس منهما، فالفحص و الیأس متمّمان لحجّیّتهما، و السرّ فی ذلک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المقنّنین علی ذکر العمومات و المطلقات فی مقام التقنین، و تأخیر المقیِّدات و المخصِّصات عنهما، فلا بدّ</w:t>
      </w:r>
    </w:p>
    <w:p>
      <w:pPr>
        <w:pStyle w:val="BookText"/>
        <w:rPr/>
      </w:pPr>
      <w:r>
        <w:rPr>
          <w:rFonts w:ascii="IRNazanin" w:hAnsi="IRNazanin" w:eastAsia="IRNazanin"/>
          <w:color w:val="111111"/>
          <w:sz w:val="28"/>
          <w:sz w:val="28"/>
          <w:szCs w:val="28"/>
          <w:rtl w:val="true"/>
          <w:lang w:bidi="fa-IR"/>
        </w:rPr>
        <w:t>أن یفرض فیما نحن فیه صدور العامّ و المطلق من المتکلّم الذی لیس بناؤه علی ذلک، أو فرض بعد الفحص و الیأس عن المخصّص و المقیّد فی کلٍّ منهما، و فرض دوران الأمر حینئذٍ بین تقیید المطلق و تخصیص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استدلّ به الشیخ قدس سره لما 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حجّیّة المطلق معلّقة علی عدم القید، فلا اقتضاء فیه للاحتجاج به مع وجود البیان و المقیّد، و العامّ صالح لذلک؛ بخلاف العامّ فإنّه مقتضٍ، إلّا أن یمنعه مانع، و هو المخصِّص، فالمطلق دلیل تعلیقی، و العامّ دلیل تنجیزی، فمع صدور العامّ لم یتحقّق المعلّق علیه المطلق، فلا یعقل حینئذٍ تخصیص العامّ بالمطلق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 علی عدم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بوجه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أنّ المطلق معلّق علی عدم البیان إلی الأبد، فهو ممنوع، و إن ارید تعلیقه علیه حال التکلّم فهو ضروریّ، لکنّه خارج عن مورد البحث</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سنخَ التعارض بین المطلق و المقیّد، غیرُ سنخ التعارض بین العامّ و الخاصّ، فإنّ الأوّلین متعارضان فی مقام الدلالة اللفظیّة من حیث کشفها عن المدلول، لا مجرّد اللفظ، بخلاف العامّ و الخاصّ،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یوضع للأفراد بخصوصیّاتها، بل هو مفید للتکثیر، لکنّه یدلّ بدلالة لفظیّة علی وجوب إکرام جمیع أفراد العلماء،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بالدلالة اللفظیّة علی حرمة إکرام أفراد الفسّاق منهم، فیتعارضان فی مقام الدلالة اللفظیّة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المطلق و المقیّد، فإنّ المطلق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موضوع لنفس الطبیعة، و هو دالّ علیها من غیر فرق فیه بین کونه بعد تمامیّة مقدّمات الحکمة و الإطلاق و بینه قبلها، فلا یصیر المطلق بعد تمامیّة مقدّمات الحکمة عامّاً، فاللّفظ فیه</w:t>
      </w:r>
    </w:p>
    <w:p>
      <w:pPr>
        <w:pStyle w:val="BookText"/>
        <w:rPr/>
      </w:pPr>
      <w:r>
        <w:rPr>
          <w:rFonts w:ascii="IRNazanin" w:hAnsi="IRNazanin" w:eastAsia="IRNazanin"/>
          <w:color w:val="111111"/>
          <w:sz w:val="28"/>
          <w:sz w:val="28"/>
          <w:szCs w:val="28"/>
          <w:rtl w:val="true"/>
          <w:lang w:bidi="fa-IR"/>
        </w:rPr>
        <w:t>لا یدلّ علی الإطلاق، بل هو مستفاد من فعل المتکلّم؛ حیث جعل تمام الموضوع لحکمه نفس الطبیعة، و لم ینصب قرینة علی الخلاف، و المقیَّد معارِض له؛ من جهة أنّه اخذ الموضوع فیه الطبیعة المقیّدة بالقید المخالف لها، لا فی دلالتها اللفظیّة، و حینئذٍ فلو ورد عامّ و مطلق، و لم یکن بینهما العموم و الخصوص المطلق،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معاملة ربویّة محرّمة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صدورهما من متکلّم لیس بناؤه علی تأخیر المخصِّصات و المقیِّدات، أو فرض ذلک بعد الفحص و الیأس عنها فی کلّ واحد منهما، فکما یصحّ الاحتجاج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یصحّ الاحتجاج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بینهما إلّا فی کیفیّة الاحتجاج؛ حیث إنّه یحتجّ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 کذا، و فی الأوّل بأنّه فعل کذا؛ أی جعل تمام الموضوع لحکمه نفس الطبیعة مجرّدة، و لیس للمولی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المطلق معلَّقاً علی عدم البیان، و العامّ صالح للبیانیّة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الأعظم قدس سره متین، و لم یظهر لی وضوح فساده و وجهه، کما زعمه المیرزا النائینی قدس سره، فما ذکره الشیخ قدس سره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المطلق نفس الطبیعة، و لا یدلّ إلّا علیها، و لا دلالة له علی الأفراد، لکن حیث إنّها عین الأفراد فی الخارج، و متکثّرة بتکثّرها فیه، یسری الحکم إلیها، و هی محکومة بحکمها، بخلاف العامّ، فإنّه بلفظه دالّ علی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یتّضح ممّا ذکرنا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الشمولی ممّا لا معنی له، بأن تکون الطبیعة مرآة لجمیع الأفراد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الخلط و الاشتباه بین صدق الطبیعة علی الأفراد و کونها عینها فی الخارج، و بین دلالتها علیها لفظاً، فإنّ الأوّل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الثانی، فالبیع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أفراده فی الخارج، فمع فرض أنّ</w:t>
      </w:r>
      <w:bookmarkStart w:id="622" w:name="pg12898_148243"/>
    </w:p>
    <w:p>
      <w:pPr>
        <w:pStyle w:val="BookText"/>
        <w:rPr/>
      </w:pPr>
      <w:bookmarkEnd w:id="622"/>
      <w:r>
        <w:rPr>
          <w:rFonts w:ascii="IRNazanin" w:hAnsi="IRNazanin" w:eastAsia="IRNazanin"/>
          <w:color w:val="111111"/>
          <w:sz w:val="28"/>
          <w:sz w:val="28"/>
          <w:szCs w:val="28"/>
          <w:rtl w:val="true"/>
          <w:lang w:bidi="fa-IR"/>
        </w:rPr>
        <w:t>المتکلّم فی مقام البیان لتمام مراده، و جعل تمام الموضوع لحکمه نفس الطبیعة مع عدم نصبه قرینة علی الخلاف، فکلّما وُجد فرد من الطبیعة فی الخارج وُجد موضوع حکمه، بخلاف العامّ، فإنّه بلفظه یدلّ علی الکثرة؛ سواء کان فی مقام البیان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أیضاً أنّه لا سبیل إلی القول بأنّ تقدیم العامّ علی المطلق من باب تقدّم الأظهر علی الظاهر؛ لأنّه فرع دلالة المطلق لفظاً علی الأفراد، و بعد الفراغ عنها، و لیس کذلک، و إن کان العامّ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أیضاً أنّ حجّیّة المطلق لیست معلّقة، بل حجّیّته منجّزة کالعامّ، و الاختلاف إنّما هو فی کیفیّة الاحتجاج</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3235130_3224264995"/>
      <w:bookmarkStart w:id="624" w:name="_Toc234"/>
      <w:bookmarkEnd w:id="623"/>
      <w:r>
        <w:rPr>
          <w:rtl w:val="true"/>
        </w:rPr>
        <w:t>وجه تقدّم العامّ علی المطلق</w:t>
      </w:r>
      <w:bookmarkEnd w:id="624"/>
    </w:p>
    <w:p>
      <w:pPr>
        <w:pStyle w:val="BookText"/>
        <w:rPr/>
      </w:pPr>
      <w:r>
        <w:rPr>
          <w:rFonts w:ascii="IRNazanin" w:hAnsi="IRNazanin" w:eastAsia="IRNazanin"/>
          <w:color w:val="111111"/>
          <w:sz w:val="28"/>
          <w:sz w:val="28"/>
          <w:szCs w:val="28"/>
          <w:rtl w:val="true"/>
          <w:lang w:bidi="fa-IR"/>
        </w:rPr>
        <w:t>إذا عرفت ذلک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دار الأمر بین تقیید المطلق و تخصیص العامّ عند التعارض، بعد الفحص عن المخصّص و المقیّد فی کلّ واحد منهما و الیأس عنهما، أو بعد فرض صدورهما من متکلّم لیس بناؤه علی تأخیر المخصِّصات و المقیِّدات، یقدّم تقیید المطلق علی تخصیص العامّ، لا لما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حجّیّة المطلق مقیّدة و معلّقة علی عدم البیان، و العامّ صالح للبیانیّة؛ لما عرفت من عدم صحّته، و أنّ المطلق حجّة قبل الظفر بالبیان و بعده، بل لأنّ الاحتجاج بالمطلق متقوّم بسکوت المولی؛ حیث جعل تمام الموضوع للحکم هو نفس الطبیعة و سکت، فإذا صدر العامّ انتفی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ما ذکره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المطلق قبل الفحص عن البیان لیس حجّة بناءً علی ما ذکره قدس سره؛ لأنّ حجّیّته معلّقة علی عدم البیان عنده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ذکرنا فهو حجّة ما لم یظفر بالمقیّد و البیان، و مع الظفر بالبیان تنقطع حجّیّته، و کلّ ما یستفاد من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حجّیّة مفهوم الشرط و الوصف</w:t>
      </w:r>
      <w:bookmarkStart w:id="625" w:name="pg12898_148244"/>
    </w:p>
    <w:p>
      <w:pPr>
        <w:pStyle w:val="BookText"/>
        <w:rPr/>
      </w:pPr>
      <w:bookmarkEnd w:id="625"/>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تقییده و تخصیص العامّ، فتقیید المفهوم أولی؛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تعارض بعض المطلقات مع بعض 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تعارض مفهوم الشرط مع مفهوم الوصف المستفادین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تقدُّم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مفهوم الشرط مقدّم علی مفهوم الوصف عند التعارض؛ لأنّه أقوی</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 علی دَخْل القید فی الحکم و إن کان أقوی، لکن المفهوم لا یستفاد منه، بل من انحصاره و الانحصار لا یستفاد منه، بل من الإطلاق، مثل استفادته منه فی مفهوم الوصف من غیر فرق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مفهوم الغایة مقدّم علی مفهوم الشرط و الوصف؛ لأنّه أقوی؛ إذ هو من قبیل دلالة اللفظ، و لا فرق فیما ذکرنا بین الإطلاق الشمولی و البدلی؛ لاستفادة کلٍّ منهما من الإطلاق و مقدّمات الحکمة</w:t>
      </w:r>
      <w:r>
        <w:rPr>
          <w:rFonts w:eastAsia="IRNazanin" w:cs="IRNazanin"/>
          <w:color w:val="111111"/>
          <w:sz w:val="28"/>
          <w:szCs w:val="28"/>
          <w:rtl w:val="true"/>
          <w:lang w:bidi="fa-IR"/>
        </w:rPr>
        <w:t>.</w:t>
      </w:r>
    </w:p>
    <w:p>
      <w:pPr>
        <w:pStyle w:val="Heading5"/>
        <w:numPr>
          <w:ilvl w:val="4"/>
          <w:numId w:val="1"/>
        </w:numPr>
        <w:rPr/>
      </w:pPr>
      <w:bookmarkStart w:id="626" w:name="__RefHeading___Toc3235132_3224264995"/>
      <w:bookmarkStart w:id="627" w:name="_Toc235"/>
      <w:bookmarkEnd w:id="626"/>
      <w:r>
        <w:rPr>
          <w:rtl w:val="true"/>
        </w:rPr>
        <w:t>دوران الأمر بین النسخ و التخصیص</w:t>
      </w:r>
      <w:bookmarkEnd w:id="627"/>
    </w:p>
    <w:p>
      <w:pPr>
        <w:pStyle w:val="Heading6"/>
        <w:numPr>
          <w:ilvl w:val="5"/>
          <w:numId w:val="1"/>
        </w:numPr>
        <w:rPr/>
      </w:pPr>
      <w:bookmarkStart w:id="628" w:name="__RefHeading___Toc3235134_3224264995"/>
      <w:bookmarkStart w:id="629" w:name="_Toc236"/>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الأمر بین النسخ 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البحث فیه لا بدّ من بیان ما تعرّض له الشیخ الأعظم و غیره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یعتبر فی التخصیص ورود المخصّص قبل حضور وقت العمل بالعامّ، کما أنّه یعتبر فی النسخ ورود الناسخ بعد حضور وقت العمل بالمنسوخ، و لذا یقع الإشکال فی التخصیصات الصادرة عن الأئمّة علیهم السلام فی العمومات النبویّة صلی الله علیه و آله و سلم، فإنّ فیها ثلاثة احتمالات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ناسخة للعمومات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کاشفة عن وجود مخصِّصات متّصلة بالعمومات، و قد خفیت علینا، و وصلت إلینا هذه المخصِّصات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مخصَّصة بنفسها حقیقة، و إنّما تأخّر بیانها لمصلحة فی تأخیرها، و إنّما تُقدّم العمومات لیعمل بها ظاهراً إلی أن یرد المخصِّص، اختاره الشیخ الأعظم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المیرزا النائینی الاحتمال الثانی</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جمیع الاحتمالات المذکورة ضعیفة موهونة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الأخیر الذی اختاره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المصالح و المفاسد فی تلک العمومات و العمل بها إلی زمان الصادقین علیهما السلام مثلًا، ثمّ إنّها تبدّلت فی زمانهما إلی غیرها فی الواقع فی جمیع الأحکام من أوّل الفقه إلی آخره، کما تری 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 الذی أیّده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نری روایة العامّة بطرقهم کثیراً من المخصِّصات المنفصلة، المرویّة من طرقنا عن الأئمّة علیهم السلام، فیکشف ذلک عن اختفاء المخصِّصات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المخصِّصات التی روتها العامّة و الخاصّة لیست متّصلة بالعمومات نراها بالعیان و الوجدان، فإنّه لم یکن النبیّ صلی الله علیه و آله و سلم یأتی بجمیع المخصّصات کلّ واحدة منها متّصلة بعموماتها منضمّة إلیها، کالکلیّات المصدّرة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p>
    <w:p>
      <w:pPr>
        <w:pStyle w:val="BookText"/>
        <w:rPr/>
      </w:pPr>
      <w:r>
        <w:rPr>
          <w:rStyle w:val="FootnoteAnchor"/>
          <w:rtl w:val="true"/>
        </w:rPr>
        <w:footnoteReference w:id="7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8"/>
      </w:r>
      <w:r>
        <w:rPr>
          <w:rFonts w:ascii="IRNazanin" w:hAnsi="IRNazanin" w:eastAsia="IRNazanin"/>
          <w:color w:val="111111"/>
          <w:sz w:val="28"/>
          <w:sz w:val="28"/>
          <w:szCs w:val="28"/>
          <w:rtl w:val="true"/>
          <w:lang w:bidi="fa-IR"/>
        </w:rPr>
        <w:t>و نحوهما، و الالتزام باتّصال جمیع قیودها بها و قد</w:t>
      </w:r>
    </w:p>
    <w:p>
      <w:pPr>
        <w:pStyle w:val="BookText"/>
        <w:rPr/>
      </w:pPr>
      <w:r>
        <w:rPr>
          <w:rFonts w:ascii="IRNazanin" w:hAnsi="IRNazanin" w:eastAsia="IRNazanin"/>
          <w:color w:val="111111"/>
          <w:sz w:val="28"/>
          <w:sz w:val="28"/>
          <w:szCs w:val="28"/>
          <w:rtl w:val="true"/>
          <w:lang w:bidi="fa-IR"/>
        </w:rPr>
        <w:t>خفیت علینا، و لم تصل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عدم ذکر الرواة لها، و غفلتهم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صحّة ذلک فی العمومات الواردة فی الکتاب المجید، و ما اختاره الشیخ قدس سره، و إن کان أقرب من حیث الاعتبار، و بالنسبة إلی بعض الأخبار، فیمکن الالتزام به فی بعض الموارد من الأحکام، لکن الکلام إنّما هو بالنسبة إلی جمیع الأحکام فی جمیع أبواب الفقه، فإنّه یلزم منه إهمال آلاف قیود و عدم بیانها، مع أنّه صلی الله علیه و آله و سلم قال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یقرّبکم إلی الجنّة، و یبعدکم عن النار، إلّا أمرتکم به، و ما من شی‌ء یقرّبکم إلی النار، و یبعّدکم عن الجنّة، إلّا و قد نهیتکم عنه</w:t>
      </w:r>
      <w:r>
        <w:rPr>
          <w:rFonts w:eastAsia="IRNazanin" w:cs="IRNazanin"/>
          <w:color w:val="111111"/>
          <w:sz w:val="28"/>
          <w:szCs w:val="28"/>
          <w:rtl w:val="true"/>
          <w:lang w:bidi="fa-IR"/>
        </w:rPr>
        <w:t>)</w:t>
      </w:r>
    </w:p>
    <w:p>
      <w:pPr>
        <w:pStyle w:val="BookText"/>
        <w:rPr/>
      </w:pPr>
      <w:r>
        <w:rPr>
          <w:rStyle w:val="FootnoteAnchor"/>
          <w:rtl w:val="true"/>
        </w:rPr>
        <w:footnoteReference w:id="709"/>
      </w:r>
      <w:r>
        <w:rPr>
          <w:rFonts w:ascii="IRNazanin" w:hAnsi="IRNazanin" w:eastAsia="IRNazanin"/>
          <w:color w:val="111111"/>
          <w:sz w:val="28"/>
          <w:sz w:val="28"/>
          <w:szCs w:val="28"/>
          <w:rtl w:val="true"/>
          <w:lang w:bidi="fa-IR"/>
        </w:rPr>
        <w:t>، و من الواضح عدم بیانه صلی الله علیه و آله و سلم جمیع القیود للمکلّفین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یمکن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ریب فی أنّ أمیر المؤمنین علیه السلام، کان ملازماً للنبیّ صلی الله علیه و آله و سلم فی الخلوات و الجلوات، من لدن زمان البعثة إلی زمان وفاته صلی الله علیه و آله و سلم فی الأیّام و اللیالی، و کان عارفاً بمقام النبوّة و معنی الوحی، حین کان أکثر الناس کالبهائم لا یعرفون شیئاً من ذلک و لا یشعرون، و کان علیه السلام شدید الاهتمام بحفظ کلّ ما یصدر عن النبیّ صلی الله علیه و آله و سلم و ضبطه؛ لعلمه علیه السلام بأنّ تلک الأحکام ثابتة لجمیع المکلّفین إلی یوم القیامة، و لم یشذّ عنها شی‌ء،</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قدس سره عن علیّ بن إبراهیم، عن أبیه، عن حمّاد بن عیسی، عن إبراهیم بن عمر الیمانی، عن ابن عبّاس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مقداد و سلمان و أبی ذرّ، شیئاً من تفسیر القرآن و أحادیث عن النبیّ صلی الله علیه و آله و سلم، غیر ما فی أیدی الناس، ثمّ سمعتُ منک تصدیق ما سمعتُ منهم، و رأیت فی أیدی الناس أشیاء کثیرة من تفسیر القرآن و أحادیث عن نبیّ اللَّه أنتم تخالفونهم فیها، و تزعمون أنّ ذلک کلّه باطل، أَ فَتری الناس یکذبون علی رسول اللَّه متعمّدین، و یفسّرون القرآن بآرائهم؟</w:t>
      </w:r>
    </w:p>
    <w:p>
      <w:pPr>
        <w:pStyle w:val="BookText"/>
        <w:rPr/>
      </w:pPr>
      <w:r>
        <w:rPr>
          <w:rFonts w:ascii="Amiri" w:hAnsi="Amiri" w:eastAsia="Amiri" w:cs="Amiri"/>
          <w:color w:val="111111"/>
          <w:sz w:val="28"/>
          <w:sz w:val="28"/>
          <w:szCs w:val="28"/>
          <w:rtl w:val="true"/>
          <w:lang w:bidi="ar-SA"/>
        </w:rPr>
        <w:t>قال فأقبل علیَّ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أیدی الناس حقّاً و باطلًا، و صدقاً و کذباً، و ناسخاً و منسوخاً، و عامّاً و خاصّاً، و محکماً و متشابهاً، و حفظاً و وهماً، و قد کُذِب علی رسول اللَّه صلی الله علیه و آله و سلم علی عهده، حتّی قام خطیباً،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قد کثرت علیَّ الکذّابة، فمن کذب علیَّ متعمّداً فلیتبوّأ مقعده من النار، ثمّ کُذِب علیه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أتاکم الحدیث من أربعة لیس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منافق یُظهر الإیمان، متصنّع بالإسلام، لا یتأثّم و لا یتحرّج أن یکذب علی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سمع من رسول اللَّه شیئاً لم یسمعه علی وجهه، و وَهَم فیه، و لم یتعمّد کذباً، فهو فی یده؛ یقول به، و یعمل به، و یرویه،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 رسول اللَّه صلی الله علیه و آله و سلم، فلو علم المسلمون أنّه و هم، لرفضوه، و لو علم هو أنّه و 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 سمع من رسول اللَّه صلی الله علیه و آله و سلم شیئاً أمر به، ثمّ نهی عنه، و هو لا یعلم، أو نهی عنه، ثمّ أمر به، و هو لا یعلم، فحفظ منسوخه، و لم یحفظ الناسخ، فلو علم أنّه منسوخ لرفضه، و لو علم الناس أو سمعوه منه 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رابع لم یکذب علی رسول اللَّه، مبغض للکذب خوفاً من اللَّه، و تعظیماً لرسول اللَّه، لم یسهُ، بل حفظ ما سمع علی وجهه، و جاء به کما سمعه؛ لم یزد فیه و لم ینقص منه، و علم الناسخ من المنسوخ، فعمل بالناسخ، و رفض المنسوخ، فإنّ أمر النبیّ صلی الله علیه و آله و سلم مثل القرآن؛ منه ناسخ و منسوخ، و خاصّ و عامّ، و محکم و متشابه، و قد کان یکون من رسول اللَّه صلی الله علیه و آله و سلم الکلام له وجهان، و کلام عامّ و کلام خاصّ مثل القرآن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نزلت علی رسول اللَّه صلی الله علیه و آله و سلم آیة إلّا أقرأنیها و أملاها علیّ، فکتبتُها بخطّی، و علّمنی تأویلها و تفسیرها و ناسخها و منسوخها و محکمها و متشابهها و عامّها و خاصّها، و دعی اللَّه أن یعطینی فهماً و حفظاً، فما نسیتُ آیة من</w:t>
      </w:r>
      <w:bookmarkStart w:id="630" w:name="pg12898_148248"/>
    </w:p>
    <w:p>
      <w:pPr>
        <w:pStyle w:val="BookText"/>
        <w:rPr/>
      </w:pPr>
      <w:bookmarkEnd w:id="630"/>
      <w:r>
        <w:rPr>
          <w:rFonts w:ascii="Amiri" w:hAnsi="Amiri" w:eastAsia="Amiri" w:cs="Amiri"/>
          <w:color w:val="111111"/>
          <w:sz w:val="28"/>
          <w:sz w:val="28"/>
          <w:szCs w:val="28"/>
          <w:rtl w:val="true"/>
          <w:lang w:bidi="ar-SA"/>
        </w:rPr>
        <w:t>کتاب اللَّه، و لا علماً أملاه علیّ و أثبته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عندی الجامعة، و ما أدراک ما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طولها سبعون ذراعاً فیها جمیع أحکام الوقائع</w:t>
      </w:r>
      <w:r>
        <w:rPr>
          <w:rFonts w:eastAsia="IRNazanin" w:cs="IRNazanin"/>
          <w:color w:val="111111"/>
          <w:sz w:val="28"/>
          <w:szCs w:val="28"/>
          <w:rtl w:val="true"/>
          <w:lang w:bidi="fa-IR"/>
        </w:rPr>
        <w:t>)</w:t>
      </w:r>
    </w:p>
    <w:p>
      <w:pPr>
        <w:pStyle w:val="BookText"/>
        <w:rPr/>
      </w:pP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صلی الله علیه و آله و سلم بیّن جمیع الأحکام، و حفظها علیّ بن أبی طالب علیه السلام و ضبطها، و لکن الناس منعوه علیه السلام أن یبیّنها لهم،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و کذلک ابنه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أن وقعت الفرصة فی زمن الصادقین علیهما السلام، فبیّنا علیهما السلام تلک الأحکام الکثیرة التی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الأئمّة علیهم السلام کانوا یفهمون من ألفاظ الکتاب و السُّنّة ما لا یفهمه غیرهم، مثل استدلال الإمام أبی جعفر علیه السلام لزرارة علی أنّ مسح الرأس فی بعضه لا جمیعه؛ لمکان الباء</w:t>
      </w:r>
      <w:r>
        <w:rPr>
          <w:rStyle w:val="FootnoteAnchor"/>
          <w:rtl w:val="true"/>
        </w:rPr>
        <w:footnoteReference w:id="712"/>
      </w:r>
      <w:r>
        <w:rPr>
          <w:rFonts w:ascii="IRNazanin" w:hAnsi="IRNazanin" w:eastAsia="IRNazanin"/>
          <w:color w:val="111111"/>
          <w:sz w:val="28"/>
          <w:sz w:val="28"/>
          <w:szCs w:val="28"/>
          <w:rtl w:val="true"/>
          <w:lang w:bidi="fa-IR"/>
        </w:rPr>
        <w:t>، و لذا أمر رسول اللَّه صلی الله علیه و آله و سلم بالتمسّک بهم و الرجوع إلیهم علیهم السلام فی الأحکام باعتراف العامّة؛ لروایة الثقلین المتواترة فی طرق الفریقین</w:t>
      </w:r>
      <w:r>
        <w:rPr>
          <w:rStyle w:val="FootnoteAnchor"/>
          <w:rtl w:val="true"/>
        </w:rPr>
        <w:footnoteReference w:id="713"/>
      </w:r>
      <w:r>
        <w:rPr>
          <w:rFonts w:ascii="IRNazanin" w:hAnsi="IRNazanin" w:eastAsia="IRNazanin"/>
          <w:color w:val="111111"/>
          <w:sz w:val="28"/>
          <w:sz w:val="28"/>
          <w:szCs w:val="28"/>
          <w:rtl w:val="true"/>
          <w:lang w:bidi="fa-IR"/>
        </w:rPr>
        <w:t>، و فی بعض روایاتهم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یُفتح منه ألف باب من العلم و من کلّ باب ألف باب منه، و یؤیّده أیضاً أنّه کان الإمام الصادق و الباقر علیهما السلام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مع عدم درکهما له 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631" w:name="__RefHeading___Toc3235136_3224264995"/>
      <w:bookmarkStart w:id="632" w:name="_Toc237"/>
      <w:bookmarkEnd w:id="631"/>
      <w:r>
        <w:rPr>
          <w:rtl w:val="true"/>
        </w:rPr>
        <w:t>وجوه دوران الأمر بین النسخ و التخصیص</w:t>
      </w:r>
      <w:bookmarkEnd w:id="63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فلنرجع إلی الکلام فی دوران الأمر بین النسخ و التخصیص، و هو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یتقدّم العامّ و یتأخّر الخاصّ عن وقت العمل بالعامّ، و دار الأمر بین أن یکون الخاصّ مخصِّصاً؛ بناء علی جواز التخصیص بعد حضور وقت العمل بالعامّ؛ من جهة أنّ حکم العامّ حکم ظاهریّ، و حکم الخاصّ واقعیّ، و بین أن یکون ناسخاً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یتقدّم الخاصّ مع صدور العامّ بعد حضور وقت العمل بالخاصّ، و دار أمر العامّ المتأخّر بین کونه ناسخاً لحکم الخاصّ المتقدّم و بین کونه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جهل الحال من حیث تقدّم العامّ أو الخاصّ، و من حیث صدور المتأخّر بعد حضور وقت العمل بالمتقدّم و عدمه، کما هو الغالب بالنسبة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بیان ما هو الحقّ فی المقام، لا بدّ من بیان ما هو محطّ البحث و الکلام هنا؛ لئلّا یقع الخلط فیه، کما یتراءی من کلمات بعض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لم یکن 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إجماع أو نصّ أو ظاهر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أحد الأمرین من النسخ أو التخصیص، و دار الأمر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أصالة الظهور فی الخاصّ متقدّمة علی العامّ، فیرتفع بها موضوع النسخ</w:t>
      </w:r>
      <w:r>
        <w:rPr>
          <w:rStyle w:val="FootnoteAnchor"/>
          <w:rtl w:val="true"/>
        </w:rPr>
        <w:footnoteReference w:id="714"/>
      </w:r>
      <w:r>
        <w:rPr>
          <w:rFonts w:ascii="IRNazanin" w:hAnsi="IRNazanin" w:eastAsia="IRNazanin"/>
          <w:color w:val="111111"/>
          <w:sz w:val="28"/>
          <w:sz w:val="28"/>
          <w:szCs w:val="28"/>
          <w:rtl w:val="true"/>
          <w:lang w:bidi="fa-IR"/>
        </w:rPr>
        <w:t>، فهو خلط فی محطّ البحث؛ لأنّ الکلام فی المقام إنّما هو فی دوران الأمر بین النسخ و التخصیص، لا فی دورانه بین تقدیم العامّ أو الخاصّ؛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أصالة الظهور فی الخاصّ متقدّمة علی العامّ، و إنّ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یصلح مثالًا لما نحن فیه، فإنّ العامّ یخصَّص بالخاصّ فیه بلا إشکال، بل المثال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یفرض إجماع علی حرمة إکرام الفسّاق من العلماء،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الأمر بین کونه ناسخاً و مخصِّصاً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النسخ و التخصیص، متوقّف علی</w:t>
      </w:r>
    </w:p>
    <w:p>
      <w:pPr>
        <w:pStyle w:val="BookText"/>
        <w:rPr/>
      </w:pPr>
      <w:r>
        <w:rPr>
          <w:rFonts w:ascii="IRNazanin" w:hAnsi="IRNazanin" w:eastAsia="IRNazanin"/>
          <w:color w:val="111111"/>
          <w:sz w:val="28"/>
          <w:sz w:val="28"/>
          <w:szCs w:val="28"/>
          <w:rtl w:val="true"/>
          <w:lang w:bidi="fa-IR"/>
        </w:rPr>
        <w:t>استفادة الدوام و الاستمرار من الدلیل الذی صدر أوّلًا؛ لیتصوّر فیه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قطع دوام الحکم و استمراره الثابت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یتصوّر النسخ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استفادة الدوام و الاستمرار للحکم الثابت للأفراد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لو تقدّم صدور العامّ و تأخّر الخاصّ، و صدر بعد حضور وقت العمل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یتصوّر بأحد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الصادر أوّلًا، و إن کان قاصراً عن إفادة استمرار الحکم الثابت به للأفراد بالدلالة اللفظیّة، بل إنّما یدلّ علی ثبوت الحکم للأفراد الموجودة فی زمان الخطاب فقط،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و لا یدلّ علی وجوب الوفاء علی الأفراد المعدومة فی زمانه؛ من المکلّفین فی الأزمنة اللّاحقة، و لکن یستفاد من إطلاقه المقامی استمراره و دوامه و ثبوته للأفراد اللّاحقة، التی توجد بعد زمان الخطاب إلی یوم القیامة؛ حیث فُرض أنّ المتکلّم فی مقام البیان مع سکوته عن ذلک، أو یستفاد ذلک من إطلاق موضوع الحکم، أو من إطلاق متعلّقه، أو من نفس الحکم؛ حیث جعله تمام الموضوع أو متعلّقِهِ ذلک، و لم ینصب قرینة علی خلاف ما یستفاد من إطلاقه بحسب الدوام 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باستفادة الدوام و استمرار الحکم من نفس العامّ،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کما یدلّ علی وجوب إکرام الموجودین منهم فی زمان الخطاب بالدلالة اللّفظیّة، کذلک یدلّ علی وجوبه علی الأفراد المعدومة فعلًا و التی توجد لاحقاً؛ لعدم اختصاص الخطابات بالموجودین زمان الخطاب، بل تعمّ جمیع العلماء إلی یوم القیامة بنحو القضیّة الحقیقیّة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باستفادة دوام الحکم الثابت للموجودین فی زمان الخطاب،</w:t>
      </w:r>
    </w:p>
    <w:p>
      <w:pPr>
        <w:pStyle w:val="BookText"/>
        <w:rPr/>
      </w:pPr>
      <w:r>
        <w:rPr>
          <w:rFonts w:ascii="IRNazanin" w:hAnsi="IRNazanin" w:eastAsia="IRNazanin"/>
          <w:color w:val="111111"/>
          <w:sz w:val="28"/>
          <w:sz w:val="28"/>
          <w:szCs w:val="28"/>
          <w:rtl w:val="true"/>
          <w:lang w:bidi="fa-IR"/>
        </w:rPr>
        <w:t>و استمراره و ثبوته للموجودین بعد زمان الخطاب بالدلیل الخارجی، لا من إطلاق العموم، و لا من نفسه بالدلالة اللفظیّة،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p>
    <w:p>
      <w:pPr>
        <w:pStyle w:val="BookText"/>
        <w:rPr/>
      </w:pPr>
      <w:r>
        <w:rPr>
          <w:rStyle w:val="FootnoteAnchor"/>
          <w:rtl w:val="true"/>
        </w:rPr>
        <w:footnoteReference w:id="7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علی الأوّلین حکمی علی الآخرین</w:t>
      </w:r>
      <w:r>
        <w:rPr>
          <w:rFonts w:eastAsia="IRNazanin" w:cs="IRNazanin"/>
          <w:color w:val="111111"/>
          <w:sz w:val="28"/>
          <w:szCs w:val="28"/>
          <w:rtl w:val="true"/>
          <w:lang w:bidi="fa-IR"/>
        </w:rPr>
        <w:t>)</w:t>
      </w:r>
    </w:p>
    <w:p>
      <w:pPr>
        <w:pStyle w:val="BookText"/>
        <w:rPr/>
      </w:pPr>
      <w:r>
        <w:rPr>
          <w:rStyle w:val="FootnoteAnchor"/>
          <w:rtl w:val="true"/>
        </w:rPr>
        <w:footnoteReference w:id="717"/>
      </w:r>
      <w:r>
        <w:rPr>
          <w:rFonts w:ascii="IRNazanin" w:hAnsi="IRNazanin" w:eastAsia="IRNazanin"/>
          <w:color w:val="111111"/>
          <w:sz w:val="28"/>
          <w:sz w:val="28"/>
          <w:szCs w:val="28"/>
          <w:rtl w:val="true"/>
          <w:lang w:bidi="fa-IR"/>
        </w:rPr>
        <w:t>، و نحو ذلک، أو الإجماع علی الاشتراک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استفادة الاستمرار من الإطلاق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استفادته من الإطلاق الکلامی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صدر أوّلًا،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استفید من إطلاقه الدوام و الاستمرار؛ لوجوب الوفاء بکلّ عقد إلی یوم القیامة، ثمّ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الربوی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حضور وقت العمل بالأوّل، و دار أمر الثانی بین أن یکون مخصِّصاً للعامّ الصادر قبله؛ بخروج البیع الربوی عن العموم رأساً و من الأوّل، و بین کونه ناسخاً، و یحکم بفساد البیع الربوی حین صدور الثانی؛ لا من الابتداء، و أنّ حکمه قبل صدور الخاصّ هو حکم العامّ، و هو وجوب الوفاء إلی زمان صدور الثانی؛ بتقیید إطلاقه المفید للدوام و الاستمرار؛ قطعاً لاستمرار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اخترناه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المقام نظیر دوران الأمر بین التقیید و التخصیص، الذی ذکرنا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تقدیم تقیید الإطلاق علی تخصیص العامّ؛ لأنّ دلالة العامّ لفظیّة، بخلاف دلالة المطلق، فإنّها مستفادة من سکوت المتکلّم و عدم البیان، و هی لا تقاوم الدلالة اللفظیّة، و ما نحن فیه من هذا القبیل؛ لأنّ الأمر فیه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تخصیص العامّ الأفرادی، و بین تقیید الإطلاق المفید للاستمرار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الذی یقوی فی النظر عاجلًا خلاف ذلک؛ و ذلک للفرق بینهما، فإنّ المفروض هناک تعارض العموم و الإطلاق بالذات فی مادّة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المطلق منه أولی من تخصیص العامّ، بخلاف ما نحن فیه، فإنّه نظیر ما لو کان التعارض بین العموم و الإطلاق عَرَضیّاً لا بالذات، کما لو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الوفاء بالبیوع، 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فإنّه لا تعارض بین عموم الأوّل و إطلاق الثانی؛ لعدم تصادقهما فی مادّة، لکن لو ورد دلیل ثالث، و دار أمره بین کونه مخصِّصاً للعامّ المذکور، أو مقیِّداً لإطلاق الثانی، صارا متعارضین؛ للعلم الإجمالی بأحدهما، و لا ترجیح هنا فی البین، فإنّ هذا الدلیل الثالث کما یصلح لتقیید الثانی و کونه بیاناً له، کذلک یصلح لتخصیص الأوّل و کونه بیاناً له، و کلّ منهما حجّة مستقلّة، و حینئذٍ فلا یجری فیه ما ذکرناه فی وجه تقدیم تقیید الإطلاق علی تخصیص العموم، و لا ما ذکره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المقام دائر بین التقیید و بین تخصیصٍ و تقییدٍ، فإنّ تخصیص العموم المذکور یستلزم تقیید إطلاقه بالنسبة إلی الأفراد المخرجة، و قطع استمرار حکمها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یوجب ارتفاع موضوع التقیید للإطلاق، و انتفاء الإطلاق فی الأفراد المخرجة، فإنّ الإطلاق فی رتبة متأخّرة عن شمول العامّ للأفراد، فلا یوجب التخصیص ارتکاب خلاف ظاهر آخر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بتخصیص العامّ أو تقیید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العلم التفصیلی بخروج الفسّاق من العلماء منذ صدور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نسخه للعامّ أو تخصیصه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خروجهم قبل صدوره و بعد صدور العامّ، و العامّ حجّة بالنسبة إلیهم قبل زمان صدور الخاصّ، فینتج ذلک تقدیم التخصیص علی النسخ عند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خروج عن محطّ البحث؛ لأنّ الکلام فی المقام هو ما لو دار الأمر بین النسخ و التخصیص و عدم ما یعیّن أحدهما فی الخارج، و ما ذکر من تقدیم التخصیص إنّما هو بملاحظة العلم الإجمالی، لا لمجرّد الدوران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مسألة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المتقوّم بالعلم الإجمالی و المتولّد منه، لا یصلح أن ینحلّ به العلم الإجمالی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بخروج الفسّاق منذ صدور الخاصّ، أحدُ طرفی التردید فی العلم الإجمالی، فلا یعقل إیجابه 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بالتفصیل إنّما هو أصل خروج الفسّاق من زمان صدور الخاصّ المردّد بین کونه نسخاً أو تخصیصاً، و هو لا یوجب انحلال العلم الإجمالی إمّا بالخروج نسخاً أو تخصیصاً، إذ لا یتعیّن به أنّ خروجه بالنسخ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استفادة استمرار حکم العامّ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استفادته من نفس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لفظیّة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فیه دائر بین تخصیصین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تخصیص عمومه الأفرادی، الثانی تخصیص عمومه الأزمانی و فی عمود الزمان، و لکن المخرَج بالأوّل أکثر منه فی الثانی، فهو دائر بین الأقلّ و الأکثر، و الأقلّ معلوم الخروج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خروجه من حین صدور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مشکوک الخروج، فیحکم علیه بحکم العامّ، فینتج تقدیم النسخ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استفادة الاستمرار من دلیل خارجیٍّ،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فالکلام فیه مبنیّ علی الاختلاف فی إفادة المفرد المضافِ العمومَ و عدمها،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یفید العموم، فمرجعه إلی دوران الأمر فیه بین تخصیص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تخصیص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ترجیح لأحدهما علی الآخر، و إن کان أفراد أحدهما أکثر من الآخر؛ لأنّه لیس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القول بعدم إفادته العموم، بل یستفاد العموم من إطلاقه، فالکلام فیه هو الکلام فی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تأخّر الخاصّ عن وقت العمل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تقدّم الخاصّ، و ورد العامّ بعد حضور وقت العمل بالخاصّ، و دار الأمر بین کون الخاصّ المتقدّم مخصِّصاً للعامّ المتأخّر، و بین کون العامّ المتأخّر ناسخاً للخاصّ المتقدّم، و الکلام فیه مبنیّ علی استفادة الاستمرار من إطلاق الخاصّ، أو من عمومه اللفظی، أو من الدلیل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ما عرفته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فمقتضی إطلاق الخاصّ حرمة إکرام الفسّاق من العلماء، و مقتضی عموم العامّ المتأخّر وجوب إکرامهم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تقیید الإطلاق فی دوران الأمر بین تقیید الإطلاق و تخصیص العامّ علی تخصیص الخاصّ؛ لأنّ حجّیّة الإطلاق مبنیّة علی السکوت و عدم البیان، بخلاف حجّیّة العامّ جارٍ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أولویّة تقیید المطلق إنّما هو فی العامّین من وجه، الذی لیس فیه جمع عرفیّ، و أمّا فی العامّ و الخاصّ المطلقین فلا، فإنّه و إن لم یکن مثل ما لو صدر المتأخّر قبل حضور وقت العمل بالمتقدّم؛ فی تعیّن التخصیص و عدم احتمال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النسخ فیما نحن فیه؛ لأنّ المفروض صدور الثانی بعد حضور وقت العمل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فرق بینهما فی وجوب الجمع العرفی بینهما بتخصیص العامّ، و معه لا تصل النوبة إلی ما ذکرناه فی وجه أولویّة تقیید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استفید استمرار الخاصّ من الدلیل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p>
    <w:p>
      <w:pPr>
        <w:pStyle w:val="BookText"/>
        <w:rPr/>
      </w:pP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فالأمر فیه دائر بین أن یکون العامّ المتأخّر بیاناً لقوله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آخره، و بین أن یکون الخاصّ المتقدّم مخصِّصاً للعامّ المتأخّر؛ بمعنی أنّ إطلاق الخاصّ ظهیر له، فیقوی به، فیخصّص به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استفید استمرار الخاصّ المتقدّم منه بدلالة لفظیّة، فمقتضی الجمع العقلائی هو تخصیص العامّ المتأخّر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جهل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الخاصّ أو العامّ، و من صدور المتأخّر بعد حضور وقت العمل بالمتقدّم واقعاً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صدور الثانی قبل حضور وقت العمل بالآخر واقعاً یتعیّن التخصیص، و علی فرض صدوره بعد حضور وقت العمل بالأوّل، یتردّد الأمر بینه و بین النسخ، فیحتمل هنا صدور الخاصّ بنحو لا یحتمل فیه إلّا التخصیص، و هو صدوره قبل حضور وقت العمل بالعامّ، ففی تقدیم النسخ أو التخصیص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بملاحظة کثرة التخصیص فی العمومات الشرعیّة،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 خُصّ، و ما من مطلق إلّا و قد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نُدرة النسخ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قد یوجب الغلبة عدم اعتناء العقلاء بالاحتمال المخالف النادر، کما أنّ بناءهم علی ذلک فی الشبهة الغیر المحصورة و أصالة الصحّة فی فعل الغیر و نحو ذلک؛ ممّا یکون فیه احتمال الخلاف نادراً؛ بحیث لا یعتنی به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التخصیص علی النسخ و عدم الاعتناء باحتمال النسخ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مبنی الفقه و الفقهاء علی التخصیص و التقیید من أوّل الفقه إلی آخره، و قلّما یوجد مورد حکموا فیه بالنسخ، مع أنّ الغالب عدم علمهم بالحال؛ من تقدّم الخاصّ علی العامّ أو بالعکس، و أنّ صدور الثانی هل هو بعد حضور وقت العمل بالأوّل أو قبله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شیخنا الحائری قدس سره و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الغلبة أن</w:t>
      </w:r>
      <w:bookmarkStart w:id="633" w:name="pg12898_148256"/>
    </w:p>
    <w:p>
      <w:pPr>
        <w:pStyle w:val="BookText"/>
        <w:rPr/>
      </w:pPr>
      <w:bookmarkEnd w:id="633"/>
      <w:r>
        <w:rPr>
          <w:rFonts w:ascii="IRNazanin" w:hAnsi="IRNazanin" w:eastAsia="IRNazanin"/>
          <w:color w:val="111111"/>
          <w:sz w:val="28"/>
          <w:sz w:val="28"/>
          <w:szCs w:val="28"/>
          <w:rtl w:val="true"/>
          <w:lang w:bidi="fa-IR"/>
        </w:rPr>
        <w:t>تکون بمثابة تصلح قرینة علی التخصیص، و ما نحن فیه لیس کذلک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یناسب لمبناهما و غیرهما فی الفقه من عدم احتمال النسخ فی هذه الصورة</w:t>
      </w:r>
      <w:r>
        <w:rPr>
          <w:rFonts w:eastAsia="IRNazanin" w:cs="IRNazanin"/>
          <w:color w:val="111111"/>
          <w:sz w:val="28"/>
          <w:szCs w:val="28"/>
          <w:rtl w:val="true"/>
          <w:lang w:bidi="fa-IR"/>
        </w:rPr>
        <w:t>.</w:t>
      </w:r>
    </w:p>
    <w:p>
      <w:pPr>
        <w:pStyle w:val="Heading5"/>
        <w:numPr>
          <w:ilvl w:val="4"/>
          <w:numId w:val="1"/>
        </w:numPr>
        <w:rPr/>
      </w:pPr>
      <w:bookmarkStart w:id="634" w:name="__RefHeading___Toc3235138_3224264995"/>
      <w:bookmarkStart w:id="635" w:name="_Toc238"/>
      <w:bookmarkEnd w:id="634"/>
      <w:r>
        <w:rPr>
          <w:rtl w:val="true"/>
        </w:rPr>
        <w:t>دوران الأمر بین تقیید الإطلاق و حمل الأمر علی الاستحباب</w:t>
      </w:r>
      <w:bookmarkEnd w:id="635"/>
    </w:p>
    <w:p>
      <w:pPr>
        <w:pStyle w:val="BookText"/>
        <w:rPr/>
      </w:pPr>
      <w:r>
        <w:rPr>
          <w:rFonts w:ascii="IRNazanin" w:hAnsi="IRNazanin" w:eastAsia="IRNazanin"/>
          <w:color w:val="111111"/>
          <w:sz w:val="28"/>
          <w:sz w:val="28"/>
          <w:szCs w:val="28"/>
          <w:rtl w:val="true"/>
          <w:lang w:bidi="fa-IR"/>
        </w:rPr>
        <w:t>و من الموارد التی تُوهِّم أنّها من قبیل تعارض الظاهر 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الأمر فیه بین تقیید المطلق و حمل الأمر علی الاستحباب أو النهی علی الکراهة، کما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منفصلًا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أفطرت 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الأمر فیه دائر بین تقیید الأوّل بالثانی، أو حمل الثانی علی الاستحباب، أو النهی علی الکراهة، و أنّ المؤمنة أفضل الأفراد، فیصحّ فی هذا الفرض ما ذکره شیخنا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تقیید المطلق فیه بمجرّد الأمر و النهی فی غایة الإشکال؛ لغلبة استعمال الأمر فی الندب، و النهی فی الکراهة، حتّی أنکر صاحب المعالم حمله علی الوجوب بمجرّده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إنّما یتمّ لو صدر المطلق من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لمن سأله عمّا هو مبتلی به، فإنّه حینئذٍ لو سُمِعَ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غیره من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بالمقیّد أو النهی بعد حضور وقت العمل بالمطلق، فتقییده مشکل، فلا بدّ من حمل الأمر بالمقیّد أو النهی علی الندب و الکراهة، و إلّا یلزم الإغراء بالجهل، و هو ممتنع من الإمام، أو الحمل علی نسخ المطلق، و هو نادر جدّاً لا یُلتزم به، فإنّ حمل الأمر علی الندب و النهی علی الکراهة، أهون و أسهل منه و من التقیید فی</w:t>
      </w:r>
      <w:bookmarkStart w:id="636" w:name="pg12898_148257"/>
    </w:p>
    <w:p>
      <w:pPr>
        <w:pStyle w:val="BookText"/>
        <w:rPr/>
      </w:pPr>
      <w:bookmarkEnd w:id="636"/>
      <w:r>
        <w:rPr>
          <w:rFonts w:ascii="IRNazanin" w:hAnsi="IRNazanin" w:eastAsia="IRNazanin"/>
          <w:color w:val="111111"/>
          <w:sz w:val="28"/>
          <w:sz w:val="28"/>
          <w:szCs w:val="28"/>
          <w:rtl w:val="true"/>
          <w:lang w:bidi="fa-IR"/>
        </w:rPr>
        <w:t>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المتکلّم فی مقام جعل القوانین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کثیر من الأوامر و النواهی الصادرة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فیه تقیید المطلق؛ لأنّ بناء المقنّنین علی ذکر العمومات و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جعل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المقیِّدات و المخصِّصات و بیانهما، و لا یلزم منه الإغراء بالجهل، و لا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تعارض الدلیلین</w:t>
      </w:r>
      <w:r>
        <w:rPr>
          <w:rFonts w:eastAsia="IRNazanin" w:cs="IRNazanin"/>
          <w:color w:val="111111"/>
          <w:sz w:val="28"/>
          <w:szCs w:val="28"/>
          <w:rtl w:val="true"/>
          <w:lang w:bidi="fa-IR"/>
        </w:rPr>
        <w:t>.</w:t>
      </w:r>
    </w:p>
    <w:p>
      <w:pPr>
        <w:pStyle w:val="Heading4"/>
        <w:numPr>
          <w:ilvl w:val="3"/>
          <w:numId w:val="1"/>
        </w:numPr>
        <w:rPr/>
      </w:pPr>
      <w:bookmarkStart w:id="637" w:name="__RefHeading___Toc3235140_3224264995"/>
      <w:bookmarkStart w:id="638" w:name="_Toc239"/>
      <w:bookmarkEnd w:id="637"/>
      <w:r>
        <w:rPr>
          <w:rtl w:val="true"/>
        </w:rPr>
        <w:t>المبحث الثالث إذا کان التعارض بین أکثر من دلیلین</w:t>
      </w:r>
      <w:bookmarkEnd w:id="638"/>
    </w:p>
    <w:p>
      <w:pPr>
        <w:pStyle w:val="Heading5"/>
        <w:numPr>
          <w:ilvl w:val="4"/>
          <w:numId w:val="1"/>
        </w:numPr>
        <w:rPr/>
      </w:pPr>
      <w:bookmarkStart w:id="639" w:name="__RefHeading___Toc3235142_3224264995"/>
      <w:bookmarkStart w:id="640" w:name="_Toc240"/>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و أمّا التعارض بین الأکثر من دلیلین، ففیه صور نذکر أهمّها</w:t>
      </w:r>
      <w:r>
        <w:rPr>
          <w:rFonts w:eastAsia="IRNazanin" w:cs="IRNazanin"/>
          <w:color w:val="111111"/>
          <w:sz w:val="28"/>
          <w:szCs w:val="28"/>
          <w:rtl w:val="true"/>
          <w:lang w:bidi="fa-IR"/>
        </w:rPr>
        <w:t>:</w:t>
      </w:r>
    </w:p>
    <w:p>
      <w:pPr>
        <w:pStyle w:val="Heading5"/>
        <w:numPr>
          <w:ilvl w:val="4"/>
          <w:numId w:val="1"/>
        </w:numPr>
        <w:rPr/>
      </w:pPr>
      <w:bookmarkStart w:id="641" w:name="__RefHeading___Toc3235144_3224264995"/>
      <w:bookmarkStart w:id="642" w:name="_Toc241"/>
      <w:bookmarkEnd w:id="641"/>
      <w:r>
        <w:rPr>
          <w:rtl w:val="true"/>
        </w:rPr>
        <w:t>الصورة الاولی</w:t>
      </w:r>
      <w:r>
        <w:rPr>
          <w:rtl w:val="true"/>
        </w:rPr>
        <w:t xml:space="preserve">: </w:t>
      </w:r>
      <w:r>
        <w:rPr>
          <w:rtl w:val="true"/>
        </w:rPr>
        <w:t>إذا ورد عامّ و خاصّان کلّ واحد منهما أخصّ من الأوّل</w:t>
      </w:r>
      <w:bookmarkEnd w:id="642"/>
    </w:p>
    <w:p>
      <w:pPr>
        <w:pStyle w:val="BookText"/>
        <w:rPr/>
      </w:pPr>
      <w:r>
        <w:rPr>
          <w:rFonts w:ascii="IRNazanin" w:hAnsi="IRNazanin" w:eastAsia="IRNazanin"/>
          <w:color w:val="111111"/>
          <w:sz w:val="28"/>
          <w:sz w:val="28"/>
          <w:szCs w:val="28"/>
          <w:rtl w:val="true"/>
          <w:lang w:bidi="fa-IR"/>
        </w:rPr>
        <w:t>لو ورد عامّ، و خاصّان کلّ واحد منهما أخصّ من الأوّل؛ سواء کان بین موضوعی الخاصّین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 و 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فیها فی مقامین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أنّه هل تجب ملاحظة النسبة بین العامّ و أحد الخاصّین و علاج التعارض بینهما أوّلًا، ثمّ ملاحظة النسبة بینه و بین الخاصّ الآخر، فإنّه حینئذٍ ربّما تنقلب النسبة، کما لو خُصِّص العامّ فی المثال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النسبة بین العامّ بعد التخصیص، و بین الخاصّ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p>
    <w:p>
      <w:pPr>
        <w:pStyle w:val="BookText"/>
        <w:rPr/>
      </w:pPr>
      <w:r>
        <w:rPr>
          <w:rFonts w:ascii="Amiri" w:hAnsi="Amiri" w:eastAsia="Amiri" w:cs="Amiri"/>
          <w:color w:val="111111"/>
          <w:sz w:val="28"/>
          <w:sz w:val="28"/>
          <w:szCs w:val="28"/>
          <w:rtl w:val="true"/>
          <w:lang w:bidi="ar-SA"/>
        </w:rPr>
        <w:t>هی العموم من وجه، أو أنّه لا یصحّ ذلک؛ لأنّ الخاصّین فی عرض واحد؛ لا تقدّم لأحدهما علی الآخر و ملاحظته أوّلًا مع العامّ، ثمّ ملاحظة الآخر بعده، أو التفصیل بین کون المخصِّصَین لفظیَّین، و بین کون أحدهما لفظیّاً و الآخر لُبّیّاً، فلا تقدّم لأحدهما علی الآخر فی الأوّل، و یقدّم اللُّبّی علی اللفظی فی الثانی، فیلاحظ النسبة بین العامّ بعد تخصیصه باللُّبّی، ثمّ ملاحظة النسبة بینه و بین المخصِّص اللّفظی؟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عدم تقدّم أحد الخاصّین علی الآخر فی ملاحظة النسبة بینه و بین العامّ؛ لأنّهما فی عرض واحد، و أنّ مقتضی القاعدة تخصیص العامّ بکلّ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استلزم تخصیصه بهما استهجانه، أو استیعاب جمیع الأفراد و عدم بقاء شی‌ء منها تحت العامّ،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 و یُکره إکرام عدولهم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یمکن تخصیصه بهما معاً، فهل یقع التعارض حینئذٍ بین العامّ و بین مجموع الخاصّین، کما ذهب إلیه الشیخ الأعظم و المحقّق الخراسانی و المیرزا النائینی</w:t>
      </w:r>
      <w:r>
        <w:rPr>
          <w:rStyle w:val="FootnoteAnchor"/>
          <w:rtl w:val="true"/>
        </w:rPr>
        <w:footnoteReference w:id="722"/>
      </w:r>
      <w:r>
        <w:rPr>
          <w:rFonts w:ascii="IRNazanin" w:hAnsi="IRNazanin" w:eastAsia="IRNazanin"/>
          <w:color w:val="111111"/>
          <w:sz w:val="28"/>
          <w:sz w:val="28"/>
          <w:szCs w:val="28"/>
          <w:rtl w:val="true"/>
          <w:lang w:bidi="fa-IR"/>
        </w:rPr>
        <w:t>، أو أنّ التعارض حینئذٍ بین الخاصّین؟</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الخاصَّین اللّفظیّین یردان علی العامّ فی عرض واحد، فیخصّص بهما معاً، و لا یلزم منه محذور؛ إذ لا وجه لملاحظة النسبة بینه و بین أحد الخاصّین أوّلًا، ثمّ ملاحظته مع الآخر؛ لعدم المرجِّح فیما لو لم یعلم الحال من تقدّم أحد الخاصّین بحسب الصدور و تأخّره، کما هو الغالب، و لهذا 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توهّم بعضٍ تخصیصَ العامّ بأحد الخاصّین إذا کان 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أظنّ أن یلتزم هذا المتوهّم بذلک فی الخاصَّین اللفظیَّین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فی الخاصَّین اللفظیَّین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کان أحد الخاصّین لُبّیّاً و الآخر لفظیّاً، فمع کون اللّبّی کالحافّ بالعامّ، کما</w:t>
      </w:r>
    </w:p>
    <w:p>
      <w:pPr>
        <w:pStyle w:val="BookText"/>
        <w:rPr/>
      </w:pPr>
      <w:r>
        <w:rPr>
          <w:rFonts w:ascii="IRNazanin" w:hAnsi="IRNazanin" w:eastAsia="IRNazanin"/>
          <w:color w:val="111111"/>
          <w:sz w:val="28"/>
          <w:sz w:val="28"/>
          <w:szCs w:val="28"/>
          <w:rtl w:val="true"/>
          <w:lang w:bidi="fa-IR"/>
        </w:rPr>
        <w:t xml:space="preserve">لو علم بحرمة إکرام الفسّاق من العلماء حین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فی تخصیص العامّ به أوّلًا، ثمّ ملاحظته مع الخاصّ الآخر، و لا ینبغی عدُّ ذلک من انقلاب النسبة، فإنّ فسّاق العلماء خارجون من العامّ ابتداءً و من الأوّل، کما أنّه لو اتّصل أحد الخاصَّین اللفظیَّین بالعامّ، فهو أیضاً کذلک؛ لأنّه قرینة حافّة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اللُّبّی الغیر الحافّ بالکلام، فالحقّ فیه 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وجه لتقدیم اللُّبّی المذکور، و ملاحظة النسبة بینه و بین العامّ أوّلًا، ثمّ ملاحظته مع الخاصّ اللفظی</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تبعه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 و لکن ببالی أنّه قدس سره عدل عنه فی الفقه؛ للفرق بینه و بین الخاصَّین اللفظیَّین؛ لأنّهما واردان علی العامّ فی عرض واحد، و أمّا اللُّبّی فهو من قبیل تتمّة المقتضی للعامّ، و المخصِّص اللفظی من قبیل المانع فلیس العام مع المخصّص اللّبّی فی العموم من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قدس سره أنّ حجّیّة العامّ معلّقة علی ذلک، و أنّه لیس حجّة إلی زمان حصول القطع بالخلاف فی بعض الأفراد الخارجة بالدلیل اللُّبّی، فلا نُسلّم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مع وجود المخصِّص اللُّبّی کالقطع بالخلاف، یکشف عن عدم تعلّق الإرادة الجدّیّة بالنسبة إلی تلک الأفراد، التی علم عدم وجوب إکرامهم، فالمخصِّص اللفظی أیضاً کذلک، فإنّ مقتضاه عدم حجّیّة العامّ حین الظفر بالخاصّ، و کشفه عن عدم تعلّق الإرادة الجدّیّة بالنسبة إلی أفراد الخاصّ، فلا فرق بین اللُّبّی و اللفظی فی ذلک، مع حجّیّة العامّ بالنسبة إلی العموم قبل الظفر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هو ما ذهب إلیه الشیخ الأعظم قدس سره أوّلًا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لو استلزم تخصیص العامّ بکلا الخاصَّین محذور</w:t>
      </w:r>
    </w:p>
    <w:p>
      <w:pPr>
        <w:pStyle w:val="BookText"/>
        <w:rPr/>
      </w:pPr>
      <w:r>
        <w:rPr>
          <w:rFonts w:ascii="IRNazanin" w:hAnsi="IRNazanin" w:eastAsia="IRNazanin"/>
          <w:color w:val="111111"/>
          <w:sz w:val="28"/>
          <w:sz w:val="28"/>
          <w:szCs w:val="28"/>
          <w:rtl w:val="true"/>
          <w:lang w:bidi="fa-IR"/>
        </w:rPr>
        <w:t>الاستهجان، أو استیعاب أفراد العامّ،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 الخاصّین یعارض العامّ، فلا بدّ من ملاحظة المرجِّحات و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ربّما یرد علیه الإشکال فیما لو کان العامّ راجحاً علی أحد الخاصّین بحسب السند دون الآخر، أو وافق أحد الخاصّین العامّة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التعارض إنّما هو بین الخاصّین، لکنّه تعارضٌ بالعرض؛ و ذلک لأنّ العامّ لا یعارض کلّ واحد من الخاصّین منفرداً؛ لعدم لزوم محذور من تخصیصه بأحدهما، و وجوب الجمع العرفی بینهما، و إنّما یلزم المحذور من تخصیصه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ثلاثة 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خاصّان،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إکرام عدولهم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العامّ لا یعارض الخاصّ الأوّل بنفسه مع قطع النظر عن الخاصّ الآخر، و کذلک الخاصّ الآخر بنفسه لا یعارض العامّ، و مجموع الخاصّین لیس شیئاً یعارض العامّ، لکن یعلم إجمالًا بعدم صحّة تخصیص العامّ بأحد الخاصّین؛ و أنّه لم یصدر أحدهما؛ للزوم المحذور من تخصیصه بهما معاً، فلا بدّ من الرجوع إلی المرجّحات بین الخاصّین، و علاج التعارض بینهما، و إن قلنا بعدم شمول أخبار التعارض و العلاج للمتعارضین بالعرض، فمقتضی القاعدة تساقط الخاصّین، فإمّا أن نقول بحجّیّة العامّ ظاهراً؛ لعدم العلم التفصیلی بالمخصِّص، أو لا؛ للعلم الإجمالی بتخصیصه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یعلم بتلازم الخاصّین فی الحکم، و أمّا مع العلم به و عدم انفکاک أحدهما عن الآخر، فیقع التعارض بین العامّ و بین کلّ واحد منهما؛ لأنّ المفروض استلزامه للخاصّ الآخر، فیلزم من تخصیصه به، و بلازمه الاستهجان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 بالتلازم بین الأفراد فی الحکم، لا بین الخاصّین؛ بمعنی أنّه لو وجب إکرام العلماء فجمیع أفرادهم کذلک، و إن حرم إکرامهم فجمیعهم سواء فی هذا الحکم، و إن استُحبّ إکرامهم فکذلک، 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لا تکرم فسّاق العلماء، و یستحبّ</w:t>
      </w:r>
      <w:bookmarkStart w:id="643" w:name="pg12898_148261"/>
    </w:p>
    <w:p>
      <w:pPr>
        <w:pStyle w:val="BookText"/>
        <w:rPr/>
      </w:pPr>
      <w:bookmarkEnd w:id="643"/>
      <w:r>
        <w:rPr>
          <w:rFonts w:ascii="IRNazanin" w:hAnsi="IRNazanin" w:eastAsia="IRNazanin"/>
          <w:color w:val="111111"/>
          <w:sz w:val="28"/>
          <w:sz w:val="28"/>
          <w:szCs w:val="28"/>
          <w:rtl w:val="true"/>
          <w:lang w:bidi="fa-IR"/>
        </w:rPr>
        <w:t>إکرام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 التعارض بین الأدلّة الثلاثة</w:t>
      </w:r>
      <w:r>
        <w:rPr>
          <w:rFonts w:eastAsia="IRNazanin" w:cs="IRNazanin"/>
          <w:color w:val="111111"/>
          <w:sz w:val="28"/>
          <w:szCs w:val="28"/>
          <w:rtl w:val="true"/>
          <w:lang w:bidi="fa-IR"/>
        </w:rPr>
        <w:t>.</w:t>
      </w:r>
    </w:p>
    <w:p>
      <w:pPr>
        <w:pStyle w:val="Heading5"/>
        <w:numPr>
          <w:ilvl w:val="4"/>
          <w:numId w:val="1"/>
        </w:numPr>
        <w:rPr/>
      </w:pPr>
      <w:bookmarkStart w:id="644" w:name="__RefHeading___Toc3235146_3224264995"/>
      <w:bookmarkStart w:id="645" w:name="_Toc242"/>
      <w:bookmarkEnd w:id="644"/>
      <w:r>
        <w:rPr>
          <w:rtl w:val="true"/>
        </w:rPr>
        <w:t>الصورة الثانیة</w:t>
      </w:r>
      <w:r>
        <w:rPr>
          <w:rtl w:val="true"/>
        </w:rPr>
        <w:t xml:space="preserve">: </w:t>
      </w:r>
      <w:r>
        <w:rPr>
          <w:rtl w:val="true"/>
        </w:rPr>
        <w:t>إذا ورد عامّ و خاصّان بینهما عموم و خصوص مطلق</w:t>
      </w:r>
      <w:bookmarkEnd w:id="645"/>
    </w:p>
    <w:p>
      <w:pPr>
        <w:pStyle w:val="BookText"/>
        <w:rPr/>
      </w:pPr>
      <w:r>
        <w:rPr>
          <w:rFonts w:ascii="IRNazanin" w:hAnsi="IRNazanin" w:eastAsia="IRNazanin"/>
          <w:color w:val="111111"/>
          <w:sz w:val="28"/>
          <w:sz w:val="28"/>
          <w:szCs w:val="28"/>
          <w:rtl w:val="true"/>
          <w:lang w:bidi="fa-IR"/>
        </w:rPr>
        <w:t xml:space="preserve">لو ورد عامّ و خاصّان، و بین الخاصّین عموم و خصوص مطلق،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و لا تکرم النحویّین، و لا تکرم فسّاق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یُخصَّص العامّ بهما، کما فی الصورة السابقة</w:t>
      </w:r>
      <w:r>
        <w:rPr>
          <w:rStyle w:val="FootnoteAnchor"/>
          <w:rtl w:val="true"/>
        </w:rPr>
        <w:footnoteReference w:id="726"/>
      </w:r>
      <w:r>
        <w:rPr>
          <w:rFonts w:ascii="Amiri" w:hAnsi="Amiri" w:eastAsia="Amiri" w:cs="Amiri"/>
          <w:color w:val="111111"/>
          <w:sz w:val="28"/>
          <w:sz w:val="28"/>
          <w:szCs w:val="28"/>
          <w:rtl w:val="true"/>
          <w:lang w:bidi="ar-SA"/>
        </w:rPr>
        <w:t>، و لکنّه یتصوّر علی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یتوافق الخاصّان إثباتاً و نفیاً، و یخالفان العامّ فیهما، کما فی المثال المذکور، فإمّا أن یلزم من تخصیص العامّ بهما محذور من الاستهجان و غیره،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تُحرز وحدة المطلوب من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یُحرز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الأخیر یخصّص العامّ بهما، فیخرج فسّاق النحویّین فی المثال من العامّ، و کذلک عدولهم؛ أی مورد افتراق الأعمّ من الخاصّین، و علی الأوّل أی فرض إحراز وحدة المطلوب من الخاصّین، فیخصّص الأعم من الخاصّین بالأخصّ منهما، فیخرج فسّاق النحویّین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عدولهم تحته، و یصیر نتیجة ذلک حرمة إکرام عدول النحویّین، فیخرج ذلک عن العامّ، و النتیجة حینئذٍ وجوب إکرام العلماء سوی العدول من النحویّین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لزم الاستهجان من تخصیص العامّ، فهو إمّا بسبب التخصیص بالخاصّ أو</w:t>
      </w:r>
    </w:p>
    <w:p>
      <w:pPr>
        <w:pStyle w:val="BookText"/>
        <w:rPr/>
      </w:pPr>
      <w:r>
        <w:rPr>
          <w:rFonts w:ascii="IRNazanin" w:hAnsi="IRNazanin" w:eastAsia="IRNazanin"/>
          <w:color w:val="111111"/>
          <w:sz w:val="28"/>
          <w:sz w:val="28"/>
          <w:szCs w:val="28"/>
          <w:rtl w:val="true"/>
          <w:lang w:bidi="fa-IR"/>
        </w:rPr>
        <w:t>الأخصّ، أو بکلّ واحد منهما منفرداً، فالأخیر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انحصارهم فی الکوفیّین إلّا نادراً،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فسّاق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أنّهم فسّاق إلّا نادراً، فإنّه لو خُصّص بالأخصّ من الخاصّین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تخصیص الأکثر المستهجن؛ لأنّه لا یبقی حینئذٍ تحت العامّ إلّا النادر منهم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یلزم الاستهجان من تخصیصه بالخاصّ من الخاصّین بطریق أولی؛ لأنّ المفروض أنّ دائرته أوسع و أعمّ من الآخر، فإذا اخرج من العموم یلزم ما ذکر من الاستهجان، و لا مناص حینئذٍ من أن یقال بتعارض الأدلّة الثلاثة، و الرجوع إلی قواعد التعارض، و لو لزم الاستهجان من تخصیص العامّ بالخاصّ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الجمع العقلائی تخصیص الخاصّ بالأخصّ و تخصیص العامّ الفوقانی بالخاصّ المخصِّص، و هو جمع عقلائیّ لا یستلزم الاستهجان، لکن یکشف ذلک عن وحدة المطلوب من الخاصّین؛ لعدم إمکان تعدّد المطلوب حینئذٍ، و إلّا لزم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فرْضُ لزوم الاستهجان من تخصیص العامّ الفوقانی بمجموع الخاصّین فقط، فهو غیر متصوّر لتداخلهما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الخاصّان متخالفین إیجاباً و سلباً، و الأخصّ موافقاً للعامّ دون الخاصّ،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 منهم، و أکرم فسّاق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فمقتضی الجمع العقلائی تخصیص الخاصّ بالأخصّ، ثمّ تخصیص العامّ الفوقانی بالخاصّ المخصَّص، و النتیجة وجوب إکرام العلماء إلّا عدول النحویّین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لزوم الاستهجان من التخصیص، یقع التعارض بین الأدلّة الثلاثة المذکورة، و إن لزم الاستهجان من تخصیص العامّ الفوقانی بالخاصّ المخصّص دون 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الخاصّ بالأخصّ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التعارض بین العامّ و الخاصّ، لکن لا مانع من تخصیص الخاصّ بالأخصّ</w:t>
      </w:r>
      <w:r>
        <w:rPr>
          <w:rFonts w:eastAsia="IRNazanin" w:cs="IRNazanin"/>
          <w:color w:val="111111"/>
          <w:sz w:val="28"/>
          <w:szCs w:val="28"/>
          <w:rtl w:val="true"/>
          <w:lang w:bidi="fa-IR"/>
        </w:rPr>
        <w:t>.</w:t>
      </w:r>
      <w:bookmarkStart w:id="646" w:name="pg12898_148263"/>
    </w:p>
    <w:p>
      <w:pPr>
        <w:pStyle w:val="BookText"/>
        <w:rPr/>
      </w:pPr>
      <w:bookmarkEnd w:id="646"/>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واحد من الأدلّة الثلاثة مخالفاً للآخر فی الحکم،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 و یحرم إکرام الفسّاق منهم، و یُستحبّ إکرام النحوی من 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فالحکم فیه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لم یلزم محذور من تخصیص العامّ بالخاصّ المخصَّص بالأخصّ، فمقتضی الجمع العقلائی تخصیص الخاصّ بالأخصّ، ثمّ تخصیص العامّ الفوقانی بالخاصّ بعد خروج الأخصّ منه، و تصیر النتیجة فی المثال وجوب اکرام جمیع العلماء إلّا الفسّاق الغیر النحوی منهم، و الفسّاق الغیر النحوی منهم محرم الاکرام و الفسّاق من النحویین مستحب الإکرام</w:t>
      </w:r>
      <w:r>
        <w:rPr>
          <w:rFonts w:eastAsia="IRNazanin" w:cs="IRNazanin"/>
          <w:color w:val="111111"/>
          <w:sz w:val="28"/>
          <w:szCs w:val="28"/>
          <w:rtl w:val="true"/>
          <w:lang w:bidi="fa-IR"/>
        </w:rPr>
        <w:t>.</w:t>
      </w:r>
    </w:p>
    <w:p>
      <w:pPr>
        <w:pStyle w:val="Heading5"/>
        <w:numPr>
          <w:ilvl w:val="4"/>
          <w:numId w:val="1"/>
        </w:numPr>
        <w:rPr/>
      </w:pPr>
      <w:bookmarkStart w:id="647" w:name="__RefHeading___Toc3235148_3224264995"/>
      <w:bookmarkStart w:id="648" w:name="_Toc243"/>
      <w:bookmarkEnd w:id="647"/>
      <w:r>
        <w:rPr>
          <w:rtl w:val="true"/>
        </w:rPr>
        <w:t>الصورة الثالثة</w:t>
      </w:r>
      <w:r>
        <w:rPr>
          <w:rtl w:val="true"/>
        </w:rPr>
        <w:t xml:space="preserve">: </w:t>
      </w:r>
      <w:r>
        <w:rPr>
          <w:rtl w:val="true"/>
        </w:rPr>
        <w:t>إذا ورد عامّ و خاصّان بینهما عموم من وجه</w:t>
      </w:r>
      <w:bookmarkEnd w:id="648"/>
    </w:p>
    <w:p>
      <w:pPr>
        <w:pStyle w:val="BookText"/>
        <w:rPr/>
      </w:pPr>
      <w:r>
        <w:rPr>
          <w:rFonts w:ascii="IRNazanin" w:hAnsi="IRNazanin" w:eastAsia="IRNazanin"/>
          <w:color w:val="111111"/>
          <w:sz w:val="28"/>
          <w:sz w:val="28"/>
          <w:szCs w:val="28"/>
          <w:rtl w:val="true"/>
          <w:lang w:bidi="fa-IR"/>
        </w:rPr>
        <w:t xml:space="preserve">لو ورد عامّ و خاصّان بینهما العموم من وجه، و الخاصّان إمّا متوافقان فی الإیجاب و السلب و مخالفان للعامّ فیهما،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و لا تکرم النحویّین، و لا تکرم الصرفیّین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یلزم من تخصیص العامّ بهما محذور الاستهجان، خُصِّص بهما معاً، و إلّا یقع التعارض بین الخاصّین بالعرض، نظیر ما تقدّم فی الصورة الاولی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اختلف الخاصّان فی الإیجاب و السلب، و وافق أحدُهما العامّ، فالخاصّان متعارضان فی مورد الاجتماع، و یخصّص العامّ بالخاصّ المخالف له فی مورد الافتراق،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النحویّین و أکرم الصرفیّین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فالخاصّان متعارضان فی العالم النحوی الصرفی، و یخصّص العامّ بغیر النحوی المحض، و یبقی الصرفی المحض و النحوی الصرفی تحت العامّ، و تنقلب النسبة بین العامّ المخصَّص بغیر النحوی المحض،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للعامّ بعد التخصیص، إلی العموم من وجه؛ لتصادقهما فی النحوی الصرفی، و یفارق العامّ فی الصرفی المحض، و تفارق الخاصّ فی النحوی المحض؛ لخروجه عن العامّ بالتخصیص له، و عدم إرادته بحسب الجدّ من العامّ، و عدم صلاحیّة العامّ للاحتجاج به بالنسبة إلیه؛ لأنّ المناط ملاحظة النسبة بین</w:t>
      </w:r>
      <w:bookmarkStart w:id="649" w:name="pg12898_148264"/>
    </w:p>
    <w:p>
      <w:pPr>
        <w:pStyle w:val="BookText"/>
        <w:rPr/>
      </w:pPr>
      <w:bookmarkEnd w:id="649"/>
      <w:r>
        <w:rPr>
          <w:rFonts w:ascii="IRNazanin" w:hAnsi="IRNazanin" w:eastAsia="IRNazanin"/>
          <w:color w:val="111111"/>
          <w:sz w:val="28"/>
          <w:sz w:val="28"/>
          <w:szCs w:val="28"/>
          <w:rtl w:val="true"/>
          <w:lang w:bidi="fa-IR"/>
        </w:rPr>
        <w:t>العامّ الذی 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الإرادة الجدّیّة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الآخر، لا ما استُعمل فیه العامّ و إن لم یوجب ذلک تعنون العامّ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العلماء الغیر النحویین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إیجاب المخصِّص المنفصل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صیرورة العامّ معنوناً بذلک؛ أی العلماء الغیر النحویین محضاً؛ سواء کان الخاصّ متّصلًا أم منفصلًا</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من قلم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الخاصّان فی الحکم، مع عدم موافقة أحدهما للعامّ، کما لو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 و یحرم إکرام النحویّین، و یستحبّ إکرام الصرفیّین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فالخاصّان متعارضان فی مورد تصادقهما، و هو النحوی الصرفی، و یُخصِّص کلّ واحد منهما العامّ فی مورد افتراقهما، فیخرج عنه النحویّ المحض و الصرفی المحض، فیصیر مفاد العامّ وجوب إکرام العلماء، سوی النحوی المحض و الصرفی المحض، و تتعارض الأدلّة الثلاثة فی النحوی و الصرفی، و تنقلب النسبة بین العامّ و بین کلّ واحد من الخاصّین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العموم من وجه؛ لتصادق العامّ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إکرام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النحوی الغیر المحض، و افتراق الخاصّ عن العامّ فی النحوی المحض، و افتراق العامّ عن الخاصّ فی الفقهاء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بینه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إکرام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 العامّ عموم من وجه</w:t>
      </w:r>
      <w:r>
        <w:rPr>
          <w:rFonts w:eastAsia="IRNazanin" w:cs="IRNazanin"/>
          <w:color w:val="111111"/>
          <w:sz w:val="28"/>
          <w:szCs w:val="28"/>
          <w:rtl w:val="true"/>
          <w:lang w:bidi="fa-IR"/>
        </w:rPr>
        <w:t>.</w:t>
      </w:r>
    </w:p>
    <w:p>
      <w:pPr>
        <w:pStyle w:val="Heading5"/>
        <w:numPr>
          <w:ilvl w:val="4"/>
          <w:numId w:val="1"/>
        </w:numPr>
        <w:rPr/>
      </w:pPr>
      <w:bookmarkStart w:id="650" w:name="__RefHeading___Toc3235150_3224264995"/>
      <w:bookmarkStart w:id="651" w:name="_Toc244"/>
      <w:bookmarkEnd w:id="650"/>
      <w:r>
        <w:rPr>
          <w:rtl w:val="true"/>
        </w:rPr>
        <w:t>الصورة الرابعة</w:t>
      </w:r>
      <w:r>
        <w:rPr>
          <w:rtl w:val="true"/>
        </w:rPr>
        <w:t xml:space="preserve">: </w:t>
      </w:r>
      <w:r>
        <w:rPr>
          <w:rtl w:val="true"/>
        </w:rPr>
        <w:t>إذا ورد عامّان بینهما عموم من وجه و خاصّ</w:t>
      </w:r>
      <w:bookmarkEnd w:id="65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ورد عامّان بینهما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 فقد یُخرِج الخاصّ مورد اجتماعهما عن تحت العامّین،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w:t>
      </w:r>
      <w:bookmarkStart w:id="652" w:name="pg12898_148265"/>
    </w:p>
    <w:p>
      <w:pPr>
        <w:pStyle w:val="BookText"/>
        <w:rPr/>
      </w:pPr>
      <w:bookmarkEnd w:id="652"/>
      <w:r>
        <w:rPr>
          <w:rFonts w:ascii="IRNazanin" w:hAnsi="IRNazanin" w:eastAsia="IRNazanin"/>
          <w:color w:val="111111"/>
          <w:sz w:val="28"/>
          <w:sz w:val="28"/>
          <w:szCs w:val="28"/>
          <w:rtl w:val="true"/>
          <w:lang w:bidi="fa-IR"/>
        </w:rPr>
        <w:t>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یرتفع التعارض بین العامّین المذکورین، و قد یخرج مورد افتراق أحدهما عن تحته، فتنقلب النسبة بین العامّین من العموم من وجه إلی العموم المطلق، و لو ورد خاصّ آخر مُخرِج لمورد افتراق العامّ الآخر عن تحته، انقلبت النسبة بینهما إلی التباین</w:t>
      </w:r>
      <w:r>
        <w:rPr>
          <w:rFonts w:eastAsia="IRNazanin" w:cs="IRNazanin"/>
          <w:color w:val="111111"/>
          <w:sz w:val="28"/>
          <w:szCs w:val="28"/>
          <w:rtl w:val="true"/>
          <w:lang w:bidi="fa-IR"/>
        </w:rPr>
        <w:t>.</w:t>
      </w:r>
    </w:p>
    <w:p>
      <w:pPr>
        <w:pStyle w:val="Heading5"/>
        <w:numPr>
          <w:ilvl w:val="4"/>
          <w:numId w:val="1"/>
        </w:numPr>
        <w:rPr/>
      </w:pPr>
      <w:bookmarkStart w:id="653" w:name="__RefHeading___Toc3235152_3224264995"/>
      <w:bookmarkStart w:id="654" w:name="_Toc245"/>
      <w:bookmarkEnd w:id="653"/>
      <w:r>
        <w:rPr>
          <w:rtl w:val="true"/>
        </w:rPr>
        <w:t>الصورة الخامسة</w:t>
      </w:r>
      <w:r>
        <w:rPr>
          <w:rtl w:val="true"/>
        </w:rPr>
        <w:t xml:space="preserve">: </w:t>
      </w:r>
      <w:r>
        <w:rPr>
          <w:rtl w:val="true"/>
        </w:rPr>
        <w:t>إذا ورد عامّان متباینان و خاصّ</w:t>
      </w:r>
      <w:bookmarkEnd w:id="654"/>
    </w:p>
    <w:p>
      <w:pPr>
        <w:pStyle w:val="BookText"/>
        <w:rPr/>
      </w:pPr>
      <w:r>
        <w:rPr>
          <w:rFonts w:ascii="IRNazanin" w:hAnsi="IRNazanin" w:eastAsia="IRNazanin"/>
          <w:color w:val="111111"/>
          <w:sz w:val="28"/>
          <w:sz w:val="28"/>
          <w:szCs w:val="28"/>
          <w:rtl w:val="true"/>
          <w:lang w:bidi="fa-IR"/>
        </w:rPr>
        <w:t>ما لو ورد عامّان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 فالخاصّ یخصِّص العامّ الأوّل،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عدول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انقلبت النسبة بینهما من العموم و الخصوص المطلق إلی العموم من وجه؛ لاختصاص العامّ الأوّل حینئذٍ بالفسّاق من العلماء، و یعمّ العامّ الثانی لهم و للعدول، و یفترق العامّ الثانی بشموله للعدول منهم دون الأوّل، و یتصادقان فی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عمدة الصُّور المتصوّرة فی المقام، و یمکن استنباط غیرها من الصور منها</w:t>
      </w:r>
      <w:r>
        <w:rPr>
          <w:rFonts w:eastAsia="IRNazanin" w:cs="IRNazanin"/>
          <w:color w:val="111111"/>
          <w:sz w:val="28"/>
          <w:szCs w:val="28"/>
          <w:rtl w:val="true"/>
          <w:lang w:bidi="fa-IR"/>
        </w:rPr>
        <w:t>.</w:t>
      </w:r>
    </w:p>
    <w:p>
      <w:pPr>
        <w:pStyle w:val="Heading3"/>
        <w:numPr>
          <w:ilvl w:val="2"/>
          <w:numId w:val="1"/>
        </w:numPr>
        <w:rPr/>
      </w:pPr>
      <w:bookmarkStart w:id="655" w:name="__RefHeading___Toc3235154_3224264995"/>
      <w:bookmarkStart w:id="656" w:name="_Toc246"/>
      <w:bookmarkEnd w:id="655"/>
      <w:r>
        <w:rPr>
          <w:rtl w:val="true"/>
        </w:rPr>
        <w:t>تذنیب</w:t>
      </w:r>
      <w:r>
        <w:rPr>
          <w:rtl w:val="true"/>
        </w:rPr>
        <w:t xml:space="preserve">: </w:t>
      </w:r>
      <w:r>
        <w:rPr>
          <w:rtl w:val="true"/>
        </w:rPr>
        <w:t>هل تعمّ أخبار التعارض و العلاج العامّین من وجه أم لا؟</w:t>
      </w:r>
      <w:bookmarkEnd w:id="656"/>
    </w:p>
    <w:p>
      <w:pPr>
        <w:pStyle w:val="Heading4"/>
        <w:numPr>
          <w:ilvl w:val="3"/>
          <w:numId w:val="1"/>
        </w:numPr>
        <w:rPr/>
      </w:pPr>
      <w:bookmarkStart w:id="657" w:name="__RefHeading___Toc3235156_3224264995"/>
      <w:bookmarkStart w:id="658" w:name="_Toc247"/>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و ممّا لا بدّ من تقدیمه علی الشروع فی أصل المبحث، هو الکلام فی أنّه هل تعمّ أخبار التعارض و العلاج العامّین من وجه، أو لا؟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بین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بالذات أو بالعرض، و علی الأوّل فالمتعارضان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بینهما عموم من وجه، أو بینهما عموم مطلق، مع عدم وجود الجمع العرفی بینهما؛ للزوم الاستهجان فی تخصیص العامّ، فإنّه أیضاً من قبیل التعارض بالذات؛ ضرورة تناقض الموجبة الکلّیّة مع السالبة الجزئیّة و بالعکس، غایة الأمر قد یکون بینهما الجمع العرفی العقلائی، فمع</w:t>
      </w:r>
    </w:p>
    <w:p>
      <w:pPr>
        <w:pStyle w:val="BookText"/>
        <w:rPr/>
      </w:pPr>
      <w:r>
        <w:rPr>
          <w:rFonts w:ascii="IRNazanin" w:hAnsi="IRNazanin" w:eastAsia="IRNazanin"/>
          <w:color w:val="111111"/>
          <w:sz w:val="28"/>
          <w:sz w:val="28"/>
          <w:szCs w:val="28"/>
          <w:rtl w:val="true"/>
          <w:lang w:bidi="fa-IR"/>
        </w:rPr>
        <w:t>عدمه 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التعارض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إمّا لمکان العلم الإجمالی بمخالفة أحد الدلیلین للواقع مع عدم تعارضهما و تنافیهما ذاتاً،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صلاة العید، و 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بمخالفة أحدهما للواقع، و لیسا متعارضین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هنا عامّاً و خاصّین یلزم من تخصیصه بهما الاستهجان؛ لا بأحدهما، و قد یقع التعارض بین لازمی مضمون الدلیلین، لا فی نفس مضمونهما، و فی شمول أخبار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تقدّم أنّ موضوعها الخبران المتعارضان أو 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تلک الأقسام أو بعضها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شمولها للمتباینین، و الظاهر شمولها للعموم المطلق مع عدم الجمع العرفی بینهما؛ لتخالف مضمونیهما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العامّان من وجه فعنوانا موضوع الدلیلین فیهما متغایران کالعالم و الفاسق، لکنّهما متصادقان فی بعض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کلّ واحد منهما علی حکم غیر حکم الآخر، فلا إشکال فی تعارضهما فی مورد التصادق و الاجتماع، لکن مقتضی سیاق الأخبار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و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العامّین من وجه عنها؛ لأنّه یستفاد منها تقدیم ذی المزیّة و ترجیحه و طرح الآخر رأساً بتمام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الحکم فیها بطرح 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لموافقته للعامّة، أو لمخالفة الکتاب، أو لأعدلیّة راوی الآخر، أو أصدقیّته،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فرض وقوع التعارض بین تمام مضمونی الخبرین، لا مثل العامَّین من وجه؛ إذ لا وجه لطرح تمام مضمون غیر ذی المزیّة فیهما رأساً، حتّی فی مورد الافتراق، و لیس فی هذه الأخبار ما یدلّ علی جواز طرح بعض المضمون فقط، فالظاهر عدم شمول تلک الأخبار للعامّین من وجه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الأخبار الدالّة علی أنّ ما یخالف الکتاب</w:t>
      </w:r>
    </w:p>
    <w:p>
      <w:pPr>
        <w:pStyle w:val="BookText"/>
        <w:rPr/>
      </w:pPr>
      <w:r>
        <w:rPr>
          <w:rFonts w:ascii="Amiri" w:hAnsi="Amiri" w:eastAsia="Amiri" w:cs="Amiri"/>
          <w:color w:val="111111"/>
          <w:sz w:val="28"/>
          <w:sz w:val="28"/>
          <w:szCs w:val="28"/>
          <w:rtl w:val="true"/>
          <w:lang w:bidi="ar-SA"/>
        </w:rPr>
        <w:t>زُخرف</w:t>
      </w:r>
      <w:r>
        <w:rPr>
          <w:rStyle w:val="FootnoteAnchor"/>
          <w:rtl w:val="true"/>
        </w:rPr>
        <w:footnoteReference w:id="728"/>
      </w:r>
      <w:r>
        <w:rPr>
          <w:rFonts w:ascii="IRNazanin" w:hAnsi="IRNazanin" w:eastAsia="IRNazanin"/>
          <w:color w:val="111111"/>
          <w:sz w:val="28"/>
          <w:sz w:val="28"/>
          <w:szCs w:val="28"/>
          <w:rtl w:val="true"/>
          <w:lang w:bidi="fa-IR"/>
        </w:rPr>
        <w:t>، أو باطل</w:t>
      </w:r>
      <w:r>
        <w:rPr>
          <w:rStyle w:val="FootnoteAnchor"/>
          <w:rtl w:val="true"/>
        </w:rPr>
        <w:footnoteReference w:id="729"/>
      </w:r>
      <w:r>
        <w:rPr>
          <w:rFonts w:ascii="Amiri" w:hAnsi="Amiri" w:eastAsia="Amiri" w:cs="Amiri"/>
          <w:color w:val="111111"/>
          <w:sz w:val="28"/>
          <w:sz w:val="28"/>
          <w:szCs w:val="28"/>
          <w:rtl w:val="true"/>
          <w:lang w:bidi="ar-SA"/>
        </w:rPr>
        <w:t>، أو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بها المخالفة بتمام المضمون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المقرّر لبحثه فی ذیل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یؤیّد ذلک ظهور أخبار العرض علی الکتاب فی إرادة المخالفة بقول مطلق، و هی المخالفة بنحو التباین؛ بخلاف الروایات الواردة فی ترجیح أحد المتعارضین علی الآخر بمثل الأخذ بموافقة الکتاب منهما، فإنّه یصدق علی العامّین من وجه الغیر الموافق أحدهما الکتاب، أنّه مخالف له</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التهافت بین کلامی المقرّر، فإنّ دعواه الظهور أوّلًا فی أنّ المراد هی المخالفة بتمام المضمون تنافی ما ذکره أخیراً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فالحقّ عدم شمول أخبار العلاج للعامّین من وجه موضوعاً، فضلًا عن المتعارضین بالعرض؛ لعدم صدق التعارض علیهما عرفاً، غایة الأمر أنّه یعلم عدم صدورهما معاً، و کذلک الخاصّان المتعارضان بالعرض؛ من جهة أنّ تخصیص العامّ بهما مستلزم للاستهجان، و کذلک التعارض بین لازمی الدلیلین؛ لا فی أنفسهما و فی مضمونهما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ما اختاره الشیخ الأعظم و المحقّق الخراسانی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التعارض فیه إنّما هو بین العامّ و الخاصَّین، یشمله أخبار التعارض؛ لما عرفت من</w:t>
      </w:r>
      <w:bookmarkStart w:id="659" w:name="pg12898_148268"/>
    </w:p>
    <w:p>
      <w:pPr>
        <w:pStyle w:val="BookText"/>
        <w:rPr/>
      </w:pPr>
      <w:bookmarkEnd w:id="659"/>
      <w:r>
        <w:rPr>
          <w:rFonts w:ascii="IRNazanin" w:hAnsi="IRNazanin" w:eastAsia="IRNazanin"/>
          <w:color w:val="111111"/>
          <w:sz w:val="28"/>
          <w:sz w:val="28"/>
          <w:szCs w:val="28"/>
          <w:rtl w:val="true"/>
          <w:lang w:bidi="fa-IR"/>
        </w:rPr>
        <w:t>صدقه علی العامّ و الخاصّ مع عدم الجمع العقلائی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العلاجیّة و إن لم تعمّ العامَّینِ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ممّا تقدّم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لکن یمکن دعوی إلغاء الخصوصیّة العرفیّة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و العقلاء بالتساقط فی المتعادلین، أو الحکم بالرجوع إلی المرجّحات فی الأخبار العلاجیّة، و التخییر مع عدم الترجیح فی المتباینین و نحوهما؛ ممّا تشمله الأخبار موضوعاً، لا لخصوصیّة لهما فیه، فإنّ الحکم المزبور إنّما هو لعدم مطلوبیّة طرح الأخبار، و لزوم العمل بها مهما أمکن، فمع احتمال مطابقة أحدهما للواقع، یمکن العمل بأحدهما تخییراً مع التعادل، أو بذی المزیّة تعییناً مع وجود المرجِّح، و أنّ الحکم بذلک فی بعض الصور، یستفاد منه عرفاً أنّه کذلک فی باقی الصور؛ ممّا لا تشملها الأخبار موضوعاً</w:t>
      </w:r>
      <w:r>
        <w:rPr>
          <w:rFonts w:eastAsia="IRNazanin" w:cs="IRNazanin"/>
          <w:color w:val="111111"/>
          <w:sz w:val="28"/>
          <w:szCs w:val="28"/>
          <w:rtl w:val="true"/>
          <w:lang w:bidi="fa-IR"/>
        </w:rPr>
        <w:t>.</w:t>
      </w:r>
    </w:p>
    <w:p>
      <w:pPr>
        <w:pStyle w:val="Heading4"/>
        <w:numPr>
          <w:ilvl w:val="3"/>
          <w:numId w:val="1"/>
        </w:numPr>
        <w:rPr/>
      </w:pPr>
      <w:bookmarkStart w:id="660" w:name="__RefHeading___Toc3235158_3224264995"/>
      <w:bookmarkStart w:id="661" w:name="_Toc248"/>
      <w:bookmarkEnd w:id="660"/>
      <w:r>
        <w:rPr>
          <w:rtl w:val="true"/>
        </w:rPr>
        <w:t>هل المرجّحات السندیّة جاریة فی العامّین من وجه أم لا؟</w:t>
      </w:r>
      <w:bookmarkEnd w:id="661"/>
    </w:p>
    <w:p>
      <w:pPr>
        <w:pStyle w:val="BookText"/>
        <w:rPr/>
      </w:pPr>
      <w:r>
        <w:rPr>
          <w:rFonts w:ascii="IRNazanin" w:hAnsi="IRNazanin" w:eastAsia="IRNazanin"/>
          <w:color w:val="111111"/>
          <w:sz w:val="28"/>
          <w:sz w:val="28"/>
          <w:szCs w:val="28"/>
          <w:rtl w:val="true"/>
          <w:lang w:bidi="fa-IR"/>
        </w:rPr>
        <w:t>ثمّ علی فرض عموم الأخبار العلاجیّة للعامّین من وجه، فهل تجری فیهما جمیع المرجِّحات حتّی المرجِّحات السندیّة، أو أنّه لا تجری فیهما تلک المرجِّحات؟ کما اختاره المیرزا النائینی قدس سره؛ حیث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یُرجع فیهما إلی المرجِّحات السندیة، بل لا بدّ فیهما من الرجوع إلی المرجّحات الجهتیّة، و مع فقدها فإلی المضمونیّة؛ لأنّ التعارض فیهما إنّما هو فی بعض المضمون؛ أی مادّة الاجتماع، و أمّا مادّتا افتراقهما فلا تعارض بینهما فیها، و حینئذٍ فلا معنی للرجوع فیهما إلی المرجّحات السندیّة؛ لأنّه إن ارید من الرجوع إلیها طرح أحدهما رأساً، و المعاملة معه معاملة مع الخبر الغیر الصادر، فلا وجه له؛ لعدم ابتلائه بالمعارضة فی مادّة افتراقه، مع شمول أدلّة حجّیّة خبر الواحد له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منه طرحه فی خصوص مادّة الاجتماع فهو غیر ممکن، فإنّ الخبر</w:t>
      </w:r>
    </w:p>
    <w:p>
      <w:pPr>
        <w:pStyle w:val="BookText"/>
        <w:rPr/>
      </w:pPr>
      <w:r>
        <w:rPr>
          <w:rFonts w:ascii="IRNazanin" w:hAnsi="IRNazanin" w:eastAsia="IRNazanin"/>
          <w:color w:val="111111"/>
          <w:sz w:val="28"/>
          <w:sz w:val="28"/>
          <w:szCs w:val="28"/>
          <w:rtl w:val="true"/>
          <w:lang w:bidi="fa-IR"/>
        </w:rPr>
        <w:t>الواحد لا یقبل التبعیض فی بعض المدلول من حیث الصدور؛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صادر فی بعض المدلول، و غیر صادر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انحلاله إلی أخبار متعدّدة حسب تعدّد أفراد الموضوع، کما هو الشأن فی جمیع القضایا الحقیقیّة، فلا محذور فی طرح أحد العامّین من وجه فی خصوص مادّة الاجتماع دون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الفساد، فإنّ الانحلال المذکور لا یقتضی تعدّد الروایة، بل لیس فی البین إلّا روایة واحدة، رتّب فیها الحکم علی موضوعه المقدّر وجوده</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معنی للرجوع إلی المرجِّحات الصدوریّة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منه أنّ التعبّد بصدور خبر فی بعض مدلوله دون بعض، ممتنع عقلًا، فهو ممنوع لأنّ الذی یأباه العقل هو صدوره و عدم صدوره تکویناً، فإنّه غیر معقول، و أمّا شرعاً و فی عالم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الحکم بترتیب بعض الآثار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لأنّ التعبّد باب واسع یمکن التعبّد بما هو ممتنع تکویناً، مثل التعبّد بوجود المعلول دون علّته، و بالعکس، و بأحد المتلازمین عقلًا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عدم إمکانه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خلاف ظاهر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العلاج بمرجّحات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 التعبّد بالصدور، أو التعبّد بعدمه، و یبعد عند العرف التعبّد بالصدور من جهة، و عدمه من جهة اخری، و إن لم یمتنع ذلک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بأوثقهما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4"/>
      </w:r>
      <w:r>
        <w:rPr>
          <w:rFonts w:ascii="IRNazanin" w:hAnsi="IRNazanin" w:eastAsia="IRNazanin"/>
          <w:color w:val="111111"/>
          <w:sz w:val="28"/>
          <w:sz w:val="28"/>
          <w:szCs w:val="28"/>
          <w:rtl w:val="true"/>
          <w:lang w:bidi="fa-IR"/>
        </w:rPr>
        <w:t>لیس أمراً بالحکم بصدوره بتمام مضمونه؛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لازمه فرض تعدّد السند و الصدور، بل لیس معناه إلّا الأمر بترتیب الأثر علیه و العمل به؛ من حیث إنّه أحفظ و أضبط لِقیود الکلام، و إنّه أقلّ</w:t>
      </w:r>
    </w:p>
    <w:p>
      <w:pPr>
        <w:pStyle w:val="BookText"/>
        <w:rPr/>
      </w:pPr>
      <w:r>
        <w:rPr>
          <w:rFonts w:ascii="IRNazanin" w:hAnsi="IRNazanin" w:eastAsia="IRNazanin"/>
          <w:color w:val="111111"/>
          <w:sz w:val="28"/>
          <w:sz w:val="28"/>
          <w:szCs w:val="28"/>
          <w:rtl w:val="true"/>
          <w:lang w:bidi="fa-IR"/>
        </w:rPr>
        <w:t>اشتباهاً و خطأً من الآخر، فیُؤخذ بتمام مضمون أحد الخبرین و بعض مضمون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بخطإ أحدهما فی النقل بالنسبة إلی مادّة الافتراق، یدور الأمر بین خطأ الأوثق فی حفظ قیود الکلام و ضبطها، و بین خطأ غیره، فلا مانع من التعبّد بصدور خبر الأوثق بجمیع مضمونه؛ بمعنی ترتّب الأثر علیه و التعبّد بصدور الآخر بالنسبة إلی بعض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جمیع المرجّحات فی العامّین من وجه؛ بناءً علی شمول أخبار التعارض و العلاج لهما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کلّه فلنشرع فی البحث فی أصل المطلب فی المقام، و فیه مقامان</w:t>
      </w:r>
      <w:r>
        <w:rPr>
          <w:rFonts w:eastAsia="IRNazanin" w:cs="IRNazanin"/>
          <w:color w:val="111111"/>
          <w:sz w:val="28"/>
          <w:szCs w:val="28"/>
          <w:rtl w:val="true"/>
          <w:lang w:bidi="fa-IR"/>
        </w:rPr>
        <w:t>:</w:t>
      </w:r>
      <w:bookmarkStart w:id="662" w:name="pg12898_148271"/>
    </w:p>
    <w:p>
      <w:pPr>
        <w:pStyle w:val="Heading3"/>
        <w:numPr>
          <w:ilvl w:val="2"/>
          <w:numId w:val="1"/>
        </w:numPr>
        <w:rPr/>
      </w:pPr>
      <w:bookmarkStart w:id="663" w:name="__RefHeading___Toc3235160_3224264995"/>
      <w:bookmarkStart w:id="664" w:name="_Toc249"/>
      <w:bookmarkEnd w:id="662"/>
      <w:bookmarkEnd w:id="663"/>
      <w:r>
        <w:rPr>
          <w:rtl w:val="true"/>
        </w:rPr>
        <w:t>المقام الأوّل فی المتکافئین</w:t>
      </w:r>
      <w:bookmarkEnd w:id="664"/>
    </w:p>
    <w:p>
      <w:pPr>
        <w:pStyle w:val="Heading4"/>
        <w:numPr>
          <w:ilvl w:val="3"/>
          <w:numId w:val="1"/>
        </w:numPr>
        <w:rPr/>
      </w:pPr>
      <w:bookmarkStart w:id="665" w:name="__RefHeading___Toc3235162_3224264995"/>
      <w:bookmarkStart w:id="666" w:name="_Toc250"/>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فالکلام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بیان ما هو مقتضی القاعدة العقلیّة أو العقلائیّة فیهما، و إمّا فی بیان ما هو مقتضی الأخبار الواردة فی الخبرین المتکافئین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الأوّل فالبحث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بناءً علی الطریقیّة فی حجّیّة الأمارات، و إمّا علی السببیّة</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235164_3224264995"/>
      <w:bookmarkStart w:id="668" w:name="_Toc251"/>
      <w:bookmarkEnd w:id="667"/>
      <w:r>
        <w:rPr>
          <w:rtl w:val="true"/>
        </w:rPr>
        <w:t>مقتضی الأصل علی الطریقیّة</w:t>
      </w:r>
      <w:bookmarkEnd w:id="668"/>
    </w:p>
    <w:p>
      <w:pPr>
        <w:pStyle w:val="BookText"/>
        <w:rPr/>
      </w:pPr>
      <w:r>
        <w:rPr>
          <w:rFonts w:ascii="IRNazanin" w:hAnsi="IRNazanin" w:eastAsia="IRNazanin"/>
          <w:color w:val="111111"/>
          <w:sz w:val="28"/>
          <w:sz w:val="28"/>
          <w:szCs w:val="28"/>
          <w:rtl w:val="true"/>
          <w:lang w:bidi="fa-IR"/>
        </w:rPr>
        <w:t>أمّا البحث فی بیان مقتضی القواعد العقلیّة فیهما بناءً علی الطریقیّة، فعلی القول بأنّ مستند حجّیّة الأمارات هو بناء العقلاء و إمضاء الشارع لها، لا تأسیساً من الشارع، فلا بدّ فی صورة تکافئهما من الرجوع إلی ملاحظة بنائهم فی تلک الحال،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بناءهم علی التساقط و التوقّف لوجهین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حجّیّة خبر الواحد عندهم، إنّما هی من باب الطریقیّة لا السببیّة، و فی صورة تعارض الخبرین و العلم بمخالفة أحدهما للواقع، لیس واحد منهما کاشفاً عن الواقع، و لیس بناؤهم علی العمل بواحد منهما لتکاذبهما؛ لأنّ کلّ</w:t>
      </w:r>
    </w:p>
    <w:p>
      <w:pPr>
        <w:pStyle w:val="BookText"/>
        <w:rPr/>
      </w:pPr>
      <w:r>
        <w:rPr>
          <w:rFonts w:ascii="IRNazanin" w:hAnsi="IRNazanin" w:eastAsia="IRNazanin"/>
          <w:color w:val="111111"/>
          <w:sz w:val="28"/>
          <w:sz w:val="28"/>
          <w:szCs w:val="28"/>
          <w:rtl w:val="true"/>
          <w:lang w:bidi="fa-IR"/>
        </w:rPr>
        <w:t>واحد منهما مستلزم لعدم کاشفیّة الآخر عن الواقع، فلا أماریّة عندهم لواحد منهما، و هو معنی التساقط 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احتجاج العقلاء بخبر الواحد لأجل حصول العلم بالواقع، بل لأجل عدم المُؤمِّن من العقاب علی الواقع، و عدم معذوریّة العبد فی مخالفة الواقع لو خالف الأمارة؛ أی المؤدّیة إلی الواقع، و الأمارة منجّزة للواقع عندهم إذا کانت واصلة إلیهم، فمع عدم الظفر بأمارة تدل علی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عنها، فإنّه لا یصحّ للمولی الاحتجاج علی العبد فی ترک صلاة الجمعة، و لو فرض وجود الامارة علیه واقعاً و لکن لم تصل إلیه؛ لعدم وجود ما یصلح للاحتجاج به علیه، و وجودها فی الواقع غیر صالح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قامت علی وجوب صلاة الجمعة، و کان هناک أمارة اخری أقوی منها علی عدم الوجوب، و لکن لم تصل إلی المکلّف بعد الفحص و الیأس عنها، فإنّه یصحّ للمولی الاحتجاج علی العبد بالأمارة الاولی، فلو فرض مصادفتها للواقع و ترک العمل بها، فقد خالف الواقع بلا حجّة و عذر؛ لفرض أنّ الأمارة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واصلة إلیه، و حینئذٍ فهو مستحقّ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بوجودها الواقعی لا تصلح للاحتجاج بها، فکما أنّها بحسب وجودها الواقعی غیر صالحة للاحتجاج بها، بل الحجّة هی الأمارة الواصلة بالطرق المتعارفة، کذلک الأمارة الواصلة المبتلاة بأمارة اخری معارضة لها و مکذّبة لها، فإنّها حینئذٍ أیضاً لا تصلح للاحتجاج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الأمارة المعارَضة بأمارة اخری و لیست واحدة منهما حجّة، و لیس سواهما شی‌ء آخر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مضمونهما المطابقی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لازم مضمونهما المطابقی؛ لو فرض لهما لازم، کما لو قامت أمارة علی وجوب صلاة الجمعة، الذی لازمه عدم استحبابها و عدم حرمتها و عدم کراهتها،</w:t>
      </w:r>
    </w:p>
    <w:p>
      <w:pPr>
        <w:pStyle w:val="BookText"/>
        <w:rPr/>
      </w:pPr>
      <w:r>
        <w:rPr>
          <w:rFonts w:ascii="IRNazanin" w:hAnsi="IRNazanin" w:eastAsia="IRNazanin"/>
          <w:color w:val="111111"/>
          <w:sz w:val="28"/>
          <w:sz w:val="28"/>
          <w:szCs w:val="28"/>
          <w:rtl w:val="true"/>
          <w:lang w:bidi="fa-IR"/>
        </w:rPr>
        <w:t>و قامت اخری علی حرمتها التی لازمها عدم وجوبها و استحبابها و کراهتها، فإنّ کلّ واحدة منهما و إن کانت معارِضة للُاخری فی الحرمة و الوجوب، لکنّهما بالنسبة إلی نفی الاستحباب و الإباحة و الکراهة متّفقتان، بل تدلّان معاً علیه، لکن الحجّة علی ذلک، هل هو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الحجّة علی تلک المدلولات الالتزامیّة هو أحدهما الواقعی الغیر المعلوم لنا تعییناً، لا أحدهما المعیّن، أو أنّه لیس واحداً منهما حجّة بالنسبة إلی تلک اللوازم أیضاً،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هو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لأنّ تعارضهما إنّما هو بالنسبة إلی مدلولهما المطابقی؛ أی الوجوب و الحرمة فی المثال، فیتساقطان فیه، و أمّا بالنسبة إلی مدلولهما الالتزامی فلا یتعارضان لیتساقطا فیه، فکلّ واحد منهما باقٍ علی حجّیّته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الالتزامیّة تابعة للدلالة المطابقیّة، فلا مجال لبقائها بعد سقوطهما بالنسبة إلی المطابقیّة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 فإنّ الدلالة الالتزامیّة فرع المطابقیّة فی الوجود لا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الالتزامیّة للکلام تتوقّف علی دلالته التصدیقیّة؛ أی دلالته علی المؤدّی، و أمّا أنّ المؤدّی مراد فهو ممّا لا تتوقّف علیه الدلالة الالتزامیّة، فسقوط المتعارضین عن الحجّیّة و المؤدّی، لا یلازم سقوطهما عن الحجّیّة فی نفی الثالث</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إن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تابعة لها فی الوجود لا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العلم بکذب الخبر فی المدلول المطابقی و عدم مطابقته للواقع، هو کاشف عن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کما تری، فإنّه کیف یمکن وجود ما هو تابع لشی‌ء بدون وجود المتبوع، و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أنّ الدلالة الالتزامیّة لیست من الدلالات اللفظیّة، بل اللفظ لا یدلّ إلّا علی معناه المطابقی، لکن المعنی المطابقی یکشف بوجوده عن المعنی الالتزامی، فاللّازم لازم للمعنی، لا للفظ؛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حجّة بالنسبة إلی المعنی المطابقی عند المعارضة، و هو حجّة بالنسبة إلی المعنی الالتزامی، فمع عدم إرادة وجوب صلاة الجمعة بالإرادة الجدّیّة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معنی لکشفه عن لازم الوجوب کعدم الإباحة و الاستحباب و الکراهة، فإنّ الانتقال إلی اللازم إنّما هو لأجل التضادّ بین الوجوب و الاستحباب، و أنّه یعلم من ثبوت الوجوب لشی‌ء عدم استحبابه، و أمّا مع عدم ثبوت الوجوب لشی‌ء فأین ما یُنتقل به إلی عدم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یصلح خبر الثقة للاحتجاج به، بعد سدّ باب احتمال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اللفظ 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أصالة الحقیقة، و بعد جریان أصالة الجدّ؛ لدفع احتمال عدم إرادة المعنی الحقیقی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به بالنسبة إلی المدلول الالتزامی، متوقّف علی جریان أصالة الجدّ فی الملزوم الذی هو المعنی المطابقی، فلو لم تحرز الإرادة الجدّیّة بالنسبة إلی الملزوم، کوجوب صلاة الجمعة فی المثال، لما صحّ الاحتجاج به بالنسبة إلی لازمه العرفی أو العقلی کعدم استحبابها، فلیس موضوع للحجیّة و صحّة الاحتجاج، مجرّد دلالة اللفظ علی المعنی بالإرادة الاستعمالیّة، بل هی مع جریان أصالة الجدّ، و حینئذٍ فلا یتمّ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الدلالة الالتزامیّة فرع المطابقیّة فی الوجود لا فی الحجّیّة،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مستند حجّیّة خبر الواحد هو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المستند لها هی الأدلّة الشرعیّة من الآیات و الروایات، ففیها احتمالات بحسب التصوّر العقلی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مهملة بالنسبة إلی حال التعارض، بل هی فی مقام إثبات حجّیّة</w:t>
      </w:r>
    </w:p>
    <w:p>
      <w:pPr>
        <w:pStyle w:val="BookText"/>
        <w:rPr/>
      </w:pPr>
      <w:r>
        <w:rPr>
          <w:rFonts w:ascii="IRNazanin" w:hAnsi="IRNazanin" w:eastAsia="IRNazanin"/>
          <w:color w:val="111111"/>
          <w:sz w:val="28"/>
          <w:sz w:val="28"/>
          <w:szCs w:val="28"/>
          <w:rtl w:val="true"/>
          <w:lang w:bidi="fa-IR"/>
        </w:rPr>
        <w:t>خبر الواحد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حجّیّة خبر الواحد مقیّداً بصورة عدم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الاحتمالان مجرّد تصوّر عقلیّ، لا ینبغی تطویل الکلام و البحث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تعمّ صور التعارض بالإطلاق اللحاظی؛ أی حاظ الإمام علیه السلام أو الشارع حال التعارض أیضاً حال الحکم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لو سلّمنا الإطلاق اللحاظی، فلا یمکن أن یراد به لحاظه و إرادته العمل بکلا الخبرین المتعارضین؛ لاستحالته؛ لعدم إمکان العمل بالضدّین أو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منه أنّ الشارع لاحظ الخبرین و جعلهما حجّة؛ لیقع بینهما التعارض، ثمّ أهملهما، فهو أیضاً ممّا لا معنی له لتنزّه مقام الشارع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یراد منه أنّ الشارع لاحظهما فی مقام جعل الحجّیّة أیضاً، و أنّه أحاله إلی حکم العقل و العقلاء عند التعارض، فکما أنّهم یحکمون بالتخییر بینهما لو 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هذا حجّة و ذاک حجّة، کذلک لو لاحظهما فی مقام جعل الحجّیّة لخبر الواحد، لکن تقدّم عدم تسلیم الإطلاق اللحاظی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حجّیّة خبر الواحد مستفادة من إطلاق الآیات و الأخبار ذاتاً؛ بمعنی أنّ الشارع جعل تمام الموضوع للحجّیّة نفس الطبیعة الشاملة لحال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تقتضی القواعد التوقّف أو التخییر عند التعادل؟ وجهان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هو التخییر؛ سواء قلنا بالطریقیّة فی حجّیّة أخبار الآحاد، أم السببیّة؛ لشمول أدلّة حجیّة خبر الواحد لجمیع الأفراد بنحو العموم، و المفروض شمول إطلاقها الذاتی لحال التعارض، فمع عدم إمکان الجمع فی العمل بها، فإمّا أن یُطرحا و یُترک العمل بهما معاً، أو یقیّد الإطلاق بما یرتفع المحذور، و حیث إنّه بحکم العقل یقتصر فیه علی ما یرتفع به المحذور و العذر العقلی، و هو عدم إمکان الجمع بینهما فی العمل، فتصیر النتیجة وجوب الأخذ بهذا الخبر عند ترک العمل بالآخر</w:t>
      </w:r>
    </w:p>
    <w:p>
      <w:pPr>
        <w:pStyle w:val="BookText"/>
        <w:rPr/>
      </w:pPr>
      <w:r>
        <w:rPr>
          <w:rFonts w:ascii="IRNazanin" w:hAnsi="IRNazanin" w:eastAsia="IRNazanin"/>
          <w:color w:val="111111"/>
          <w:sz w:val="28"/>
          <w:sz w:val="28"/>
          <w:szCs w:val="28"/>
          <w:rtl w:val="true"/>
          <w:lang w:bidi="fa-IR"/>
        </w:rPr>
        <w:t>و بالعکس، و هو معنی التخییر، و لا سبیل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البیان إنّما یصحّ بناءً علی السببیّة؛ لأنّه مثل وجوب إنقاذ الغریق فی تعلّق حکمٍ نفسیٍّ به، و اشتمال کلّ واحد منهما علی مصلحة مقتضیة لمطلوبیّته ذاتاً، فإنّ العقل یحکم بالتخییر فیه عند عدم إمکان الجمع بینهما، أو یکشف عن وجود قید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الطریقیّة فی حجّیّة خبر الواحد، فلا یستقیم هذا البیان لإثبات التخییر؛ لأنّه بناءً علی ذلک فالعمل بکلّ واحد منهما حینئذٍ لیس مطلوباً ذاتاً؛ لأنّ وجوب العمل بخبر الواحد طریقیّ للوصول إلی الواقع، و لا یعقل کشف کلّ واحد منهما عن الواقع أیضاً، و لا یعقل کاشفیّة کلّ واحد منهما علی تقدیر طرح الآخر، الذی هو معنی التخییر أیضاً، فلا مناص حینئذٍ من التوقّف</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 البیان المذکور للتخییر بناءً علی السببیّة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ارید من التقیید العقلی، تقیید العقل إرادة الشارع المطلقة أو العامّة، فلا معنی له؛ لأنّ العقل لیس مشرِّعاً، فلا بدّ أن یراد به أنّ العقل کاشف عن وجود التقیید الشرعی واقعاً؛ بناءً علی ما هو المشهور فی المتزاحمین، أو أنّ العقل یحکم بمعذوریّته مع شمول الدلیل لهما معاً، و هو الحقّ، و حینئذٍ فالأمر فیما نحن فیه دائر بین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صورة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فلیس واحد منهما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تقیید إطلاقه، و حینئذٍ فأحدهما حجّة بنحو التخییر، و تقدّم أنّ تقیید الإطلاق إنّما یقدّم علی التخصیص عند دوران الأمر بینهما إذا کان التعارض بینهما ذاتیّاً،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العامّ یصلح للبیانیّة، فلا یعارضه الإطلاق فی المطلق، و أمّا مع عدم کونه ذاتیّاً، بل علم من الخارج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بورود قید للمطلق، أو مخصّص للعامّ، کما فیما نحن فیه، فلیس التقیید فیه أولی من التخصیص؛ لأنّ کلّ واحد منهما صالح للاحتجاج به، فلیس کشف العقل عن وجود قید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کلّ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أولی من کشفه عن</w:t>
      </w:r>
      <w:bookmarkStart w:id="669" w:name="pg12898_148277"/>
    </w:p>
    <w:p>
      <w:pPr>
        <w:pStyle w:val="BookText"/>
        <w:rPr/>
      </w:pPr>
      <w:bookmarkEnd w:id="669"/>
      <w:r>
        <w:rPr>
          <w:rFonts w:ascii="IRNazanin" w:hAnsi="IRNazanin" w:eastAsia="IRNazanin"/>
          <w:color w:val="111111"/>
          <w:sz w:val="28"/>
          <w:sz w:val="28"/>
          <w:szCs w:val="28"/>
          <w:rtl w:val="true"/>
          <w:lang w:bidi="fa-IR"/>
        </w:rPr>
        <w:t>وجود مخصِّص لعمومه؛ حتّی ینتج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لو قلنا بأنّ الدلیل علی حجّیّة خبر الواحد هو الأدلّة الشرعیّة</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235166_3224264995"/>
      <w:bookmarkStart w:id="671" w:name="_Toc252"/>
      <w:bookmarkEnd w:id="670"/>
      <w:r>
        <w:rPr>
          <w:rtl w:val="true"/>
        </w:rPr>
        <w:t>مقتضی الأصل علی السببیّة</w:t>
      </w:r>
      <w:bookmarkEnd w:id="671"/>
    </w:p>
    <w:p>
      <w:pPr>
        <w:pStyle w:val="BookText"/>
        <w:rPr/>
      </w:pPr>
      <w:r>
        <w:rPr>
          <w:rFonts w:ascii="IRNazanin" w:hAnsi="IRNazanin" w:eastAsia="IRNazanin"/>
          <w:color w:val="111111"/>
          <w:sz w:val="28"/>
          <w:sz w:val="28"/>
          <w:szCs w:val="28"/>
          <w:rtl w:val="true"/>
          <w:lang w:bidi="fa-IR"/>
        </w:rPr>
        <w:t>و أمّا لو قلنا بأنّ المستند لها هو بناء العقلاء علی السببیّة و الموضوعیّة، فهی تتصوّر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للوقائع حکم واقعیّ یشترک فیه العالم و الجاهل، و لا مصالح و مفاسد واقعیّة، و أنّه تصحّ الإرادة الجُزافیّة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فبقیام الأمارة یحدث الحکم، فإن ارید منه أنّ متعلّق الأمارة حکم واقعیّ متعلّق بالشی‌ء بعنوانه الواقعی، و أنّ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صلاة الجمعة، واجبة واقعاً بقیام الأمارة علیها، و محرّمة کذلک بسبب قیام الأمارة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حجّیّة کلتا الأمارتین و لو قلنا بصحّة الإرادة الجُزافیّة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التضادّ فی الإرادة؛ و إرادة إیجاب صلاة الجمعة بعنوانها الواقعی و تحریمها کذلک، و حینئذٍ یعلم بکذب إحدی الأمارتین، و مقتضی القاعدة هو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واقعة من الوقائع حکماً واقعیّاً یشترک فیه العالم و الجاهل، لکن تترتّب بقیام الأمارة مصلحة غالبة علی مصلحة الواقع، فالحکم الفعلی تابع لقیام الأمارة، فتجری فیه الاحتمالات المذکورة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یوجد بقیام الأمارة مصلحة فی مؤدّاها بعنوانه الواقعی، فیلزم فی صورة تعارض الخبرین اجتماع مصلحتین أو مفسدتین متضادّتین فی شی‌ء واحد بعنوان واحد، و هو محال، فیعلم بکذب أحد الخبرین، و مقتضی القاعدة هو التوقّف</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یوجد بقیام الأمارة مصلحة فی مؤدّاها بما أنّه مؤدّی الأمارة، لا بعنوانه الواقعی، و کذلک فی الأمارة المعارِضة لها، فلو وافقت إحدی الأمارتین الواقع</w:t>
      </w:r>
      <w:bookmarkStart w:id="672" w:name="pg12898_148278"/>
    </w:p>
    <w:p>
      <w:pPr>
        <w:pStyle w:val="BookText"/>
        <w:rPr/>
      </w:pPr>
      <w:bookmarkEnd w:id="672"/>
      <w:r>
        <w:rPr>
          <w:rFonts w:ascii="IRNazanin" w:hAnsi="IRNazanin" w:eastAsia="IRNazanin"/>
          <w:color w:val="111111"/>
          <w:sz w:val="28"/>
          <w:sz w:val="28"/>
          <w:szCs w:val="28"/>
          <w:rtl w:val="true"/>
          <w:lang w:bidi="fa-IR"/>
        </w:rPr>
        <w:t>فی مقام الثبوت، فهی الحجّة فقط دون الاخری، و مع مخالفتهما للواقع فمقتضی القاعدة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فحیث إنّه لا طریق لنا إلی تمییز الموافق للواقع من المخالف فمقتضی القاعدة هو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 بوجود المصلحة فی مؤدّی الأمارة فی صورة موافقتها للواقع أیضاً، فمقتضی القاعدة هو التخییر، لکنّهم لا یلتزمون بهذا القول؛ وجود المصلحة فی مؤدّی الأمارة فی صورة موافقتها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السببیّة أنّ اتّباع خبر الثقة یوجب إیجاد مصلحة فی متابعته، و هو المراد من المصلحة السلوکیّة، و مقتضی القاعدة فی تعارض الخبرین حینئذٍ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مقتضی القواعد العقلائیّة فی المتکافئین</w:t>
      </w:r>
      <w:r>
        <w:rPr>
          <w:rFonts w:eastAsia="IRNazanin" w:cs="IRNazanin"/>
          <w:color w:val="111111"/>
          <w:sz w:val="28"/>
          <w:szCs w:val="28"/>
          <w:rtl w:val="true"/>
          <w:lang w:bidi="fa-IR"/>
        </w:rPr>
        <w:t>.</w:t>
      </w:r>
    </w:p>
    <w:p>
      <w:pPr>
        <w:pStyle w:val="Heading4"/>
        <w:numPr>
          <w:ilvl w:val="3"/>
          <w:numId w:val="1"/>
        </w:numPr>
        <w:rPr/>
      </w:pPr>
      <w:bookmarkStart w:id="673" w:name="__RefHeading___Toc3235168_3224264995"/>
      <w:bookmarkStart w:id="674" w:name="_Toc253"/>
      <w:bookmarkEnd w:id="673"/>
      <w:r>
        <w:rPr>
          <w:rtl w:val="true"/>
        </w:rPr>
        <w:t>مقتضی الأخبار الواردة فی المقام</w:t>
      </w:r>
      <w:bookmarkEnd w:id="674"/>
    </w:p>
    <w:p>
      <w:pPr>
        <w:pStyle w:val="Heading5"/>
        <w:numPr>
          <w:ilvl w:val="4"/>
          <w:numId w:val="1"/>
        </w:numPr>
        <w:rPr/>
      </w:pPr>
      <w:bookmarkStart w:id="675" w:name="__RefHeading___Toc3235170_3224264995"/>
      <w:bookmarkStart w:id="676" w:name="_Toc254"/>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و أمّا مقتضی الأخبار الواردة فی الباب فیه؛ بناءً علی الطریقیّة،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مقتضی القاعدة فیهما و إن کان هو التوقّف، لکن مقتضی الأخبار المستفیضة أو المتواترة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ذکره قدس سره إشکال، لأنّ کثیراً من الأخبار التی استدلّ بها للتخییر لا ربط لها بباب التعارض</w:t>
      </w:r>
      <w:r>
        <w:rPr>
          <w:rFonts w:eastAsia="IRNazanin" w:cs="IRNazanin"/>
          <w:color w:val="111111"/>
          <w:sz w:val="28"/>
          <w:szCs w:val="28"/>
          <w:rtl w:val="true"/>
          <w:lang w:bidi="fa-IR"/>
        </w:rPr>
        <w:t>.</w:t>
      </w:r>
    </w:p>
    <w:p>
      <w:pPr>
        <w:pStyle w:val="Heading5"/>
        <w:numPr>
          <w:ilvl w:val="4"/>
          <w:numId w:val="1"/>
        </w:numPr>
        <w:rPr/>
      </w:pPr>
      <w:bookmarkStart w:id="677" w:name="__RefHeading___Toc3235172_3224264995"/>
      <w:bookmarkStart w:id="678" w:name="_Toc255"/>
      <w:bookmarkEnd w:id="677"/>
      <w:r>
        <w:rPr>
          <w:rtl w:val="true"/>
        </w:rPr>
        <w:t>نقل أخبار التخییر</w:t>
      </w:r>
      <w:bookmarkEnd w:id="67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مکاتبة محمّد بن عبد اللَّه بن جعفر الحمیری إلی صاحب الزمان علیه السلام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عن ذلک حدیثان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انتقل من حالة إلی اخری فعلیه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Fonts w:eastAsia="IRNazanin" w:cs="IRNazanin"/>
          <w:color w:val="111111"/>
          <w:sz w:val="28"/>
          <w:szCs w:val="28"/>
          <w:rtl w:val="true"/>
          <w:lang w:bidi="fa-IR"/>
        </w:rPr>
        <w:t>)</w:t>
      </w:r>
    </w:p>
    <w:p>
      <w:pPr>
        <w:pStyle w:val="BookText"/>
        <w:rPr/>
      </w:pP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أنّه لا ارتباط لهذه الروایة بالمقام، فإنّ الظاهر فی السؤال هو السؤال عن تکلیفه الواقعی، و لا یناسبه الجواب بالحکم الظاهری، و لیس من شأن الإمام إلّا الجواب عن الحکم الواقعی، لا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مع فرض تعارض هذین الخبرین، فلیس الأخذ بکلّ واحد منهما صواباً مطابقاً للواقع، کما یدلّ علیه الجواب، فالظاهر أنّه علیه السلام بصدد بیان الحکم الواقعی، و حیث إنّ التکبیر مندوب لا واجب، فالأخذ بالروایة الاولی صواب؛ لاستحباب التکبیر علی کلّ حال، و کذلک الثانی، لأنّ اللَّه کما یُحبّ أن یؤخذ بعزائمه یُحبّ أن یؤخذ برُخَصه، کما فی الخبر، فهو حینئذٍ أیضاً صواب مطابق للواقع، فلا ارتباط للروایة بباب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الإشکال فی سندها من جهة محمّد بن إبراهیم النوبختی،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إملاء حسین بن روح علیه توثیق 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روایاتهم عن أبی عبد اللَّه علیه السلام فی رکعتی الفجر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فی المحمل، و 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تُصلِّها إلّا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علیک بأیّةٍ عملت</w:t>
      </w:r>
      <w:r>
        <w:rPr>
          <w:rFonts w:eastAsia="Amiri" w:cs="Amiri" w:ascii="Amiri" w:hAnsi="Amiri"/>
          <w:color w:val="111111"/>
          <w:sz w:val="28"/>
          <w:szCs w:val="28"/>
          <w:rtl w:val="true"/>
          <w:lang w:bidi="ar-SA"/>
        </w:rPr>
        <w:t>)</w:t>
      </w:r>
    </w:p>
    <w:p>
      <w:pPr>
        <w:pStyle w:val="BookText"/>
        <w:rPr/>
      </w:pPr>
      <w:r>
        <w:rPr>
          <w:rStyle w:val="FootnoteAnchor"/>
          <w:rtl w:val="true"/>
        </w:rPr>
        <w:footnoteReference w:id="739"/>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فأعلمنی کیف تصنع أنت؛ لأقتدی علیک</w:t>
      </w:r>
      <w:r>
        <w:rPr>
          <w:rFonts w:eastAsia="IRNazanin" w:cs="IRNazanin"/>
          <w:color w:val="111111"/>
          <w:sz w:val="28"/>
          <w:szCs w:val="28"/>
          <w:rtl w:val="true"/>
          <w:lang w:bidi="fa-IR"/>
        </w:rPr>
        <w:t>)</w:t>
      </w:r>
    </w:p>
    <w:p>
      <w:pPr>
        <w:pStyle w:val="BookText"/>
        <w:rPr/>
      </w:pP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أیضاً غیر مرتبطة بباب التعارض؛ لأنّ المراد برکعتی الفجر هو نافلة الصبح، و حکمها الواقعی هو جواز الأمرین، کما فی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مرفوعة زرارة المنقولة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أرسلها عن العلّامة، و رفعها العلّامة قدس سره،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 حدیثان متعارضان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بما فیه الحائطة لدینک، و 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فتخیّر أحدهما فتأخذ به و تدع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فأرجهْ حتّی تلقی إمامک فتسأله</w:t>
      </w:r>
      <w:r>
        <w:rPr>
          <w:rFonts w:eastAsia="IRNazanin" w:cs="IRNazanin"/>
          <w:color w:val="111111"/>
          <w:sz w:val="28"/>
          <w:szCs w:val="28"/>
          <w:rtl w:val="true"/>
          <w:lang w:bidi="fa-IR"/>
        </w:rPr>
        <w:t>)</w:t>
      </w:r>
    </w:p>
    <w:p>
      <w:pPr>
        <w:pStyle w:val="BookText"/>
        <w:rPr/>
      </w:pP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الروایة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السند؛ لضعفها من جهة الإرسال و الرفع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انجبار ضعفها بعمل الأصحاب بها، کما ذکره شیخنا الحائری قدس سره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الجابر هی الشهرة الفتوائیّة بین القدماء، و أن یکون عملهم علی وجه الاستناد إلیها، و لیست الروایة کذلک، فإنّ ابن أبی جمهور کان فی سنة</w:t>
      </w:r>
    </w:p>
    <w:p>
      <w:pPr>
        <w:pStyle w:val="BookText"/>
        <w:rPr/>
      </w:pPr>
      <w:r>
        <w:rPr>
          <w:rFonts w:ascii="IRNazanin" w:hAnsi="IRNazanin" w:eastAsia="IRNazanin"/>
          <w:color w:val="111111"/>
          <w:sz w:val="28"/>
          <w:sz w:val="28"/>
          <w:szCs w:val="28"/>
          <w:rtl w:val="true"/>
          <w:lang w:bidi="fa-IR"/>
        </w:rPr>
        <w:t>تسعمائة، و لا یُجدی عمل من بعده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متنها، لأنّ فی ذیلها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فإنّه یُنافی ما قبله، فیحتمل أنّ المراد فی نسخة اخری لروایة زرارة هذه، لا أنّها روایة اخری، و لا دافع لهذا الاحتمال، فلا یتّکل علیها من هذه الجهة أیضاً، و حینئذٍ هی أجنبیّة عن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الطبرسی عن الحارث بن المغیرة،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 کلّهم ثقة، فموسّع علیک حتّی تری القائم علیه السلام فتردّ علیه</w:t>
      </w:r>
      <w:r>
        <w:rPr>
          <w:rFonts w:eastAsia="IRNazanin" w:cs="IRNazanin"/>
          <w:color w:val="111111"/>
          <w:sz w:val="28"/>
          <w:szCs w:val="28"/>
          <w:rtl w:val="true"/>
          <w:lang w:bidi="fa-IR"/>
        </w:rPr>
        <w:t>)</w:t>
      </w:r>
    </w:p>
    <w:p>
      <w:pPr>
        <w:pStyle w:val="BookText"/>
        <w:rPr/>
      </w:pP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ظاهرة فی تعارض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جواز العمل، و أنّ المکلّف فی سعةٍ فی العمل الذی یجوز ترکه، و هو غیر ما نحن بصدده، و هو وجوب العمل بأحدهما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ناظرة إلی تعارض الخبرین بقرینة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بناء العقلاء و دلالة الروایات الاخری علی وجوب العمل بخبر الثقات، و عدم عذر المکلّف فی مخالفتها، و الحکم بالسعة انّما هو لأجل کونه فی زمان الحضور، الذی یتمکّن المکلّف من السؤال من الإمام علیه السلام، و حینئذٍ فلا یتعیّن التخییر، بل له أن یسأل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الخبرین المتعارضین من هذا التعبیر بعیدة جدّاً، و لا تلیق بمقام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الطبرسی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 عن الرضا، قال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تجیئنا الأحادیث عنکم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w:t>
      </w:r>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بحدیثین مختلفین، و لا نعلم أیّهما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p>
    <w:p>
      <w:pPr>
        <w:pStyle w:val="BookText"/>
        <w:rPr/>
      </w:pP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تامّة بحسب الدلالة، و لکنّها ضعیفة السند بالإرسال، و توهّم الانجبار بعمل المشهور قد تقدّم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یأمر بأخذه، و الآخر ینهاه عنه، کیف یصنع؟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بأیّهما أخذتَ من باب التسلیم وَسِعک</w:t>
      </w:r>
      <w:r>
        <w:rPr>
          <w:rFonts w:eastAsia="Amiri" w:cs="Amiri" w:ascii="Amiri" w:hAnsi="Amiri"/>
          <w:color w:val="111111"/>
          <w:sz w:val="28"/>
          <w:szCs w:val="28"/>
          <w:rtl w:val="true"/>
          <w:lang w:bidi="ar-SA"/>
        </w:rPr>
        <w:t>)</w:t>
      </w:r>
    </w:p>
    <w:p>
      <w:pPr>
        <w:pStyle w:val="BookText"/>
        <w:rPr/>
      </w:pP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النفساء إذا رأت الدم عملت کما تعمل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قد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عشرون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بأیّ هذه الأحادیث اخذ من جهة التسلیم جاز</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الروایات التی استدلّ بها علی التخییر، و قد عرفت ممّا ذکر عدم ارتباط کثیر منها بالمقام، و روایة زرارة ضعیفة السند لا یتّکل علیها، و روایة الکلینی أیضاً لم یثبت لنا أنّها غیر روایة حسن بن الجهم، و لا ظهور لروایة حرث فی المقام،</w:t>
      </w:r>
      <w:bookmarkStart w:id="679" w:name="pg12898_148283"/>
    </w:p>
    <w:p>
      <w:pPr>
        <w:pStyle w:val="BookText"/>
        <w:rPr/>
      </w:pPr>
      <w:bookmarkEnd w:id="679"/>
      <w:r>
        <w:rPr>
          <w:rFonts w:ascii="IRNazanin" w:hAnsi="IRNazanin" w:eastAsia="IRNazanin"/>
          <w:color w:val="111111"/>
          <w:sz w:val="28"/>
          <w:sz w:val="28"/>
          <w:szCs w:val="28"/>
          <w:rtl w:val="true"/>
          <w:lang w:bidi="fa-IR"/>
        </w:rPr>
        <w:t>و لم یثبت اعتبار روایة فقه الرضا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روایة واحدة تدلّ علی التخییر هی روایة الحسن بن الجهم أو روایتان، و أین هذا من استفاضة الأخبار أو تواترها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یستفاد منها وجوب الأخذ بأحدهما أیضاً، بل حکم فیها بالتوسعة و جواز العمل بإحداهما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لجواز العمل بإحدی الروایتین؛ لأنّها إن تصلح للاحتجاج بها وجب العمل بها، و إلّا لم یجز، و علی أیّ تقدیر لا معنی لجواز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إنّما تصلح لذلک لو لا الابتلاء بالمعارض، و أمّا معه فمقتضی القاعدة العقلائیّة هو التوقّف لتساقطهما، و حینئذٍ فلا مانع من تجویز العمل بإحداهما، و إن لم تصلح واحدة منها للاحتجاج حینئذٍ، بل لو فرض الأمر فی هذه الروایة بالتخییر فلا یستفاد منه الوجوب؛ لأنّه فی مقام الحظر العقلی، فلا تدلّ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التخییر</w:t>
      </w:r>
      <w:r>
        <w:rPr>
          <w:rFonts w:eastAsia="IRNazanin" w:cs="IRNazanin"/>
          <w:color w:val="111111"/>
          <w:sz w:val="28"/>
          <w:szCs w:val="28"/>
          <w:rtl w:val="true"/>
          <w:lang w:bidi="fa-IR"/>
        </w:rPr>
        <w:t>.</w:t>
      </w:r>
    </w:p>
    <w:p>
      <w:pPr>
        <w:pStyle w:val="Heading5"/>
        <w:numPr>
          <w:ilvl w:val="4"/>
          <w:numId w:val="1"/>
        </w:numPr>
        <w:rPr/>
      </w:pPr>
      <w:bookmarkStart w:id="680" w:name="__RefHeading___Toc3235174_3224264995"/>
      <w:bookmarkStart w:id="681" w:name="_Toc256"/>
      <w:bookmarkEnd w:id="680"/>
      <w:r>
        <w:rPr>
          <w:rtl w:val="true"/>
        </w:rPr>
        <w:t>نقل أخبار التوقّف</w:t>
      </w:r>
      <w:bookmarkEnd w:id="681"/>
    </w:p>
    <w:p>
      <w:pPr>
        <w:pStyle w:val="BookText"/>
        <w:rPr/>
      </w:pPr>
      <w:r>
        <w:rPr>
          <w:rFonts w:ascii="Amiri" w:hAnsi="Amiri" w:eastAsia="Amiri" w:cs="Amiri"/>
          <w:color w:val="111111"/>
          <w:sz w:val="28"/>
          <w:sz w:val="28"/>
          <w:szCs w:val="28"/>
          <w:rtl w:val="true"/>
          <w:lang w:bidi="ar-SA"/>
        </w:rPr>
        <w:t>و أمّا الأخبار الدالّة علی 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المتقدّمة؛ حیث قال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w:t>
      </w:r>
      <w:r>
        <w:rPr>
          <w:rFonts w:eastAsia="IRNazanin" w:cs="IRNazanin"/>
          <w:color w:val="111111"/>
          <w:sz w:val="28"/>
          <w:szCs w:val="28"/>
          <w:rtl w:val="true"/>
          <w:lang w:bidi="fa-IR"/>
        </w:rPr>
        <w:t>)</w:t>
      </w:r>
    </w:p>
    <w:p>
      <w:pPr>
        <w:pStyle w:val="BookText"/>
        <w:rPr/>
      </w:pPr>
      <w:r>
        <w:rPr>
          <w:rStyle w:val="FootnoteAnchor"/>
          <w:rtl w:val="true"/>
        </w:rPr>
        <w:footnoteReference w:id="747"/>
      </w:r>
      <w:r>
        <w:rPr>
          <w:rFonts w:ascii="IRNazanin" w:hAnsi="IRNazanin" w:eastAsia="IRNazanin"/>
          <w:color w:val="111111"/>
          <w:sz w:val="28"/>
          <w:sz w:val="28"/>
          <w:szCs w:val="28"/>
          <w:rtl w:val="true"/>
          <w:lang w:bidi="fa-IR"/>
        </w:rPr>
        <w:t>، و الظاهر أنّ المراد الأمر بتأخیر العمل بأحدهما، و 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فی أصل الواقعة فی السعة فی مقام العمل، و لا یستند إلی واحد من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الطبرسی مرسلًا عن سماعة بن مهران،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یأمرنا بالأخذ به، و الآخر ینهانا عنه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بواحد منهما حتّی تلقی صاحبک فتسأله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p>
    <w:p>
      <w:pPr>
        <w:pStyle w:val="BookText"/>
        <w:rPr/>
      </w:pP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اتّحادها مع روایة سماعة المتقدّمة، و الاختلاف من جهة 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ذیل روایة مقبولة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فأرجئه حتّی تلقی إمامک، 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ظاهر فی الشبهات الحکمیّة، فلا بدّ أن یرید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ابن إدریس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علی بن عیسی کتب إلیه، یسأله عن العلم المنقول إلینا عن آبائک و أجدادک علیهم السلام، قد اختلف علینا فیه، فکیف العمل به علی اختلافه؟ أو الردّ إلیک فیما اختلف فیه؟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 ما لم تعلموا فردّوه إلینا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فی المضمون روایة الصفّار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bookmarkStart w:id="682" w:name="pg12898_148285"/>
    </w:p>
    <w:p>
      <w:pPr>
        <w:pStyle w:val="BookText"/>
        <w:rPr/>
      </w:pPr>
      <w:bookmarkEnd w:id="682"/>
      <w:r>
        <w:rPr>
          <w:rFonts w:ascii="IRNazanin" w:hAnsi="IRNazanin" w:eastAsia="IRNazanin"/>
          <w:color w:val="111111"/>
          <w:sz w:val="28"/>
          <w:sz w:val="28"/>
          <w:szCs w:val="28"/>
          <w:rtl w:val="true"/>
          <w:lang w:bidi="fa-IR"/>
        </w:rPr>
        <w:t>و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منهم علیهم السلام، فیختصّ بحال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علمه إلی أهله، و عدم الفتوی بمضمونه، و الظاهر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المیثمی المفصّلة، و ستجی‌ء إن شاء اللَّه</w:t>
      </w:r>
      <w:r>
        <w:rPr>
          <w:rFonts w:eastAsia="IRNazanin" w:cs="IRNazanin"/>
          <w:color w:val="111111"/>
          <w:sz w:val="28"/>
          <w:szCs w:val="28"/>
          <w:rtl w:val="true"/>
          <w:lang w:bidi="fa-IR"/>
        </w:rPr>
        <w:t>.</w:t>
      </w:r>
    </w:p>
    <w:p>
      <w:pPr>
        <w:pStyle w:val="Heading5"/>
        <w:numPr>
          <w:ilvl w:val="4"/>
          <w:numId w:val="1"/>
        </w:numPr>
        <w:rPr/>
      </w:pPr>
      <w:bookmarkStart w:id="683" w:name="__RefHeading___Toc3235176_3224264995"/>
      <w:bookmarkStart w:id="684" w:name="_Toc257"/>
      <w:bookmarkEnd w:id="683"/>
      <w:r>
        <w:rPr>
          <w:rtl w:val="true"/>
        </w:rPr>
        <w:t>جمع الشیخ الأعظم و المحقّق النائینی و ما فیه</w:t>
      </w:r>
      <w:bookmarkEnd w:id="684"/>
    </w:p>
    <w:p>
      <w:pPr>
        <w:pStyle w:val="BookText"/>
        <w:rPr/>
      </w:pPr>
      <w:r>
        <w:rPr>
          <w:rFonts w:ascii="IRNazanin" w:hAnsi="IRNazanin" w:eastAsia="IRNazanin"/>
          <w:color w:val="111111"/>
          <w:sz w:val="28"/>
          <w:sz w:val="28"/>
          <w:szCs w:val="28"/>
          <w:rtl w:val="true"/>
          <w:lang w:bidi="fa-IR"/>
        </w:rPr>
        <w:t>هذه هی الروایات الواردة فی المقام، و لا یخفی تعارض الأخبار الدالّة علی التوسعة مع الآمرة بالإرجاء، فجمع الشیخ الأعظم قدس سره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الدالّة علی التوسعة و التخییر، علی زمان لا یتمکّن المکلّف فیه من لقاء الإمام علیه السلام، و الدالّة علی التوقّف علی زمان یتمکن فیه من ذلک</w:t>
      </w:r>
      <w:r>
        <w:rPr>
          <w:rStyle w:val="FootnoteAnchor"/>
          <w:rtl w:val="true"/>
        </w:rPr>
        <w:footnoteReference w:id="752"/>
      </w:r>
      <w:r>
        <w:rPr>
          <w:rFonts w:ascii="IRNazanin" w:hAnsi="IRNazanin" w:eastAsia="IRNazanin"/>
          <w:color w:val="111111"/>
          <w:sz w:val="28"/>
          <w:sz w:val="28"/>
          <w:szCs w:val="28"/>
          <w:rtl w:val="true"/>
          <w:lang w:bidi="fa-IR"/>
        </w:rPr>
        <w:t>، و وافقه المیرزا النائینی قدس سره فی ذلک، و قال فی بیانه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فی المقام علی أربع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التخییر مطلقاً، کروایة الحسن بن الجهم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التخییر فی زمان الحضور، کروایة الحرث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التوقّف فی زمان الحضور، مثل ذیل مقبولة عمر بن حنظلة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ما یدلّ علی التوقّف مطلقاً و إن لم نقف علیه، و النسبة بین الأوّلیتین و إن کانت هی العموم المطلق، و کذلک الطائفتان الأخیرتان، إلّا أنّه لا تعارض بینهما؛ لعدم المنافاة بین التوقّف المطلق و التوقّف فی زمان الحضور، و کذا بین التخییر المطلق و بین التخییر فی زمان الحضور؛ لکونهما مثبتین لا یحمل فیهما المطلق علی المقیّد، فالتعارض إنّما هو بین ما دلّ علی التخییر و بین ما دلّ علی التوقّف، غایة الأمر وقوع التعارض بین ما دلّ علی التخییر المطلق، و بین ما یدلّ علی التوقّف المطلق، إنّما هو بالعموم من</w:t>
      </w:r>
    </w:p>
    <w:p>
      <w:pPr>
        <w:pStyle w:val="BookText"/>
        <w:rPr/>
      </w:pPr>
      <w:r>
        <w:rPr>
          <w:rFonts w:ascii="IRNazanin" w:hAnsi="IRNazanin" w:eastAsia="IRNazanin"/>
          <w:color w:val="111111"/>
          <w:sz w:val="28"/>
          <w:sz w:val="28"/>
          <w:szCs w:val="28"/>
          <w:rtl w:val="true"/>
          <w:lang w:bidi="fa-IR"/>
        </w:rPr>
        <w:t>وجه، و بین ما دلّ علی التخییر فی زمان الحضور و التوقّف فیه بالتباین، و لا مهمّ لبیان الجمع بین الأخیرین؛ لعدم ترتّب أثر علیه، و إنّما المهمّ هو بیان الجمع بین الأوّلین، و عرفت أنّ بینهما عموماً من وجه، لکن النسبة بین ما دلّ علی التخییر المطلق، و بین ما دلّ علی التوقّف فی زمان الحضور، هی العموم المطلق، فلا بدّ من تقیید إطلاق الأوّل بالثانی، فتنقلب النسبة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دلیل التوقّف المطلق و التخییر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 من وجه إلی العموم المطلق، فتحمل أخبار التوقّف المطلق علی زمان الحضور، و التمکّن من ملاقاة الإمام علیه السلام، فیرتفع التعارض من بینهما، و تکون النتیجة هی التخییر فی زمان الغیبة، کما علیه المشهور</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بین دلیل التوقّف المطلق، و بین دلیل التخییر المطلق، عموماً من وجه،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یقیّد دلیل التخییر المطلق بأخبار التوقّف فی زمان الحضور، کذلک یقیّد دلیل أخبار التوقّف المطلق بأخبار التخییر فی زمان الحضور؛ لأنّ خبر التخییر فی زمان الحضور أخصّ ممّا یدلّ علی التوقّف المطلق، فلا وجه لاختصاص حمل المطلق علی المقیّد فی الأوّلین، و حینئذٍ یقع التباین بین أخبار التوقّف المطلق و بین أخبار التخییر المطلق، کما تفطّن المقرّر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تخصیص أخبار التخییر المطلق بأخبار التوقّف فی زمان الحضور مع ابتلائها بالمعارِض؛ أی أخبار التخییر فی زمان الحضور، و لا یصلح واحد من المتعارضین الخاصّین لتخصیص العامّ بهما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الجمع الذی اختاره الشیخ قدس سره، فالظاهر أنّه لما فی بعض الأخبار من</w:t>
      </w:r>
    </w:p>
    <w:p>
      <w:pPr>
        <w:pStyle w:val="BookText"/>
        <w:rPr/>
      </w:pPr>
      <w:r>
        <w:rPr>
          <w:rFonts w:ascii="IRNazanin" w:hAnsi="IRNazanin" w:eastAsia="IRNazanin"/>
          <w:color w:val="111111"/>
          <w:sz w:val="28"/>
          <w:sz w:val="28"/>
          <w:szCs w:val="28"/>
          <w:rtl w:val="true"/>
          <w:lang w:bidi="fa-IR"/>
        </w:rPr>
        <w:t>الإشارة إلی ذلک، کالأخبار الآمرة بالإرجاء حتّی تلقی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إمّا بملاحظة مجموع الأخبار التی استدلّ بها للتخییر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الإشکال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أخبار التوقّف و إمّا بملاحظة خصوص روایة ابن الجهم التی تقدّم أنّها تدلّ علی التخییر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فروایة الحرث بن المغیرة الحاکمة بالتوسعة مغیّاة برؤیة الإمام، مع أنّها من الروایات التی استدلّ بها للتخییر، فلا یمکن حملها علی صورة عدم التمکّن من لقاء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إن أراد من التمکّن فرض کون الإمام علیه السلام فی بلد السائل، و من عدم التمکّن فرضه فی بلاد بعیدة، فالأخبار آبیة عن الحمل علی ذلک؛ لأنّ المفروض فی أخبار التخییر هو التحیّر؛ و عدم الطریق إلی معرفة الحکم أصلًا، و لذا قال الراوی فی روایة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العمل، و کذلک سائر روایات التوقّف، فإنّه لا یمکن حملها علی عدم التمکّن من لقائه علیه السلام؛ بمعنی عدم حضوره علیه السلام فی بلد السائل، بل کان علیه السلام فی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 التمکّنِ التمکّنَ من لقائه علیه السلام و لو بقطع مسافات بعیدة؛ لکونه علیه السلام فی بلد آخر بعید عنه، و من عدم التمکّن عدمه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بهما زمانی الحضور و الغیبة، فکذلک أی الأخبار المذکورة آبیة عن الحمل علی ذلک، مثل روایة ابن الجهم المطلقة، فإنّها و إن لم تختصّ بزمان الحضور، لکن لم تختصّ بزمان الغیبة أیضاً؛ لإطلاقها و بُعد اختصاصها بزمان الغیبة مع صدورها فی زمان الحضور، فالجمع المذکور محلّ إشکال، خصوصاً مع ما فی بعض أخبار التوقّف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تلقی من یخبرک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الشامل لغیر الإمام علیه السلام من الفقهاء</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المختار من انحصار روایة التخییر بروایة ابن الجهم، فالإشکال الأوّل غیر وارد، لکن یبقی الإشکال الثانی بحاله؛ أی بُعد حمل أخبار التوقّف علی</w:t>
      </w:r>
      <w:bookmarkStart w:id="685" w:name="pg12898_148288"/>
    </w:p>
    <w:p>
      <w:pPr>
        <w:pStyle w:val="BookText"/>
        <w:rPr/>
      </w:pPr>
      <w:bookmarkEnd w:id="685"/>
      <w:r>
        <w:rPr>
          <w:rFonts w:ascii="IRNazanin" w:hAnsi="IRNazanin" w:eastAsia="IRNazanin"/>
          <w:color w:val="111111"/>
          <w:sz w:val="28"/>
          <w:sz w:val="28"/>
          <w:szCs w:val="28"/>
          <w:rtl w:val="true"/>
          <w:lang w:bidi="fa-IR"/>
        </w:rPr>
        <w:t>زمان الغیبة، و إباء بعض روایاته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یصحِّح 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جمیع أخبار التخییر علی ذلک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3235178_3224264995"/>
      <w:bookmarkStart w:id="687" w:name="_Toc258"/>
      <w:bookmarkEnd w:id="686"/>
      <w:r>
        <w:rPr>
          <w:rtl w:val="true"/>
        </w:rPr>
        <w:t>جمع العلّامة الحائری قدس سره و ما یرد علیه</w:t>
      </w:r>
      <w:bookmarkEnd w:id="687"/>
    </w:p>
    <w:p>
      <w:pPr>
        <w:pStyle w:val="BookText"/>
        <w:rPr/>
      </w:pPr>
      <w:r>
        <w:rPr>
          <w:rFonts w:ascii="IRNazanin" w:hAnsi="IRNazanin" w:eastAsia="IRNazanin"/>
          <w:color w:val="111111"/>
          <w:sz w:val="28"/>
          <w:sz w:val="28"/>
          <w:szCs w:val="28"/>
          <w:rtl w:val="true"/>
          <w:lang w:bidi="fa-IR"/>
        </w:rPr>
        <w:t>حَمَل شیخنا الحائری قدس سره أخبار التوقّف علی التوقّف فی مقام الفتوی و الاستناد إلیها فی الحکم، و أخبار التخییر علی التخییر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فی حمل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ارتکازه فی أذهان العقلاء؛ لعدم بنائهم علی حجّیّة أحد المتعارضین بنحو الاستناد إلیه فی مقام الفتوی؛ لا تعییناً و لا تخییراً، و حیث إنّ ذلک مرتکز فی الأذهان؛ لا احتیاج فیه إلی التأکید و أوامر کثیرة، بخلاف تعیین مدلول أحد الخبرین بالظنّ، فإنّه أمر مرسوم عند العقلاء، و قد تصدّی الشارع لسدّ باب ذلک و ردعهم بالحکم بلزوم التوقّف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منصرفة إلی حرمة القول بالرأی فی تعیین مدلول کلام الشارع، و لا یُنافی ذلک التخییر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بالتوقّف فی بعض الأخبار،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فیه بآرائکم</w:t>
      </w:r>
      <w:r>
        <w:rPr>
          <w:rFonts w:eastAsia="IRNazanin" w:cs="IRNazanin"/>
          <w:color w:val="111111"/>
          <w:sz w:val="28"/>
          <w:szCs w:val="28"/>
          <w:rtl w:val="true"/>
          <w:lang w:bidi="fa-IR"/>
        </w:rPr>
        <w:t>)</w:t>
      </w:r>
    </w:p>
    <w:p>
      <w:pPr>
        <w:pStyle w:val="BookText"/>
        <w:rPr/>
      </w:pPr>
      <w:r>
        <w:rPr>
          <w:rStyle w:val="FootnoteAnchor"/>
          <w:rtl w:val="true"/>
        </w:rPr>
        <w:footnoteReference w:id="755"/>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و إن أمکن تصدیقه بالنسبة إلی بعض الأخبار، لکن یُنافیه ما فی روایة سماعة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w:t>
      </w:r>
      <w:bookmarkStart w:id="688" w:name="pg12898_148289"/>
    </w:p>
    <w:p>
      <w:pPr>
        <w:pStyle w:val="Heading5"/>
        <w:numPr>
          <w:ilvl w:val="4"/>
          <w:numId w:val="1"/>
        </w:numPr>
        <w:rPr/>
      </w:pPr>
      <w:bookmarkStart w:id="689" w:name="__RefHeading___Toc3235180_3224264995"/>
      <w:bookmarkStart w:id="690" w:name="_Toc259"/>
      <w:bookmarkEnd w:id="688"/>
      <w:bookmarkEnd w:id="689"/>
      <w:r>
        <w:rPr>
          <w:rtl w:val="true"/>
        </w:rPr>
        <w:t>وجه الجمع بین الأخبار</w:t>
      </w:r>
      <w:bookmarkEnd w:id="690"/>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التخییر نصّ فیه،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الأخذ بهذا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ظاهرة فی وجوبه، فیحمل الظاهر علی النصّ، فیجمع بین الأخبار بحمل أخبار التوقّف علی مطلق الرجحان، و لا یُنافیه التصریح بالأخذ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ذیلُ روایة عمر بن حنظلة، و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المسبوق بقول النبیّ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ثلاثة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7"/>
      </w:r>
      <w:r>
        <w:rPr>
          <w:rFonts w:ascii="IRNazanin" w:hAnsi="IRNazanin" w:eastAsia="IRNazanin"/>
          <w:color w:val="111111"/>
          <w:sz w:val="28"/>
          <w:sz w:val="28"/>
          <w:szCs w:val="28"/>
          <w:rtl w:val="true"/>
          <w:lang w:bidi="fa-IR"/>
        </w:rPr>
        <w:t>إلی آخره، فإنّه إرشاد إلی أنّه لو بنی الإنسان علی ارتکاب الشبهات حتّی یصیر عادة له، و کذلک المکروهات، فربّما یجترئ علی ارتکاب المحرّمات، و تهون علیه ارتکاب المعاصی الکبیرة، فکلّ واحدة من الشبهات و إن جاز ارتکابها، لکن نُهی عنها لئلّا یجترئ تدریجاً علی ارتکاب المحرّمات، فالمراد أنّ ارتکاب الشبهات ربّما یصیر سبباً لوقوع الشخص فی مهلکة ارتکاب المحرّمات، لا أنّ نفس ارتکاب الشبهة هلکة، کما زعمه الأخباریون، فهو شاهد علی أنّ الأمر بالتوقّف فی تلک الأخبار إنّما هو لرجحانه و إن لم یجب، کرجحان التوقّف فی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وجوه الجمع بین الأخبار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کحمل أخبار التخییر علی حقوق اللَّه، و أخبار التوقّف علی حقوق الناس، أو حمل الاولی علی العبادات، و الثانیة علی غیرها، أو حمل الاولی علی حال الاضطرار و الثانیة علی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ممّا لا شاهد و لا وجه لها، و مجرّد ورود خبر فی مورد لا یوجب اختصاصه بهذا المورد،</w:t>
      </w:r>
    </w:p>
    <w:p>
      <w:pPr>
        <w:pStyle w:val="BookText"/>
        <w:rPr/>
      </w:pPr>
      <w:r>
        <w:rPr>
          <w:rFonts w:ascii="Amiri" w:hAnsi="Amiri" w:eastAsia="Amiri" w:cs="Amiri"/>
          <w:color w:val="111111"/>
          <w:sz w:val="28"/>
          <w:sz w:val="28"/>
          <w:szCs w:val="28"/>
          <w:rtl w:val="true"/>
          <w:lang w:bidi="ar-SA"/>
        </w:rPr>
        <w:t>فإنّ المورد لیس مخصِّصاً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کالجمع بحمل أخبار التخییر علی المتعارضین المتناقضین، و أخبار التوقّف و الإرجاء علی غیر المتناقضین من المتعارضین، فإنّ روایة سماعة بن مهران التی هی من أخبار التوقّف وردت فی المتناقضین بقوله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یأمرنی و الآخر ینهانی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کالجمع بحمل أخبار التوقّف علی الأحکام و التکالیف الإلزامیّة، لو تعارض فیها الخبران من الوجوب و الحرمة، و أخبار التخییر علی غیرها من المندوبات و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بروایة المیثمی، کما أنّه استشهد بها لما اختاره شیخنا الحائری قدس سره</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الذی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المحقّق المجلسی قدس سره و بعض قدماء الأصحاب</w:t>
      </w:r>
      <w:r>
        <w:rPr>
          <w:rStyle w:val="FootnoteAnchor"/>
          <w:rtl w:val="true"/>
        </w:rPr>
        <w:footnoteReference w:id="759"/>
      </w:r>
      <w:r>
        <w:rPr>
          <w:rFonts w:ascii="IRNazanin" w:hAnsi="IRNazanin" w:eastAsia="IRNazanin"/>
          <w:color w:val="111111"/>
          <w:sz w:val="28"/>
          <w:sz w:val="28"/>
          <w:szCs w:val="28"/>
          <w:rtl w:val="true"/>
          <w:lang w:bidi="fa-IR"/>
        </w:rPr>
        <w:t>، و هی</w:t>
      </w:r>
    </w:p>
    <w:p>
      <w:pPr>
        <w:pStyle w:val="BookText"/>
        <w:rPr/>
      </w:pPr>
      <w:r>
        <w:rPr>
          <w:rFonts w:ascii="IRNazanin" w:hAnsi="IRNazanin" w:eastAsia="IRNazanin"/>
          <w:color w:val="111111"/>
          <w:sz w:val="28"/>
          <w:sz w:val="28"/>
          <w:szCs w:val="28"/>
          <w:rtl w:val="true"/>
          <w:lang w:bidi="fa-IR"/>
        </w:rPr>
        <w:t xml:space="preserve">ما رواه الصدوق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 محمّد بن الحسن بن أحمد بن الولید جمیعاً، عن سعد بن عبد اللَّه، عن محمّد بن عبد اللَّه المسمعی، عن أحمد بن الحسن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الرضا علیه السلام یوماً، و قد اجتمع عنده قوم من أصحابه، و قد کانوا یتنازعون فی الحدیثین المختلفین عن رسول اللَّه صلی الله علیه و آله و سلم فی الشی‌ء الواحد،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حرّم حراماً، و أحلّ حلالًا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بعد النهی عن الأخذ بما هو مخالف للکتاب فی الفرائض و أحکام الحلال و الحرام من الأخبار، و کذلک الأخبار المخالفة لأوامر النبیّ صلی الله علیه و آله و سلم و نواهیه الإلزامیّة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تعالی نهی عن أشیاء لیس نهی حرام، بل إعافة و کراهة، و أمر بأشیاء لیس بأمر فرضٍ و لا واجب، بل أمر فضل و رجحان فی الدین، ثمّ رخّص فی ذلک للمعلول و غیر المعلول، فما کان عن رسول اللَّه صلی الله علیه و آله و سلم نهی إعافة أو أمر فضل، فذلک الذی یسع استعمال الرُّخصة فیه إذا ورد علیکم عنّا الخبر فیه باتّفاق، یرویه من یرویه فی</w:t>
      </w:r>
    </w:p>
    <w:p>
      <w:pPr>
        <w:pStyle w:val="BookText"/>
        <w:rPr/>
      </w:pPr>
      <w:r>
        <w:rPr>
          <w:rFonts w:ascii="IRNazanin" w:hAnsi="IRNazanin" w:eastAsia="IRNazanin"/>
          <w:color w:val="111111"/>
          <w:sz w:val="28"/>
          <w:sz w:val="28"/>
          <w:szCs w:val="28"/>
          <w:rtl w:val="true"/>
          <w:lang w:bidi="fa-IR"/>
        </w:rPr>
        <w:t>النهی و لا ینکره، و کان الخبران صحیحین معروفین باتّفاق الناقلة فیهما، یجب الأخذ بأحدهما، أو بهما جمیعاً، أو بأیّهما شئت و أحببت موسّع ذلک لک؛ من باب التسلیم لرسول اللَّه صلی الله علیه و آله و سلم و الردّ إلیه و إلینا، و کان تارک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العناد و الإنکار و ترک التسلیم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 باللَّه العظیم، فما ورد علیکم من خبرین مختلفین فاعرضوه علی کتاب اللَّه، فما کان فی کتاب اللَّه موجوداً حلالًا أو حراماً فاتّبعوا ما وافق الکتاب، و ما لم یکن فی الکتاب فاعرضوه علی سنن رسول اللَّه صلی الله علیه و آله و سلم، فما کان فی السُّنّة موجوداً منهیّاً عنه نهیَ حرامٍ، و مأموراً به عن رسول اللَّه صلی الله علیه و آله و سلم أمرَ إلزامٍ فاتّبعوا ما وافق نهی رسول اللَّه صلی الله علیه و آله و سلم و أمره، و ما کان فی السُّنّة نهی إعافة أو کراهة، ثمّ کان الخبر الأخیر خلافه، فذلک رُخصة فیما عافه رسول اللَّه صلی الله علیه و آله و سلم و کرهه و لم یحرّمه، فذلک الذی یسع الأخذ بهما جمیعاً، و بأیّهما شئت وسعک الاختیار؛ من باب التسلیم و الاتّباع و الردّ إلی رسول اللَّه صلی الله علیه و آله و سلم،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w:t>
      </w:r>
    </w:p>
    <w:p>
      <w:pPr>
        <w:pStyle w:val="BookText"/>
        <w:rPr/>
      </w:pP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المسمعی ممّن ضعّفه الشیخ الصدوق</w:t>
      </w:r>
      <w:r>
        <w:rPr>
          <w:rStyle w:val="FootnoteAnchor"/>
          <w:rtl w:val="true"/>
        </w:rPr>
        <w:footnoteReference w:id="761"/>
      </w:r>
      <w:r>
        <w:rPr>
          <w:rFonts w:ascii="IRNazanin" w:hAnsi="IRNazanin" w:eastAsia="IRNazanin"/>
          <w:color w:val="111111"/>
          <w:sz w:val="28"/>
          <w:sz w:val="28"/>
          <w:szCs w:val="28"/>
          <w:rtl w:val="true"/>
          <w:lang w:bidi="fa-IR"/>
        </w:rPr>
        <w:t xml:space="preserve">، لکن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نقلها من کتاب الرحمة لسعد بن عبد اللَّه، و هو من الاصول المعتمد علیها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تأمّلت فی هذه الروایة، تعرف أنّه لا ارتباط لها بالمقام؛ یعنی الحکم الظاهری بالتخییر فی باب التعارض، فإنّها فی مقام بیان الحکم الواقعی فی أنّ</w:t>
      </w:r>
      <w:bookmarkStart w:id="691" w:name="pg12898_148292"/>
    </w:p>
    <w:p>
      <w:pPr>
        <w:pStyle w:val="BookText"/>
        <w:rPr/>
      </w:pPr>
      <w:bookmarkEnd w:id="691"/>
      <w:r>
        <w:rPr>
          <w:rFonts w:ascii="IRNazanin" w:hAnsi="IRNazanin" w:eastAsia="IRNazanin"/>
          <w:color w:val="111111"/>
          <w:sz w:val="28"/>
          <w:sz w:val="28"/>
          <w:szCs w:val="28"/>
          <w:rtl w:val="true"/>
          <w:lang w:bidi="fa-IR"/>
        </w:rPr>
        <w:t>الروایات المخالفة لکتاب اللَّه أو سُنّة رسوله صلی الله علیه و آله و سلم فی التکالیف الإلزامیّة، لیست حجّة، لا المخالفة لهما فی التکالیف الغیر الإلزامیّة من المندوبات و المکروهات؛ لإمکان ترخیصهم فی ترک ما أمر اللَّه به ندباً، أو ارتکاب ما نهی اللَّه تعالی عنه أو رسوله صلی الله علیه و آله و سلم تنزیهاً، فإنّ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شئت و أحببت؛ موسّع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یراد منه ما یراد من الحکم بالتوسعة فی روایة الکلینی قدس سره فإنّ الأوّل حکم واقعیّ؛ لجواز ترک المندوب و فعل المکروه واقعاً، بخلاف الثانی، فإنّه حکم ظاهریّ بالتخییر عند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تصلح شاهداً لما اختاره شیخنا الحائری قدس سره من الجمع المتقدّم منه رحمه الله، فإنّ قوله علیه السلام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فردّوا إلینا علمه، و لا تقولوا فیه بآرائکم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إن کان ردعاً عن العمل بالمرجّحات الظنّیّة الحاصلة بالرأی، لکنّها تدلّ علی التخییر فی الفتوی بأیّهما شاء و الاستناد إلیه؛ اتّکالًا علی روایات التخییر و الفتوی علی طبق أحدهما</w:t>
      </w:r>
      <w:r>
        <w:rPr>
          <w:rFonts w:eastAsia="IRNazanin" w:cs="IRNazanin"/>
          <w:color w:val="111111"/>
          <w:sz w:val="28"/>
          <w:szCs w:val="28"/>
          <w:rtl w:val="true"/>
          <w:lang w:bidi="fa-IR"/>
        </w:rPr>
        <w:t>.</w:t>
      </w:r>
    </w:p>
    <w:p>
      <w:pPr>
        <w:pStyle w:val="Heading4"/>
        <w:numPr>
          <w:ilvl w:val="3"/>
          <w:numId w:val="1"/>
        </w:numPr>
        <w:rPr/>
      </w:pPr>
      <w:bookmarkStart w:id="692" w:name="__RefHeading___Toc3235182_3224264995"/>
      <w:bookmarkStart w:id="693" w:name="_Toc260"/>
      <w:bookmarkEnd w:id="692"/>
      <w:r>
        <w:rPr>
          <w:rtl w:val="true"/>
        </w:rPr>
        <w:t>تنبیهات</w:t>
      </w:r>
      <w:bookmarkEnd w:id="693"/>
    </w:p>
    <w:p>
      <w:pPr>
        <w:pStyle w:val="Heading5"/>
        <w:numPr>
          <w:ilvl w:val="4"/>
          <w:numId w:val="1"/>
        </w:numPr>
        <w:rPr/>
      </w:pPr>
      <w:bookmarkStart w:id="694" w:name="__RefHeading___Toc3235184_3224264995"/>
      <w:bookmarkStart w:id="695" w:name="_Toc261"/>
      <w:bookmarkEnd w:id="694"/>
      <w:r>
        <w:rPr>
          <w:rtl w:val="true"/>
        </w:rPr>
        <w:t>التنبیه الأوّل</w:t>
      </w:r>
      <w:r>
        <w:rPr>
          <w:rtl w:val="true"/>
        </w:rPr>
        <w:t xml:space="preserve">: </w:t>
      </w:r>
      <w:r>
        <w:rPr>
          <w:rtl w:val="true"/>
        </w:rPr>
        <w:t>فی معنی التخییر فی المسألة الاصولیّة</w:t>
      </w:r>
      <w:bookmarkEnd w:id="695"/>
    </w:p>
    <w:p>
      <w:pPr>
        <w:pStyle w:val="BookText"/>
        <w:rPr/>
      </w:pPr>
      <w:r>
        <w:rPr>
          <w:rFonts w:ascii="IRNazanin" w:hAnsi="IRNazanin" w:eastAsia="IRNazanin"/>
          <w:color w:val="111111"/>
          <w:sz w:val="28"/>
          <w:sz w:val="28"/>
          <w:szCs w:val="28"/>
          <w:rtl w:val="true"/>
          <w:lang w:bidi="fa-IR"/>
        </w:rPr>
        <w:t>لا إشکال فی أنّ مقتضی ظواهر الأخبار هو التخییر فی المسألة الاصولیّة؛ لأنّه خُیِّر فیها بالأخذ بأحد الخبرین المتعادلین الذی هو حجّة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أنّ أخبار التخییر، هل هی کاشفة عن جعل حجّیّة أحد الخبرین، بعد حکم العقل بتساقطهما و عدم حجّیّة واحد منهما، أو أنّها فی مقام بیان الحکم الظاهری و جعل الوظیفة، کالاصول العملیّة؟ وجهان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أردؤهما هو الوجه الأوّل؛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معنی لجعل</w:t>
      </w:r>
    </w:p>
    <w:p>
      <w:pPr>
        <w:pStyle w:val="BookText"/>
        <w:rPr/>
      </w:pPr>
      <w:r>
        <w:rPr>
          <w:rFonts w:ascii="IRNazanin" w:hAnsi="IRNazanin" w:eastAsia="IRNazanin"/>
          <w:color w:val="111111"/>
          <w:sz w:val="28"/>
          <w:sz w:val="28"/>
          <w:szCs w:val="28"/>
          <w:rtl w:val="true"/>
          <w:lang w:bidi="fa-IR"/>
        </w:rPr>
        <w:t>الحجّیّة و الأماریّة و الطریقیّة لما لیس له ذلک، فکما لا یمکن جعل الحجّیّة و الطریقیّة للشکّ، کذلک لا معنی لجعلها للخبر الفاقد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أنّه لو ارید کشفها عن جعل حجّیّة کلّ واحد من المتعارضین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ظاهر أخبار التخییر، أنّه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کشفها عن حجّیّة أحدهما الغیر المعیّن؛ یعنی مفهوم أحدهما الغیر المعیّن، الصادق علی کلّ واحد من الخبرین؛ إذ لا معنی لإرادة المبهم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أخذ مجتهدان کلّ واحد منهما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کشفها عن حجّیّة کلّ واحد من المتعارضین و طریقیّته إلی الواقع بالفعل، و هو أیضاً غیر معقول؛ لعدم معقولیّة الطریقیّة الفعلیّة للخبرین المتعارضین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 عدم ترتّب اللوازم الغیر الشرعیّة و الملازمات علی أحد الخبرین الذی اختاره المجتهد؛ لعدم حجّیّة مثبتات الاصول العملیّة، و لا أظنّ أحداً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یستفاد من أخبار التخییر حکم تأسیسی علی حِدة، سوی وجوب العمل بالأخبار مهما أمکن و عدم جواز إهمالها، فکما أنّه یُستفاد من أخبار الترجیح بما لیس مرجّحاً عند العرف و یتوقّفون فیه کالمتعادلین، عدمُ جواز إهمال الأخبار و وجوب العمل بها مهما أمکن، فیُقدَّم ذو المزیّة علی الآخر مع التعارض، کالموافق للعامّة و المخالف لهم، فیُرجَّح المخالف علی الموافق، و أنّه لیس حکماً تأسیسیّاً سوی وجوب العمل بالأخبار مهما أمکن، و الردع عن توقّف العرف فیهما، کذلک أخبار التخییر مع التعادل لا یستفاد منها سوی وجوب العمل بالأخبار مهما أمکن، و ردع العرف عن التوقّف فیهما، فهی فی مقام جعل الوظیفة للمجتهدین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مقام جعل الوظیفة العملیّة، نظیر الاصول العملیّة، بل جعل الوظیفة للمجتهدین فی المسألة الاصولیّة عند تعارض الخبرین، و هو وجوب الأخذ</w:t>
      </w:r>
      <w:bookmarkStart w:id="696" w:name="pg12898_148294"/>
    </w:p>
    <w:p>
      <w:pPr>
        <w:pStyle w:val="BookText"/>
        <w:rPr/>
      </w:pPr>
      <w:bookmarkEnd w:id="696"/>
      <w:r>
        <w:rPr>
          <w:rFonts w:ascii="IRNazanin" w:hAnsi="IRNazanin" w:eastAsia="IRNazanin"/>
          <w:color w:val="111111"/>
          <w:sz w:val="28"/>
          <w:sz w:val="28"/>
          <w:szCs w:val="28"/>
          <w:rtl w:val="true"/>
          <w:lang w:bidi="fa-IR"/>
        </w:rPr>
        <w:t>بأحد الخبرین و الطریقین و یترتّب علیه حینئذٍ اللوازم و الملزومات الشرعیّة و غیرها</w:t>
      </w:r>
      <w:r>
        <w:rPr>
          <w:rFonts w:eastAsia="IRNazanin" w:cs="IRNazanin"/>
          <w:color w:val="111111"/>
          <w:sz w:val="28"/>
          <w:szCs w:val="28"/>
          <w:rtl w:val="true"/>
          <w:lang w:bidi="fa-IR"/>
        </w:rPr>
        <w:t>.</w:t>
      </w:r>
    </w:p>
    <w:p>
      <w:pPr>
        <w:pStyle w:val="Heading5"/>
        <w:numPr>
          <w:ilvl w:val="4"/>
          <w:numId w:val="1"/>
        </w:numPr>
        <w:rPr/>
      </w:pPr>
      <w:bookmarkStart w:id="697" w:name="__RefHeading___Toc3235186_3224264995"/>
      <w:bookmarkStart w:id="698" w:name="_Toc262"/>
      <w:bookmarkEnd w:id="697"/>
      <w:r>
        <w:rPr>
          <w:rtl w:val="true"/>
        </w:rPr>
        <w:t>التنبیه الثانی</w:t>
      </w:r>
      <w:r>
        <w:rPr>
          <w:rtl w:val="true"/>
        </w:rPr>
        <w:t xml:space="preserve">: </w:t>
      </w:r>
      <w:r>
        <w:rPr>
          <w:rtl w:val="true"/>
        </w:rPr>
        <w:t>فی حکم تخییر القاضی و المفتی فی عمله و عمل مقلّدیه</w:t>
      </w:r>
      <w:bookmarkEnd w:id="698"/>
    </w:p>
    <w:p>
      <w:pPr>
        <w:pStyle w:val="BookText"/>
        <w:rPr/>
      </w:pPr>
      <w:r>
        <w:rPr>
          <w:rFonts w:ascii="IRNazanin" w:hAnsi="IRNazanin" w:eastAsia="IRNazanin"/>
          <w:color w:val="111111"/>
          <w:sz w:val="28"/>
          <w:sz w:val="28"/>
          <w:szCs w:val="28"/>
          <w:rtl w:val="true"/>
          <w:lang w:bidi="fa-IR"/>
        </w:rPr>
        <w:t>لا إشکال فی المقام بالنسبة إلی عمل المجتهد نفسه، و کذلک لا إشکال فی أنّه لا معنی لإفتاء القضاة بتخییر المتخاصمین؛ لعدم فصل الخصومة بذلک، بل یتعیّن علیه الأخذ بأحدهما، و الحکم و القضاء علی طبقه؛ لترتفع الخصومة بقضائه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و الکلام بالنسبة إلی المفتی فی مقام الإفتاء للمقلّدین فی أنّه یختصّ الترجیح و التخییر بالمجتهدین، و لا حظّ للمقلّدین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الخطابات لیست متوجِّهة إلی المکلّفین قاطبة، و هکذا سائر القواعد الاصولیّة، کالاستصحاب و البراءة و 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خطابات عامّة متوجّهة إلی جمیع المکلّفین، غایة الأمر عدم إمکان تمییز موارد جریانها و مجراها لغیر المجتهدین؟</w:t>
      </w:r>
    </w:p>
    <w:p>
      <w:pPr>
        <w:pStyle w:val="BookText"/>
        <w:rPr/>
      </w:pPr>
      <w:r>
        <w:rPr>
          <w:rFonts w:ascii="IRNazanin" w:hAnsi="IRNazanin" w:eastAsia="IRNazanin"/>
          <w:color w:val="111111"/>
          <w:sz w:val="28"/>
          <w:sz w:val="28"/>
          <w:szCs w:val="28"/>
          <w:rtl w:val="true"/>
          <w:lang w:bidi="fa-IR"/>
        </w:rPr>
        <w:t>قد یقال بالأوّل؛ لأنّه لا معنی لتکلیف من لا یتمکّن من الإتیان بالمأمور به، کالاستصحاب فی الشبهات الحکمیّة؛ لافتقاره و توقّفه علی تشخیص مجراه؛ من الیقین السابق و الشکّ اللّاحق و عدم المعارض و الحاکم علیه و نحو ذلک، و حینئذٍ فلا بدّ أن تختصّ تلک الخطابات بالمجتهدین، و إن کانت النتیجة الحاصلة من اجتهادهم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الفرعی المستنبط مشترک بین جمیع المکلّفین بل بعضها یختص بالنسوان و أحکامهنّ الخاصّة بهنّ، کأحکام الحیض و النفاس، بل قد یقال بأنّ کثیراً من القواعد الفقهیّة أیضاً کذلک، کقاعدة الید،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و قاعدة لا ضرر و لا حرج، و نحوها ممّا لا یتمکّن العوامّ و غیر المجتهدین من تمییز مواردها و تشخیص مجراها، فهی مختصّة بالمجتهدین، و لکن النتیجة الحاصلة من اجتهادهم؛ أی الحکم الفرعی المستنبط، مشترک بین جمیع المکلّفین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أی أنّ الخطابات کلّها عامّة متوجّهة إلی جمیع</w:t>
      </w:r>
      <w:bookmarkStart w:id="699" w:name="pg12898_148295"/>
    </w:p>
    <w:p>
      <w:pPr>
        <w:pStyle w:val="BookText"/>
        <w:rPr/>
      </w:pPr>
      <w:bookmarkEnd w:id="699"/>
      <w:r>
        <w:rPr>
          <w:rFonts w:ascii="IRNazanin" w:hAnsi="IRNazanin" w:eastAsia="IRNazanin"/>
          <w:color w:val="111111"/>
          <w:sz w:val="28"/>
          <w:sz w:val="28"/>
          <w:szCs w:val="28"/>
          <w:rtl w:val="true"/>
          <w:lang w:bidi="fa-IR"/>
        </w:rPr>
        <w:t>المکلّفین، فإنّ عدم تمکّن العوامّ و غیر المجتهد لما ذکر، و اختصاص التمکّن من ذلک بالمجتهد، لا یوجب اختصاص الخطابات بهم فقط، بل تعمّ جمیع المکلّفین، غایة الأمر أنّ العامّی لا یتمکّن من تمییز مجراها و مواردها و شرائطها، فیرجع فی ذلک إلی المتمکّن من ذلک، فیستصحب هو نفسه، و عدم حصول الیقین و الشکّ لبعض لا یوجب اختصاص خطابات الاستصحاب بغیره؛ ضرورة أنّها متعلّقة بالعناوین الکلّیّة، و عدم صدق تلک العناوین علی فرد، لا یوجب نقل تلک الأحکام عن موضوعاتها، کما أنّ عدم قیام الأمارة عند أحد، لا یوجب اختصاص حجّیّة الأمارة بغیره من الأفراد، و حینئذٍ فکما یجوز للمجتهد الأخذ بأحد الخبرین و الفتوی علی طبقه تعییناً، له أن یُعلِم المقلّدین نفس القواعد الاصولیّة، و یُفتی بالتخییر فی الأخذ بأحدهما؛ لعدم ظهور الأدلّة فی الاختصاص بالمجتهد، فلا یجب و لا یتعیّن علیه الفتوی بمضمون أحد الخبرین معیّناً، و لا الحکم بالتخییر بین مفاد أحد الخبرین، بل هو مخیّر بینهما و بین الحکم بتخییرهم فی المسألة الاصولیّة؛ فإنّ المجتهد من أفراد المکلّفین المخاطبین بخطابات التخییر، فیصحّ له الحکم بالتخییر فی المسألة الاصولیّة، کما أنّ له الحکم بالتخییر فی المسألة الفرعیّة، و الحکم بمفاد أحد الخبرین تعییناً؛ لأنّ وجوب الأخذ بأحد الخبرین طریقیّ</w:t>
      </w:r>
      <w:r>
        <w:rPr>
          <w:rFonts w:eastAsia="IRNazanin" w:cs="IRNazanin"/>
          <w:color w:val="111111"/>
          <w:sz w:val="28"/>
          <w:szCs w:val="28"/>
          <w:rtl w:val="true"/>
          <w:lang w:bidi="fa-IR"/>
        </w:rPr>
        <w:t>.</w:t>
      </w:r>
    </w:p>
    <w:p>
      <w:pPr>
        <w:pStyle w:val="Heading5"/>
        <w:numPr>
          <w:ilvl w:val="4"/>
          <w:numId w:val="1"/>
        </w:numPr>
        <w:rPr/>
      </w:pPr>
      <w:bookmarkStart w:id="700" w:name="__RefHeading___Toc3235188_3224264995"/>
      <w:bookmarkStart w:id="701" w:name="_Toc263"/>
      <w:bookmarkEnd w:id="700"/>
      <w:r>
        <w:rPr>
          <w:rtl w:val="true"/>
        </w:rPr>
        <w:t>التنبه الثالث</w:t>
      </w:r>
      <w:r>
        <w:rPr>
          <w:rtl w:val="true"/>
        </w:rPr>
        <w:t xml:space="preserve">: </w:t>
      </w:r>
      <w:r>
        <w:rPr>
          <w:rtl w:val="true"/>
        </w:rPr>
        <w:t>فی أنّ التخییر بدویّ أو استمراریّ</w:t>
      </w:r>
      <w:bookmarkEnd w:id="70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التخییر ابتدائیّ، فلا یجوز اختیار الخبر الآخر بعد الأخذ بأحدهما مطلقاً، أو استمراریّ مطلقاً، فله الأخذ بالآخر بعد الأخذ بأحدهما، أو التفصیل بین التخییر فی المسألة الاصولیّة و بینه فی المسألة الفرعیّة؛ ففی الاولی بدْویّ، و فی الثانیة استمراریّ، أو التفصیل بین القول باختصاص خطابات التخییر بالمجتهد، و بین القول بعمومها لجمیع المکلّفین؛ ففی الأوّل بدْویّ و فی الثانی استمراریّ؟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الأعظم إلی الأوّل؛ لعدم الإطلاق فی الأخبار، و عدم جریان استصحاب بقاء التخییر بعد اختیار أحدهما؛ لاختلاف الموضوع، فإنّ موضوعه من لم یختر أحدهما بعد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یقال فی تقریب ما أفاده من إهمال الأخبار و عدم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منشأ سؤال مثل الحسن بن الجهم عن تعارض الخبرین، هو الشکّ فی الوظیفة عند تعارض الخبرین، و الجواب أیضاً فی مقام تعیین الوظیفة للشاکّ فی مقام تعارض الخبرین، و أمّا الشکّ فی کیفیّة التخییر بعد الحکم بالتخییر؛ و أنّه بدْویّ أو استمراریّ، فهو متأخّر عن الحکم بالتخییر، فهو مغفول عنه لدی السائل، فالأخبار مهملة بالنسبة إلی بیان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فی روایة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العمدة فی روایات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مسوقاً لما ذکر، لکن الظاهر من الجواب عنایته علیه السلام و التفاته إلی القید المذکور فی السؤال، و هو عدمُ العلمِ و الشکُّ، و أنّه إذا لم تعلم فموسّع علیک، مع أنّ المفروض فی السؤال أیضاً هو ذلک، فیستفاد من تکراره فی الجواب أنّ الحکم المذکور مغیّا بعدم العلم، و أنّه ما لم یحصل العلم بکذب أحدهما المعیّن فهذا الحکم ثابت، و أنّ الموضوع للحکم بالتخییر هو عدم العلم بصدق أحدهما المعیّن، و بمجرّد اختیار أحدهما فی واقعة لا یتغیّر الموضوع، و هو عدم العلم المذکور، و حینئذٍ فالجواب یدلّ بلفظه علی بقاء التخییر و استمراره، فضلًا عن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اختیار أحدهما یصیر هو أمارة علی الواقع، فیعلم صدقه تعبّداً، فالغایة حاصلة حینئذٍ</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غیر معقول؛ إذ لیس الحکم بالتخییر إلّا مجرّد جعل الوظیفة</w:t>
      </w:r>
    </w:p>
    <w:p>
      <w:pPr>
        <w:pStyle w:val="BookText"/>
        <w:rPr/>
      </w:pPr>
      <w:r>
        <w:rPr>
          <w:rFonts w:ascii="IRNazanin" w:hAnsi="IRNazanin" w:eastAsia="IRNazanin"/>
          <w:color w:val="111111"/>
          <w:sz w:val="28"/>
          <w:sz w:val="28"/>
          <w:szCs w:val="28"/>
          <w:rtl w:val="true"/>
          <w:lang w:bidi="fa-IR"/>
        </w:rPr>
        <w:t>و الحکم بترتیب الآثار، لا إثبات الحقّیّة الواقعیّة للمختار تعبّداً، کما تقدّم استظهار ذلک من أخبار التخییر، فالغایة غیر حاصلة تعبّداً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منها روایة ابن المغیرة المتقدّمة، و هی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من أصحابک الحدیث و کلّهم ثقة، فموسّع علیک حتّی تری القائم، فتردّ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فإنّها ظاهرة فی أنّ غایة الحکم بالسعة هی رؤیة القائم، و أنّ الموضوع للحکم بالتخییر هو عدم العلم بصدق أحدهما المعیّن، و لو أراد علیه السلام منه التخییر الابتدائی لجعل الغایة عدم اختیار أحدهما، لا العلم بصدق أحدهما أو رؤیة القائم علیه السلام، فلا إشکال فی أنّ المستفاد منها هو التخییر الاستمراری؛ من غیر فرق بین التخییر فی المسألة الاصولیّة و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بقاء التخییر فتوضیح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فی المقام صوراً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بقاء التخییر و عدمه و لو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بقائه و عدمه؛ من جهة الشکّ فی أنّ التخییر هل هو فی المسألة الاصولیّة، أو فی المسألة الفرعیّة، بعد الفراغ و القطع بأنّه فی المسألة الاصولیّة بدْویّ، و فی المسألة الفرعیّة استمراریّ؟</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منشأ الشکّ هو الشکّ فی أنّ الخطابات التخییریّة عامّة شاملة لجمیع المکلّفین، أو أنّها تختصّ بالمجتهدین، بعد الفراغ عن أنّها إن کانت عامّة فهو استمراریّ، و لو اختصّت بالمجتهدین فهو بدوی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موضوع الحکم بالتخییر فی الروایات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ذات المکلّف، و أمّا الشرط المذکور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واسطة فی إثبات التوسعة و التخییر للموضوع المذکور، نظیر ما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عبارة عمّن لم یعلم بحقیّة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المتحیّر فی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عبارة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عبارة عمّن لم یختر أحدهما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احتمالات أربعة،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الاحتمال الأوّل و الثانی لا إشکال فی بقاء الموضوع للاستصحاب، حتّی لو قلنا بأنّ المناط فی الموضوع هو لسان الدلیل؛ لصدق عدم العلم بالحقّ بعد اختیار أحد الخبرین أیضاً و بقاء ذات المکلّف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الأخیرین فالمفروض عدم قیام دلیلٍ اجتهادیّ علی أحد الأمرین المذکورین، و عدم استفادة ذلک من أخبار التخییر، و قد تقدّم سابقاً عدم جریان الاستصحاب فی الأحکام الکلّیّة المتعلّقة بالعناوین الکلّیّة، و أنّه إجراء الحکم من موضوع إلی موضوع آخر، لکن بعد تحقّق الموضوع و وجوده فی الخارج و انطباق ذلک العنوان علیه، یثبت له حکمه، فمع الشکّ فی بقائه یجری استصحابه أیضاً، فإنّ المکلّف بعد وجوده فی الخارج و ثبوت حکم التخییر له، لو شکّ فی بقائه بعد اختیاره أحدهما، لا إشکال فی صحّة استصحابه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الوجه الثانی و الثالث من وجوه الشکّ فی بقاء التخییر، فالکلام فیهما هو الکلام فی القسم الثانی من أقسام استصحاب الکلّی؛ لدوران الأمر فی المستصحب بین مقطوع البقاء المشکوک حدوثه و بین مقطوع الارتفاع</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یفرّق فی المقام بین استصحاب التخییر بنحو الکون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المتیقّنة هو کونه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استصحابه بنحو الکون التامّ؛ أی ثبوت</w:t>
      </w:r>
      <w:bookmarkStart w:id="702" w:name="pg12898_148299"/>
    </w:p>
    <w:p>
      <w:pPr>
        <w:pStyle w:val="BookText"/>
        <w:rPr/>
      </w:pPr>
      <w:bookmarkEnd w:id="702"/>
      <w:r>
        <w:rPr>
          <w:rFonts w:ascii="IRNazanin" w:hAnsi="IRNazanin" w:eastAsia="IRNazanin"/>
          <w:color w:val="111111"/>
          <w:sz w:val="28"/>
          <w:sz w:val="28"/>
          <w:szCs w:val="28"/>
          <w:rtl w:val="true"/>
          <w:lang w:bidi="fa-IR"/>
        </w:rPr>
        <w:t>التخییر بعدم جریان الاستصحاب فی الثانی؛ لما تقدّم بیانه فی مسألة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البعث إلی هذا و بینه إلی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 الحکم الشرعی؛ حتّی یکون من قبیل الاستصحابات الحکمیّة، و المفروض عدم کونه موضوعیّاً أیضاً؛ لأنّ الکلام إنّما هو فی استصحاب وجوب التخییر، لا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المجعول فی المقام مردّد بین مقطوع الارتفاع لو کان الشکّ فی المسألة الاصولیّة و بین مقطوع البقاء لو کان الشکّ فی المسألة الفرعیّة، و الکلّی الجامع بینهما لیس أمراً مجعولًا شرعیّاً لیجری استصحابه، بخلاف ما لو کان المستصحب هو کونه مخیّراً؛ بنحو الکون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الاستصحاب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لکن لا إشکال فی أصل المطلب، و هو أنّ التخییر استمراریّ لظهور الأخبار فی ذلک</w:t>
      </w:r>
      <w:r>
        <w:rPr>
          <w:rFonts w:eastAsia="IRNazanin" w:cs="IRNazanin"/>
          <w:color w:val="111111"/>
          <w:sz w:val="28"/>
          <w:szCs w:val="28"/>
          <w:rtl w:val="true"/>
          <w:lang w:bidi="fa-IR"/>
        </w:rPr>
        <w:t>.</w:t>
      </w:r>
    </w:p>
    <w:p>
      <w:pPr>
        <w:pStyle w:val="Heading5"/>
        <w:numPr>
          <w:ilvl w:val="4"/>
          <w:numId w:val="1"/>
        </w:numPr>
        <w:rPr/>
      </w:pPr>
      <w:bookmarkStart w:id="703" w:name="__RefHeading___Toc3235190_3224264995"/>
      <w:bookmarkStart w:id="704" w:name="_Toc264"/>
      <w:bookmarkEnd w:id="703"/>
      <w:r>
        <w:rPr>
          <w:rtl w:val="true"/>
        </w:rPr>
        <w:t>التنبیه الرابع</w:t>
      </w:r>
      <w:r>
        <w:rPr>
          <w:rtl w:val="true"/>
        </w:rPr>
        <w:t xml:space="preserve">: </w:t>
      </w:r>
      <w:r>
        <w:rPr>
          <w:rtl w:val="true"/>
        </w:rPr>
        <w:t>فی صور مجی‌ء الخبرین المختلفین فی الإخبار مع الواسطة</w:t>
      </w:r>
      <w:bookmarkEnd w:id="704"/>
    </w:p>
    <w:p>
      <w:pPr>
        <w:pStyle w:val="BookText"/>
        <w:rPr/>
      </w:pPr>
      <w:r>
        <w:rPr>
          <w:rFonts w:ascii="IRNazanin" w:hAnsi="IRNazanin" w:eastAsia="IRNazanin"/>
          <w:color w:val="111111"/>
          <w:sz w:val="28"/>
          <w:sz w:val="28"/>
          <w:szCs w:val="28"/>
          <w:rtl w:val="true"/>
          <w:lang w:bidi="fa-IR"/>
        </w:rPr>
        <w:t>لا ریب فی أنّ الموضوع لحکم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الترجیح فی الأخبار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الخبران المتعارضان المتعادلان، أو مع المزیّة لأحدهما، لکن اختلاف الخبرین یقع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یختلفا فی جمیع مراتب سلسلتی سندیهما إلی أن ینتهی إلی الإمام علیه السلام؛ بأن یکون هناک سندان متغایران فی جمیع مراتب سلسلتیهما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یتّحد السندان إلی راوٍ واحد کزرارة، لکن المنقول عنه متعارضان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یتغایر السندان فی جمیع مراتب سلسلتهما، إلّا فی أوّلهما أو وسطهما أو آخرهما؛ بأن روی راوٍ واحد مشترک بین السندین فی الأوّل فقط أو الوسط أو الأخیر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اختلاف شیخ الطائفة و الکلینی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روایتهما عن أصل واحد؛</w:t>
      </w:r>
    </w:p>
    <w:p>
      <w:pPr>
        <w:pStyle w:val="BookText"/>
        <w:rPr/>
      </w:pPr>
      <w:r>
        <w:rPr>
          <w:rFonts w:ascii="IRNazanin" w:hAnsi="IRNazanin" w:eastAsia="IRNazanin"/>
          <w:color w:val="111111"/>
          <w:sz w:val="28"/>
          <w:sz w:val="28"/>
          <w:szCs w:val="28"/>
          <w:rtl w:val="true"/>
          <w:lang w:bidi="fa-IR"/>
        </w:rPr>
        <w:t>إمّا لاختلاف نُسَخ الأصل، أو لاختلافهما فی السماع عن مشایخهما؛ بأن سمع الشیخ من شیخه نحواً، و الکلینی من شیخه نحواً آخر مغایراً للأوّل، و قد لا یحرز واحد من الأمرین، بل احتمل نشوء الاختلاف من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الاختلاف فی نُسَخ الجوامع المتأخّرة، کالکافی و التهذیب و الاستبصار 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بأنّه لم یصدر من الإمام علیه السلام إلّا روایة واحدة، لکن علم بخطإ أحد الرواة من السلسلة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صور اخری لا یهمّنا التعرّض لها، یظهر حکمها ممّا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صدق تعارض الخبرین و اختلافهما فی الوجه الأوّل و الثالث، بل و کذا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الإشکال فی صدق اختلاف الخبرین فیه؛ لأنّ المفروض اتّحاد جمیع مراتب رواة سلسلتیهما، فلا یصدق علیه اختلاف الرجلین، و لیس فیه رجلان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المعلوم عدم الخصوصیّة فی اختلاف الرجلین فی هذا الحکم، فإنّ اختلاف امرأتین أیضاً کذلک، و المتبادر من خبر ابن الجهم هو ما یعمّ مثل ذلک، لا أنّ هذا القسم ملحق بتعارض الخبرین من جهة تنقیح المناط، فالمقام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خصوصیّة الرجولیّة ملغاة فی نظر العرف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فی کثیر من روایات الترجیح هو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الحدیثان المختلفان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6"/>
      </w:r>
      <w:r>
        <w:rPr>
          <w:rFonts w:ascii="IRNazanin" w:hAnsi="IRNazanin" w:eastAsia="IRNazanin"/>
          <w:color w:val="111111"/>
          <w:sz w:val="28"/>
          <w:sz w:val="28"/>
          <w:szCs w:val="28"/>
          <w:rtl w:val="true"/>
          <w:lang w:bidi="fa-IR"/>
        </w:rPr>
        <w:t>و نحوه؛ ممّا لا إشکال فی صدقه علی هذا الوجه أیضاً، و من المعلوم أنّ الموضوع فی جمیع هذه الأخبار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الوجه السادس، ففی صدق اختلاف الخبرین و تعارضهما علیه و عدمه وجهان، و الأوّل منهما لا یخلو عن وجه، فإنّ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نقل خبر ینتهی إلی الإمام علیه السلام، و کلّ واحد من الخبرین فی هذا الوجه کذلک، و إن علم بکذب أحدهما؛ و عدم صدوره من الإمام علیه السلام، فإنّ ذلک لا یمنع من صدق الخبرین المختلفین علیه، و علی فرض عدم شمول أخبار التعارض لهما فی هذا الفرض موضوعاً و لفظاً، یمکن إلحاقهما بالخبرین المتعارضین حکماً؛ لأنّ الظاهر أنّ المقصود من الأخبار العلاجیّة، هو العمل بالأخبار مهما أمکن و عدم رضاهم علیهم السلام برفع الید عن الأخبار المنسوبة إلیهم و إهمالها، کما هو قضیّة الحکم بالتخییر مع توقّف العقلاء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 فالظاهر صدق تعارض الخبرین علیه أیضاً، فإنّ روایات 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سمعاها من مشایخهما، فمرجع اختلافهما هو اختلاف مشایخهما فی نقل الروایة، فلا إشکال فی صدق التعارض علی هذا الفرض أیضاً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الوجه الخامس فلا إشکال فی عدم صدق التعارض علیه؛ لأنّه ناشٍ عن اختلاف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مستند إلی اشتباه الناسخ، و مثله لا یصدق علیه العنوان المذکور</w:t>
      </w:r>
      <w:r>
        <w:rPr>
          <w:rFonts w:eastAsia="IRNazanin" w:cs="IRNazanin"/>
          <w:color w:val="111111"/>
          <w:sz w:val="28"/>
          <w:szCs w:val="28"/>
          <w:rtl w:val="true"/>
          <w:lang w:bidi="fa-IR"/>
        </w:rPr>
        <w:t>.</w:t>
      </w:r>
      <w:bookmarkStart w:id="705" w:name="pg12898_148303"/>
    </w:p>
    <w:p>
      <w:pPr>
        <w:pStyle w:val="Heading3"/>
        <w:numPr>
          <w:ilvl w:val="2"/>
          <w:numId w:val="1"/>
        </w:numPr>
        <w:rPr/>
      </w:pPr>
      <w:bookmarkStart w:id="706" w:name="__RefHeading___Toc3235192_3224264995"/>
      <w:bookmarkStart w:id="707" w:name="_Toc265"/>
      <w:bookmarkEnd w:id="705"/>
      <w:bookmarkEnd w:id="706"/>
      <w:r>
        <w:rPr>
          <w:rtl w:val="true"/>
        </w:rPr>
        <w:t>المقام الثانی فی الترجیح بمزیّة من المزایا</w:t>
      </w:r>
      <w:bookmarkEnd w:id="707"/>
    </w:p>
    <w:p>
      <w:pPr>
        <w:pStyle w:val="Heading4"/>
        <w:numPr>
          <w:ilvl w:val="3"/>
          <w:numId w:val="1"/>
        </w:numPr>
        <w:rPr/>
      </w:pPr>
      <w:bookmarkStart w:id="708" w:name="__RefHeading___Toc3235194_3224264995"/>
      <w:bookmarkStart w:id="709" w:name="_Toc266"/>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و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مقتضی الأصل و القاعدة، و إمّا فی مقتضی الأخبار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البحث فی هذا المقام فی ضمن امور</w:t>
      </w:r>
      <w:r>
        <w:rPr>
          <w:rFonts w:eastAsia="IRNazanin" w:cs="IRNazanin"/>
          <w:color w:val="111111"/>
          <w:sz w:val="28"/>
          <w:szCs w:val="28"/>
          <w:rtl w:val="true"/>
          <w:lang w:bidi="fa-IR"/>
        </w:rPr>
        <w:t>:</w:t>
      </w:r>
    </w:p>
    <w:p>
      <w:pPr>
        <w:pStyle w:val="Heading4"/>
        <w:numPr>
          <w:ilvl w:val="3"/>
          <w:numId w:val="1"/>
        </w:numPr>
        <w:rPr/>
      </w:pPr>
      <w:bookmarkStart w:id="710" w:name="__RefHeading___Toc3235196_3224264995"/>
      <w:bookmarkStart w:id="711" w:name="_Toc267"/>
      <w:bookmarkEnd w:id="710"/>
      <w:r>
        <w:rPr>
          <w:rtl w:val="true"/>
        </w:rPr>
        <w:t>الأمر الأوّل فی اقتضاء الأصل للتعیین</w:t>
      </w:r>
      <w:bookmarkEnd w:id="711"/>
    </w:p>
    <w:p>
      <w:pPr>
        <w:pStyle w:val="BookText"/>
        <w:rPr/>
      </w:pPr>
      <w:r>
        <w:rPr>
          <w:rFonts w:ascii="IRNazanin" w:hAnsi="IRNazanin" w:eastAsia="IRNazanin"/>
          <w:color w:val="111111"/>
          <w:sz w:val="28"/>
          <w:sz w:val="28"/>
          <w:szCs w:val="28"/>
          <w:rtl w:val="true"/>
          <w:lang w:bidi="fa-IR"/>
        </w:rPr>
        <w:t>فالکلام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علی القول بحجّیّة الأخبار بنحو الطریقیّة، و اخری علی القول بالسببیّة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 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العقلائیّة فی تعارض الخبرین، هو التساقط لو لم تکن مزیّة فی أحدهما ممّا یعتنی بها العقلاء، لکن الکلام هنا بعد الفراغ عن قیام الدلیل الخارجی علی عدم تساقطهما، و وجوب الأخذ و العمل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أنّ المجعول فی الأخبار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 العقل بسقوط المتعارضین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الحجّیّة و طریقیّة أحدهما؛ بنحو تتمیم الکشف و نحوه، فیشکّ فی المقام فی أنّ المجعول هل هو حجّیّة خصوص ذی المزیّة فقط تعییناً، أو حجیّة أحدهما تخییراً؟ فمقتضی القاعدة فیه هو العمل بذی المزیّة تعییناً؛ لأنّ الخبر إنّما یکون حجّة إذا علم باعتبار الشارع له، و مع الشکّ فی اعتباره فهو لیس حجّة قطعاً، فالشکّ فی جعل الشارع المقدّس له الحجیّة، مساوق للقطع بعدم حجّیّته، فالخبر الواجد للمزیّة معلوم الاعتبار شرعاً؛ إمّا تعییناً أو تخییراً بینه و بین الفاقد لها، و الفاقد لها مشکوک الاعتبار، المساوق لعدم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هو الحجّیّة 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المستفاد من الأخبار العلاجیّة هو وجوب العمل بأحد الخبرین، فهی مسوقة لبیان الوظیفة، لا جعل الحجّیّة و الطریقیّة، ففی وجوب اختیار ذی المزیّة تعییناً، أو تخییراً بینه و بین اختیار فاقدها، وجهان مبنیّان علی أنّ مقتضی القاعدة فی دوران الأمر بین التعیین و التخییر، هل هو التعیین أو التخییر؟ فإنّ ما نحن فیه من جزئیّات تلک المسألة، فیمکن أن یقال بالتخییر؛ لعدم ثبوت إیجاب الشارع العمل بذی المزیّة تعییناً، بل الثابت من الشرع الذی دلّ علیه الدلیل، هو عدم جواز إهمالهما کلیهما؛ و ترک العمل بهما، لکن المختار فی تلک المسألة هو التعیین و وجوب اختیار المزیّة فی المقام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أخبار العلاج مسوقة لجعل حجّیّة أحد المتعارضین، فإنّه حینئذٍ لیس المقام من جزئیّات مسألة دوران الأمر بین التعیین و التخییر؛ لأنّه لا أظنّ أن یلتزم أحد بالتخییر حینئذٍ، و إن قال به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القول بالطریقیّة فی حجّیّة الأخبار و الأمارات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السببیّة فمجمل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حینئذٍ من قبیل</w:t>
      </w:r>
    </w:p>
    <w:p>
      <w:pPr>
        <w:pStyle w:val="BookText"/>
        <w:rPr/>
      </w:pPr>
      <w:r>
        <w:rPr>
          <w:rFonts w:ascii="IRNazanin" w:hAnsi="IRNazanin" w:eastAsia="IRNazanin"/>
          <w:color w:val="111111"/>
          <w:sz w:val="28"/>
          <w:sz w:val="28"/>
          <w:szCs w:val="28"/>
          <w:rtl w:val="true"/>
          <w:lang w:bidi="fa-IR"/>
        </w:rPr>
        <w:t>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علی إطلاقه مشکل؛ لأنّه إن ارید من السببیّة ما هو المنسوب إلی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خلوّ الوقائع عن الأحکام الواقعیّة المشترکة بین العالم و الجاهل، و أنّ الأحکام الواقعیّة تابعة لقیام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المقام من قبیل المتزاحمین، مبنیّ علی الالتزام بتعلّق حکمین فعلیّین بمؤدّی الأمارتین المتعارضتین بعنوانه الواقعی، و أنّه واجدٌ لمصلحتین تامّتین ملزمتین، و لا أظنّ أن یلتزم به عاقل، حتّی الأشعری القائل بالإرادة الجُزافیّة؛ لاستحالة ذلک؛ لأنّ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تعلّق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بفعلین؛ لکلّ واحد منهما حکم ذو ملاک، لکن لا یتمکّن المکلّف من امتثالهما؛ بحیث لو أمکن الجمع بینهما فی مقام الامتثال، وجب امتثالهما و الإتیان بهما و درک المصلحتین التامّتین،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ارید من السببیّة ما هو منسوب إلی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الوقائع و إن لم تخلو عن الأحکام الواقعیّة المشترکة بین العالم و الجاهل، لکن یوجد بقیام الأمارة المخالفة للحکم الواقعی مصلحة غالبة علی مصلحة الحکم الواقعی، فیتبدّل الحکم الواقعی إلی ما هو مؤدّی الأمارة، فإنّه حینئذٍ لیس هناک إلّا حکم واحد، هو مؤدّی الأمارة المخالفة للواقع، فلا یکون أیضاً من قبیل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المعنی الثالث 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بالمصلحة السلوکیّة؛ بمعنی أنّ فی سلوک الأمارة و العمل بها مصلحة، لا فی 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المقام من قبیل المتزاحمین و تزاحم الحکمین، و الکلام فیه هو الکلام فیه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مقتضی القواعد</w:t>
      </w:r>
      <w:r>
        <w:rPr>
          <w:rFonts w:eastAsia="IRNazanin" w:cs="IRNazanin"/>
          <w:color w:val="111111"/>
          <w:sz w:val="28"/>
          <w:szCs w:val="28"/>
          <w:rtl w:val="true"/>
          <w:lang w:bidi="fa-IR"/>
        </w:rPr>
        <w:t>.</w:t>
      </w:r>
      <w:bookmarkStart w:id="712" w:name="pg12898_148306"/>
    </w:p>
    <w:p>
      <w:pPr>
        <w:pStyle w:val="Heading4"/>
        <w:numPr>
          <w:ilvl w:val="3"/>
          <w:numId w:val="1"/>
        </w:numPr>
        <w:rPr/>
      </w:pPr>
      <w:bookmarkStart w:id="713" w:name="__RefHeading___Toc3235198_3224264995"/>
      <w:bookmarkStart w:id="714" w:name="_Toc268"/>
      <w:bookmarkEnd w:id="712"/>
      <w:bookmarkEnd w:id="713"/>
      <w:r>
        <w:rPr>
          <w:rtl w:val="true"/>
        </w:rPr>
        <w:t>الأمر الثانی فی حال أخبار العلاج</w:t>
      </w:r>
      <w:bookmarkEnd w:id="714"/>
    </w:p>
    <w:p>
      <w:pPr>
        <w:pStyle w:val="Heading5"/>
        <w:numPr>
          <w:ilvl w:val="4"/>
          <w:numId w:val="1"/>
        </w:numPr>
        <w:rPr/>
      </w:pPr>
      <w:bookmarkStart w:id="715" w:name="__RefHeading___Toc3235200_3224264995"/>
      <w:bookmarkStart w:id="716" w:name="_Toc269"/>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و أمّا الکلام فی بیان ما هو مقتضی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لوجوب ترجیح ذی المزیّة بوجوه ضعیفة، کالإجماع و غیره، لکن العمدة هی الأخبار الواردة فی المقام</w:t>
      </w:r>
      <w:r>
        <w:rPr>
          <w:rFonts w:eastAsia="IRNazanin" w:cs="IRNazanin"/>
          <w:color w:val="111111"/>
          <w:sz w:val="28"/>
          <w:szCs w:val="28"/>
          <w:rtl w:val="true"/>
          <w:lang w:bidi="fa-IR"/>
        </w:rPr>
        <w:t>.</w:t>
      </w:r>
    </w:p>
    <w:p>
      <w:pPr>
        <w:pStyle w:val="Heading5"/>
        <w:numPr>
          <w:ilvl w:val="4"/>
          <w:numId w:val="1"/>
        </w:numPr>
        <w:rPr/>
      </w:pPr>
      <w:bookmarkStart w:id="717" w:name="__RefHeading___Toc3235202_3224264995"/>
      <w:bookmarkStart w:id="718" w:name="_Toc270"/>
      <w:bookmarkEnd w:id="717"/>
      <w:r>
        <w:rPr>
          <w:rtl w:val="true"/>
        </w:rPr>
        <w:t>حول إشکالی العلّامة الحائری قدس سره</w:t>
      </w:r>
      <w:bookmarkEnd w:id="718"/>
    </w:p>
    <w:p>
      <w:pPr>
        <w:pStyle w:val="BookText"/>
        <w:rPr/>
      </w:pPr>
      <w:r>
        <w:rPr>
          <w:rFonts w:ascii="IRNazanin" w:hAnsi="IRNazanin" w:eastAsia="IRNazanin"/>
          <w:color w:val="111111"/>
          <w:sz w:val="28"/>
          <w:sz w:val="28"/>
          <w:szCs w:val="28"/>
          <w:rtl w:val="true"/>
          <w:lang w:bidi="fa-IR"/>
        </w:rPr>
        <w:t>و قد اورد علی استفادة وجوب الترجیح بالمزایا من الأخبار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مقتضی اختلاف الروایات فی المرجِّحات و فی تقدیم أیّهما، هو أنّ الحکم بالترجیح فیها لیس إلزامیّاً، فإنّ المذکور فی المرفوعة هو الترجیح بالشهرة أوّلًا، ثمّ الأعدلیّة و الأفقهیّة و الأورعیّة، ثمّ موافقة الکتاب و مخالفة العامّة، ثمّ الحائطة فی الدین، ثمّ الإرجاء</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المذکور فی المقبولة أوّلًا الأعدلیّة و الأصدقیّة و الأفقهیّة، ثمّ الأشهریّة، و لم یذکر فیها موافقة الاحتیاط، فیظهر منها أنّ الحکم المذکور فیهما لیس مبنیّاً علی الإلزام، نظیر استفادة الاستحباب من أخبار منزوحات البئر؛ لأجل الاختلاف فیها و المسامحة فی بیان مقدار النزح، و نظیر استفادة استحباب تقدّم الرجل علی المرأة فی الصلاة؛ لمکان الاختلاف فی الأخبار الواردة فیه، فکذلک الأخبار الواردة فی الترجیح بالمرجّحات، فإنّ بین الحکم بالأخذ بموافق الکتاب بنحو الإطلاق، کما فی بعض أخبارها، و بین الحکم بالأخذ بمخالف العامّة بنحو الإطلاق، کما فی البعض الآخر منها، عموماً من وجه مع تعارضهما فی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أنّ تقیید أخبار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المتضمّنة علی الترجیح بالمرجِّحات، تقیید لتلک الأخبار المطلقة الکثیرة و تخصیصها بالفرد النادر، فإنّه قلّما یوجد خبران متعارضان متعادلان من جمیع الجهات المرجِّحة؛ من حیث السند و الدلالة وجهة الدلالة، خصوصاً لو قلنا بالتعدّی إلی المرجِّحات الغیر المنصوصة، فمع دوران الأمر بین هذا التقیید المستهجن، و بین حمل الأمر بالترجیح بالمرجِّحات علی الاستحباب، فالثانی أولی، خصوصاً مع شیوع استعمال الأمر فی الندب، و غیر ذلک من الإشکالات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من ملاحظة روایات الترجیح و تعداد المرجّحات أوّلًا؛ لیتّضح الحال فی تلک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الإشکالات عدّ المرفوعة من روایات الترجیح، و قد تقدّم أنّها فی غایة الضعف؛ للإرسال و الرفع فی سندها، مضافاً إلی ما طعن به صاحب الحدائق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فهی ضعیفة لا تصلح للحجّیّة، و ساقطة عن درجة الاعتبار، و لا یُجدی عمل المتأخّرین فی انجبار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المنشإ الآخر للإشکالات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 الشهرة أو الأشهریّة من المرجِّحات، و کذا الأحدثیّة؛ أی صدور أحد الخبرین بعد الآخر، و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کذلک، و أنّ المرجِّحات منحصرة بین اثنتین، مع عدم الترتیب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المنشإ الثالث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 المقبولة من روایات الباب، مع أنّها غیر مرتبطة بالمقام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المنشإ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زعم أنّ أخبار التخییر متضافرة أو متواترة، و تَقَدّم انحصارها فی روایة ابن الجهم، أو مع روایة اخری، و لا یلزم من الترجیح بما ثبت أنّه</w:t>
      </w:r>
      <w:bookmarkStart w:id="719" w:name="pg12898_148308"/>
    </w:p>
    <w:p>
      <w:pPr>
        <w:pStyle w:val="BookText"/>
        <w:rPr/>
      </w:pPr>
      <w:bookmarkEnd w:id="719"/>
      <w:r>
        <w:rPr>
          <w:rFonts w:ascii="IRNazanin" w:hAnsi="IRNazanin" w:eastAsia="IRNazanin"/>
          <w:color w:val="111111"/>
          <w:sz w:val="28"/>
          <w:sz w:val="28"/>
          <w:szCs w:val="28"/>
          <w:rtl w:val="true"/>
          <w:lang w:bidi="fa-IR"/>
        </w:rPr>
        <w:t>من المرجِّحات إلّا تقیید أو تقییدان، فلا بدّ من ملاحظة الروایات</w:t>
      </w:r>
      <w:r>
        <w:rPr>
          <w:rFonts w:eastAsia="IRNazanin" w:cs="IRNazanin"/>
          <w:color w:val="111111"/>
          <w:sz w:val="28"/>
          <w:szCs w:val="28"/>
          <w:rtl w:val="true"/>
          <w:lang w:bidi="fa-IR"/>
        </w:rPr>
        <w:t>.</w:t>
      </w:r>
    </w:p>
    <w:p>
      <w:pPr>
        <w:pStyle w:val="Heading5"/>
        <w:numPr>
          <w:ilvl w:val="4"/>
          <w:numId w:val="1"/>
        </w:numPr>
        <w:rPr/>
      </w:pPr>
      <w:bookmarkStart w:id="720" w:name="__RefHeading___Toc3235204_3224264995"/>
      <w:bookmarkStart w:id="721" w:name="_Toc271"/>
      <w:bookmarkEnd w:id="720"/>
      <w:r>
        <w:rPr>
          <w:rtl w:val="true"/>
        </w:rPr>
        <w:t>الکلام حول المقبولة</w:t>
      </w:r>
      <w:bookmarkEnd w:id="72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و هو و إن لم یوثّقه الأصحاب، لکن خصوص هذه الروایة متلقّاة بالقبول، بل تدور رحی باب القضاء مدارها، و لا ریب فی أنّ صدرها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 واحد اختار رجلًا من أصحابنا، فرضیا أن یکون الناظرین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مرتبط بالمقام، بل هو راجع إلی باب الحکومة و القضاء،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یرید منه أنّه استند کلّ واحد منهما إلی حدیث غیر ما استند إلیه الآخر، کما یحتمل أن یرید اختلافهما فی معنی حدیث واحد،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إرادة الأخذ بأعدل الحَکَمین و أفقههما، لا أعدل راویی الحدیثین اللّذین کلّ واحد منهما استند إلیه، و لذا قال علیه السلام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ما حکم به الآخر</w:t>
      </w:r>
      <w:r>
        <w:rPr>
          <w:rFonts w:eastAsia="IRNazanin" w:cs="IRNazanin"/>
          <w:color w:val="111111"/>
          <w:sz w:val="28"/>
          <w:szCs w:val="28"/>
          <w:rtl w:val="true"/>
          <w:lang w:bidi="fa-IR"/>
        </w:rPr>
        <w:t>)</w:t>
      </w:r>
    </w:p>
    <w:p>
      <w:pPr>
        <w:pStyle w:val="BookText"/>
        <w:rPr/>
      </w:pP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روایة داود بن الحصین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اتّفقا علی عدلین جعلاهما بینهما فی حکم وقع بینهما فیه خلاف، فرضیا بالعدلین، فاختلف العدلان بینهما، عن قول أیّهما یمضی الحکم؟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أفقههما و أعلمهما بأحادیثنا و أورعهما، فینفذ حکمه، و لا یلتفت إلی الآخر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یتمسّک أحد من الفقهاء بهذه الروایة لترجیح أحد الخبرین علی الآخر، و هو فی محلّه؛ لأنّهما فی مقام ترجیح أحد الحَکَمین، لا الراویین، و لا ارتباط لها بالمقام، و المقبولة أصرح منها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موسی بن أکیل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یکون بینه و بین أخ منازعة فی حقّ، فیتّفقان علی رجلین یکونان بینهما فحکما، فاختلفا فیما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 واحد منهما للذی اختاره الخصمان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أعدلهما و أفقههما فی دین اللَّه، فیمضی حکمه</w:t>
      </w:r>
      <w:r>
        <w:rPr>
          <w:rFonts w:eastAsia="IRNazanin" w:cs="IRNazanin"/>
          <w:color w:val="111111"/>
          <w:sz w:val="28"/>
          <w:szCs w:val="28"/>
          <w:rtl w:val="true"/>
          <w:lang w:bidi="fa-IR"/>
        </w:rPr>
        <w:t>)</w:t>
      </w:r>
    </w:p>
    <w:p>
      <w:pPr>
        <w:pStyle w:val="BookText"/>
        <w:rPr/>
      </w:pP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الثلاثة مضمونها واحد، و جمیعها فی مقام بیان تقدیم أحد الحکمین بالصفات المذکورة فیها، و لا ارتباط لها بما نحن فیه من تقدیم أحد الخبرین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جمیع روایات الترجیح عن هذه الصفات، إلّا مرفوعة ابن أبی جمهور التی تقدّم عدم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إلغاء خصوصیّة الحکمین، فتشمل الخبرین واضحة الفساد، و الظاهر أنّ المفروض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روایاتهما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فی بعض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روایتهما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ثالث</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 فی ذلک الذی حکما به،</w:t>
      </w:r>
    </w:p>
    <w:p>
      <w:pPr>
        <w:pStyle w:val="BookText"/>
        <w:rPr/>
      </w:pPr>
      <w:r>
        <w:rPr>
          <w:rFonts w:ascii="IRNazanin" w:hAnsi="IRNazanin" w:eastAsia="IRNazanin"/>
          <w:color w:val="111111"/>
          <w:sz w:val="28"/>
          <w:sz w:val="28"/>
          <w:szCs w:val="28"/>
          <w:rtl w:val="true"/>
          <w:lang w:bidi="fa-IR"/>
        </w:rPr>
        <w:t>المجمع علیه عند أصحابک، فیؤخذ به من حکمهما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جمیع النسخ المختلفة إلّا فی نقل الطبرسی، فإنّ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نقل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یترک الشاذّ الذی لیس بمشهور عند أصحابک، فإنّ المجمع علیه لا ریب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الموضوع الأوّل، لکنّه إرجاع إلی مستند الحُکمین؛ أی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 و إلی رسوله،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إن کان الفقیهان عرفا حکمه من الکتاب و السُّنّة، فوجدنا أحد الخبرین موافقاً للعامّة و الآخر مخالفاً لهم، بأی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وافقهما الخبران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هو إلیه أمیل حکّامهم و قضاتهم، 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فأرجهْ حتّی تلقی إمامک، فإنّ الوقوف عند الشبهات خیر من الاقتحام فی الهلکات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غیر مرتبطة بالمقام؛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فیها صدراً و ذیلًا تعارض الحکمین و اختلافهما، کما هو الظاهر من الروایة، أم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ذیلها فی مقام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الأعدلیّة و الأصدقیّة و الأفقهیّة فواضح؛ لما عرفت من أنّها من مرجِّحات الحکَمین، کما جاء فی صدر الروایة المذکورة، الذی هو مورد سؤال الراوی و محلّ حاجته، لا من مرجّحات الروایتین المتعارضتین، و کذلک بالنسبة إلی الشهرة؛ بناءً علی ما استظهرناه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لیست فی مقام علاج تعارض الخبرین، و کذلک بناءً علی أنّ ذیلها فی مقام علاج تعارض الخبرین؛ و ذلک لأنّ ترجیح أحد المتعارضین، إنّما هو فیما لو کان کلّ واحد من المتعارضین حجّة فی نفسه؛ مع قطع النظر عن ابتلائه بالمعارض، و أمّا مع عدم صلاحیّة أحد الخبرین للحجّیّة کذلک، فهو خارج عن باب ترجیح أحد المتعارضین، و حینئذٍ فالحکم بالأخذ بالآخر بإحدی الجهات، إنّما هو من باب 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أنّ المراد بالشهرة فی الروایة، هی الشهرة الفتوائیّة لا الروائیّة؛ و ذلک لأنّه لو فرض نقل جمیع الفقهاء و الرواة لروایة، لکن لم یعمل و لم یُفتِ أحد منهم بمضمونها، کما لو فرض نقلهم روایات کثیرة فی طهارة أهل الکتاب، و روی واحد أو اثنان ما یدلّ علی نجاستهم، و کان عمل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هذه طَبقاً عن طَبَق، دون الروایات الکثیرة الاولی، فلا إشکال فی أنّ العمل طِبْق الروایات الاولی بیِّن الغیّ، و لا ریب فی غیّها، لا أنّ فیها الریب فقط؛ و إن اشتهر نقلها، و کثر ناقلها، لکن ترکهم العمل بمضمونها یکشف عن خللٍ فیها، فهی من الشاذّ، کما أنّ المجمع علی الفتوی بمضمونه بیّن الرشد، و لا ریب فیه،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الامور ثلاثة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منها مأمور بالأخذ به، و هو المجمع علیه بین الأصحاب؛ أی فی مقام الفتوی و العمل، و الآخر مأمور بالاجتناب</w:t>
      </w:r>
    </w:p>
    <w:p>
      <w:pPr>
        <w:pStyle w:val="BookText"/>
        <w:rPr/>
      </w:pPr>
      <w:r>
        <w:rPr>
          <w:rFonts w:ascii="IRNazanin" w:hAnsi="IRNazanin" w:eastAsia="IRNazanin"/>
          <w:color w:val="111111"/>
          <w:sz w:val="28"/>
          <w:sz w:val="28"/>
          <w:szCs w:val="28"/>
          <w:rtl w:val="true"/>
          <w:lang w:bidi="fa-IR"/>
        </w:rPr>
        <w:t>عنه، و هو المقابل للمجمع علیه؛ أی الشاذّ النادر فی مقام الفتوی و العمل و إن کان أشهر بحسب الروایة، و الثالث یُردّ حکمه إلی اللَّه، و هو غیر الشاذّ النادر فی مقام الفتوی؛ أی الشبهات، ککون الخبرین موافقین للکتاب، أو مخالفین للعامّة، أو موافقین للعامّة، فذکر الشبهات إنّما هو بملاحظة ذیل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فالخبر المخالف للمشهور بیِّن الغیّ و الفساد، لا یصلح فی نفسه للاحتجاج به و لو مع عدم ابتلائه بالمعارض، فإنّ أحد الضدّین أو النقیضین إذا کان بیِّن الرشد و ممّا لا ریب فیه، یستلزم عقلًا أنّ الطرف الآخر بیِّن الغیّ لا ریب فی غیّه، لا أنّه مشتبه، فهذه الجملة من الروایة فی مقام تمییز الحجّة عن اللّاحجّة، لا ترجیح إحدی الحجّتین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موافقة الکتاب و العامّة و مخالفتهما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فوردت فیها روایات کثیرة نتعرّض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من المرجِّحات، و لیس مستند القول بالترجیح بها هذه الروایة، و إذا عرفت أنّ المقبولة لا تنهض للاستدلال بها للترجیح بالأفقهیّة و الأعدلیّة و الأصدقیّة و الشهرة، و کذلک مرفوعة زرارة؛ لضعفها سنداً مع تمامیّة دلالتها، تعلم اندفاع الإشکالین المذکورین بحذافیرهما؛ لابتنائهما علی عدّ هاتین الروایتین من روایات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أیضاً انحصار روایة التخییر فی روایة الحسن بن الجهم، التی ورد فی صدرها الأمر بالأخذ بموافق الکتاب، و بقرینیّة الصدر یکون السؤال الثانی مفروضاً فی غیر صورة موافقة أحد الخبرین للکتاب، و حینئذٍ لا یلزم فیها إلّا تقیید واحد و هو التقیید بغیر صورة مخالفة احداهما للکتاب للروایات المستفیضة الآتیة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لسان الأخبار الآمرة بالأخذ بما یخالف العامّة و ترک ما یوافقهم، لسان التحکیم،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الرشد فی خلافهم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مثل قوله علیه السلام فی مرسلة</w:t>
      </w:r>
      <w:bookmarkStart w:id="722" w:name="pg12898_148313"/>
    </w:p>
    <w:p>
      <w:pPr>
        <w:pStyle w:val="BookText"/>
        <w:rPr/>
      </w:pPr>
      <w:bookmarkEnd w:id="722"/>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w:t>
      </w:r>
      <w:r>
        <w:rPr>
          <w:rFonts w:eastAsia="IRNazanin" w:cs="IRNazanin"/>
          <w:color w:val="111111"/>
          <w:sz w:val="28"/>
          <w:szCs w:val="28"/>
          <w:rtl w:val="true"/>
          <w:lang w:bidi="fa-IR"/>
        </w:rPr>
        <w:t>)</w:t>
      </w:r>
    </w:p>
    <w:p>
      <w:pPr>
        <w:pStyle w:val="BookText"/>
        <w:rPr/>
      </w:pPr>
      <w:r>
        <w:rPr>
          <w:rStyle w:val="FootnoteAnchor"/>
          <w:rtl w:val="true"/>
        </w:rPr>
        <w:footnoteReference w:id="773"/>
      </w:r>
      <w:r>
        <w:rPr>
          <w:rFonts w:ascii="IRNazanin" w:hAnsi="IRNazanin" w:eastAsia="IRNazanin"/>
          <w:color w:val="111111"/>
          <w:sz w:val="28"/>
          <w:sz w:val="28"/>
          <w:szCs w:val="28"/>
          <w:rtl w:val="true"/>
          <w:lang w:bidi="fa-IR"/>
        </w:rPr>
        <w:t>، و لا ریب فی أنّ تقیید خبر ابن الجهم بها 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إلی إباء بعض أخبار الترجیح عن الحمل علی الندب، مثل الأمر بالاجتناب عمّا وافقهم، فإنّه لا معنی لندبه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ملاحظة الأخبار الواردة فی الترجیح بموافقة الکتاب و مخالفة العامّة، فهنا موضعان من البحث</w:t>
      </w:r>
      <w:r>
        <w:rPr>
          <w:rFonts w:eastAsia="IRNazanin" w:cs="IRNazanin"/>
          <w:color w:val="111111"/>
          <w:sz w:val="28"/>
          <w:szCs w:val="28"/>
          <w:rtl w:val="true"/>
          <w:lang w:bidi="fa-IR"/>
        </w:rPr>
        <w:t>:</w:t>
      </w:r>
    </w:p>
    <w:p>
      <w:pPr>
        <w:pStyle w:val="Heading5"/>
        <w:numPr>
          <w:ilvl w:val="4"/>
          <w:numId w:val="1"/>
        </w:numPr>
        <w:rPr/>
      </w:pPr>
      <w:bookmarkStart w:id="723" w:name="__RefHeading___Toc3235206_3224264995"/>
      <w:bookmarkStart w:id="724" w:name="_Toc272"/>
      <w:bookmarkEnd w:id="723"/>
      <w:r>
        <w:rPr>
          <w:rtl w:val="true"/>
        </w:rPr>
        <w:t>الموضع الأوّل</w:t>
      </w:r>
      <w:r>
        <w:rPr>
          <w:rtl w:val="true"/>
        </w:rPr>
        <w:t xml:space="preserve">: </w:t>
      </w:r>
      <w:r>
        <w:rPr>
          <w:rtl w:val="true"/>
        </w:rPr>
        <w:t>فی حال الأخبار الواردة فی موافقة الکتاب و مخالفته</w:t>
      </w:r>
      <w:bookmarkEnd w:id="724"/>
    </w:p>
    <w:p>
      <w:pPr>
        <w:pStyle w:val="Heading6"/>
        <w:numPr>
          <w:ilvl w:val="5"/>
          <w:numId w:val="1"/>
        </w:numPr>
        <w:rPr/>
      </w:pPr>
      <w:bookmarkStart w:id="725" w:name="__RefHeading___Toc3235208_3224264995"/>
      <w:bookmarkStart w:id="726" w:name="_Toc273"/>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الکلام فی ترجیح أحد الخبرین، إنّما هو فیما إذا کان کلّ واحد منهما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ابتلائه بالمعارض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فلو لم یصلح أحد الخبرین للحجّیّة کذلک، فهو خارج عن محلّ البحث و الکلام؛ سواء کان عدم حجّیّته لعدم اعتناء العقلاء به، أو لورود 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الواردة فی المقام علی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یفرض فیها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خصوص مورد التعارض و علاجه بموافقة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الفرقة الاولی 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روایة السکونی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عدم الموافقة بحسب المفهوم أعمّ من عنوان المخالفة؛ لصدق عدم</w:t>
      </w:r>
    </w:p>
    <w:p>
      <w:pPr>
        <w:pStyle w:val="BookText"/>
        <w:rPr/>
      </w:pPr>
      <w:r>
        <w:rPr>
          <w:rFonts w:ascii="IRNazanin" w:hAnsi="IRNazanin" w:eastAsia="IRNazanin"/>
          <w:color w:val="111111"/>
          <w:sz w:val="28"/>
          <w:sz w:val="28"/>
          <w:szCs w:val="28"/>
          <w:rtl w:val="true"/>
          <w:lang w:bidi="fa-IR"/>
        </w:rPr>
        <w:t>الموافقة للکتاب فی صورة عدم وجود الحکم فی الکتاب أیضاً، لکن المراد من عدم الموافقة هنا هو المخالفة بالضرورة، کما هو المفهوم منه عرفاً، فإنّ کثیراً من الأحکام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تثبت بخبر الواحد، فلو ارید ما هو ظاهر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الخبر الموافق للحکم الموجود فی الکتاب و اعتباره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تعطیل أکثر الأحکام، و هو خلاف ضرورة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أیّوب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مردود إلی الکتاب و السُّنّة، و کلّ حدیث لا یوافق کتاب اللَّه فهو زُخرُف</w:t>
      </w:r>
      <w:r>
        <w:rPr>
          <w:rFonts w:eastAsia="Amiri" w:cs="Amiri" w:ascii="Amiri" w:hAnsi="Amiri"/>
          <w:color w:val="111111"/>
          <w:sz w:val="28"/>
          <w:szCs w:val="28"/>
          <w:rtl w:val="true"/>
          <w:lang w:bidi="ar-SA"/>
        </w:rPr>
        <w:t>)</w:t>
      </w:r>
    </w:p>
    <w:p>
      <w:pPr>
        <w:pStyle w:val="BookText"/>
        <w:rPr/>
      </w:pP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هشام بن الحکم و غیره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خطب النبیّ صلی الله علیه و آله و سلم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p>
    <w:p>
      <w:pPr>
        <w:pStyle w:val="BookText"/>
        <w:rPr/>
      </w:pP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بکیر، عن رجل، عن أبی جعفر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عنّا حدیث، فوجدتم علیه شاهداً أو شاهدین من کتاب اللَّه، فخذوا به، و إلّا فقفوا عنده، ثم ردّوه إلینا حتّی یستبین لکم</w:t>
      </w:r>
      <w:r>
        <w:rPr>
          <w:rFonts w:eastAsia="IRNazanin" w:cs="IRNazanin"/>
          <w:color w:val="111111"/>
          <w:sz w:val="28"/>
          <w:szCs w:val="28"/>
          <w:rtl w:val="true"/>
          <w:lang w:bidi="fa-IR"/>
        </w:rPr>
        <w:t>)</w:t>
      </w:r>
    </w:p>
    <w:p>
      <w:pPr>
        <w:pStyle w:val="BookText"/>
        <w:rPr/>
      </w:pPr>
      <w:r>
        <w:rPr>
          <w:rStyle w:val="FootnoteAnchor"/>
          <w:rtl w:val="true"/>
        </w:rPr>
        <w:footnoteReference w:id="777"/>
      </w:r>
      <w:r>
        <w:rPr>
          <w:rFonts w:ascii="IRNazanin" w:hAnsi="IRNazanin" w:eastAsia="IRNazanin"/>
          <w:color w:val="111111"/>
          <w:sz w:val="28"/>
          <w:sz w:val="28"/>
          <w:szCs w:val="28"/>
          <w:rtl w:val="true"/>
          <w:lang w:bidi="fa-IR"/>
        </w:rPr>
        <w:t>، و لا یبعد اختصاص هذه الروایة بزمان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الروایات المنقولة،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القضاء، فراجع</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المخالفة بنحو العموم المطلق أو الإطلاق و التقیید، لا تُعدّ مخالفة،</w:t>
      </w:r>
    </w:p>
    <w:p>
      <w:pPr>
        <w:pStyle w:val="BookText"/>
        <w:rPr/>
      </w:pPr>
      <w:r>
        <w:rPr>
          <w:rFonts w:ascii="IRNazanin" w:hAnsi="IRNazanin" w:eastAsia="IRNazanin"/>
          <w:color w:val="111111"/>
          <w:sz w:val="28"/>
          <w:sz w:val="28"/>
          <w:szCs w:val="28"/>
          <w:rtl w:val="true"/>
          <w:lang w:bidi="fa-IR"/>
        </w:rPr>
        <w:t>لثبوت المخصِّصات و المقیِّدات الکثیرة فی أخبار الآحاد لعمومات الکتاب و مطلقاته بالضرورة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ما ذکروه فی هذه الفرقة و عدّوه منها، ینبغی أن یُعدّ من الفرقة الاولی، فإنّ السؤال فیه و إن کان عن اختلاف الحدیث، لکن الجواب فیه مطلق، مثل</w:t>
      </w:r>
    </w:p>
    <w:p>
      <w:pPr>
        <w:pStyle w:val="BookText"/>
        <w:rPr/>
      </w:pPr>
      <w:r>
        <w:rPr>
          <w:rFonts w:ascii="IRNazanin" w:hAnsi="IRNazanin" w:eastAsia="IRNazanin"/>
          <w:color w:val="111111"/>
          <w:sz w:val="28"/>
          <w:sz w:val="28"/>
          <w:szCs w:val="28"/>
          <w:rtl w:val="true"/>
          <w:lang w:bidi="fa-IR"/>
        </w:rPr>
        <w:t>روایة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 عن اختلاف الحدیث، یرویه من نثق به و منهم من لا نثق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و سلم، و إلّا فالذی جاءکم به أولی به</w:t>
      </w:r>
      <w:r>
        <w:rPr>
          <w:rFonts w:eastAsia="IRNazanin" w:cs="IRNazanin"/>
          <w:color w:val="111111"/>
          <w:sz w:val="28"/>
          <w:szCs w:val="28"/>
          <w:rtl w:val="true"/>
          <w:lang w:bidi="fa-IR"/>
        </w:rPr>
        <w:t>)</w:t>
      </w:r>
    </w:p>
    <w:p>
      <w:pPr>
        <w:pStyle w:val="BookText"/>
        <w:rPr/>
      </w:pP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محل الکلام هو تعارض خبر ثقتین؛ کلّ واحد حجّة فی نفسه، و خبر غیر الثقة لیس کذلک، کما هو المفروض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کروایة الطبرسی 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جاءک عنّا فقس علی کتاب اللَّه عزّ و جلّ و أحادیثنا، فإن کان یُشبهُهُما فهو منّا، و إن لم یکن یُشبهُهُما فلیس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بحدیثین مختلفین، و لا نعلم أیّهما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تغییر الإمام علیه السلام جواب السؤال الأوّل و بیانه إلی بیان قاعدة کلّیّة، ظاهر فی عدم فرضه علیه السلام فی الجواب تعارض الخبرین اللّذین کلّ واحد منهما حجّة فی نفسه</w:t>
      </w:r>
      <w:r>
        <w:rPr>
          <w:rFonts w:eastAsia="IRNazanin" w:cs="IRNazanin"/>
          <w:color w:val="111111"/>
          <w:sz w:val="28"/>
          <w:szCs w:val="28"/>
          <w:rtl w:val="true"/>
          <w:lang w:bidi="fa-IR"/>
        </w:rPr>
        <w:t>.</w:t>
      </w:r>
      <w:bookmarkStart w:id="727" w:name="pg12898_148316"/>
    </w:p>
    <w:p>
      <w:pPr>
        <w:pStyle w:val="BookText"/>
        <w:rPr/>
      </w:pPr>
      <w:bookmarkEnd w:id="727"/>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روایة العیّاشی فی تفسیره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و أبو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تصدِّق علینا إلّا ما وافق کتابَ اللَّه و سُنّة نبیّه صلی الله علیه و آله و سلم</w:t>
      </w:r>
      <w:r>
        <w:rPr>
          <w:rFonts w:eastAsia="IRNazanin" w:cs="IRNazanin"/>
          <w:color w:val="111111"/>
          <w:sz w:val="28"/>
          <w:szCs w:val="28"/>
          <w:rtl w:val="true"/>
          <w:lang w:bidi="fa-IR"/>
        </w:rPr>
        <w:t>)</w:t>
      </w:r>
    </w:p>
    <w:p>
      <w:pPr>
        <w:pStyle w:val="BookText"/>
        <w:rPr/>
      </w:pP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حسن بن الجهم عن العبد الصالح،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الحدیثان المختلفان فقِسْهما علی کتاب اللَّه و أحادیثنا، فإن أشبههما فهو حقّ، و إن لم یُشبهْهُما فهو باطل</w:t>
      </w:r>
      <w:r>
        <w:rPr>
          <w:rFonts w:eastAsia="IRNazanin" w:cs="IRNazanin"/>
          <w:color w:val="111111"/>
          <w:sz w:val="28"/>
          <w:szCs w:val="28"/>
          <w:rtl w:val="true"/>
          <w:lang w:bidi="fa-IR"/>
        </w:rPr>
        <w:t>)</w:t>
      </w:r>
    </w:p>
    <w:p>
      <w:pPr>
        <w:pStyle w:val="BookText"/>
        <w:rPr/>
      </w:pPr>
      <w:r>
        <w:rPr>
          <w:rStyle w:val="FootnoteAnchor"/>
          <w:rtl w:val="true"/>
        </w:rPr>
        <w:footnoteReference w:id="781"/>
      </w:r>
      <w:r>
        <w:rPr>
          <w:rFonts w:ascii="IRNazanin" w:hAnsi="IRNazanin" w:eastAsia="IRNazanin"/>
          <w:color w:val="111111"/>
          <w:sz w:val="28"/>
          <w:sz w:val="28"/>
          <w:szCs w:val="28"/>
          <w:rtl w:val="true"/>
          <w:lang w:bidi="fa-IR"/>
        </w:rPr>
        <w:t>، فإنّها فی مقام تمییز الحقّ عن الباطل، و کذا روایة المیثمی المتقدّمة، التی تقدّم أنّها غیر مرتبطة بالمقام، نعم روایة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خالف کتاب اللَّه فردّوه، فإن لم تجدوهما فی کتاب اللَّه فاعرضوهما علی أخبار العامّة، فما وافق أخبارهم فذروه، و ما خالف أخبارهم فخذوه</w:t>
      </w:r>
      <w:r>
        <w:rPr>
          <w:rFonts w:eastAsia="IRNazanin" w:cs="IRNazanin"/>
          <w:color w:val="111111"/>
          <w:sz w:val="28"/>
          <w:szCs w:val="28"/>
          <w:rtl w:val="true"/>
          <w:lang w:bidi="fa-IR"/>
        </w:rPr>
        <w:t>)</w:t>
      </w:r>
    </w:p>
    <w:p>
      <w:pPr>
        <w:pStyle w:val="BookText"/>
        <w:rPr/>
      </w:pPr>
      <w:r>
        <w:rPr>
          <w:rStyle w:val="FootnoteAnchor"/>
          <w:rtl w:val="true"/>
        </w:rPr>
        <w:footnoteReference w:id="782"/>
      </w:r>
      <w:r>
        <w:rPr>
          <w:rFonts w:ascii="IRNazanin" w:hAnsi="IRNazanin" w:eastAsia="IRNazanin"/>
          <w:color w:val="111111"/>
          <w:sz w:val="28"/>
          <w:sz w:val="28"/>
          <w:szCs w:val="28"/>
          <w:rtl w:val="true"/>
          <w:lang w:bidi="fa-IR"/>
        </w:rPr>
        <w:t>، و صحّحها الشیخ قدس سره و لکن لم یثبت ذلک لنا، و لکنّها هی العُمدة من هذه الفرقة</w:t>
      </w:r>
      <w:r>
        <w:rPr>
          <w:rFonts w:eastAsia="IRNazanin" w:cs="IRNazanin"/>
          <w:color w:val="111111"/>
          <w:sz w:val="28"/>
          <w:szCs w:val="28"/>
          <w:rtl w:val="true"/>
          <w:lang w:bidi="fa-IR"/>
        </w:rPr>
        <w:t>.</w:t>
      </w:r>
    </w:p>
    <w:p>
      <w:pPr>
        <w:pStyle w:val="Heading6"/>
        <w:numPr>
          <w:ilvl w:val="5"/>
          <w:numId w:val="1"/>
        </w:numPr>
        <w:rPr/>
      </w:pPr>
      <w:bookmarkStart w:id="728" w:name="__RefHeading___Toc3235210_3224264995"/>
      <w:bookmarkStart w:id="729" w:name="_Toc274"/>
      <w:bookmarkEnd w:id="728"/>
      <w:r>
        <w:rPr>
          <w:rtl w:val="true"/>
        </w:rPr>
        <w:t>التوفیق بین الأخبار</w:t>
      </w:r>
      <w:bookmarkEnd w:id="729"/>
    </w:p>
    <w:p>
      <w:pPr>
        <w:pStyle w:val="BookText"/>
        <w:rPr/>
      </w:pPr>
      <w:r>
        <w:rPr>
          <w:rFonts w:ascii="IRNazanin" w:hAnsi="IRNazanin" w:eastAsia="IRNazanin"/>
          <w:color w:val="111111"/>
          <w:sz w:val="28"/>
          <w:sz w:val="28"/>
          <w:szCs w:val="28"/>
          <w:rtl w:val="true"/>
          <w:lang w:bidi="fa-IR"/>
        </w:rPr>
        <w:t>ثمّ وقع الکلام فی الجمع بین الفرقتین من الأخبار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بعض إلی حمل الفرقة الاولی علی المخالفة بنحو التباین الکلّی، و أمّا الاختلاف بنحو العموم من وجه، فاللّازم هو إعمال قواعد التعارض بین الکتاب و بین هذا الخبر</w:t>
      </w:r>
      <w:r>
        <w:rPr>
          <w:rFonts w:eastAsia="IRNazanin" w:cs="IRNazanin"/>
          <w:color w:val="111111"/>
          <w:sz w:val="28"/>
          <w:szCs w:val="28"/>
          <w:rtl w:val="true"/>
          <w:lang w:bidi="fa-IR"/>
        </w:rPr>
        <w:t>.</w:t>
      </w:r>
      <w:bookmarkStart w:id="730" w:name="pg12898_148317"/>
    </w:p>
    <w:p>
      <w:pPr>
        <w:pStyle w:val="BookText"/>
        <w:rPr/>
      </w:pPr>
      <w:bookmarkEnd w:id="730"/>
      <w:r>
        <w:rPr>
          <w:rFonts w:ascii="IRNazanin" w:hAnsi="IRNazanin" w:eastAsia="IRNazanin"/>
          <w:color w:val="111111"/>
          <w:sz w:val="28"/>
          <w:sz w:val="28"/>
          <w:szCs w:val="28"/>
          <w:rtl w:val="true"/>
          <w:lang w:bidi="fa-IR"/>
        </w:rPr>
        <w:t>و حمل الفرقة الثانیة علی المخالفة و الموافقة بنحو العموم من وجه، و أمّا الموافقة و المخالفة بنحو العموم المطلق فهی لیست من المرجِّحات؛ لعدم المعارضة بین العامّ و الخاصّ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شاهد لهذا الجمع بین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المخالفة للکتاب بنحو التباین، لا العموم من وجه و المطلق، و إنّها فی مقام تمییز الحجّة عن اللّاحجّة، لا ترجیح إحدی الحجّتین علی الاخری؛ لظهور سیاق جمیعها فی إفادة مطلب واحد، و لا شاهد فی واحدة منها علی أنّها فی مقام ترجیح أحد الخبرین المتعارضین علی الآخر؛ بمخالفة أحدهما الکتاب بنحو العموم من وجه</w:t>
      </w:r>
      <w:r>
        <w:rPr>
          <w:rFonts w:eastAsia="IRNazanin" w:cs="IRNazanin"/>
          <w:color w:val="111111"/>
          <w:sz w:val="28"/>
          <w:szCs w:val="28"/>
          <w:rtl w:val="true"/>
          <w:lang w:bidi="fa-IR"/>
        </w:rPr>
        <w:t>.</w:t>
      </w:r>
    </w:p>
    <w:p>
      <w:pPr>
        <w:pStyle w:val="Heading6"/>
        <w:numPr>
          <w:ilvl w:val="5"/>
          <w:numId w:val="1"/>
        </w:numPr>
        <w:rPr/>
      </w:pPr>
      <w:bookmarkStart w:id="731" w:name="__RefHeading___Toc3235212_3224264995"/>
      <w:bookmarkStart w:id="732" w:name="_Toc275"/>
      <w:bookmarkEnd w:id="731"/>
      <w:r>
        <w:rPr>
          <w:rtl w:val="true"/>
        </w:rPr>
        <w:t>تحقیق المقام</w:t>
      </w:r>
      <w:bookmarkEnd w:id="73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المخالفة عنوان و مفهوم عامّ یعمّ جمیع أنحائها، مع قطع النظر عن القرائن الخارجیّة، و کذلک عنوان الموافقة؛ ضرورة ثبوت التناقض بین الموجبة الکلّیّة و السالبة الجزئیّة و بالعکس، مع أنّ المخالفة بینهما فی بعض المضمون لا تمامه، فلو قامت قرینة خارجیّة علی خروج بعض أنحاء المخالفات فهی المتّبعة، کما فی الخبرین المتعارضین بنحو العموم المطلق، و کذلک الخبر المخالف للکتاب کذلک فی غیر صورة ابتلائه بخبر معارض آخر، فإنّ الجمع العرفی العقلائی بینهما، قرینة علی عدم إرادة المخالف للکتاب بنحو العموم المطلق من الفرقة الاولی؛ لاستقرار 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سیرتهم المستمرّة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العمل بالخبر المخالف للکتاب بنحو العموم المطلق، و ثبوت مقیِّدات و مخصِّصات کثیرة لعمومات الکتاب و إطلاقاته فی أخبار الآحاد، فهذا دلیل قطعیّ علی عدم إرادة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العموم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من الروایات الواردة فی الفرقة الاولی</w:t>
      </w:r>
      <w:r>
        <w:rPr>
          <w:rFonts w:eastAsia="IRNazanin" w:cs="IRNazanin"/>
          <w:color w:val="111111"/>
          <w:sz w:val="28"/>
          <w:szCs w:val="28"/>
          <w:rtl w:val="true"/>
          <w:lang w:bidi="fa-IR"/>
        </w:rPr>
        <w:t>.</w:t>
      </w:r>
      <w:bookmarkStart w:id="733" w:name="pg12898_148318"/>
    </w:p>
    <w:p>
      <w:pPr>
        <w:pStyle w:val="BookText"/>
        <w:rPr/>
      </w:pPr>
      <w:bookmarkEnd w:id="733"/>
      <w:r>
        <w:rPr>
          <w:rFonts w:ascii="IRNazanin" w:hAnsi="IRNazanin" w:eastAsia="IRNazanin"/>
          <w:color w:val="111111"/>
          <w:sz w:val="28"/>
          <w:sz w:val="28"/>
          <w:szCs w:val="28"/>
          <w:rtl w:val="true"/>
          <w:lang w:bidi="fa-IR"/>
        </w:rPr>
        <w:t>و أمّا الفرقة الثانیة فلم تقم فیها هذه القرینة العقلیّة و الدلیل، فتعمّ المخالفة المذکورة فیها جمیع أنحاء المخالفة، حتّی بنحو العموم المطلق، و لیس بناء العقلاء علی العمل بالخبر الأخصّ من الکتاب مع ابتلائه بالمعارض، فلو تعارض خبران؛ أحدهما مخالف للکتاب بنحو العموم المطلق؛ أی کان أحد الخبرین أخصّ منه، فإنّه یرجَّح الخبر الآخر الموافق لعموم الکتاب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مخالفة بین الفرقتین من الأخبار المتقدّمة؛ لأنّ الفرقة الاولی محمولة علی غیر صورة المخالفة بنحو العموم المطلق بین الکتاب و الخبر؛ للقرینة القطعیّة علی ذلک کما عرفت، بخلاف الفرقة الثانیة الواردة فی بیان علاج الخبرین المتعارضین، کصدور روایة عبد الرحمن بن أبی عبد اللَّه، فإنّه لا دلیل علی حمله علی غیر صورة المخالفة بنحو العموم المطلق، بل یبقی علی إطلاقه الشامل لجمیع أنحاء المخالفة، نعم مخالفة أحد الخبرین المتعارضین بنحو التباین، إنّما هی من باب تمییز الحجّة عن اللّاحجّة، لا ترجیح إحدی الحجّتین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اتّحاد السیاق فی الفرقتین المذکورتین؛ لاختلاف الموضوع فیهما، و أنّ موضوع الحکم فی الفرقة الثانیة تعارُض الخبرین، بخلاف الفرقة الاولی، فلا وجه لرفع الید عن إطلاق مصحَّحة عبد الرحمن بن أبی عبد اللَّه</w:t>
      </w:r>
      <w:r>
        <w:rPr>
          <w:rFonts w:eastAsia="IRNazanin" w:cs="IRNazanin"/>
          <w:color w:val="111111"/>
          <w:sz w:val="28"/>
          <w:szCs w:val="28"/>
          <w:rtl w:val="true"/>
          <w:lang w:bidi="fa-IR"/>
        </w:rPr>
        <w:t>.</w:t>
      </w:r>
    </w:p>
    <w:p>
      <w:pPr>
        <w:pStyle w:val="Heading6"/>
        <w:numPr>
          <w:ilvl w:val="5"/>
          <w:numId w:val="1"/>
        </w:numPr>
        <w:rPr/>
      </w:pPr>
      <w:bookmarkStart w:id="734" w:name="__RefHeading___Toc3235214_3224264995"/>
      <w:bookmarkStart w:id="735" w:name="_Toc276"/>
      <w:bookmarkEnd w:id="734"/>
      <w:r>
        <w:rPr>
          <w:rtl w:val="true"/>
        </w:rPr>
        <w:t>مرجحیّة موافقة الکتاب و الثمرة بین المرجعیّة و المرجحیّة</w:t>
      </w:r>
      <w:bookmarkEnd w:id="735"/>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بموافقة الکتاب غیر مفید، فإنّ عموم الکتاب أو إطلاقه هو المرجع بعد تساقط الخبرین و عدم الترجیح أیضاً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الثمرة فی بعض الموارد ممّا سیجی‌ء، مضافاً إلی ظهور الروایة فی أنّ الکتاب مرجِّح، لا مرجع؛ للأمر بالأخذ بالخبر الموافق للکتاب، لا بالکتاب بعد تساقط الخبرین، کما 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ظاهرت یحرم علیک عتق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فرض أنّ الخبر الأوّل موافق لعموم الکتاب أو إطلاقه،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مقتضی عموم الکتاب أو إطلاقه جواز عتق الکافرة، و مقتضی الخبر الأوّل عدم جوازه؛ بناءً علی القول بالمفهوم، أو استفادة وحدة المطلوب من السبب الواحد، و حیث إنّه لا معارض له من هذه الجهة یخصَّص عموم الکتاب به، و یرجَّح علی الآخر الدالّ علی حرمة عتق المؤمنة بموافقة الکتاب، و تصیر النتیجة وجوب عتق المؤمنة بخلاف ما لو جعلنا الکتاب مرجعاً بعد تساقط الخبرین، فإنّ مقتضاه جواز عتق الکافرة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تظهر الثمرة فیما لو اشتمل الخبر الموافق للکتاب علی حکم آخر، سوی الحکم الذی یتعارض هو مع الخبر الآخر فیه،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مرجِّح یؤخذ هذا الخبر مع ما یتضمّنه من الحکم الآخر، بخلاف ما لو جعل الکتاب مرجعاً بعد تساقط الخبرین، فإنّه یطرح هذا الخبر مع الحکم الآخر الذی یتضمّنه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الثمرة أیضاً فیما لو کان التعارض بین الخبرین بنحو العموم من وجه؛ بناءً علی عدم التفکیک بین مضامین خبر واحد، فإنّه بناءً علی أنّ الکتاب مرجع، یسقط الخبر الموافق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مضمونه فی مادّتی الاجتماع و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الخبر الآخر جمیعاً، و یرجع إلی الکتاب،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مرجِّح، فإنّه یؤخذ بالخبر الموافق فی تمام مضمونه</w:t>
      </w:r>
      <w:r>
        <w:rPr>
          <w:rFonts w:eastAsia="IRNazanin" w:cs="IRNazanin"/>
          <w:color w:val="111111"/>
          <w:sz w:val="28"/>
          <w:szCs w:val="28"/>
          <w:rtl w:val="true"/>
          <w:lang w:bidi="fa-IR"/>
        </w:rPr>
        <w:t>.</w:t>
      </w:r>
      <w:bookmarkStart w:id="736" w:name="pg12898_148320"/>
    </w:p>
    <w:p>
      <w:pPr>
        <w:pStyle w:val="Heading5"/>
        <w:numPr>
          <w:ilvl w:val="4"/>
          <w:numId w:val="1"/>
        </w:numPr>
        <w:rPr/>
      </w:pPr>
      <w:bookmarkStart w:id="737" w:name="__RefHeading___Toc3235216_3224264995"/>
      <w:bookmarkStart w:id="738" w:name="_Toc277"/>
      <w:bookmarkEnd w:id="736"/>
      <w:bookmarkEnd w:id="737"/>
      <w:r>
        <w:rPr>
          <w:rtl w:val="true"/>
        </w:rPr>
        <w:t>الموضع الثانی فی حال الأخبار الواردة فی مخالفة العامّة</w:t>
      </w:r>
      <w:bookmarkEnd w:id="738"/>
    </w:p>
    <w:p>
      <w:pPr>
        <w:pStyle w:val="BookText"/>
        <w:rPr/>
      </w:pPr>
      <w:r>
        <w:rPr>
          <w:rFonts w:ascii="IRNazanin" w:hAnsi="IRNazanin" w:eastAsia="IRNazanin"/>
          <w:color w:val="111111"/>
          <w:sz w:val="28"/>
          <w:sz w:val="28"/>
          <w:szCs w:val="28"/>
          <w:rtl w:val="true"/>
          <w:lang w:bidi="fa-IR"/>
        </w:rPr>
        <w:t>و أمّا الأخبار الواردة فی الترجیح بمخالفة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یفرض فیها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خصوص الخبرین المتعارضین،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فلا یضرّها ضعف سند بعضها أو کلّها، مضافاً إلی انجباره بعمل الأصحاب بها قدیماً و حدیثاً، و السیرة المستمرّة القطعیّة علی الترجیح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الثانیة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مصحَّحة عبد الرحمن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فیها بعد ذکر الترجیح بموافقة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تجدوهما فی کتاب اللَّه فاعرضوهما علی أخبار العامّة، فما وافق أخبارهم فذروه، و ما خالف أخبارهم فخذوه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السری، و الصحیح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فخذوا بما خالف القوم</w:t>
      </w:r>
      <w:r>
        <w:rPr>
          <w:rFonts w:eastAsia="IRNazanin" w:cs="IRNazanin"/>
          <w:color w:val="111111"/>
          <w:sz w:val="28"/>
          <w:szCs w:val="28"/>
          <w:rtl w:val="true"/>
          <w:lang w:bidi="fa-IR"/>
        </w:rPr>
        <w:t>)</w:t>
      </w:r>
    </w:p>
    <w:p>
      <w:pPr>
        <w:pStyle w:val="BookText"/>
        <w:rPr/>
      </w:pP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یسعنا فیما ورد علینا منکم إلّا التسلیم لکم؟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یسعکم إلّا التسلیم لنا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عن أبی عبد اللَّه علیه السلام شی‌ء، و یروی عنه خلافه، فبأیّهما نأخذ؟</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خالف القوم، و ما وافق القوم فاجتنبه</w:t>
      </w:r>
      <w:r>
        <w:rPr>
          <w:rFonts w:eastAsia="IRNazanin" w:cs="IRNazanin"/>
          <w:color w:val="111111"/>
          <w:sz w:val="28"/>
          <w:szCs w:val="28"/>
          <w:rtl w:val="true"/>
          <w:lang w:bidi="fa-IR"/>
        </w:rPr>
        <w:t>)</w:t>
      </w:r>
    </w:p>
    <w:p>
      <w:pPr>
        <w:pStyle w:val="BookText"/>
        <w:rPr/>
      </w:pP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الطبرسی عن سماعة، عن أبی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یأمرنا بالأخذ به، و الآخر ینهانا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تلقی صاحبک فتسأله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p>
    <w:p>
      <w:pPr>
        <w:pStyle w:val="BookText"/>
        <w:rPr/>
      </w:pP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مقبولة عمر بن حنظلة المتقدّمة؛ علی تقدیر أنّه وارد فی الخبرین المتعارضین، فلا إشکال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الاولی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p>
    <w:p>
      <w:pPr>
        <w:pStyle w:val="BookText"/>
        <w:rPr/>
      </w:pPr>
      <w:r>
        <w:rPr>
          <w:rFonts w:ascii="IRNazanin" w:hAnsi="IRNazanin" w:eastAsia="IRNazanin"/>
          <w:color w:val="111111"/>
          <w:sz w:val="28"/>
          <w:sz w:val="28"/>
          <w:szCs w:val="28"/>
          <w:rtl w:val="true"/>
          <w:lang w:bidi="fa-IR"/>
        </w:rPr>
        <w:t>روایة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 بدّاً من معرفته، و لیس فی البلد الذی أنا فیه أحد أستفتیه من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فقیه البلد فاستفته من أمرک، فإذا أفتاک بشی‌ء فخذ بخلافه، فإنّ الحقّ فیه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ارتباط لها بباب المتعارضین، و لا فیما ورد خبر عن ثقة، بل المفروض فیها أنّه ابتلی بمسألة لم یجد من یسأله عنها، فجعل علیه السلام له هذا الطریق الظاهری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یُراد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کلّ خبر موافق لهم مع صحّة الخبر من جمیع الجهات، فإنّه خلاف ضرورة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إسحاق الأرجائی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لِمَ امرتم بالأخذ بخلاف ما تقول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لم یکن یدین اللَّه بدین إلّا خالف علیه الامّة إلی غیره؛ إرادةً لإبطال أمره، و کانوا یسألون أمیر المؤمنین علیه السلام عن الشی‌ء الذی لا یعلمونه، فإذا أفتاهم جعلوا له ضدّاً من عندهم؛ لیلبسوا علی الناس</w:t>
      </w:r>
      <w:r>
        <w:rPr>
          <w:rFonts w:eastAsia="IRNazanin" w:cs="IRNazanin"/>
          <w:color w:val="111111"/>
          <w:sz w:val="28"/>
          <w:szCs w:val="28"/>
          <w:rtl w:val="true"/>
          <w:lang w:bidi="fa-IR"/>
        </w:rPr>
        <w:t>)</w:t>
      </w:r>
    </w:p>
    <w:p>
      <w:pPr>
        <w:pStyle w:val="BookText"/>
        <w:rPr/>
      </w:pP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فی مقام بیان السرّ و العلّة لهذا الحکم، و أمّا أنّ أیّ مورد لا بدّ من الأخذ به فلا تعرّض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عبید بن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سمعتَهُ منّی یُشبه قول الناس فیه التقیّة، و ما سمعتَ منّی لا یُشبه قول الناس فلا تقیّة فیه</w:t>
      </w:r>
      <w:r>
        <w:rPr>
          <w:rFonts w:eastAsia="IRNazanin" w:cs="IRNazanin"/>
          <w:color w:val="111111"/>
          <w:sz w:val="28"/>
          <w:szCs w:val="28"/>
          <w:rtl w:val="true"/>
          <w:lang w:bidi="fa-IR"/>
        </w:rPr>
        <w:t>)</w:t>
      </w:r>
    </w:p>
    <w:p>
      <w:pPr>
        <w:pStyle w:val="BookText"/>
        <w:rPr/>
      </w:pP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غیر مرتبطة بالمقام، فإنّ بعض الأخبار ممّا فیه إشعار بصدورها تقیّة، مثل الروایات المتضمّنة علی الحکم بالتعصیب و حرمة المتعة، و نحو ذلک من الفروع و الاصول، فلا تدلّ علی النهی عن الأخذ بکلّ خبر موافق لهم بنحو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حسین بن خالد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المسلِّمون لأمرنا، الآخذون بقولنا، المخالفون لأعدائنا، فمن لم یکن کذلک فلیس منّا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فی تعارض الخبرین ینحصر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موافقة الکتاب، الثانی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علیه السلام فی مصحَّحة 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الترجیح بموافقة الکتاب، و مع عدم وجوده فیه فالعرض علی أخبار العامّة، فتدلّ علی الترتیب بینهما، و هی حاکمة علی جمیع الإطلاقات الواردة فیهما، و ینحلّ بها الإشکال المتقدّم عن شیخنا الحائری قدس سره من تعارض إطلاقی هاتین الفرقتین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التخییر منحصر فی خبر ابن الجهم، و هو بقرینة ذکر الترجیح بموافقة الکتاب أوّلًا ثم الحکم بالتخییر، یدلّ علی أنّ مورد التخییر هو غیر صورة موافقة أحد الخبرین للکتاب، فلا یلزم فیه حینئذٍ إلّا تقیید واحد، و هو تقیید الحکم بالتخییر بغیر صورة مخالفة أحدهما للعامّة و موافقة الآخر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ذیل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موافقة الکتاب و موافقة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 آخر، و هو ما کان حکّامهم إلیه أمیل؛ بناءً علی أنّ ذیلها وارد فی الخبرین المتعارضین، فهو مرجِّح ثالث، فیقیّد به الحکم بالتخییر أیضاً، و لکن تقدّم الإشکال فی ارتباط ذیل المقبولة بالمتعارضین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بعض الأخبار الأمر بالأخذ بأحدثهما و نحو ذلک، لکن الظاهر أنّه و أمثاله أیضاً غیر مرتبط بباب المتعارضین و المرجّحات فی زمان الغیبة، بل هو إشارة إلی أنّه قد یصدر منهم علیهم السلام ما لیس حکماً واقعیّاً، بل صدر تقیّة أو لاقتضاء بعض المصالح ذلک، 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بعضها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إلّا أن یعبد سرّاً</w:t>
      </w:r>
      <w:r>
        <w:rPr>
          <w:rFonts w:eastAsia="Amiri" w:cs="Amiri" w:ascii="Amiri" w:hAnsi="Amiri"/>
          <w:color w:val="111111"/>
          <w:sz w:val="28"/>
          <w:szCs w:val="28"/>
          <w:rtl w:val="true"/>
          <w:lang w:bidi="ar-SA"/>
        </w:rPr>
        <w:t>)</w:t>
      </w:r>
    </w:p>
    <w:p>
      <w:pPr>
        <w:pStyle w:val="BookText"/>
        <w:rPr/>
      </w:pPr>
      <w:r>
        <w:rPr>
          <w:rStyle w:val="FootnoteAnchor"/>
          <w:rtl w:val="true"/>
        </w:rPr>
        <w:footnoteReference w:id="790"/>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دیننا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bookmarkStart w:id="739" w:name="pg12898_148324"/>
    </w:p>
    <w:p>
      <w:pPr>
        <w:pStyle w:val="Heading4"/>
        <w:numPr>
          <w:ilvl w:val="3"/>
          <w:numId w:val="1"/>
        </w:numPr>
        <w:rPr/>
      </w:pPr>
      <w:bookmarkStart w:id="740" w:name="__RefHeading___Toc3235218_3224264995"/>
      <w:bookmarkStart w:id="741" w:name="_Toc278"/>
      <w:bookmarkEnd w:id="739"/>
      <w:bookmarkEnd w:id="740"/>
      <w:r>
        <w:rPr>
          <w:rtl w:val="true"/>
        </w:rPr>
        <w:t>الأمر الثالث هل یتعدّی من المرجّح المنصوص إلی غیره أم لا؟</w:t>
      </w:r>
      <w:bookmarkEnd w:id="741"/>
    </w:p>
    <w:p>
      <w:pPr>
        <w:pStyle w:val="Heading5"/>
        <w:numPr>
          <w:ilvl w:val="4"/>
          <w:numId w:val="1"/>
        </w:numPr>
        <w:rPr/>
      </w:pPr>
      <w:bookmarkStart w:id="742" w:name="__RefHeading___Toc3235220_3224264995"/>
      <w:bookmarkStart w:id="743" w:name="_Toc279"/>
      <w:bookmarkEnd w:id="742"/>
      <w:r>
        <w:rPr>
          <w:rtl w:val="true"/>
        </w:rPr>
        <w:t>اشارة</w:t>
      </w:r>
      <w:bookmarkEnd w:id="743"/>
    </w:p>
    <w:p>
      <w:pPr>
        <w:pStyle w:val="BookText"/>
        <w:rPr/>
      </w:pPr>
      <w:r>
        <w:rPr>
          <w:rFonts w:ascii="IRNazanin" w:hAnsi="IRNazanin" w:eastAsia="IRNazanin"/>
          <w:color w:val="111111"/>
          <w:sz w:val="28"/>
          <w:sz w:val="28"/>
          <w:szCs w:val="28"/>
          <w:rtl w:val="true"/>
          <w:lang w:bidi="fa-IR"/>
        </w:rPr>
        <w:t>و إنّما الکلام و الإشکال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یُتعدّی عن المرجِّحات المنصوصة إلی کلّ مزیّة توجب أقربیّة أحد الخبرین ظنّاً إلی الواقع، أو أنّه یجب الاقتصار علی المرجّحات المنصوصة و الجمود علیها؟</w:t>
      </w:r>
    </w:p>
    <w:p>
      <w:pPr>
        <w:pStyle w:val="BookText"/>
        <w:rPr/>
      </w:pPr>
      <w:r>
        <w:rPr>
          <w:rFonts w:ascii="IRNazanin" w:hAnsi="IRNazanin" w:eastAsia="IRNazanin"/>
          <w:color w:val="111111"/>
          <w:sz w:val="28"/>
          <w:sz w:val="28"/>
          <w:szCs w:val="28"/>
          <w:rtl w:val="true"/>
          <w:lang w:bidi="fa-IR"/>
        </w:rPr>
        <w:t>و من المعلوم أنّه علی القول بالتعدّی یبقی بعض الإشکالات المتقدّمة علی حاله، مثل لزوم حمل أخبار التخییر علی مورد نادر، فإنّ التخلّص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انحصار المرجّح فی أمرین، فمع التعدّی فالمرجّحات کثیرة جدّاً، کالأعدلیّة و الأصدقیّة و الأورعیّة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فیتوجّه الإشکال المذکور حینئذٍ، فلا بدّ من حمل أخبار الترجیح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قال الشیخ الأعظم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التأمّل الصادق فی أخبار التخییر، یقتضی کون التخییر فی موردٍ لا یوجد فیه مرجّح أصلًا، و کذلک تدقیق النظر فی أخبار الترجیح، یقتضی أنّ المراد هو الترجیحُ بکلّ ما یوجب أرجحیّة أحد الخبرین إلی الواقع</w:t>
      </w:r>
      <w:r>
        <w:rPr>
          <w:rStyle w:val="FootnoteAnchor"/>
          <w:rtl w:val="true"/>
        </w:rPr>
        <w:footnoteReference w:id="792"/>
      </w:r>
      <w:r>
        <w:rPr>
          <w:rFonts w:ascii="IRNazanin" w:hAnsi="IRNazanin" w:eastAsia="IRNazanin"/>
          <w:color w:val="111111"/>
          <w:sz w:val="28"/>
          <w:sz w:val="28"/>
          <w:szCs w:val="28"/>
          <w:rtl w:val="true"/>
          <w:lang w:bidi="fa-IR"/>
        </w:rPr>
        <w:t>، و لم یذکر قدس سره بیان تلک الاستفادة من أخبار التخییر و ذکر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تدقیق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 نتعرّض لها إن شاء اللَّه تعالی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أخبار التخییر فالذی یمکن استفادة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التعدّی إلی المرجّحات الغیر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مرفوعة زرارة، فإنّه ذکر فیها أوّلًا الترجیح بالشهرة و الأعدلیّة</w:t>
      </w:r>
      <w:bookmarkStart w:id="744" w:name="pg12898_148325"/>
    </w:p>
    <w:p>
      <w:pPr>
        <w:pStyle w:val="BookText"/>
        <w:rPr/>
      </w:pPr>
      <w:bookmarkEnd w:id="744"/>
      <w:r>
        <w:rPr>
          <w:rFonts w:ascii="IRNazanin" w:hAnsi="IRNazanin" w:eastAsia="IRNazanin"/>
          <w:color w:val="111111"/>
          <w:sz w:val="28"/>
          <w:sz w:val="28"/>
          <w:szCs w:val="28"/>
          <w:rtl w:val="true"/>
          <w:lang w:bidi="fa-IR"/>
        </w:rPr>
        <w:t>و الأصدقیّة و غیرها، حتی الحائطة فی الدین، و حکم علیه السلام فی آخرها بالتخییر، فیستفاد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بالتخییر، إنّما هو فیما لم یوجد فی أحد الخبرین المتعارضین، مزیّةٌ توجب أقربیّته إلی الواقع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المرفوعة لا تصلح للحجّیّة، و أنّها ضعیفة جدّاً، و أمّا غیرها من روایات التخییر فلا إشعار فیها بما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بعدم الإطلاق اللفظی فی أخبار التخییر و أنّها مهملة،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المستند للتخییر هو الإجماع المدّعی علیه و الشهرة، لا الأخبار، فلما ذکره قدس سره من التعدّی وجه؛ لأنّ القدر المتیقّن من موارد التخییر، هو ما لم یوجد فیه مزیّة أصلًا، و تقدّم أنّ مقتضی القاعدة العقلیّة فی مسألة دوران الأمر بین التعیین و التخییر هو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کان المستند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الأخبار، و قلنا إنّها مطلقة، فإنّ إطلاقها شامل لجمیع موارد المتعارضین إلّا ما قام الدلیل المعتبر علی التقیید</w:t>
      </w:r>
      <w:r>
        <w:rPr>
          <w:rFonts w:eastAsia="IRNazanin" w:cs="IRNazanin"/>
          <w:color w:val="111111"/>
          <w:sz w:val="28"/>
          <w:szCs w:val="28"/>
          <w:rtl w:val="true"/>
          <w:lang w:bidi="fa-IR"/>
        </w:rPr>
        <w:t>.</w:t>
      </w:r>
    </w:p>
    <w:p>
      <w:pPr>
        <w:pStyle w:val="Heading5"/>
        <w:numPr>
          <w:ilvl w:val="4"/>
          <w:numId w:val="1"/>
        </w:numPr>
        <w:rPr/>
      </w:pPr>
      <w:bookmarkStart w:id="745" w:name="__RefHeading___Toc3235222_3224264995"/>
      <w:bookmarkStart w:id="746" w:name="_Toc280"/>
      <w:bookmarkEnd w:id="745"/>
      <w:r>
        <w:rPr>
          <w:rtl w:val="true"/>
        </w:rPr>
        <w:t>الوجوه التی استدلّ بها الشیخ قدس سره علی التعدّی من المنصوص و نقدها</w:t>
      </w:r>
      <w:bookmarkEnd w:id="746"/>
    </w:p>
    <w:p>
      <w:pPr>
        <w:pStyle w:val="BookText"/>
        <w:rPr/>
      </w:pPr>
      <w:r>
        <w:rPr>
          <w:rFonts w:ascii="IRNazanin" w:hAnsi="IRNazanin" w:eastAsia="IRNazanin"/>
          <w:color w:val="111111"/>
          <w:sz w:val="28"/>
          <w:sz w:val="28"/>
          <w:szCs w:val="28"/>
          <w:rtl w:val="true"/>
          <w:lang w:bidi="fa-IR"/>
        </w:rPr>
        <w:t>ثمّ إنّ المهمّ بیان ما ذکره الشیخ قدس سره من الوجوه التی ذکرها للتعدّی، و استفادة ذلک من أخبار الترجیح</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 بتقریر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الترجیح بالأصدقیّة فی المقبولة، و الأوثقیّة فی المرفوعة، لیس إلّا لأنّ خبر الأصدق و الأوثق أقرب إلی الواقع؛ من حیث هو أقرب من غیر مدخلیّة لخصوصیّة سبب الأقربیّة، و لیست الأصدقیّة و الأوثقیّة کالأعدلیّة و الأفقهیّة، اللتین یحتمل فیهما اعتبار الأقربیّة الحاصلة من سبب خاصّ، بخلاف الأصدقیّة و الأوثقیّة، فإنّ الظاهر أنّ الملاک هو الأقربیّة إلی الواقع،</w:t>
      </w:r>
    </w:p>
    <w:p>
      <w:pPr>
        <w:pStyle w:val="BookText"/>
        <w:rPr/>
      </w:pPr>
      <w:r>
        <w:rPr>
          <w:rFonts w:ascii="IRNazanin" w:hAnsi="IRNazanin" w:eastAsia="IRNazanin"/>
          <w:color w:val="111111"/>
          <w:sz w:val="28"/>
          <w:sz w:val="28"/>
          <w:szCs w:val="28"/>
          <w:rtl w:val="true"/>
          <w:lang w:bidi="fa-IR"/>
        </w:rPr>
        <w:t>و لهذا یُتعدّی عنها إلی سائر صفات الراوی الموجبة لها، کالأحفظیّة و الأضبطیّة، و حینئذٍ فیُتعدّی من صفات الراوی إلی صفات الروایة، الموجبة لأقربیّة الروایة إلی الواقع، کالخبر المنقول باللفظ الصادر من الإمام بالنسبة إلی المنقول بالمعنی، فإنّ الأوّل أقرب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بعد بیان الإمام علیه السلام الترجیح بمجموع الصفات، لم یسأل عن صورة وجود بعضها دون بعض و تخالفهما فی الخبرین، و إنّما سأل عن صورة تساوی الخبرین من حیث الصفات المذکورة، حتّی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یفضل أحدهما علی صاحبه بمزیّة من المزایا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لیس ذلک إلّا لأجل أنّه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واحدة من هذه الصفات و ما یشبهها، مزیّة مستقلّة موجبة لأقربیّة الخبر إلی الواقع، و إلّا لم یکن وقْعٌ لهذا السؤال، بل کان المناسب أن یسأل عن حکم صورة عدم اجتماع هذه الصفات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الأعدلیّة و الأفقهیّة أیضاً کذلک، فإنّ الظاهر أنّ الترجیح بهما أیضاً بمناط الأقربیّة إلی الواقع، فإنّ الأعدل لقوّة ورعه، و الأفقه لقوّة فقهه، یهتمان بنقل الحدیث، و مراعاة صحّة النقل، و المواظبة علیه، و عدم النقل بالمعنی؛ خوفاً من تغییر المعنی و اختلافه، بخلاف غیر الأعدل، و کذلک الأفقه بمذاق الأئمّة علیهم السلام، فإنّه أزید بصیرة و خبرة فی تلقّی الحدیث و نقله، و بملاحظة جودة فهمه و فقهه یکون خبره أقرب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اعتبارهما عرفاً أنّ المناط هو أقربیّة الخبر إلی الواقع فی الترجیح، و أنّ تمام حیثیّة الترجیح هو ملاک مطلق الأقربیّة، لا الحاصلة من سبب خاصّ</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تأییداً لما هو بصدده، فهو علی خلافه أدلّ، فإنّ</w:t>
      </w:r>
    </w:p>
    <w:p>
      <w:pPr>
        <w:pStyle w:val="BookText"/>
        <w:rPr/>
      </w:pPr>
      <w:r>
        <w:rPr>
          <w:rFonts w:ascii="IRNazanin" w:hAnsi="IRNazanin" w:eastAsia="IRNazanin"/>
          <w:color w:val="111111"/>
          <w:sz w:val="28"/>
          <w:sz w:val="28"/>
          <w:szCs w:val="28"/>
          <w:rtl w:val="true"/>
          <w:lang w:bidi="fa-IR"/>
        </w:rPr>
        <w:t xml:space="preserve">ظاهر الروایة أنّ هذه الصفات مرجِّحة واحدة؛ حیث عطف کلّ واحدة منها علی الاخری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ظاهره عدم استقلال کلّ واحدة منها فی الترجیح، إلّا 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خلاف الظاهر، و لم یفهم الراوی أیضاً منها إلّا ذلک، فلو لا فهمه أنّ مجموعها مرجِّح واحد، و أنّ کلّ واحد منها جزء السبب الموضوع للترجیح، لم یکن للسؤال المذکور فیها وقع، بل کان المناسب السؤال عن اختلاف الراویین فی تلک الصفات؛ بأن یکون أحدهما أعدل، و الآخر أصدق، فعدم سؤاله عن ذلک یکشف عن أنّه لم یفهم من الجواب استقلال کلّ واحدة منها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الأصدقیّة و نحوها إنّما هو من جهة الأقربیّة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مجرّد دعوی لا دلیل علیها، و لا أظنّ أن یعتمد هو قدس سره علی هذه الاعتبارات، و لم یکن دأبه فی الفقه علی الاتکاء علی هذه الامور الاعتباریّة العقلیّة، خصوصاً بناءً علی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التفکیک بین الأصدقیّة و الأوثقیّة و بین الأعدلیّة و الأفقهیّة، و أنّ الترجیح بالأوّلتین بملاک الأقربیّة، بخلاف الأخیرتین؛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احتمال الخصوصیّة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ذکرناه فی تقریب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جمیع هذه الأوصاف إنّما جعلت مرجّحة بمناط واحد جامع بینهما، و هو الأقربیّة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بخلاف ما ذکره من التفکیک بین الأوصاف المذکورة، فلعلّ أصل الحکم بالتّعدّی کان ثابتاً عنده قدس سره؛ للإجماعات المدّعاة فیه و الشهرة، و أیّده بما ذکره فی هذا الوجه، و إلّا فهو ممّا لا یصلح للاعتماد علیه و التمسّک 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صدرها المشتمل علی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فی الحَکَمین فالتعدّی عنها إلی صفات الراوی، و من صفات الراوی إلی صفات الروایة فی غایة البُعد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تعلیله علیه السلام فی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المجمع علیه لا ریب</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منه عدم الریب حقیقة، و إلّا لم یمکن فرض الخبرین مشهورین، کما فی المقبولة، و لا الرجوع إلی صفات الراوی قبل ملاحظة الشهرة، فإنّ صفات الراوی من المرجِّحات الظنّیّة، فلو ارید من عدم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تقدیم القطعی علی الظنّی، بل المراد من عدم الریب عدمه بالإضافة إلی الشاذّ، فحاصل التعلیل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الترجیح بکلّ ما یوجب الأقربیّة إلی الواقع، و أضعفیّة احتمال مخالفته 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الشهرة فی المقبولة هی الشهرة الفتوائیّة، و أنّ عدم الریب فیها بمعناه الحقیقی، و أنّه بیِّن الرشد، و الطرف المقابل الشاذّ بیّن الغیّ؛ بقرینة جعل الامور ثلاثة، 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ارید من عدم الریب معناه الحقیقی، کان اللّازم تقدیم الشهرة علی الصفات، لا العکس، کما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لأجل أنّ المفروض فیها ترجیح أحد الحَکَمین؛ لأجل عدم اعتبار حُکم غیر الأفقه و الأصدق و الأورع مع وجود الأفقه و الأصدق و الأورع، نظیر عدم نفوذ حکم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بعدم نفوذ حکم من لم تجتمع فیه هذه الصفات مع وجود من اجتمعت جمیعها فیه، لزم الترجیح بهذه الصفات أوّلًا، و معه لا تصل النوبة إلی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ما یحکم به الآخر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فمع فرض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الریب حقیقة، فمقتضی القاعدة تقدیم الترجیح بالصفات المذکورة علی الشهرة المفیدة للقطع أیضاً؛ لأنّ حکم الحاکم له دخْلٌ فی رفع الخصومة، حتّی أنّه اشترط بعضهم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فیعتبر اجتماع هذه الصفات، و أمّا فرض الراوی؛ و السؤال عن حکم کونهما مشهورین، فلیس المراد من الشهرة هذه المجمع</w:t>
      </w:r>
    </w:p>
    <w:p>
      <w:pPr>
        <w:pStyle w:val="BookText"/>
        <w:rPr/>
      </w:pPr>
      <w:r>
        <w:rPr>
          <w:rFonts w:ascii="Amiri" w:hAnsi="Amiri" w:eastAsia="Amiri" w:cs="Amiri"/>
          <w:color w:val="111111"/>
          <w:sz w:val="28"/>
          <w:sz w:val="28"/>
          <w:szCs w:val="28"/>
          <w:rtl w:val="true"/>
          <w:lang w:bidi="ar-SA"/>
        </w:rPr>
        <w:t>علیه، بل مراده أنّ واحداً من الخبرین لیس شاذّاً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تعلیلهم علیهم السلام لترجیح الخبر المخالف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الرشد و الحقّ فی خلافهم، و أنّ فیما وافقهم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قضایا غالبیة لا دائمیّة، فیدلّ بحکم التعلیل علی وجوب الترجیح بکلّ ما علیه أمارة الحقّ، و ترک ما فیه مظنّة خلاف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التعلیل کسابقه، وجوب الترجیح بما هو أبعد عن الباطل من الآخر؛ و إن لم تکن فیه أمارة المطابقة للواقع، فلو فرض أنّ أحد الخبرین منقول باللفظ، و الآخر منقول بالمعنی، وجب الأخذ بالأوّل و ترجیحه؛ لعدم احتمال الخطأ فی النقل فیه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التعلیل مذکور فی روایة علی بن أسباط الغیر المرتبطة بباب التعارض، و 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الأخذ بعموم التعلیل فیها، بل ما ذکره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الذی ذکره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یختصّ بحال الاضطرار؛ و عدم وجود من یسأله من أهل دینه عن حکم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ذیل المقبولة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لکن لم یذکر ذلک فی مقام التعلیل، و علی فرض استفادة التعلیل منه، کما فی مرسلة الکلینی قدس سره و تسلیم أنّها وردت فی المتعارضین من الأخبار، لم یعلم أنّ النکتة و السرّ فی کون الرشد فی خلافهم، ما ذا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یحتمل أنّ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للواقع، و عدم موافقة الموافق له، لکنّه مجرّد احتمال، فلا یستفاد منه الترجیح بکلّ ما یوجب أقربیّته إلی الحقّ کالأفصحیّة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الإصابة فی المورد غالبیّة لا دائمیّة؛ لأنّ هذا التعبیر إنّما یصحّ فیما لو کان عدم الإصابة نادراً؛ لا یعتنی به العقلاء، فیطلق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الحقّ و فیه الرشاد مجازاً بادّعاءٍ و تأویل، لکن هذا المجاز إنّما یصحّ إذا ندر الخلاف غایة الندرة،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یُریبک إلی ما لا یُریبک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أنّه لو دار الأمر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أحدهما ریب، لیس فی الآخر ذلک الریب، وجب الأخذ به، و لیس المراد نفی مطلق الریب، بل بالإضافة إلی الآخر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ورد خبران متنافیان أحدهما ممّا لا ریب فی کذبه، فإنّه لا یعقل حینئذٍ وجود الریب فی الآخر، بل لا ریب فی صدقه، فجعل عدم الریب فی مقابل الریب، یُعلم منه أنّه لیس المراد ممّا لا ریب فیه معناه الحقیقی، بل بالإضافة إلی الآخر، فیدلّ علی أنّه کلّما دار الأمر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بالإضافة إلی الآخر 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الأخذ به، ففیما نحن فیه الخبر المرجوح فیه ریب لیس فی الآخر ذلک الریب، فوجب الأخذ بالثانی،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التعبیر وقع فی روایتین ضعیفتین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p>
    <w:p>
      <w:pPr>
        <w:pStyle w:val="BookText"/>
        <w:rPr/>
      </w:pP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للکراجکی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یُریبُک إلی ما لا یُریبُک، فإنّک لن تجد فَقْد شی‌ء ترکته للَّه عزّ و جلّ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لا تصلحان للاعتماد علیهما، مضافاً إلی أنّه لا یظهر منهما أنّهما وردتا فی الخبرین المتعارضین، بل لم یثبت ورودهما فی مورد الأخبار أصلًا، فمن المحتمل قریباً أنّ المراد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یُریبک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الشبهة التحریمیّة البَدْویّة، و المقصود الأمر بالاجتناب عن الشبهات و الأخذ بما لا ریب فی إباحته، و أنّه لو فعل ذلک للَّه تعالی یُثاب علیه، کما یظهر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منحصر فی موافقة الکتاب و مخالفة العامّة، لکن هذا مبنیّ علی أنّ المستند فی الحکم بالتخییر هو الأخبار، و تقدّم انحصارها فی مرسلة الطبرسی عن الحسن بن الجهم، فإن قلنا بانجبار ضعف سندها بعمل الأصحاب فهو، و إلّا فلا ینحصر المرجِّح بموافقة الکتاب و موافقة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أنّ المستند لحکم الأصحاب بالتخییر فی المتعارضین هو الأخبار مشکل، فإنّهم لم یذکروها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کتبهم إلّا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الشهرة المذکورة إنّما هی بین المتأخّرین، فلا تصلح لانجبار سند المرسلة بها، مع أنّه لو فرض استناد الأصحاب و اعتمادهم فی الحکم بالتخییر علی الأخبار، فهی لا تدلّ علی وجوب الأخذ بأحدهما، بل تدلّ علی أنّه موسَّع علی المکلّف الأخذ بأحدهما، و هو لا یدلّ إلّا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مساوقة الجواز فیه للوجوب ممنوعة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إشکالًا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ادّعی الإجماع فی المقام علی الترجیح بجمیع المرجِّحات، فلو ثبت وجوب الترجیح بکلّ مزیّة بهذه الدعوی و دعوی الشهرة علیه، مع الوجوه التی ذکرها الشیخ قدس سره، بعد الإجماع علی عدم سقوط المتعارضین، بل ضرورة الفقه، یقع الوهن فی أخبار التخییر؛ للزوم اختصاصها حینئذٍ</w:t>
      </w:r>
      <w:bookmarkStart w:id="747" w:name="pg12898_148332"/>
    </w:p>
    <w:p>
      <w:pPr>
        <w:pStyle w:val="BookText"/>
        <w:rPr/>
      </w:pPr>
      <w:bookmarkEnd w:id="747"/>
      <w:r>
        <w:rPr>
          <w:rFonts w:ascii="IRNazanin" w:hAnsi="IRNazanin" w:eastAsia="IRNazanin"/>
          <w:color w:val="111111"/>
          <w:sz w:val="28"/>
          <w:sz w:val="28"/>
          <w:szCs w:val="28"/>
          <w:rtl w:val="true"/>
          <w:lang w:bidi="fa-IR"/>
        </w:rPr>
        <w:t>بموارد نادرة،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مستند الأصحاب فی وجوب الترجیح بکلّ مزیّة هو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دار الأمر فیه بین التعیین و التخییر، و قیام الإجماع علی التخییر بعد فَقْد جمیع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فالنتیجة هو ما اختاره الشیخ من وجوب الترجیح بکلّ مزیّة، لکن لا لما ذکره قدس سره، بل لما ذکرنا، و لا ریب أنّه أحوط</w:t>
      </w:r>
      <w:r>
        <w:rPr>
          <w:rFonts w:eastAsia="IRNazanin" w:cs="IRNazanin"/>
          <w:color w:val="111111"/>
          <w:sz w:val="28"/>
          <w:szCs w:val="28"/>
          <w:rtl w:val="true"/>
          <w:lang w:bidi="fa-IR"/>
        </w:rPr>
        <w:t>.</w:t>
      </w:r>
    </w:p>
    <w:p>
      <w:pPr>
        <w:pStyle w:val="Heading4"/>
        <w:numPr>
          <w:ilvl w:val="3"/>
          <w:numId w:val="1"/>
        </w:numPr>
        <w:rPr/>
      </w:pPr>
      <w:bookmarkStart w:id="748" w:name="__RefHeading___Toc3235224_3224264995"/>
      <w:bookmarkStart w:id="749" w:name="_Toc281"/>
      <w:bookmarkEnd w:id="748"/>
      <w:r>
        <w:rPr>
          <w:rtl w:val="true"/>
        </w:rPr>
        <w:t>خاتمة</w:t>
      </w:r>
      <w:r>
        <w:rPr>
          <w:rtl w:val="true"/>
        </w:rPr>
        <w:t xml:space="preserve">: </w:t>
      </w:r>
      <w:r>
        <w:rPr>
          <w:rtl w:val="true"/>
        </w:rPr>
        <w:t>فی احتمالات موافقة الکتاب و مخالفة العامّة</w:t>
      </w:r>
      <w:bookmarkEnd w:id="749"/>
    </w:p>
    <w:p>
      <w:pPr>
        <w:pStyle w:val="BookText"/>
        <w:rPr/>
      </w:pPr>
      <w:r>
        <w:rPr>
          <w:rFonts w:ascii="IRNazanin" w:hAnsi="IRNazanin" w:eastAsia="IRNazanin"/>
          <w:color w:val="111111"/>
          <w:sz w:val="28"/>
          <w:sz w:val="28"/>
          <w:szCs w:val="28"/>
          <w:rtl w:val="true"/>
          <w:lang w:bidi="fa-IR"/>
        </w:rPr>
        <w:t>ثمّ إنّ فی المقام احتمالات بحسب مقام التصوّر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المرجّحات السندیّة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من المرجّحات الجهتیّة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تختصّ موافقة الکتاب بالمرجّحات السندیّة، و مخالفة العامّة بالجهتیّة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واحدة منها بهذه و لا بتلک، بل تصلح کلّ واحدة منهما لکلّ واحدة منهما؛ لأنّه إن کان السرّ الحکم بالترجیح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صدور بعض الأخبار منهم علیهم السلام، و دسّ المنافقین له فی أخبارهم علیهم السلام و أنّ الأمر بالأخذ بموافق الکتاب و مخالف العامّة انّما هو لأجل ذلک، فهما من المرجّحات الصدوریّة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السرّ فیه صدور بعض الروایات منهم تقیّة و احتشاماً و خوفاً من بعض الخلفاء، فهما من المرجّحات الجهتیّة، کالمسح علی الخُفّین و نحوه، فإنّ الروایة المخالفة للکتاب صادرة منهم حینئذٍ، لکن لا لبیان الحکم الواقعی، بل تقیّة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العلّة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صدور بعض الأخبار تقیّة و دسّ المنافقین لبعضها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تختصّ واحدة منهما بواحد منهما، بل یحتمل کلّ واحدة منهما لکلّ واحد منهما،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بطرح المخالف للکتاب أو موافق العامّة بسبب</w:t>
      </w:r>
    </w:p>
    <w:p>
      <w:pPr>
        <w:pStyle w:val="BookText"/>
        <w:rPr/>
      </w:pPr>
      <w:r>
        <w:rPr>
          <w:rFonts w:ascii="IRNazanin" w:hAnsi="IRNazanin" w:eastAsia="IRNazanin"/>
          <w:color w:val="111111"/>
          <w:sz w:val="28"/>
          <w:sz w:val="28"/>
          <w:szCs w:val="28"/>
          <w:rtl w:val="true"/>
          <w:lang w:bidi="fa-IR"/>
        </w:rPr>
        <w:t>کلّ واحدة من الجهتین أو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الشهرة لو قلنا بأنّها من المرجّحات أیضاً، أو سائر المرجّحات مثل الأصدقیّة و الأوثقیّة و غیرهما، فإنّ هذه الاحتمالات آتیة فیها أیضاً، فإنّهم علیهم السلام ربّما کانوا یبیّنون الأحکام الواقعیة للأعدل و الأوثق و الأصدق؛ لکمال وثوقهم و اطمئنانهم علیهم السلام بهم فی عدم إبرازهم و إظهارهم لها للمنافقین و عدم إشاعتها، بخلاف غیر الأوثق و الأعدل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مرجّح یمکن أن یرجع إلی الصدور أو إلی جهة الصدور أو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التصوّر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و الاستظهار، فلا یبعد دعوی ظهور الأخبار فی أنّ موافقة الکتاب من مرجّحات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کروایتی الحسن بن الجهم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أشبههما فهو منّا، و إن لم یُشبهْهُما فلیس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فإنّه ظاهر فی عدم صدور المخالف للکتاب عنهم أصلًا، لا أنّه صدر منهم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روایات الترجیح بمخالفة العامّة و ترک ما یوافقهم، لیس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بأنّها من مرجِّحات الصدور، أو من مرجِّحات جهة الصدور، 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بعض الأخبار علی أنّها من مرجِّحات الصدور، و هی الدالّة علی أنّ المنافقین دسُّوا فی أخبارهم علیهم السلام أخباراً مکذوبة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مرجّحات جهة الصدور؛ لأجل أنّه کثیراً ما تصدر الأخبار منهم علیهم السلام تقیّة، و لا یبعد ترجیح هذا الوجه علی الأوّل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تعارض المرجّحات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بانحصار الترجیح بموافقة الکتاب و مخالفة العامّة، فلا إشکال فی تقدیم الترجیح بموافقة الکتاب علی الترجیح بمخالفة العامّة؛ لدلالة مُصحّحة عبد الرحمن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انحصاره بهما، کما هو قضیّة دوران الأمر بین التعیین و التخییر کما تقدّم،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مستند التخییر لیس هو الأخبار، فالمناط هو الأقربیّة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ذکره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الصدوری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کالأعدلیّة و الأصدقیّة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المرجِّح الجهتی و المضمونی، و المرجِّح الجهتی مقدّم علی المضمونی، ثمّ المضمونی، کموافقة الکتاب</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مستنده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بناء العقلاء علی ذلک، و أنّ بناءهم علی التعبّد بالصدور و إن لم تتمّ جهة الصدور و لم تثبت، فهو ممنوع؛ لأنّ بناءهم دائر بین العمل بخبر الواحد و عدم العمل به، فإن ثبت تمام جهات الخبر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الصدور وجهة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فبناؤهم علی العمل به، و إلّا فلیس لهم بناء علی العمل به، و لیس لهم فی مورد من الموارد بناء علی التعبّد بالصدور، ثمّ الحمل علی التقیّة، فلیس لهم بناء علی العمل بالخبر الذی لا ظاهر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الترتیب بین التعبّد بالصدور، ثمّ بالمضمون؛ فی غیر صورة تعارض الخبرین، فلا بدّ فی المتعارضین من ملاحظة أدلّة المرجّحات، فإنّ المتّبع هو الدلیل</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أنّه قدس سره اعترف</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ورد فی مُصحّحة عبد الرحمن بن أبی عبد اللَّه</w:t>
      </w:r>
      <w:r>
        <w:rPr>
          <w:rStyle w:val="FootnoteAnchor"/>
          <w:rtl w:val="true"/>
        </w:rPr>
        <w:footnoteReference w:id="801"/>
      </w:r>
      <w:r>
        <w:rPr>
          <w:rFonts w:ascii="IRNazanin" w:hAnsi="IRNazanin" w:eastAsia="IRNazanin"/>
          <w:color w:val="111111"/>
          <w:sz w:val="28"/>
          <w:sz w:val="28"/>
          <w:szCs w:val="28"/>
          <w:rtl w:val="true"/>
          <w:lang w:bidi="fa-IR"/>
        </w:rPr>
        <w:t>تقدیم الترجیح بموافقة الکتاب، مع أنّها مرجّحة مضمونیّة علی مخالفة العامّة، مع أنّها مرجّحة جهتیّة،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بها مشکل</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شعری ما الإشکال فی العمل بها مع صحّتها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عدّ المقبولة من أخبار الترجیح فی تعارض الخبرین، فهی ظاهرة فی الترتیب الذی ذکره، لکن ذکر فیها موافقة الکتاب و مخالفة العامّة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الترجیح أوّلًا بموافقة الکتاب، ثمّ بمخالفة العامّة، ثم التخییر، و الأحوط الترجیح بکلّ مزیّة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الکلام و البحث فی تعارض الخبرین</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صلّی اللَّه علی نبیّه محمّد و آله الطاهرین</w:t>
      </w:r>
      <w:r>
        <w:rPr>
          <w:rFonts w:eastAsia="Amiri" w:cs="Amiri" w:ascii="Amiri" w:hAnsi="Amiri"/>
          <w:color w:val="111111"/>
          <w:sz w:val="28"/>
          <w:szCs w:val="28"/>
          <w:rtl w:val="true"/>
          <w:lang w:bidi="ar-SA"/>
        </w:rPr>
        <w:t>.</w:t>
      </w:r>
      <w:bookmarkStart w:id="750" w:name="pg12898_148337"/>
    </w:p>
    <w:p>
      <w:pPr>
        <w:pStyle w:val="Heading2"/>
        <w:numPr>
          <w:ilvl w:val="1"/>
          <w:numId w:val="1"/>
        </w:numPr>
        <w:rPr/>
      </w:pPr>
      <w:bookmarkStart w:id="751" w:name="__RefHeading___Toc3235226_3224264995"/>
      <w:bookmarkStart w:id="752" w:name="_Toc282"/>
      <w:bookmarkEnd w:id="750"/>
      <w:bookmarkEnd w:id="751"/>
      <w:r>
        <w:rPr>
          <w:rtl w:val="true"/>
        </w:rPr>
        <w:t>الخاتمة فی الاجتهاد و التقلید</w:t>
      </w:r>
      <w:bookmarkEnd w:id="752"/>
    </w:p>
    <w:p>
      <w:pPr>
        <w:pStyle w:val="Heading3"/>
        <w:numPr>
          <w:ilvl w:val="2"/>
          <w:numId w:val="1"/>
        </w:numPr>
        <w:rPr/>
      </w:pPr>
      <w:bookmarkStart w:id="753" w:name="__RefHeading___Toc3235228_3224264995"/>
      <w:bookmarkStart w:id="754" w:name="_Toc283"/>
      <w:bookmarkEnd w:id="753"/>
      <w:r>
        <w:rPr>
          <w:rtl w:val="true"/>
        </w:rPr>
        <w:t>اشارة</w:t>
      </w:r>
      <w:bookmarkEnd w:id="754"/>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اشباع الکلام فیه یأتی فی فصول</w:t>
      </w:r>
      <w:r>
        <w:rPr>
          <w:rFonts w:eastAsia="IRNazanin" w:cs="IRNazanin"/>
          <w:color w:val="111111"/>
          <w:sz w:val="28"/>
          <w:szCs w:val="28"/>
          <w:rtl w:val="true"/>
          <w:lang w:bidi="fa-IR"/>
        </w:rPr>
        <w:t>:</w:t>
      </w:r>
      <w:bookmarkStart w:id="755" w:name="pg12898_148339"/>
    </w:p>
    <w:p>
      <w:pPr>
        <w:pStyle w:val="Heading3"/>
        <w:numPr>
          <w:ilvl w:val="2"/>
          <w:numId w:val="1"/>
        </w:numPr>
        <w:rPr/>
      </w:pPr>
      <w:bookmarkStart w:id="756" w:name="__RefHeading___Toc3235230_3224264995"/>
      <w:bookmarkStart w:id="757" w:name="_Toc284"/>
      <w:bookmarkEnd w:id="755"/>
      <w:bookmarkEnd w:id="756"/>
      <w:r>
        <w:rPr>
          <w:rtl w:val="true"/>
        </w:rPr>
        <w:t>الفصل الأوّل ذکر شئون الفقیه</w:t>
      </w:r>
      <w:bookmarkEnd w:id="757"/>
    </w:p>
    <w:p>
      <w:pPr>
        <w:pStyle w:val="Heading4"/>
        <w:numPr>
          <w:ilvl w:val="3"/>
          <w:numId w:val="1"/>
        </w:numPr>
        <w:rPr/>
      </w:pPr>
      <w:bookmarkStart w:id="758" w:name="__RefHeading___Toc3235232_3224264995"/>
      <w:bookmarkStart w:id="759" w:name="_Toc285"/>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إنّ هنا عناوین لا بدّ من البحث عنها و عن أحکامها، و 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لا یجوز له الرجوع إلی غیره فی الأحکام الشرعیّة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یجوز له العمل برأی نفسه أو یجب؛ بمعنی کونه مثاباً أو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هو أهل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حکمه نافذ فی رفع الخصومات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حکمه نافذ فی الامور السیاسیّة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یجوز لغیره الرجوع إلیه و تلقّی الأحکام الشرعیّة الفرعیّة منه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نذکر هذه العناوین الستّة فی ضمن امورٍ</w:t>
      </w:r>
      <w:r>
        <w:rPr>
          <w:rFonts w:eastAsia="IRNazanin" w:cs="IRNazanin"/>
          <w:color w:val="111111"/>
          <w:sz w:val="28"/>
          <w:szCs w:val="28"/>
          <w:rtl w:val="true"/>
          <w:lang w:bidi="fa-IR"/>
        </w:rPr>
        <w:t>:</w:t>
      </w:r>
      <w:bookmarkStart w:id="760" w:name="pg12898_148340"/>
    </w:p>
    <w:p>
      <w:pPr>
        <w:pStyle w:val="Heading4"/>
        <w:numPr>
          <w:ilvl w:val="3"/>
          <w:numId w:val="1"/>
        </w:numPr>
        <w:rPr/>
      </w:pPr>
      <w:bookmarkStart w:id="761" w:name="__RefHeading___Toc3235234_3224264995"/>
      <w:bookmarkStart w:id="762" w:name="_Toc286"/>
      <w:bookmarkEnd w:id="760"/>
      <w:bookmarkEnd w:id="761"/>
      <w:r>
        <w:rPr>
          <w:rtl w:val="true"/>
        </w:rPr>
        <w:t>الأمر الأوّل حکم مَن له قوّة الاستنباط فعلًا</w:t>
      </w:r>
      <w:bookmarkEnd w:id="762"/>
    </w:p>
    <w:p>
      <w:pPr>
        <w:pStyle w:val="BookText"/>
        <w:rPr/>
      </w:pPr>
      <w:r>
        <w:rPr>
          <w:rFonts w:ascii="IRNazanin" w:hAnsi="IRNazanin" w:eastAsia="IRNazanin"/>
          <w:color w:val="111111"/>
          <w:sz w:val="28"/>
          <w:sz w:val="28"/>
          <w:szCs w:val="28"/>
          <w:rtl w:val="true"/>
          <w:lang w:bidi="fa-IR"/>
        </w:rPr>
        <w:t>إنّ الکلام فیمن له ملکة استنباط الأحکام الفرعیّة عن مدارکها، و له قوّة استخراجها عن مآخذها، و بلغ فی تحصیل مقدّمات الاجتهاد و الاستنباط حدّاً و مرتبة، یقدر معها علی ردّ الفروع إلی الاصول و إن لم یستنبطها بالفعل، فهل هو قبل الاستنباط جاهل بالحکم الشرعی الفرعی، لکن لا یجوز له الرجوع إلی غیره و تقلیده؛ و ذلک لأنّه لا دلیل لفظیّ یدلّ علی وجوب رجوع الجاهل إلی العالم بنحو الإطلاق؛ لیتمسّک بإطلاقه فی المقام، بل الدلیل علی جواز التقلید فی الأحکام الشرعیّة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بیانه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العقلاء علی الرجوع إلی أهل الخبرة فی کلّ فنّ فی جمیع امورهم، کما فی الصناعات و نحوها، و منها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الأوّلیّة و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مشترکة بین جمیع المکلّفین و أنّهم کلّهم مخاطبون بالخطابات الشرعیّة، و لا اختصاص لها بفرقة و طائفة دون فرقة و طائفة اخری، و هذا البناء منهم إنّما هو فیما إذا لم یکن الشخص الجاهل بالفعل من أهل الخبرة، و له قوّة یمکنه بها تشخیص ما هو جاهل به بالفعل و حصول العلم به، فلا دلیل علی جواز رجوعه إلی الغیر؛ لتکون فتوی الغیر عذراً له مع الخطأ، مع تمکّنه من الرجوع إلی الأدلّة، و معرفة الأحکام، و استنباطها من مدارکها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یرجع من هو أهل الخبرة فی فنّ إلی غیره فی أحکام ذلک الفنّ؛ لئلّا یُتعب نفسه بالاجتهاد، أو لغیره من الأعذار العرفیّة، کالطبیب، فإنّه قد یرجع إلی طبیب آخر فی الطبابة، و قضیّة ذلک جواز الرجوع إلی الغیر فیما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مسلَّمٌ فی الامور الراجعة إلی شخصه، و الأغراض العائدة إلی نفسه، فیترک الاجتهاد فی فنّ لغرض من الأغراض مسامحة، و أمّا فی الامور المرتبطة بالمولی، و المطالب و الأحکام الدائرة بین الموالی و العبید، فلا، و لم یثبت أیضاً أنّ السرَّ فی بناء العقلاء علی أصالة الصحّة فی فعل الغیر و نحوها من الارتکازیّات العقلائیّة، کرجوع الجاهل إلی العالم، هو إلغاءُ احتمال الخلاف؛ لمکان مرجوحیّته و حصول الوثوق الشخصی به؛ لانتقاضه بعدم استقرار بنائهم علی ذلک فی موارد اخر مع الشکّ فی الصحّة و عدم حصول الوثوق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تحقّق الوثوق النوعی تفتقر إلی ثبوت التعبّد بها، 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فمن المحتمل أن یکون السرّ فی بناء العقلاء علی رجوع الجاهل إلی العالم فی کلّ فنّ، هو انسداد باب العلم فیه؛ بمعنی دخله فی بنائهم علی ذلک، أو لأجل لزوم اختلال نظامهم و معاشهم بدونه، و افتقارهم فی بقاء نظامهم إلی ذلک، مضافاً إلی أنّ الآراء فی المحسوسات قلیلة الاختلاف و متقاربة، بخلافها فی الأحکام الشرعیّة فی غیر الضروریّات، فإنّه قلّما توجد مسألة فی غیر الضروریّات لا توجد فیها أقوال و آراء مختلفة بین الفقهاء، بل فقیه واحد فی کتبه، ففی مثل ذلک لا تکون فتوی الغیر عذراً بالنسبة إلی من یتمکّن من استنباطها بنفسه، بل یکفی فی عدم الجواز و المعذوریّة عدم إحراز بناء العقلاء علیه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رجوع الجاهل إلی العالم لیس بنحو الإطلاق</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عرّف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ملکة یقتدر بها علی استنباط الأحکام الشرعیّة</w:t>
      </w:r>
      <w:r>
        <w:rPr>
          <w:rStyle w:val="FootnoteAnchor"/>
          <w:rtl w:val="true"/>
        </w:rPr>
        <w:footnoteReference w:id="803"/>
      </w:r>
      <w:r>
        <w:rPr>
          <w:rFonts w:ascii="IRNazanin" w:hAnsi="IRNazanin" w:eastAsia="IRNazanin"/>
          <w:color w:val="111111"/>
          <w:sz w:val="28"/>
          <w:sz w:val="28"/>
          <w:szCs w:val="28"/>
          <w:rtl w:val="true"/>
          <w:lang w:bidi="fa-IR"/>
        </w:rPr>
        <w:t>، فهو صحیح بالنسبة إلی الشخص القادر علی الاستنباط و إن لم یستنبطها فعلًا، و منطبق علیه، و هو موضوع عدم جواز الرجوع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عدم جواز الرجوع إلی الغیر بالنسبة إلی من صدر له من المجتهدین الإجازات للاستنباط، و عبّروا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ملکة الاستنباط، و یحرم علیه الرجوع إلی الغیر من غیر فرق بین من له ملکة استنباط مطلق الأحکام و جمیعها، و من له ملکة استنباط بعضها؛ بناءً علی جواز التجزّی فی الاجتهاد، کما هو الحقّ، بل الواقع أیضاً، فإنّ تلک القوّة و إن قلنا إنّها بسیطة، لکنّها ذات مراتب تحصل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مدارک الأحکام متشتّتة فی جمیع أبواب الفقه، فلا یمکن فرض قدرته علی الاجتهاد فی بعض أبواب الفقه فقط؛ لاحتمال وجود ما یصلح دلیلًا علی المسألة فی باب آخر أو معارضاً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صحّة ذلک و عدم استقامته فی تلک الأزمنة التی جمع فیها مدارک کلّ باب و أخباره فیه؛ بحیث تطمئنّ النفس بعدم وجود ما یصلح للاستدلال به فی ذلک الباب فی باب آخر، کباب الطهارات بالنسبة إلی أبواب الحدود و الدِّیات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الشکّ فی تحقّق الملکة فالأصل عدمها، فلا بدّ من إحرازها</w:t>
      </w:r>
      <w:r>
        <w:rPr>
          <w:rFonts w:eastAsia="IRNazanin" w:cs="IRNazanin"/>
          <w:color w:val="111111"/>
          <w:sz w:val="28"/>
          <w:szCs w:val="28"/>
          <w:rtl w:val="true"/>
          <w:lang w:bidi="fa-IR"/>
        </w:rPr>
        <w:t>.</w:t>
      </w:r>
      <w:bookmarkStart w:id="763" w:name="pg12898_148343"/>
    </w:p>
    <w:p>
      <w:pPr>
        <w:pStyle w:val="Heading4"/>
        <w:numPr>
          <w:ilvl w:val="3"/>
          <w:numId w:val="1"/>
        </w:numPr>
        <w:rPr/>
      </w:pPr>
      <w:bookmarkStart w:id="764" w:name="__RefHeading___Toc3235236_3224264995"/>
      <w:bookmarkStart w:id="765" w:name="_Toc287"/>
      <w:bookmarkEnd w:id="763"/>
      <w:bookmarkEnd w:id="764"/>
      <w:r>
        <w:rPr>
          <w:rtl w:val="true"/>
        </w:rPr>
        <w:t>الأمر الثانی بیان مقدّمات الاجتهاد</w:t>
      </w:r>
      <w:bookmarkEnd w:id="765"/>
    </w:p>
    <w:p>
      <w:pPr>
        <w:pStyle w:val="BookText"/>
        <w:rPr/>
      </w:pPr>
      <w:r>
        <w:rPr>
          <w:rFonts w:ascii="IRNazanin" w:hAnsi="IRNazanin" w:eastAsia="IRNazanin"/>
          <w:color w:val="111111"/>
          <w:sz w:val="28"/>
          <w:sz w:val="28"/>
          <w:szCs w:val="28"/>
          <w:rtl w:val="true"/>
          <w:lang w:bidi="fa-IR"/>
        </w:rPr>
        <w:t>فلا ریب فی أنّه بمجرّد وجود ملکة الاستنباط لشخص لا یجوز الرجوع إلیه و تقلیده، بل له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دخیلة فی نفس الملکة، و بعضها فی جواز العمل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اجتماع تلک الشرائط لا یجوز الرجوع إلیه، و لیس معذوراً لو قلّده و عمل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الامور التی هی دخیلة فی حصول القوّة و ملکة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العلوم العربیّة بمقدار یمیّز به اصطلاحات العرب، و یفتقر إلیها فی فهم معانی الکلمات العربیّة و تراکیب الکلام العربی، فمع عدم ذلک لیس معذوراً فی مخالفة الواقع لو ظنّ بالحکم الفعلی، بل و مع القطع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 بالاصطلاحات المتداولة عند أهل اللسان و استقامة ذهنه و عدم اعوجاجه؛ لکثرة اشتغاله بالمطالب العقلیّة و الفلسفیّة و بعض مباحث الاصول و المطالب العقلیّة الدقیقة فی المعانی الحرفیّة، فإنّ کثیراً من هذه المطالب مانع عن الاستنباط الصحیح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مباحث المنطق و الکلام و الاصول ممّا له دخْل فی الاستنباط، کمباحث الأقیسة و نحوها لتمییز الصحیحة عن السقیمة؛ و ذلک لأنّ المخاطب بالخطابات الشرعیّة هم العرف العامّ، و أنّ المعیار فیها هو الانفهامات العرفیّة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الاصول، و هو واضح، و لعلّ إنکار الأخباریّ له</w:t>
      </w:r>
      <w:r>
        <w:rPr>
          <w:rStyle w:val="FootnoteAnchor"/>
          <w:rtl w:val="true"/>
        </w:rPr>
        <w:footnoteReference w:id="804"/>
      </w:r>
      <w:r>
        <w:rPr>
          <w:rFonts w:ascii="Amiri" w:hAnsi="Amiri" w:eastAsia="Amiri" w:cs="Amiri"/>
          <w:color w:val="111111"/>
          <w:sz w:val="28"/>
          <w:sz w:val="28"/>
          <w:szCs w:val="28"/>
          <w:rtl w:val="true"/>
          <w:lang w:bidi="ar-SA"/>
        </w:rPr>
        <w:t>ناشٍ عن</w:t>
      </w:r>
    </w:p>
    <w:p>
      <w:pPr>
        <w:pStyle w:val="BookText"/>
        <w:rPr/>
      </w:pPr>
      <w:r>
        <w:rPr>
          <w:rFonts w:ascii="IRNazanin" w:hAnsi="IRNazanin" w:eastAsia="IRNazanin"/>
          <w:color w:val="111111"/>
          <w:sz w:val="28"/>
          <w:sz w:val="28"/>
          <w:szCs w:val="28"/>
          <w:rtl w:val="true"/>
          <w:lang w:bidi="fa-IR"/>
        </w:rPr>
        <w:t>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ذهب إلیه الاصولیّون من حجیّة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ما هو حجّة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حجّیّة اتّفاق العلماء و إجماعهم بما أنّه إجماعهم، و إلّا فعلی مبنی الإمامیّة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حجّیّته إنّما هی لأجل کشفه عن قول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سبیل له إلی إنکاره، و عدمُ کشف قول المعصوم علیه السلام به عنده، لا یوجب الطعن علی من هو کاشف عنه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یحتمل أن یکون إنکاره القواعد الاصولیّة، ناشٍ عن أنّ مثل العلّامة و السیّد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قد یذکرون الاستحسانات و الأقیسة الباطلة فی مقام الاستدلال، و لکنّه غفل عن أنّ ذکرهم لها لیس علی وجه الاستدلال بها للمسألة، بل ذکروها إلزاماً للمخالفین بمعتقدهم، بعد الفراغ عن ثبوت أصل المسألة علی طبق مبانیها الصحیحة؛ أ لا تری أنّهم ربّما یستدلّون بالأخبار الواردة من طرق العامّة، مع وضوح عدم حجّیّتها عندهم، فطعن الأخباری بذلک علی الاصولی إنّما هو لعدم التفاته إلی ذلک، و إلّا فلا مفرّ للأخباری عن العمل بکثیر من المسائل و المطالب الاصولیّة، مثل حجّیّة الظواهر و أخبار الآحاد و ظهور الأمر فی الوجوب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 ما یمیّز به الثقة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للمستنبط من ملاحظة الآیات فی کلّ مسألة و حکمٍ و معرفة مورد نزولها، و کذلک الأخبار و الغور فیها، و تحصیل الانس بمذاق الأئمّة علیهم السلام، و کیفیّة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أقوال الأصحاب خصوصاً المتقدّمین منهم الذین کانوا قریبی العهد بهم علیهم السلام؛ لئلّا یخالف فتواه إجماعهم، و احترازاً عن الفتوی بخلاف الشهرة بینهم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المحقّق البهبهانی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 الاجتهاد حصول</w:t>
      </w:r>
    </w:p>
    <w:p>
      <w:pPr>
        <w:pStyle w:val="BookText"/>
        <w:rPr/>
      </w:pPr>
      <w:r>
        <w:rPr>
          <w:rFonts w:ascii="IRNazanin" w:hAnsi="IRNazanin" w:eastAsia="IRNazanin"/>
          <w:color w:val="111111"/>
          <w:sz w:val="28"/>
          <w:sz w:val="28"/>
          <w:szCs w:val="28"/>
          <w:rtl w:val="true"/>
          <w:lang w:bidi="fa-IR"/>
        </w:rPr>
        <w:t>القوّة القدسیّة، و أطال الکلام فی ذلک</w:t>
      </w:r>
      <w:r>
        <w:rPr>
          <w:rStyle w:val="FootnoteAnchor"/>
          <w:rtl w:val="true"/>
        </w:rPr>
        <w:footnoteReference w:id="80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اجتماع هذه الشرائط یجوز له العمل برأیه بعد الفحص عن الأدلّة و معارضاتها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بعینه هو الموضوع لجواز الإفتاء؛ لعدم کونه من المناصب المفتقرة إلی الإذن و النصب، بل هو إظهار لرأیه الذی یجوز له العمل علی وفقه، فما طعن به الأخباری و منعه عن الاجتهاد و الاستنباط</w:t>
      </w:r>
      <w:r>
        <w:rPr>
          <w:rStyle w:val="FootnoteAnchor"/>
          <w:rtl w:val="true"/>
        </w:rPr>
        <w:footnoteReference w:id="806"/>
      </w:r>
      <w:r>
        <w:rPr>
          <w:rFonts w:ascii="IRNazanin" w:hAnsi="IRNazanin" w:eastAsia="IRNazanin"/>
          <w:color w:val="111111"/>
          <w:sz w:val="28"/>
          <w:sz w:val="28"/>
          <w:szCs w:val="28"/>
          <w:rtl w:val="true"/>
          <w:lang w:bidi="fa-IR"/>
        </w:rPr>
        <w:t>اغتراراً ببعض الروایات</w:t>
      </w:r>
      <w:r>
        <w:rPr>
          <w:rStyle w:val="FootnoteAnchor"/>
          <w:rtl w:val="true"/>
        </w:rPr>
        <w:footnoteReference w:id="807"/>
      </w:r>
      <w:r>
        <w:rPr>
          <w:rFonts w:ascii="IRNazanin" w:hAnsi="IRNazanin" w:eastAsia="IRNazanin"/>
          <w:color w:val="111111"/>
          <w:sz w:val="28"/>
          <w:sz w:val="28"/>
          <w:szCs w:val="28"/>
          <w:rtl w:val="true"/>
          <w:lang w:bidi="fa-IR"/>
        </w:rPr>
        <w:t>، منشؤه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هو ما عند العامّة و منه طریقتهم، و إلّا فلا محیص للأخباری عن الاجتهاد و إعمال المرجّحات عند تعارض الأخبار، و القول بحجیّة الإجماع الکاشف عن رأی المعصوم علیه السلام أو الإجماع الدخولی، کما أنّ المجتهد أخباریّ أیضاً؛ بمعنی أنّه یعمل علی طبق الأخبار، فالنزاع بین الفریقین لفظیّ</w:t>
      </w:r>
      <w:r>
        <w:rPr>
          <w:rFonts w:eastAsia="IRNazanin" w:cs="IRNazanin"/>
          <w:color w:val="111111"/>
          <w:sz w:val="28"/>
          <w:szCs w:val="28"/>
          <w:rtl w:val="true"/>
          <w:lang w:bidi="fa-IR"/>
        </w:rPr>
        <w:t>.</w:t>
      </w:r>
      <w:bookmarkStart w:id="766" w:name="pg12898_148346"/>
    </w:p>
    <w:p>
      <w:pPr>
        <w:pStyle w:val="Heading4"/>
        <w:numPr>
          <w:ilvl w:val="3"/>
          <w:numId w:val="1"/>
        </w:numPr>
        <w:rPr/>
      </w:pPr>
      <w:bookmarkStart w:id="767" w:name="__RefHeading___Toc3235238_3224264995"/>
      <w:bookmarkStart w:id="768" w:name="_Toc288"/>
      <w:bookmarkEnd w:id="766"/>
      <w:bookmarkEnd w:id="767"/>
      <w:r>
        <w:rPr>
          <w:rtl w:val="true"/>
        </w:rPr>
        <w:t>الأمر الثالث البحث حول منصب القضاء و الحکومة</w:t>
      </w:r>
      <w:bookmarkEnd w:id="768"/>
    </w:p>
    <w:p>
      <w:pPr>
        <w:pStyle w:val="Heading5"/>
        <w:numPr>
          <w:ilvl w:val="4"/>
          <w:numId w:val="1"/>
        </w:numPr>
        <w:rPr/>
      </w:pPr>
      <w:bookmarkStart w:id="769" w:name="__RefHeading___Toc3235240_3224264995"/>
      <w:bookmarkStart w:id="770" w:name="_Toc289"/>
      <w:bookmarkEnd w:id="769"/>
      <w:r>
        <w:rPr>
          <w:rtl w:val="true"/>
        </w:rPr>
        <w:t>اشارة</w:t>
      </w:r>
      <w:bookmarkEnd w:id="770"/>
    </w:p>
    <w:p>
      <w:pPr>
        <w:pStyle w:val="BookText"/>
        <w:rPr/>
      </w:pPr>
      <w:r>
        <w:rPr>
          <w:rFonts w:ascii="IRNazanin" w:hAnsi="IRNazanin" w:eastAsia="IRNazanin"/>
          <w:color w:val="111111"/>
          <w:sz w:val="28"/>
          <w:sz w:val="28"/>
          <w:szCs w:val="28"/>
          <w:rtl w:val="true"/>
          <w:lang w:bidi="fa-IR"/>
        </w:rPr>
        <w:t>من العناوین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یجوز قضاؤه و ینفذ حکمه و فصل الخصومة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المهمّ فی هذا المقام، فلا بدّ من بسط الکلام فیه و البحث عنه، و قبل الخوض فیه لا بدّ من تحریر مقتضی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مقتضی القواعد العقلیّة عدم سلطنة أحدٍ علی أحد، و عدم نفوذ حکمه علی غیره؛ لا فی رفع الخصومات و المنازعات، و لا فی الامور السیاسیّة التی یحتاج الناس إلی إقامتها، و إن کان نبیّاً و رسولًا من اللَّه إلیهم، و عالماً بعلوم الأوّلین و الآخرین، فإنّه لا ارتباط لباب فصل الخصومة و القضاء و السلطنة بکون الشخص عالماً عادلًا، بل و نبیّاً، بحیث یثبت له السلطنة علی الناس من دون احتیاج إلی الجعل من اللَّه تعالی، فإنّ مجرّد النبوّة لا یستلزم عقلًا حکومته علی الناس، و قاضیاً یحکم بینهم؛ بحیث لم تجز لأحد مخالفته، و إن کان مُحقّاً فی الواقع و حکمه مطابقاً للواقع، بل یحتاج هذا المنصب إلی الجعل و النصب؛ لینفذ حکمه، و لم تجز مخالفته و إن علم الخصم المنازع بأنّه محقّ فی الواقع، کما لو حلف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بمدیون لزید المدّعی، و حکم الحاکم الشرعی بذلک، فإنّه لا یجوز لزید أخذ المال المدّعی به و إن علم بکونه مُحقّاً فی الواقع، فالقاضی یحکم من عنده، لا أنّه یُخبر عن حکم اللَّه تعالی، و لو أخبر بحکم اللَّه فی مورد المنازعة لم تنفصل به الخصومة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الکلام فی نصب الولاة، فإنّ أمیر المؤمنین کان ینصب الولاة فی البلاد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جعل النبیّ صلی الله علیه و آله و سلم الولایة و السلطنة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اللَّه تعالی</w:t>
      </w:r>
      <w:bookmarkStart w:id="771" w:name="pg12898_148347"/>
    </w:p>
    <w:p>
      <w:pPr>
        <w:pStyle w:val="BookText"/>
        <w:rPr/>
      </w:pPr>
      <w:bookmarkEnd w:id="771"/>
      <w:r>
        <w:rPr>
          <w:rFonts w:ascii="IRNazanin" w:hAnsi="IRNazanin" w:eastAsia="IRNazanin"/>
          <w:color w:val="111111"/>
          <w:sz w:val="28"/>
          <w:sz w:val="28"/>
          <w:szCs w:val="28"/>
          <w:rtl w:val="true"/>
          <w:lang w:bidi="fa-IR"/>
        </w:rPr>
        <w:t>بالوحی أو الإلهام، فالذی یحکم به العقل هو سلطنة خالق الناس و ولیّ جمیع النِّعم؛ من حیث إنّ الکلّ مخلوقون له تعالی، و أمّا غیره تعالی فسلطنته علی الناس محتاجة إلی الجعل و 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لا إشکال و لا ریب فی ثبوت جعل السلطنة للنبیّ صلی الله علیه و آله و سلم للآیات الشریفة،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 و هو من ضروریّات دین الإسلام، و کذلک بالنسبة إلی أمیر المؤمنین و الأئمّة من ولده بعده علیه السلام بضرورة من المذهب، و لا کلام فیه، و إنّما الکلام فی ولایة غیر النبیّ و الأئمة علیهم السلام من الفقهاء فی هذا العصر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نبوّة نبیّنا صلی الله علیه و آله و سلم أکمل النبوّات، و شریعة الإسلام أتمّ الشرائع و أکملها، و لا شریعة بعدها، و أنّه صلی الله علیه و آله و سلم بیّن و بلّغ جمیع الأحکام و الآداب و اروش الجنایات، حتّی آداب الأکل و النوم و نحو ذلک، کما أخبر صلی الله علیه و آله و سلم بذلک فی حجّة الوداع</w:t>
      </w:r>
      <w:r>
        <w:rPr>
          <w:rFonts w:eastAsia="IRNazanin" w:cs="IRNazanin"/>
          <w:color w:val="111111"/>
          <w:sz w:val="28"/>
          <w:szCs w:val="28"/>
          <w:rtl w:val="true"/>
          <w:lang w:bidi="fa-IR"/>
        </w:rPr>
        <w:t>.</w:t>
      </w:r>
    </w:p>
    <w:p>
      <w:pPr>
        <w:pStyle w:val="Heading5"/>
        <w:numPr>
          <w:ilvl w:val="4"/>
          <w:numId w:val="1"/>
        </w:numPr>
        <w:rPr/>
      </w:pPr>
      <w:bookmarkStart w:id="772" w:name="__RefHeading___Toc3235242_3224264995"/>
      <w:bookmarkStart w:id="773" w:name="_Toc290"/>
      <w:bookmarkEnd w:id="772"/>
      <w:r>
        <w:rPr>
          <w:rtl w:val="true"/>
        </w:rPr>
        <w:t>القضاء و الحکومة فی زمان الغیبة</w:t>
      </w:r>
      <w:bookmarkEnd w:id="773"/>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القضاء و فصل الخصومة، و کذلک الامور السیاسیّة التی نعلم بعدم رضا الشارع بإهمالها، و تحتاج إلیها الرعیّة أشدّ الاحتیاج، و لا ینتظم بدونها نظامهم و معاشهم، لا یمکن عقلًا للشارع إهمالها و عدم تعیینه لمن یتصدّی لها فی زمان الغیبة، مع إخباره صلی الله علیه و آله و سلم عن حال الناس زمان الغیبة، و إلّا یلزم النقص فی الشریعة</w:t>
      </w:r>
      <w:r>
        <w:rPr>
          <w:rFonts w:eastAsia="IRNazanin" w:cs="IRNazanin"/>
          <w:color w:val="111111"/>
          <w:sz w:val="28"/>
          <w:szCs w:val="28"/>
          <w:rtl w:val="true"/>
          <w:lang w:bidi="fa-IR"/>
        </w:rPr>
        <w:t>.</w:t>
      </w:r>
      <w:bookmarkStart w:id="774" w:name="pg12898_148348"/>
    </w:p>
    <w:p>
      <w:pPr>
        <w:pStyle w:val="BookText"/>
        <w:rPr/>
      </w:pPr>
      <w:bookmarkEnd w:id="774"/>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علماً قطعیّاً جازماً بجعل الشارع و نصبه من یتولّی هذه الامور و یتصدّیها، و ینفذ حکمه و تصرّفاته فی الامور السیاسیّة فی هذا الزمان إجمالًا، فلا بدّ من ملاحظة أنّه من أیّ صنف من أصناف الناس، و القدر المتیقّن ثبوته للفقیه الجامع للشرائط؛ للعلم بأنّه منصوب من قِبَلهم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بالخصوص، و إمّا لأنّه من جملة المنصوبین بملاحظة الأخبار الواردة فی تعریف العلماء،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کأنبیاء بنی إسرائیل</w:t>
      </w:r>
      <w:r>
        <w:rPr>
          <w:rFonts w:eastAsia="IRNazanin" w:cs="IRNazanin"/>
          <w:color w:val="111111"/>
          <w:sz w:val="28"/>
          <w:szCs w:val="28"/>
          <w:rtl w:val="true"/>
          <w:lang w:bidi="fa-IR"/>
        </w:rPr>
        <w:t>)</w:t>
      </w:r>
    </w:p>
    <w:p>
      <w:pPr>
        <w:pStyle w:val="BookText"/>
        <w:rPr/>
      </w:pPr>
      <w:r>
        <w:rPr>
          <w:rStyle w:val="FootnoteAnchor"/>
          <w:rtl w:val="true"/>
        </w:rPr>
        <w:footnoteReference w:id="810"/>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بید العلماء باللَّه، الامناء علی حلاله و حرامه</w:t>
      </w:r>
      <w:r>
        <w:rPr>
          <w:rFonts w:eastAsia="IRNazanin" w:cs="IRNazanin"/>
          <w:color w:val="111111"/>
          <w:sz w:val="28"/>
          <w:szCs w:val="28"/>
          <w:rtl w:val="true"/>
          <w:lang w:bidi="fa-IR"/>
        </w:rPr>
        <w:t>)</w:t>
      </w:r>
    </w:p>
    <w:p>
      <w:pPr>
        <w:pStyle w:val="BookText"/>
        <w:rPr/>
      </w:pPr>
      <w:r>
        <w:rPr>
          <w:rStyle w:val="FootnoteAnchor"/>
          <w:rtl w:val="true"/>
        </w:rPr>
        <w:footnoteReference w:id="811"/>
      </w:r>
      <w:r>
        <w:rPr>
          <w:rFonts w:ascii="IRNazanin" w:hAnsi="IRNazanin" w:eastAsia="IRNazanin"/>
          <w:color w:val="111111"/>
          <w:sz w:val="28"/>
          <w:sz w:val="28"/>
          <w:szCs w:val="28"/>
          <w:rtl w:val="true"/>
          <w:lang w:bidi="fa-IR"/>
        </w:rPr>
        <w:t>و نحو ذلک، و بعض هذه الأخبار ضعیف السند، لکن لا إشکال فیها بالنسبة إلی القدر المتیقّن، و هو الفقیه الجامع لکلّ ما یحتمل اعتباره فی ذلک من الشرائط و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الذی ذکرناه قریب ممّا ذکره الإمام علیّ بن موسی الرضا علیه السلام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فی مقام بیان احتیاج الناس إلی نصب الإمام و جعل الوالی</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3235244_3224264995"/>
      <w:bookmarkStart w:id="776" w:name="_Toc291"/>
      <w:bookmarkEnd w:id="775"/>
      <w:r>
        <w:rPr>
          <w:rtl w:val="true"/>
        </w:rPr>
        <w:t>الأخبار الدالّة علی ثبوت منصب الحکومة و القضاء للفقیه</w:t>
      </w:r>
      <w:bookmarkEnd w:id="776"/>
    </w:p>
    <w:p>
      <w:pPr>
        <w:pStyle w:val="Heading6"/>
        <w:numPr>
          <w:ilvl w:val="5"/>
          <w:numId w:val="1"/>
        </w:numPr>
        <w:rPr/>
      </w:pPr>
      <w:bookmarkStart w:id="777" w:name="__RefHeading___Toc3235246_3224264995"/>
      <w:bookmarkStart w:id="778" w:name="_Toc292"/>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و أمّا الأخبار الخاصّة الدالّة علی ثبوت منصب الحکومة و القضاء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مقبولة عمر بن حنظلة، و فیها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قد روی حدیثنا، و نظر فی حلالنا و حرامنا، و عرف أحکامنا، فلیرضوا به حَکَماً، فإنّی قد جعلته علیکم حاکماً، فإذا</w:t>
      </w:r>
    </w:p>
    <w:p>
      <w:pPr>
        <w:pStyle w:val="BookText"/>
        <w:rPr/>
      </w:pPr>
      <w:r>
        <w:rPr>
          <w:rFonts w:ascii="IRNazanin" w:hAnsi="IRNazanin" w:eastAsia="IRNazanin"/>
          <w:color w:val="111111"/>
          <w:sz w:val="28"/>
          <w:sz w:val="28"/>
          <w:szCs w:val="28"/>
          <w:rtl w:val="true"/>
          <w:lang w:bidi="fa-IR"/>
        </w:rPr>
        <w:t xml:space="preserve">حکم بحکمنا فلم یقبل منه، فإنّما استخفّ بحکم اللَّه، و علینا 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اختار رجلًا من أصحابنا، فرضیا أن یکونا الناظرینِ فی حقّهما، و اختلفا فیما حکما، و کلاهما اختلفا فی حدیثکم؟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w:t>
      </w:r>
      <w:r>
        <w:rPr>
          <w:rFonts w:eastAsia="IRNazanin" w:cs="IRNazanin"/>
          <w:color w:val="111111"/>
          <w:sz w:val="28"/>
          <w:szCs w:val="28"/>
          <w:rtl w:val="true"/>
          <w:lang w:bidi="fa-IR"/>
        </w:rPr>
        <w:t>)</w:t>
      </w:r>
    </w:p>
    <w:p>
      <w:pPr>
        <w:pStyle w:val="BookText"/>
        <w:rPr/>
      </w:pPr>
      <w:r>
        <w:rPr>
          <w:rStyle w:val="FootnoteAnchor"/>
          <w:rtl w:val="true"/>
        </w:rPr>
        <w:footnoteReference w:id="81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علیه السلام فی هذه الروایة فی مقام البیان، وجب الأخذ بالقیود التی ذکرها علیه السلام، و الحکم باعتبارها فی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فیدلّ علی اعتبار کون القاضی إمامیّاً اثنی عشریّاً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حدیثنا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یراد منه من شُغْله ذلک؛ أی کان محدِّثاً، فلا یشمل من روی حدیثاً أو حدیثین مثلًا، کما لا یبعد إرادة کونه فقیهاً لا مجرّد نقل الأخبار؛ حیث إنّ المتعارف فی الأزمنة السابقة نقل الروایات بنحو الفتوی، کما لا یخفی علی من لاحظ کتب المتقدّمین من الأصحاب، و هی تدلّ أیضاً علی اعتبار الاجتهاد و الاستنباط؛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الحلال و الحرام اللّذینِ نحن مبلِّغوها و مبیِّنوها، فیظهر من ذلک اعتبار کون القاضی من أهل النظر و الاجتهاد، فلیس للمقلّد القضاء و الحکومة و رفع الخصومة بین المتنازعین؛ لأنّه ینظر إلی فتوی مقلّده و مجتهده، 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العرفان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یصدق إذا میّز حکم اللَّه عن غیره، کالصادر تقیّةً و لو بالموازین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ابن حنظلة ذلک منه؛ حیث 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أراد الاختلاف فی معنی حدیث واحد أم أراد أنّ أحدهما أخذ بحدیث منکم و الآخر بحدیث آخر، فإنّه فهم ممّا ذکره علیه السلام من القیود و الشرائط اعتبار</w:t>
      </w:r>
    </w:p>
    <w:p>
      <w:pPr>
        <w:pStyle w:val="BookText"/>
        <w:rPr/>
      </w:pPr>
      <w:r>
        <w:rPr>
          <w:rFonts w:ascii="IRNazanin" w:hAnsi="IRNazanin" w:eastAsia="IRNazanin"/>
          <w:color w:val="111111"/>
          <w:sz w:val="28"/>
          <w:sz w:val="28"/>
          <w:szCs w:val="28"/>
          <w:rtl w:val="true"/>
          <w:lang w:bidi="fa-IR"/>
        </w:rPr>
        <w:t>الاجتهاد و الفقاهة فی القاضی، و لذا سأل عن الفرض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تلک الشرائط و القیود إنّما تنطبق علی الفقیه المجتهد، فلا إشکال فی دلالة الروایة علی ثبوت منصب الحکومة و القضاء للفقیه الجامع للشرائط فقط، مضافاً إلی الإجماع المحقَّق، بل تدلّ علی ثبوت السلطنة و الولایة له فی الامور السیاسیّة أیضاً؛ لأنّ الراوی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رجلین بینهما منازعة فی دین أو میراث، فتحاکما إلی الطاغوت؛ أی إلی السلطان و القضاة، أ یحلّ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تحاکم إلیهم فی حقّ أو باطل، فإنّما تحاکم إلی الطاغوت، و قد امروا أن یکفروا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حیث إنّ الامور التی یرجع فیها عند العرف إلی السلطان و الوالی، غیر الامور التی یرجع فیها إلی القاضی، و المنازعة فی الدَّین و المیراث قد یُرجع فیها إلی القاضی، کما لو ادُّعی علیه دین أو ادُّعی أنّه وارث لفلان، فأنکره الآخر، فإنّه یرجع فیه إلی القاضی، و قد یرجع فیهما إلی السلطان، کما لو امتنع عن أداء دینه أو میراثه مع اعتراف الآخر به، فإنّه لا یرجع فیه إلی القاضی، بل إلی الوالی و السلطان، و 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فتحاکما إلی السلطان و إلی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ففی ذکر کلّ واحد منهما إشعار بما ذکرنا، کما أنّ ذکر المنازعة فی الدَّین و المیراث أیضاً من باب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إلیهم فی حقّ أو باطل فإنّما تحاکم إلی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الطاغوت یناسب الولاة و السلاطین الذین طغوا غایة الطغیان، لا القضاة الذین لا یصدر منهم إلّا الحکم و القضاء، لا الظلم و الطغیان، فقوله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جعلته حاکماً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فی أنّه جعله حاکماً مطلقاً فی الامور الراجعة إلی الولاة و القضاة جمیعاً؛ لأنّه جواب عن سؤال ابن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یصنعان؟ بعد منعه علیه السلام عن الرجوع إلی سلطانهم و قضاتهم، و مقتضاه الرجوع إلیهم فی جمیع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فی الأحکام الشرعیّة،</w:t>
      </w:r>
    </w:p>
    <w:p>
      <w:pPr>
        <w:pStyle w:val="BookText"/>
        <w:rPr/>
      </w:pPr>
      <w:r>
        <w:rPr>
          <w:rFonts w:ascii="Amiri" w:hAnsi="Amiri" w:eastAsia="Amiri" w:cs="Amiri"/>
          <w:color w:val="111111"/>
          <w:sz w:val="28"/>
          <w:sz w:val="28"/>
          <w:szCs w:val="28"/>
          <w:rtl w:val="true"/>
          <w:lang w:bidi="ar-SA"/>
        </w:rPr>
        <w:t>فیختصّ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فی غایة السقوط، فإنّه خلاف الظاهر، فلا یُصار إلیه إلّا مع قرینة علی ذلک، بل هو ظاهر فی إرادة حکمهم علیهم السلام من حیث السلطنة، 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علیه السلام بأنّ الرادّ علی الفقیه رادّ علی رسول اللَّه صلی الله علیه و آله و سلم، و الرادّ علیه صلی الله علیه و آله و سلم رادّ علی اللَّه تعالی؛ لأنّه تعالی جعل السلطنة للرسول صلی الله علیه و آله و سلم و جعلها رسول اللَّه للإمام علیه السلام، و الإمام علیه السلام للفقیه، فلو ارید منه حکم اللَّه الشرعی، فالرادّ علی الفقیه لیس رادّاً علی الإمام و النبیّ، بل رادّ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فرض الراوی السؤال عن اختلاف الحکَمین فی الحدیث، فلا ینافی عموم الصدور للقضاء و الولایة، فإنّه سؤال خاصّ عن اختلاف الحکَمین فی الحدیث، و من فروع الکلّیّة المذکورة أوّلًا، فلا یصلح قرینة علی إرادة خصوص القضاء من الصدور، فهذه الروایة مقبولة سنداً، و تامّة دلالةً علی ثبوت منصب القضاء و الولایة فی الامور السیاسیة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قدس سره بإسناده عن محمّد بن علی بن محبوب، عن أحمد بن محمّد، عن الحسین بن سعید، عن أبی الجهم،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عبد الله علیه السلام إلی أصحابنا،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بینکم خصومة أو تداری فی شی‌ء من الأخذ و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تَحاکَموا إلی أحد من هؤلاء الفسّاق، اجعلوا بینکم رجلًا قد عرف حلالنا و حرامنا، فإنّی قد جعلته علیکم قاضیاً، و إیّاکم أن یُخاصم بعضکم بعضاً إلی السلطان الجائر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سند هذه الروایة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إن کان أبی الجهم هذا هو بکیر بن أعین، و أنّ الحسین بن سعید هو الأهوازی، ففی السند إرسال؛ لأنّ بکیر توفّی فی عصر</w:t>
      </w:r>
    </w:p>
    <w:p>
      <w:pPr>
        <w:pStyle w:val="BookText"/>
        <w:rPr/>
      </w:pPr>
      <w:r>
        <w:rPr>
          <w:rFonts w:ascii="IRNazanin" w:hAnsi="IRNazanin" w:eastAsia="IRNazanin"/>
          <w:color w:val="111111"/>
          <w:sz w:val="28"/>
          <w:sz w:val="28"/>
          <w:szCs w:val="28"/>
          <w:rtl w:val="true"/>
          <w:lang w:bidi="fa-IR"/>
        </w:rPr>
        <w:t>الإمام الصادق علیه السلام، و الحسین بن سعید من أصحاب الرضا علیه السلام، فیبعد روایته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الحسین بن سعید هذا هو الحسین بن سعید بن أبی الجهم، و أنّه رواها عن جدّه، و هو أیضاً بعید، لکن الروایة مشهورة حتّی لُقّبت بها، فیمکن جبر ضعف سندها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بالقاضی هو معناه عند العرف و اللّغة، و هو الحاکم الأعمّ من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علیه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الوالی، و تقدّم أنّ المرجع فی بعض المنازعات هو القاضی فی الاصطلاح الفقهی، و فی آخر منها الوالی و السلطان، فتدلّ علی ثبوت منصب القضاء و الولایة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نهی عن الرجوع إلی السلطان الجائر فی ذیلها فی الامور الراجعة إلیه، و هو قرینة علی إرادة ذلک من الأمر بالرجوع إلی من له منصب الولایة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بحسب الدلالة مثل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الاخری و هی أوضح دلالة علی المطلوب، و هی</w:t>
      </w:r>
    </w:p>
    <w:p>
      <w:pPr>
        <w:pStyle w:val="BookText"/>
        <w:rPr/>
      </w:pPr>
      <w:r>
        <w:rPr>
          <w:rFonts w:ascii="IRNazanin" w:hAnsi="IRNazanin" w:eastAsia="IRNazanin"/>
          <w:color w:val="111111"/>
          <w:sz w:val="28"/>
          <w:sz w:val="28"/>
          <w:szCs w:val="28"/>
          <w:rtl w:val="true"/>
          <w:lang w:bidi="fa-IR"/>
        </w:rPr>
        <w:t>ما رواها الصدوق عن أحمد بن العائذ، عن أبی خدیجة سالم بن مکرم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 لکن انظروا إلی رجل منکم یعلم شیئاً من قضائنا فاجعلوه بینکم قاضیاً، فإنّی قد جعلته قاضیاً، فتحاکموا إلیه</w:t>
      </w:r>
      <w:r>
        <w:rPr>
          <w:rFonts w:eastAsia="IRNazanin" w:cs="IRNazanin"/>
          <w:color w:val="111111"/>
          <w:sz w:val="28"/>
          <w:szCs w:val="28"/>
          <w:rtl w:val="true"/>
          <w:lang w:bidi="fa-IR"/>
        </w:rPr>
        <w:t>)</w:t>
      </w:r>
    </w:p>
    <w:p>
      <w:pPr>
        <w:pStyle w:val="BookText"/>
        <w:rPr/>
      </w:pP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بقرینة نهیه علیه السلام عن الرجوع إلی أهل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یعمّ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 المأمور بالرجوع إلیه الأعمّ من القاضی و الوالی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الاخر المستدلّ بها فی المقام، فبعضها ضعیفة السند، و بعضها</w:t>
      </w:r>
    </w:p>
    <w:p>
      <w:pPr>
        <w:pStyle w:val="BookText"/>
        <w:rPr/>
      </w:pPr>
      <w:r>
        <w:rPr>
          <w:rFonts w:ascii="IRNazanin" w:hAnsi="IRNazanin" w:eastAsia="IRNazanin"/>
          <w:color w:val="111111"/>
          <w:sz w:val="28"/>
          <w:sz w:val="28"/>
          <w:szCs w:val="28"/>
          <w:rtl w:val="true"/>
          <w:lang w:bidi="fa-IR"/>
        </w:rPr>
        <w:t>ضعیفة الدلالة، و بعضها ضعیفة السند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ثواب العالم و المتعلّم عن القدّاح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سلک طریقاً یطلب فیه علماً، سلک اللَّه به طریقاً إلی الجنّة، و إنّ الملائکة لتضع أجنحتها لطالب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و إنّ الأنبیاء لم یورِّثوا دیناراً و لا درهماً، و لکن ورَّثوا العلم، فمن أخذ منه أخذ بحظّ وافر</w:t>
      </w:r>
      <w:r>
        <w:rPr>
          <w:rFonts w:eastAsia="IRNazanin" w:cs="IRNazanin"/>
          <w:color w:val="111111"/>
          <w:sz w:val="28"/>
          <w:szCs w:val="28"/>
          <w:rtl w:val="true"/>
          <w:lang w:bidi="fa-IR"/>
        </w:rPr>
        <w:t>)</w:t>
      </w:r>
    </w:p>
    <w:p>
      <w:pPr>
        <w:pStyle w:val="BookText"/>
        <w:rPr/>
      </w:pP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و ذاک أنّ الأنبیاء لم یورِّثوا درهماً و لا دیناراً، و إنّما أورَثُوا أحادیث من أحادیثهم</w:t>
      </w:r>
      <w:r>
        <w:rPr>
          <w:rFonts w:eastAsia="IRNazanin" w:cs="IRNazanin"/>
          <w:color w:val="111111"/>
          <w:sz w:val="28"/>
          <w:szCs w:val="28"/>
          <w:rtl w:val="true"/>
          <w:lang w:bidi="fa-IR"/>
        </w:rPr>
        <w:t>)</w:t>
      </w:r>
    </w:p>
    <w:p>
      <w:pPr>
        <w:pStyle w:val="BookText"/>
        <w:rPr/>
      </w:pP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عنها النراقی قدس سره بصحیحة أبی البختری</w:t>
      </w:r>
      <w:r>
        <w:rPr>
          <w:rStyle w:val="FootnoteAnchor"/>
          <w:rtl w:val="true"/>
        </w:rPr>
        <w:footnoteReference w:id="818"/>
      </w:r>
      <w:r>
        <w:rPr>
          <w:rFonts w:ascii="IRNazanin" w:hAnsi="IRNazanin" w:eastAsia="IRNazanin"/>
          <w:color w:val="111111"/>
          <w:sz w:val="28"/>
          <w:sz w:val="28"/>
          <w:szCs w:val="28"/>
          <w:rtl w:val="true"/>
          <w:lang w:bidi="fa-IR"/>
        </w:rPr>
        <w:t>، و لکنّه سهو لضعفها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فیها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فی مقام إنشاء جعل وراثة العلماء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إخبار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إطلاقها هو ثبوت مطلق ما للأنبیاء من الشئون و المناصب لهم سوی النبوّة، إلّا ما دلّ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الذیل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ورثوا العلم و الأحادیث</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یصلح قرینة علی اختصاص الصدر بخصوص العلم و الأحادیث فقط، فالحصر فیها إضافیّ قطعاً؛ من جهة إرث العلماء منهم فی کثیر من الامور الاخر، کالزهد و التقوی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نقل الأحادیث و الفتاوی فلا یحتاج إلی الجعل، بخلاف بعض شئون الأنبیاء و مناصبهم، کمنصب القضاء و السلطنة و الخلافة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أنّه إخبار عن أمر واقع، فیمکن تقریب الاستدلال بها علی المطلوب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الإخبار عن وراثة العلماء لهم علیهم السلام بقول مطلق، یکشف عن ثبوت إرثهم المناصب المجعولة للأنبیاء؛ لأنّ صحّة هذه الأخبار بقول مطلق، یکشف عن ثبوت شئون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المفتقرة إلی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سوی الامور التکوینیّة الموروثة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الذیل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ورّثوا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اختصاصه بالذکر فهو من جهة أنّه الفرد الجلیّ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الإشکال فی دلالتها علی المطلوب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استفادة إرث العلماء منه لجمیع شئون الأنبیاء محلّ تأمّل؛ لصدق ذلک علی إرثهم منهم بعض الأشیاء، کالعلم و تبلیغ الأحکام، کما أنّ مقتضی سیاق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الاولی التی ذکر فیها وضع الملائکة أجنحتها لطالب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ذلک إخبار لا إنشاء، و حینئذٍ فهما لا تصلحان للاستدلال بهما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خلفائی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خلفاؤک؟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w:t>
      </w:r>
    </w:p>
    <w:p>
      <w:pPr>
        <w:pStyle w:val="BookText"/>
        <w:rPr/>
      </w:pP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الخلافة عن رسول اللَّه صلی الله علیه و آله و سلم عبارة عن ثبوت بعض المناصب الثابتة له صلی الله علیه و آله و سلم للخلیفة أیضاً، و أمّا قوله صلی الله علیه و آله و سلم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معرِّف لهم، و لیس المراد أنّهم خلیفته صلی الله علیه و آله و سلم فی نقل الأخبار فقط، فالظاهر تمامیّة دلالتها علی المطلوب، و الظاهر اعتبارها سنداً؛ لأنّها و إن کانت مرسلة، لکنّ الصدوق قدس سره أسندها إلیه علیه السلام بنحو البتّ، 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 الفقیه فی هذا الوقت کمنزلة الأنبیاء من بنی إسرائیل</w:t>
      </w:r>
      <w:r>
        <w:rPr>
          <w:rFonts w:eastAsia="IRNazanin" w:cs="IRNazanin"/>
          <w:color w:val="111111"/>
          <w:sz w:val="28"/>
          <w:szCs w:val="28"/>
          <w:rtl w:val="true"/>
          <w:lang w:bidi="fa-IR"/>
        </w:rPr>
        <w:t>)</w:t>
      </w:r>
    </w:p>
    <w:p>
      <w:pPr>
        <w:pStyle w:val="BookText"/>
        <w:rPr/>
      </w:pP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واضحة الدلالة علی عموم المنزلة، لکن الإشکال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المذکور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و إتمام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محمّد ابن عصام، عن محمّد بن یعقوب،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أن یوصل لی کتاباً قد سألت فیه عن مسائل اشکلت علیّ، فورد التوقیع بخطّ مولانا صاحب الزمان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أرشدک اللَّه و ثبّتک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p>
    <w:p>
      <w:pPr>
        <w:pStyle w:val="BookText"/>
        <w:rPr/>
      </w:pP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ضعیفة السند بإسحاق بن یعقوب، و ما ذکره الشیخ الأعظم</w:t>
      </w:r>
      <w:r>
        <w:rPr>
          <w:rStyle w:val="FootnoteAnchor"/>
          <w:rtl w:val="true"/>
        </w:rPr>
        <w:footnoteReference w:id="822"/>
      </w:r>
      <w:r>
        <w:rPr>
          <w:rFonts w:ascii="IRNazanin" w:hAnsi="IRNazanin" w:eastAsia="IRNazanin"/>
          <w:color w:val="111111"/>
          <w:sz w:val="28"/>
          <w:sz w:val="28"/>
          <w:szCs w:val="28"/>
          <w:rtl w:val="true"/>
          <w:lang w:bidi="fa-IR"/>
        </w:rPr>
        <w:t xml:space="preserve">و المیرزا النائینی </w:t>
      </w:r>
      <w:r>
        <w:rPr>
          <w:rFonts w:eastAsia="IRNazanin" w:cs="IRNazanin"/>
          <w:color w:val="111111"/>
          <w:sz w:val="28"/>
          <w:szCs w:val="28"/>
          <w:lang w:bidi="fa-IR"/>
        </w:rPr>
        <w:t>0</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أجلّة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فیها غیر معلوم، فمن المحتمل سؤاله عن الأحکام التکلیفیّة، و معه لا تعمّ الحوادث المذکورة فیها جمیع الوقائع و الامور غیر الأحکام التکلیفیّة مثل 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بید العلماء باللَّه، الامناء علی حلاله و حرامه</w:t>
      </w:r>
      <w:r>
        <w:rPr>
          <w:rFonts w:eastAsia="IRNazanin" w:cs="IRNazanin"/>
          <w:color w:val="111111"/>
          <w:sz w:val="28"/>
          <w:szCs w:val="28"/>
          <w:rtl w:val="true"/>
          <w:lang w:bidi="fa-IR"/>
        </w:rPr>
        <w:t>)</w:t>
      </w:r>
    </w:p>
    <w:p>
      <w:pPr>
        <w:pStyle w:val="BookText"/>
        <w:rPr/>
      </w:pP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سیاقها شاهد علی أنّها فی مقام الشکایة من الخلفاء الغاصبین لحقوقهم علیهم السلام، فالظاهر أنّ المراد من العلماء فیها أنفسهم علیهم السلام، مضافاً إلی ضعف سندها؛ لعدم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کأنبیاء بنی إسرائیل</w:t>
      </w:r>
      <w:r>
        <w:rPr>
          <w:rFonts w:eastAsia="IRNazanin" w:cs="IRNazanin"/>
          <w:color w:val="111111"/>
          <w:sz w:val="28"/>
          <w:szCs w:val="28"/>
          <w:rtl w:val="true"/>
          <w:lang w:bidi="fa-IR"/>
        </w:rPr>
        <w:t>)</w:t>
      </w:r>
    </w:p>
    <w:p>
      <w:pPr>
        <w:pStyle w:val="BookText"/>
        <w:rPr/>
      </w:pPr>
      <w:r>
        <w:rPr>
          <w:rStyle w:val="FootnoteAnchor"/>
          <w:rtl w:val="true"/>
        </w:rPr>
        <w:footnoteReference w:id="825"/>
      </w:r>
      <w:r>
        <w:rPr>
          <w:rFonts w:ascii="IRNazanin" w:hAnsi="IRNazanin" w:eastAsia="IRNazanin"/>
          <w:color w:val="111111"/>
          <w:sz w:val="28"/>
          <w:sz w:val="28"/>
          <w:szCs w:val="28"/>
          <w:rtl w:val="true"/>
          <w:lang w:bidi="fa-IR"/>
        </w:rPr>
        <w:t>، و هی ظاهرة فی أنّ المراد من العلماء أنفسهم علیهم السلام، لکن لا إشکال فی أصل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عبّر فی الروایات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فی حلالنا و حرامنا، و 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مقتضاه العلم بالأحکام الشرعیّة، و الفقهاء فی هذه الأزمنة لیسوا کذلک، فلا تصلح هذه الروایة أیضاً لإثبات منصب القضاء لهم، فضلًا عن الولایة،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المقبولة شاهد علی أنّ المراد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عرفها بالنظر و الاجتهاد و الفکر و الاستنباط، و من المعلوم عدم حصول العلم القطعی لأحد بالأحکام غالباً حتّی من متلقّی الأحکام من الأئمّة علیهم السلام شفاهاً؛ لاحتمال التقیّة و غیرها، الذی لا دافع له إلّا الاصول العقلائیّة و الموازین الاجتهادیّة، التی لا تفید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المراد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الإطلاقات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العالمون بالعلوم المتفرّقة، الحاصلة من الطرق المتعارفة بالنظر و الاجتهاد، الذی لا یفید إلّا الظنّ، لا العلم بالأحکام الواقعیّة</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یحتاج فی دفع هذا الإشکال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ظانّاً بالحکم، لکنّه عالم بالوظیفة، بل لا یصحّ ذلک؛ لأنّ الظاهر أنّ المراد هو العلم بنفس الحکم</w:t>
      </w:r>
      <w:r>
        <w:rPr>
          <w:rFonts w:eastAsia="IRNazanin" w:cs="IRNazanin"/>
          <w:color w:val="111111"/>
          <w:sz w:val="28"/>
          <w:szCs w:val="28"/>
          <w:rtl w:val="true"/>
          <w:lang w:bidi="fa-IR"/>
        </w:rPr>
        <w:t>.</w:t>
      </w:r>
      <w:bookmarkStart w:id="779" w:name="pg12898_148357"/>
    </w:p>
    <w:p>
      <w:pPr>
        <w:pStyle w:val="Heading6"/>
        <w:numPr>
          <w:ilvl w:val="5"/>
          <w:numId w:val="1"/>
        </w:numPr>
        <w:rPr/>
      </w:pPr>
      <w:bookmarkStart w:id="780" w:name="__RefHeading___Toc3235248_3224264995"/>
      <w:bookmarkStart w:id="781" w:name="_Toc293"/>
      <w:bookmarkEnd w:id="779"/>
      <w:bookmarkEnd w:id="780"/>
      <w:r>
        <w:rPr>
          <w:rtl w:val="true"/>
        </w:rPr>
        <w:t>هل الاجتهاد المطلق شرط أم لا؟</w:t>
      </w:r>
      <w:bookmarkEnd w:id="781"/>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جواز التجزّی فی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تعمّ الروایات للمتجزّی أیضاً،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الاجتهاد علی الملکة المطلقة و قوّة استنباط جمیع الأحکام و إن لم یستنبطها بالفعل، و المتجزّی حینئذٍ فی مقابله من لیس له القوّة علی استنباط جمیع الأحکام، بل فی بعض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الاجتهاد و یراد منه العلم الفعلی بجمیع الأحکام، و فعلیّة استنباطها من مآخذها، و المتجزّی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 العلم الفعلی بجمیع الأحکام، بل بعضها و إن کان له قوّة ذلک و 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الروایات ما یدلّ علی اعتبار وجود الملکة المطلقة؛ و قوّة استنباط جمیع الأحکام، کما أنّه لیس هنا دلیل علی اعتبار العلم الفعلی بجمیع الأحکام، بل الذی تدلّ علیه المقبولة و نحوها، هو اعتبار وجود قوّة النظر و الاجتهاد و معرفة الأحکام، و حینئذٍ یرد هنا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العُمدة فی الأخبار هی الروایة المقبولة، و هی ظاهرة فی اعتبار العرفان فی جمیع الأحکام؛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فی حلالنا و حرامنا، و 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المفرد و الجمع المضافین یفیدان العموم، مع أنّه لا یوجد فی هذه الأزمنة من الفقهاء من یعرف جمیع الأحکام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الإشکال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الواضح أنّه علیه السلام لا یرید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حاکماً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تعجیز المکلّف و ردعه عن الرجوع إلی أحد، بل هو فی مقام جعل الفقیه حاکماً، فلا بدّ أن یرید علیه السلام من یصدق علیه أنّه عارف بالأحکام فی الجملة بالنظر و الاجتهاد؛ لعدم وجود العارف بجمیع الأحکام بالفعل سوی الإمام علیه السلام، و علی فرض وجوده لیس لنا طریق إلی إحراز ذلک</w:t>
      </w:r>
      <w:r>
        <w:rPr>
          <w:rFonts w:eastAsia="IRNazanin" w:cs="IRNazanin"/>
          <w:color w:val="111111"/>
          <w:sz w:val="28"/>
          <w:szCs w:val="28"/>
          <w:rtl w:val="true"/>
          <w:lang w:bidi="fa-IR"/>
        </w:rPr>
        <w:t>.</w:t>
      </w:r>
      <w:bookmarkStart w:id="782" w:name="pg12898_148358"/>
    </w:p>
    <w:p>
      <w:pPr>
        <w:pStyle w:val="BookText"/>
        <w:rPr/>
      </w:pPr>
      <w:bookmarkEnd w:id="782"/>
      <w:r>
        <w:rPr>
          <w:rFonts w:ascii="IRNazanin" w:hAnsi="IRNazanin" w:eastAsia="IRNazanin"/>
          <w:color w:val="111111"/>
          <w:sz w:val="28"/>
          <w:sz w:val="28"/>
          <w:szCs w:val="28"/>
          <w:rtl w:val="true"/>
          <w:lang w:bidi="fa-IR"/>
        </w:rPr>
        <w:t>مضافاً إلی أنّه فی مقابل الردع عن الرّجوع إلی المنحرفین عن أهل البیت علیهم السلام و ولاة الجور، و مقابلهم الغیر المنحرفین عنهم الآخذین من علومهم، و یشمل ذلک من عرف بعض الأحکام، نعم لا بدّ أن یعلم موازین القضاء و رفع الخصومة بمناسبة الحکم و الموضوع، و لذا اعتبره الفقهاء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روایة أبی خدیجة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یُراد منه العلم ببعض المسائل الغیر المرتبطة بباب القضاء؛ و إن لم یعرف موازین القضاء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یستفاد من الروایات اعتبار الملکة المطلقة، و لا العلم الفعلی بجمیع الأحکام، فتشمل المتجزّی الصادق علیه أنّه عارف بالأحکام بالنظر و الاجتهاد، مع علمه بموازین القضاء کذلک</w:t>
      </w:r>
      <w:r>
        <w:rPr>
          <w:rFonts w:eastAsia="IRNazanin" w:cs="IRNazanin"/>
          <w:color w:val="111111"/>
          <w:sz w:val="28"/>
          <w:szCs w:val="28"/>
          <w:rtl w:val="true"/>
          <w:lang w:bidi="fa-IR"/>
        </w:rPr>
        <w:t>.</w:t>
      </w:r>
    </w:p>
    <w:p>
      <w:pPr>
        <w:pStyle w:val="Heading5"/>
        <w:numPr>
          <w:ilvl w:val="4"/>
          <w:numId w:val="1"/>
        </w:numPr>
        <w:rPr/>
      </w:pPr>
      <w:bookmarkStart w:id="783" w:name="__RefHeading___Toc3235250_3224264995"/>
      <w:bookmarkStart w:id="784" w:name="_Toc294"/>
      <w:bookmarkEnd w:id="783"/>
      <w:r>
        <w:rPr>
          <w:rtl w:val="true"/>
        </w:rPr>
        <w:t>جواز تولّی العامّی القضاء و عدمه</w:t>
      </w:r>
      <w:bookmarkEnd w:id="784"/>
    </w:p>
    <w:p>
      <w:pPr>
        <w:pStyle w:val="Heading6"/>
        <w:numPr>
          <w:ilvl w:val="5"/>
          <w:numId w:val="1"/>
        </w:numPr>
        <w:rPr/>
      </w:pPr>
      <w:bookmarkStart w:id="785" w:name="__RefHeading___Toc3235252_3224264995"/>
      <w:bookmarkStart w:id="786" w:name="_Toc295"/>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هل یجوز للعامّی المقلِّد تولّی القضاء و فصل الخصومة؛ لو تعلّم کیفیّة القضاء و خصوصیّاته علی طبق فتوی مجتهده؛ فی عرض ثبوته للمجتهد و نفوذه؛ بحیث لا یفتقر إلی إذن المجتهد أو إجازته، أو لا؟</w:t>
      </w:r>
    </w:p>
    <w:p>
      <w:pPr>
        <w:pStyle w:val="BookText"/>
        <w:rPr/>
      </w:pPr>
      <w:r>
        <w:rPr>
          <w:rFonts w:ascii="IRNazanin" w:hAnsi="IRNazanin" w:eastAsia="IRNazanin"/>
          <w:color w:val="111111"/>
          <w:sz w:val="28"/>
          <w:sz w:val="28"/>
          <w:szCs w:val="28"/>
          <w:rtl w:val="true"/>
          <w:lang w:bidi="fa-IR"/>
        </w:rPr>
        <w:t>ذهب صاحب الجواهر</w:t>
      </w:r>
      <w:r>
        <w:rPr>
          <w:rStyle w:val="FootnoteAnchor"/>
          <w:rtl w:val="true"/>
        </w:rPr>
        <w:footnoteReference w:id="826"/>
      </w:r>
      <w:r>
        <w:rPr>
          <w:rFonts w:ascii="IRNazanin" w:hAnsi="IRNazanin" w:eastAsia="IRNazanin"/>
          <w:color w:val="111111"/>
          <w:sz w:val="28"/>
          <w:sz w:val="28"/>
          <w:szCs w:val="28"/>
          <w:rtl w:val="true"/>
          <w:lang w:bidi="fa-IR"/>
        </w:rPr>
        <w:t>ابتداء إلی الأوّل، و استدلّ علیه بآیات و روایات، و ذکر منها ما یمکن الاستدلال به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الحکم بوجوب الحکم بالعدل یعمّ غیر المجتهد</w:t>
      </w:r>
    </w:p>
    <w:p>
      <w:pPr>
        <w:pStyle w:val="BookText"/>
        <w:rPr/>
      </w:pPr>
      <w:r>
        <w:rPr>
          <w:rFonts w:ascii="IRNazanin" w:hAnsi="IRNazanin" w:eastAsia="IRNazanin"/>
          <w:color w:val="111111"/>
          <w:sz w:val="28"/>
          <w:sz w:val="28"/>
          <w:szCs w:val="28"/>
          <w:rtl w:val="true"/>
          <w:lang w:bidi="fa-IR"/>
        </w:rPr>
        <w:t>أیضاً، فهو مأمور بالحکم بالعدل، و وجب حینئذٍ علی غیره إنفاذ حکمه، و إلّا یلزم لغویّة الأمر بالحکم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الأخبار الواردة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عنده أمانة فهو مأمور بأدائها، دون من لیس عنده أمانة؛ لأنّه لا معنی له، و بمناسبة ذلک لا یُراد فیما بعده وجوب الحکم علی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مفادها وجوب الحکم بالعدل علی ولیّ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 مقام بیان کیفیّة القضاء، لا وجوب القضاء علی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فی تفسیرها، فهی</w:t>
      </w:r>
    </w:p>
    <w:p>
      <w:pPr>
        <w:pStyle w:val="BookText"/>
        <w:rPr/>
      </w:pPr>
      <w:r>
        <w:rPr>
          <w:rFonts w:ascii="Amiri" w:hAnsi="Amiri" w:eastAsia="Amiri" w:cs="Amiri"/>
          <w:color w:val="111111"/>
          <w:sz w:val="28"/>
          <w:sz w:val="28"/>
          <w:szCs w:val="28"/>
          <w:rtl w:val="true"/>
          <w:lang w:bidi="ar-SA"/>
        </w:rPr>
        <w:t>ما رواه الصدوق قدس سره عن مُعلّی بن خنیس،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الإمام أن یدفع ما عنده إلی الإمام الذی بعده، و امرت الأئمّة أن یحکموا بالعدل، و امر الناس أن یتّبعوهم</w:t>
      </w:r>
      <w:r>
        <w:rPr>
          <w:rFonts w:eastAsia="Amiri" w:cs="Amiri" w:ascii="Amiri" w:hAnsi="Amiri"/>
          <w:color w:val="111111"/>
          <w:sz w:val="28"/>
          <w:szCs w:val="28"/>
          <w:rtl w:val="true"/>
          <w:lang w:bidi="ar-SA"/>
        </w:rPr>
        <w:t>)</w:t>
      </w:r>
    </w:p>
    <w:p>
      <w:pPr>
        <w:pStyle w:val="BookText"/>
        <w:rPr/>
      </w:pP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الآیة لنا،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 و الظاهر منها أنّ المراد بالأئمّة أنفسهم علیهم السلام، و یحتمل إرادة الأعمّ منهم علیهم السلام، و من الولاة من قبلهم، و لکنّها لا تدلّ علی المطلوب، فإنّها تدلّ علی وجوب متابعة الناس لهم، لا جواز حکمهم بین الناس، مضافاً إلی أنّ المتعارف فی جمیع الأعصار عدم تصدّی کلّ أحد لأمر القضاء، بل کان ذلک مختصّاً بعدّة خاصّة معیّنة، حتّی فی ولاة الجور، فلا تدلّ علی المطلوب</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w:t>
      </w:r>
    </w:p>
    <w:p>
      <w:pPr>
        <w:pStyle w:val="BookText"/>
        <w:rPr/>
      </w:pP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و فی آیة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و فی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الظَّالِمُونَ</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هذه الآیات الواردة فی کتمان أحکام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یخفون کثیراً من تلک الأحکام، و یکتمونها، فنزلت هذه الآیات فی مذمّة ذلک و حرمته، و هو غیر ما نحن بصدده، فإنّ المراد منها الأحکام الشرعیّة التی أنزل اللَّه تعالی، و حکم القاضی لیس ممّا أنزل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لِلَّهِ شُهَداءَ بِالْقِسْطِ</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أیضاً لا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التی استدلّ بها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p>
    <w:p>
      <w:pPr>
        <w:pStyle w:val="BookText"/>
        <w:rPr/>
      </w:pPr>
      <w:r>
        <w:rPr>
          <w:rFonts w:ascii="IRNazanin" w:hAnsi="IRNazanin" w:eastAsia="IRNazanin"/>
          <w:color w:val="111111"/>
          <w:sz w:val="28"/>
          <w:sz w:val="28"/>
          <w:szCs w:val="28"/>
          <w:rtl w:val="true"/>
          <w:lang w:bidi="fa-IR"/>
        </w:rPr>
        <w:t>مشهورة أبی خدیجة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سالم بن مکرم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انظروا إلی رجل منکم یعلم شیئاً من قضایانا، فاجعلوه بینکم، فإنّی جعلته قاضیاً، فتحاکموا إلیه</w:t>
      </w:r>
      <w:r>
        <w:rPr>
          <w:rFonts w:eastAsia="IRNazanin" w:cs="IRNazanin"/>
          <w:color w:val="111111"/>
          <w:sz w:val="28"/>
          <w:szCs w:val="28"/>
          <w:rtl w:val="true"/>
          <w:lang w:bidi="fa-IR"/>
        </w:rPr>
        <w:t>)</w:t>
      </w:r>
    </w:p>
    <w:p>
      <w:pPr>
        <w:pStyle w:val="BookText"/>
        <w:rPr/>
      </w:pP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لعلم المقلِّد کیفیة القضاء آخذاً من مجتهده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إضافة القضایا إلی أنفسهم تدلّ علی إرادة العلم الحاصل بالاجتهاد</w:t>
      </w:r>
      <w:bookmarkStart w:id="787" w:name="pg12898_148361"/>
    </w:p>
    <w:p>
      <w:pPr>
        <w:pStyle w:val="BookText"/>
        <w:rPr/>
      </w:pPr>
      <w:bookmarkEnd w:id="787"/>
      <w:r>
        <w:rPr>
          <w:rFonts w:ascii="IRNazanin" w:hAnsi="IRNazanin" w:eastAsia="IRNazanin"/>
          <w:color w:val="111111"/>
          <w:sz w:val="28"/>
          <w:sz w:val="28"/>
          <w:szCs w:val="28"/>
          <w:rtl w:val="true"/>
          <w:lang w:bidi="fa-IR"/>
        </w:rPr>
        <w:t>من روایاتهم، و لو ارید من القضایا الأحکام الشرعیّة، فالمراد الأحکام التی نحن وسائط فی بیانها و تبلیغها، و لو ارید منها الحکومة و القضایا المصطلح، فالمراد القضایا الصادرة منهم المنتشرة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الروایة علم المقلِّد بکیفیّة القضاء آخذاً من مجتهده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ذاک، إنّما هو الذی یجبر الناس علی حکمه بالسیف و السوط</w:t>
      </w:r>
      <w:r>
        <w:rPr>
          <w:rFonts w:eastAsia="IRNazanin" w:cs="IRNazanin"/>
          <w:color w:val="111111"/>
          <w:sz w:val="28"/>
          <w:szCs w:val="28"/>
          <w:rtl w:val="true"/>
          <w:lang w:bidi="fa-IR"/>
        </w:rPr>
        <w:t>)</w:t>
      </w:r>
    </w:p>
    <w:p>
      <w:pPr>
        <w:pStyle w:val="BookText"/>
        <w:rPr/>
      </w:pP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8" w:name="__RefHeading___Toc3235254_3224264995"/>
      <w:bookmarkStart w:id="789" w:name="_Toc296"/>
      <w:bookmarkEnd w:id="788"/>
      <w:r>
        <w:rPr>
          <w:rtl w:val="true"/>
        </w:rPr>
        <w:t>و یمکن تقریب الاستدلال فی موضعین منها علی المطلوب</w:t>
      </w:r>
      <w:bookmarkEnd w:id="7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فیتراضیان برجل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من الشیعة الاثنی عشریة، فیشمل العامّی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یجبر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من حیث حصره علیه السلام عدم جواز القضاء بمن یجبر الناس، فیدلّ علی جوازه لمن لیس کذلک، الشامل للعامّی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إجمال، و من المعلوم أنّه إشارة إلی مطالب معهودة بینه علیه السلام و بین الحلبی، و هی غیر معلومة، و من الممکن أنّها ممّا یصلح للقرینیة علی المراد، مضافاً إلی أنّ کلمة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لیست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دلالتها علیه فی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لانتقاضه طرداً و عکساً، فإنّ مقتضاه جواز القضاء من قضاة العامّة إذا لم یکن لهم سوط و سیف، مع أنّه لیس کذلک، و عدم جوازه لإمام الحقّ إذا کان له سوط و سیف، کأمیر المؤمنین علیه السلام، و هو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تمسّک به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لها علی المطلوب أصلًا، فهی بالإعراض عنها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أشار قدس سره</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 نتعرّض له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الاجتهاد المتعارف فی هذا الزمان، لم یکن متداولًا فی الصدر الأوّل و فی عصر الأئمّة علیهم السلام، بل هو حادث من زمان الشیخ قدس سره إلی هذه الأعصار، و حینئذٍ فالمراد من قوله علیه السلام فی المقبولة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فی حلالنا و حرامنا و 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معرفة الأحکام بالطریق المتعارف فی ذلک العصر بتلقّیها منهم علیهم السلام مشافهة، نظیر علم المقلّدین فی هذا العصر، آخذاً من مجتهده مشافهة، فیشمل علم المقلّدین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 ما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الاجتهاد بهذا النحو المتعارف فی هذا العصر کان محقّقاً و متعارفاً فی ذلک العصر أیضاً؛ لاختلاف الأقوال و تشتّت الآراء فیه أیضاً، غایة الأمر أنّه لم یکن یفتقر إلی تلک المشقّات الکثیرة الناشئة عن بُعد زماننا عنهم علیهم السلام و عن عصرهم؛ لأنّ الاختلافات و الأقوال فی هذا الزمان أکثر من عصرهم، فلا یتحقّق الاجتهاد فی هذا العصر إلّا بتتبّع الأدلّة و معارضاتها و الأقوال و الإجماعات، بخلافه فی ذلک العصر؛ لعدم احتیاجه فیه إلی تلک المشقّات الکثیرة، و إلّا فأصل الاجتهاد و النظر فی الأحکام کان متحقّقاً فیه أیضاً، و إلّا یلزم عدم جواز القضاء لمثل زرارة و محمّد بن مسلم و أمثالهما، مع أنّ صدق معرفة الأحکام و النظر فی الحلال و الحرام بالنسبة إلی أمثالهم أوضح من صدقه علی المجتهدین فی هذه الأعصار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منصب القضاء بالمجتهدین من المسلّمات، و لا یحتاج إلی إتعاب النفس و زیادة البحث و الکلام فیه؛ للمقطع بعدم جواز القضاء للعامّی المقلِّد،</w:t>
      </w:r>
      <w:bookmarkStart w:id="790" w:name="pg12898_148363"/>
    </w:p>
    <w:p>
      <w:pPr>
        <w:pStyle w:val="BookText"/>
        <w:rPr/>
      </w:pPr>
      <w:bookmarkEnd w:id="790"/>
      <w:r>
        <w:rPr>
          <w:rFonts w:ascii="IRNazanin" w:hAnsi="IRNazanin" w:eastAsia="IRNazanin"/>
          <w:color w:val="111111"/>
          <w:sz w:val="28"/>
          <w:sz w:val="28"/>
          <w:szCs w:val="28"/>
          <w:rtl w:val="true"/>
          <w:lang w:bidi="fa-IR"/>
        </w:rPr>
        <w:t>کما ذکر صاحب العروة</w:t>
      </w:r>
      <w:r>
        <w:rPr>
          <w:rStyle w:val="FootnoteAnchor"/>
          <w:rtl w:val="true"/>
        </w:rPr>
        <w:footnoteReference w:id="837"/>
      </w:r>
      <w:r>
        <w:rPr>
          <w:rFonts w:ascii="IRNazanin" w:hAnsi="IRNazanin" w:eastAsia="IRNazanin"/>
          <w:color w:val="111111"/>
          <w:sz w:val="28"/>
          <w:sz w:val="28"/>
          <w:szCs w:val="28"/>
          <w:rtl w:val="true"/>
          <w:lang w:bidi="fa-IR"/>
        </w:rPr>
        <w:t>، و هذه المباحث مباحث علمیّة فقط</w:t>
      </w:r>
      <w:r>
        <w:rPr>
          <w:rFonts w:eastAsia="IRNazanin" w:cs="IRNazanin"/>
          <w:color w:val="111111"/>
          <w:sz w:val="28"/>
          <w:szCs w:val="28"/>
          <w:rtl w:val="true"/>
          <w:lang w:bidi="fa-IR"/>
        </w:rPr>
        <w:t>.</w:t>
      </w:r>
    </w:p>
    <w:p>
      <w:pPr>
        <w:pStyle w:val="Heading5"/>
        <w:numPr>
          <w:ilvl w:val="4"/>
          <w:numId w:val="1"/>
        </w:numPr>
        <w:rPr/>
      </w:pPr>
      <w:bookmarkStart w:id="791" w:name="__RefHeading___Toc3235256_3224264995"/>
      <w:bookmarkStart w:id="792" w:name="_Toc297"/>
      <w:bookmarkEnd w:id="791"/>
      <w:r>
        <w:rPr>
          <w:rtl w:val="true"/>
        </w:rPr>
        <w:t>هل یجوز للفقیه نصب العامّی للقضاء أم لا؟</w:t>
      </w:r>
      <w:bookmarkEnd w:id="792"/>
    </w:p>
    <w:p>
      <w:pPr>
        <w:pStyle w:val="BookText"/>
        <w:rPr/>
      </w:pPr>
      <w:r>
        <w:rPr>
          <w:rFonts w:ascii="IRNazanin" w:hAnsi="IRNazanin" w:eastAsia="IRNazanin"/>
          <w:color w:val="111111"/>
          <w:sz w:val="28"/>
          <w:sz w:val="28"/>
          <w:szCs w:val="28"/>
          <w:rtl w:val="true"/>
          <w:lang w:bidi="fa-IR"/>
        </w:rPr>
        <w:t>ثمّ إنّه بناءً علی عدم جواز استقلال العامّی للقضاء، فهل للفقیه نصبه قاضیاً، و ینفذ حکمه بما أنّه عامّی، و یفصل بحکمه الخصومة، مثل حکم الفقیه المنصوب من قبل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حکم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یجوز 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 بالجواز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للنبیّ صلی الله علیه و آله و سلم و الأئمّة نصب أیّ شخص یریدونه للقضاء حتّی العامّی؛ لثبوت الولایة التامّة و المطلقة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ثبت للنبیّ و الأئمّة علیهم السلام، فهو ثابت للفقیه؛ لأدلّة ولایته و تنزیله 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هذان الأمران أنّ للفقیه أن ینصب العامّی للقضاء، و ینفذ حکمه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المقبولة تدلّ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للأئمّة علیهم السلام نصب الفقیه للقضاء؛ لمصلحة اقتضت ذلک، فلو اقتضت المصلحة أن ینصب الفقیهُ العامّیَّ جاز له ذلک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الإشکال فی الأمر الأوّل الذی هو صغری للاستدلال المذکور، فإنّه لا إشکال فی أنّ النبیّ صلی الله علیه و آله و سلم لو نصب العامّی للقضاء، کشف ذلک جوازه له و ثبوته، و لکنّ الکلام فی أنّه هل یجوز ذلک له صلی الله علیه و آله و سلم بحسب الحکم الشرعی الإلهی، أو لا یجوز له صلی الله علیه و آله و سلم ذلک کما فی الأمر بالجور و جعل الفاسق إماماً؟</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لا یدلّ علی وجوب إطاعته لو أمر بشی‌ء حتّی لو أمر فرضاً بإطاعة فاسق، و لا یدلّ أنّ له بحسب حکم اللَّه ذلک، و حینئذٍ فیمکن دعوی القطع بعدم أهلیّة العامّی لمنصب القضاء؛ بملاحظة الأخبار الواردة فی باب القضاء، مثل قوله علیه السلام فی الصحیح لشُریح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مجلساً لا یجلس فیه إلّا نبیّ أو وصیّ نبیّ</w:t>
      </w:r>
      <w:r>
        <w:rPr>
          <w:rFonts w:eastAsia="Amiri" w:cs="Amiri" w:ascii="Amiri" w:hAnsi="Amiri"/>
          <w:color w:val="111111"/>
          <w:sz w:val="28"/>
          <w:szCs w:val="28"/>
          <w:rtl w:val="true"/>
          <w:lang w:bidi="ar-SA"/>
        </w:rPr>
        <w:t>)</w:t>
      </w:r>
    </w:p>
    <w:p>
      <w:pPr>
        <w:pStyle w:val="BookText"/>
        <w:rPr/>
      </w:pPr>
      <w:r>
        <w:rPr>
          <w:rStyle w:val="FootnoteAnchor"/>
          <w:rtl w:val="true"/>
        </w:rPr>
        <w:footnoteReference w:id="839"/>
      </w:r>
      <w:r>
        <w:rPr>
          <w:rFonts w:ascii="IRNazanin" w:hAnsi="IRNazanin" w:eastAsia="IRNazanin"/>
          <w:color w:val="111111"/>
          <w:sz w:val="28"/>
          <w:sz w:val="28"/>
          <w:szCs w:val="28"/>
          <w:rtl w:val="true"/>
          <w:lang w:bidi="fa-IR"/>
        </w:rPr>
        <w:t>مع الأدلّة الدالّة علی ثبوته للفقیه أیضاً، و بملاحظة السیرة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عصر النبیّ صلی الله علیه و آله و سلم إلی عصر الأئمّة علیهم السلام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اختصاص هذا المنصب بالفقهاء، و لا أقلّ من الشکّ فی أهلیّته بحسب حکم اللَّه لذلک، المستلزم للشکّ فی أنّ النبیّ جعله له أوْ لا، و هو کافٍ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الأمر الثانی الذی هو کبری الاستدلال، فإن ارید منه أنّ کلّ ما ثبت للنبیّ صلی الله علیه و آله و سلم فهو ثابت للفقیه، حتّی المختصات به صلی الله علیه و آله و سلم، التی تبلغ نیّفاً و سبعین؛ بناءً علی ما ذکره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و کذلک کلّ ما ثبت للأئمّة علیهم السلام و إن کان من مختصّاتهم، فهو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منه ثبوت کلّ ما ثبت للنبیّ صلی الله علیه و آله و سلم من الشئون بما أنّه سلطان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الشئون المربوطة بالسلطان 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للفقیه، فلا سبیل إلی إنکاره، بل هو مقتضی المقبولة، و لیس معنی الخلافة و تنزیل الفقیه منزلة الإمام إلّا ذلک</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لزوم تخصیص الأکثر إنّما تصحّ لو ارید ثبوت جمیع ما ثبت للنبیّ صلی الله علیه و آله و سلم للفقیه أیضاً حتّی المختصّات، فإنّه مستلزم له حینئذٍ، بخلاف ما لو ارید منه ثبوت ما ثبت له صلی الله علیه و آله و سلم من شئون السلطنة و الحکومة فقط، و إلّا فیلزم هذا</w:t>
      </w:r>
      <w:bookmarkStart w:id="793" w:name="pg12898_148365"/>
    </w:p>
    <w:p>
      <w:pPr>
        <w:pStyle w:val="BookText"/>
        <w:rPr/>
      </w:pPr>
      <w:bookmarkEnd w:id="793"/>
      <w:r>
        <w:rPr>
          <w:rFonts w:ascii="IRNazanin" w:hAnsi="IRNazanin" w:eastAsia="IRNazanin"/>
          <w:color w:val="111111"/>
          <w:sz w:val="28"/>
          <w:sz w:val="28"/>
          <w:szCs w:val="28"/>
          <w:rtl w:val="true"/>
          <w:lang w:bidi="fa-IR"/>
        </w:rPr>
        <w:t>الإشکال بالنسبة إلی الإمام أیضاً؛ لعدم ثبوت مختصّات النبیّ صلی الله علیه و آله و سلم له علیه السلام، لکنّ الإشکال حینئذٍ فی الأمر الأوّل</w:t>
      </w:r>
      <w:r>
        <w:rPr>
          <w:rFonts w:eastAsia="IRNazanin" w:cs="IRNazanin"/>
          <w:color w:val="111111"/>
          <w:sz w:val="28"/>
          <w:szCs w:val="28"/>
          <w:rtl w:val="true"/>
          <w:lang w:bidi="fa-IR"/>
        </w:rPr>
        <w:t>.</w:t>
      </w:r>
    </w:p>
    <w:p>
      <w:pPr>
        <w:pStyle w:val="Heading5"/>
        <w:numPr>
          <w:ilvl w:val="4"/>
          <w:numId w:val="1"/>
        </w:numPr>
        <w:rPr/>
      </w:pPr>
      <w:bookmarkStart w:id="794" w:name="__RefHeading___Toc3235258_3224264995"/>
      <w:bookmarkStart w:id="795" w:name="_Toc298"/>
      <w:bookmarkEnd w:id="794"/>
      <w:r>
        <w:rPr>
          <w:rtl w:val="true"/>
        </w:rPr>
        <w:t>هل یجوز توکیل العامّی للقضاء؟</w:t>
      </w:r>
      <w:bookmarkEnd w:id="795"/>
    </w:p>
    <w:p>
      <w:pPr>
        <w:pStyle w:val="BookText"/>
        <w:rPr/>
      </w:pPr>
      <w:r>
        <w:rPr>
          <w:rFonts w:ascii="IRNazanin" w:hAnsi="IRNazanin" w:eastAsia="IRNazanin"/>
          <w:color w:val="111111"/>
          <w:sz w:val="28"/>
          <w:sz w:val="28"/>
          <w:szCs w:val="28"/>
          <w:rtl w:val="true"/>
          <w:lang w:bidi="fa-IR"/>
        </w:rPr>
        <w:t>ثمّ إنّه بناءً علی عدم جواز نصب العامّی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للفقیه توکیله فی ذلک؛ بمعنی نفوذ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حکم موکِّله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فصلِهِ للخصومة، أوْ لا؟</w:t>
      </w:r>
    </w:p>
    <w:p>
      <w:pPr>
        <w:pStyle w:val="BookText"/>
        <w:rPr/>
      </w:pPr>
      <w:r>
        <w:rPr>
          <w:rFonts w:ascii="IRNazanin" w:hAnsi="IRNazanin" w:eastAsia="IRNazanin"/>
          <w:color w:val="111111"/>
          <w:sz w:val="28"/>
          <w:sz w:val="28"/>
          <w:szCs w:val="28"/>
          <w:rtl w:val="true"/>
          <w:lang w:bidi="fa-IR"/>
        </w:rPr>
        <w:t>و الاستدلال لجوازه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الوکالة من الامور العقلائیّة، کما فی مثل البیع و الشراء و نحوهما، و یکفی فیها عدم ردع الشارع عنها؛ من دون افتقار إلی عموم أو إطلاق لفظیّ،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ملاحظة الروایات الدالّة علی اختصاص القضاء بالنبیّ و الوصیّ و الفقیه النازل منزلتهما، مثل قوله علیه السلام لشُریح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مجلساً لا یجلس فیه إلّا نبیّ أو وصیّ نبیّ أو 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مع الروایات الدالّة علی تنزیل الفقیه منزلة الإمام</w:t>
      </w:r>
      <w:r>
        <w:rPr>
          <w:rStyle w:val="FootnoteAnchor"/>
          <w:rtl w:val="true"/>
        </w:rPr>
        <w:footnoteReference w:id="841"/>
      </w:r>
      <w:r>
        <w:rPr>
          <w:rFonts w:ascii="IRNazanin" w:hAnsi="IRNazanin" w:eastAsia="IRNazanin"/>
          <w:color w:val="111111"/>
          <w:sz w:val="28"/>
          <w:sz w:val="28"/>
          <w:szCs w:val="28"/>
          <w:rtl w:val="true"/>
          <w:lang w:bidi="fa-IR"/>
        </w:rPr>
        <w:t>، و کذلک السیرة المستمرّة من الخلف إلی السلف علی تخصیص هذا المنصب بالفقهاء، یُشرِف المتأمّل علی القطع بعدم أهلیّة العامّی حتّی بعنوان الوکالة و النیابة، و إن لم یعتبر فی الوکالة تنزیل الوکیل منزلة الموکِّل کما فی النیابة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التمسّک ببناء العقلاء مع عدم الردع عنه شرعاً؛ لو ثبت هذا البناء منهم فی عصر الأئمّة علیهم السلام، مع کونه بمرأی و منظر منهم، مع عدم ردعهم عنه، و ما نحن فیه لیس کذلک؛ لعدم بنائهم علی ذلک فی عصرهم علیهم السلام، بل الثابت خلافه،</w:t>
      </w:r>
    </w:p>
    <w:p>
      <w:pPr>
        <w:pStyle w:val="BookText"/>
        <w:rPr/>
      </w:pPr>
      <w:r>
        <w:rPr>
          <w:rFonts w:ascii="IRNazanin" w:hAnsi="IRNazanin" w:eastAsia="IRNazanin"/>
          <w:color w:val="111111"/>
          <w:sz w:val="28"/>
          <w:sz w:val="28"/>
          <w:szCs w:val="28"/>
          <w:rtl w:val="true"/>
          <w:lang w:bidi="fa-IR"/>
        </w:rPr>
        <w:t>فلا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و وجد فی أدلّة الوکالة من الأخبار عموم أو إطلاق لفظیّان، أمکن التمسّک بهما فی المقام، لکن لیس فیها ما هو کذلک، إلّا</w:t>
      </w:r>
    </w:p>
    <w:p>
      <w:pPr>
        <w:pStyle w:val="BookText"/>
        <w:rPr/>
      </w:pPr>
      <w:r>
        <w:rPr>
          <w:rFonts w:ascii="IRNazanin" w:hAnsi="IRNazanin" w:eastAsia="IRNazanin"/>
          <w:color w:val="111111"/>
          <w:sz w:val="28"/>
          <w:sz w:val="28"/>
          <w:szCs w:val="28"/>
          <w:rtl w:val="true"/>
          <w:lang w:bidi="fa-IR"/>
        </w:rPr>
        <w:t>روایة معاویة بن وهب و جابر بن یزید جمیعاً،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وکّل رجلًا علی إمضاء أمر من الامور، فالوکالة ثابتة أبداً حتّی یُعلمه بالخروج منها، کما أعلمه بالدخول فیها</w:t>
      </w:r>
      <w:r>
        <w:rPr>
          <w:rFonts w:eastAsia="IRNazanin" w:cs="IRNazanin"/>
          <w:color w:val="111111"/>
          <w:sz w:val="28"/>
          <w:szCs w:val="28"/>
          <w:rtl w:val="true"/>
          <w:lang w:bidi="fa-IR"/>
        </w:rPr>
        <w:t>)</w:t>
      </w:r>
    </w:p>
    <w:p>
      <w:pPr>
        <w:pStyle w:val="BookText"/>
        <w:rPr/>
      </w:pP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أیضاً لیست فی مقام أنّ الوکالة جائزة فی أیّ أمر، أو فی کلّ أمر، بل فی مقام بیان أنّ وکالة الوکیل بعد ثبوتها له، باقیة إلی أن یُعلمه بالعزل عنها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المنصب یختصّ بالفقیه، و لا حظّ للعامّی فیه أصلًا بوجهٍ من الوجوه؛ لا استقلالًا و لا وکالة و لا نیابة</w:t>
      </w:r>
      <w:r>
        <w:rPr>
          <w:rFonts w:eastAsia="IRNazanin" w:cs="IRNazanin"/>
          <w:color w:val="111111"/>
          <w:sz w:val="28"/>
          <w:szCs w:val="28"/>
          <w:rtl w:val="true"/>
          <w:lang w:bidi="fa-IR"/>
        </w:rPr>
        <w:t>.</w:t>
      </w:r>
      <w:bookmarkStart w:id="796" w:name="pg12898_148367"/>
    </w:p>
    <w:p>
      <w:pPr>
        <w:pStyle w:val="Heading4"/>
        <w:numPr>
          <w:ilvl w:val="3"/>
          <w:numId w:val="1"/>
        </w:numPr>
        <w:rPr/>
      </w:pPr>
      <w:bookmarkStart w:id="797" w:name="__RefHeading___Toc3235260_3224264995"/>
      <w:bookmarkStart w:id="798" w:name="_Toc299"/>
      <w:bookmarkEnd w:id="796"/>
      <w:bookmarkEnd w:id="797"/>
      <w:r>
        <w:rPr>
          <w:rtl w:val="true"/>
        </w:rPr>
        <w:t>الأمر الرابع تشخیص مرجع التقلید و الفتوی</w:t>
      </w:r>
      <w:bookmarkEnd w:id="798"/>
    </w:p>
    <w:p>
      <w:pPr>
        <w:pStyle w:val="Heading5"/>
        <w:numPr>
          <w:ilvl w:val="4"/>
          <w:numId w:val="1"/>
        </w:numPr>
        <w:rPr/>
      </w:pPr>
      <w:bookmarkStart w:id="799" w:name="__RefHeading___Toc3235262_3224264995"/>
      <w:bookmarkStart w:id="800" w:name="_Toc300"/>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یقع الکلام فیمن یجوز تقلیده و الرجوع إلیه فی أخذ فتواه و العمل بها، و أنّه هل هو خصوص الأعلم، أو مطلق المجتهد المطلق، أو الأعمّ منه و من المتجزّی؟ فإمّا أن یعلم بعدم مخالفة غیر الأعلم للأعلم فی الفتوی، أو المتجزّی للمجتهد المطلق، أو یعلم بالمخالفة، و إمّا أن یعلم ذلک إجمالًا فی بعض فتاواهما، و إمّا أن لا یعلم بالموافقة و المخالفة فی فتاواهما؛ لا تفصیلًا و لا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البحث لا بدّ من تحریر الأصل فی المسألة؛ لیرجع إلیه عند عدم الدلیل</w:t>
      </w:r>
      <w:r>
        <w:rPr>
          <w:rFonts w:eastAsia="IRNazanin" w:cs="IRNazanin"/>
          <w:color w:val="111111"/>
          <w:sz w:val="28"/>
          <w:szCs w:val="28"/>
          <w:rtl w:val="true"/>
          <w:lang w:bidi="fa-IR"/>
        </w:rPr>
        <w:t>.</w:t>
      </w:r>
    </w:p>
    <w:p>
      <w:pPr>
        <w:pStyle w:val="Heading5"/>
        <w:numPr>
          <w:ilvl w:val="4"/>
          <w:numId w:val="1"/>
        </w:numPr>
        <w:rPr/>
      </w:pPr>
      <w:bookmarkStart w:id="801" w:name="__RefHeading___Toc3235264_3224264995"/>
      <w:bookmarkStart w:id="802" w:name="_Toc301"/>
      <w:bookmarkEnd w:id="801"/>
      <w:r>
        <w:rPr>
          <w:rtl w:val="true"/>
        </w:rPr>
        <w:t>مقتضی الأصل</w:t>
      </w:r>
      <w:r>
        <w:rPr>
          <w:rtl w:val="true"/>
        </w:rPr>
        <w:t xml:space="preserve">: </w:t>
      </w:r>
      <w:r>
        <w:rPr>
          <w:rtl w:val="true"/>
        </w:rPr>
        <w:t>وجوب تقلید الأعلم</w:t>
      </w:r>
      <w:bookmarkEnd w:id="80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باب التقلید لیس من باب السببیّة، فلا طائل فی البحث عنه علی هذا الفرض؛ للقطع بأنّ فتوی المجتهد طریق للوصول إلی الأحکام الشرعیّة الواقعیّة، لا أنّه تتحقّق بها مصلحة ملزمة أو غیر ملزمة فیما تعلّق به نظره و اجتهاده بلا ریب و لا إشکال، فهو نظیر رجوع المجتهد إلی خبر الثقة و العمل به فی أنّه طریق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فیمکن تقریر الأصل؛ و أنّ مقتضاه الرجوع إلی الأعلم و تقلیده تعییناً بوجوه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بوجود أحکام واقعیّة مشترکة بین العالم و الجاهل، لا تختصّ</w:t>
      </w:r>
    </w:p>
    <w:p>
      <w:pPr>
        <w:pStyle w:val="BookText"/>
        <w:rPr/>
      </w:pPr>
      <w:r>
        <w:rPr>
          <w:rFonts w:ascii="IRNazanin" w:hAnsi="IRNazanin" w:eastAsia="IRNazanin"/>
          <w:color w:val="111111"/>
          <w:sz w:val="28"/>
          <w:sz w:val="28"/>
          <w:szCs w:val="28"/>
          <w:rtl w:val="true"/>
          <w:lang w:bidi="fa-IR"/>
        </w:rPr>
        <w:t>بطائفة دون طائفة، و یجب موافقتها بحکم العقل بالامتثال العلمی، و لا أقلّ من الاطمئنان الذی یعدّ علماً عند العقلاء، فالاکتفاء بالظنّ و العمل بالأمارات یحتاج إلی دلیل، و لکن وجوب الامتثال العلمی و تعیّنه بالاجتهاد فی الأحکام أو العمل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الامتثال العلمی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الإجماع بل الضرورة؛ لاستلزامه الاختلالَ فی النظام و المعاش و العسرَ و الحرجَ الشدیدین، فیکفی تقلید الفقیه المجتهد فی معرفة الأحکام، فإنّه ممّا وصل إلینا یداً بیدٍ من زمن الأئمّة علیهم السلام و لیس من الامور الحادثة، بل کان متعارفاً فی الأعصار السابقة، حتّی فی عصر الأئمّة علیهم السلام، و القدر المتیقّن هو جواز الرجوع إلی الأعلم و العمل بفتواه للعلم بجوازه إمّا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وجوب تقلید الأعلم ممّا تسالم علیه العلماء إلی زمان الشهید الثانی قدس سره</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تخییراً بینه و بین تقلید غیر الأعلم، کما ذهب إلیه جمع ممّن تأخّر عنه</w:t>
      </w:r>
      <w:r>
        <w:rPr>
          <w:rStyle w:val="FootnoteAnchor"/>
          <w:rtl w:val="true"/>
        </w:rPr>
        <w:footnoteReference w:id="844"/>
      </w:r>
      <w:r>
        <w:rPr>
          <w:rFonts w:ascii="IRNazanin" w:hAnsi="IRNazanin" w:eastAsia="IRNazanin"/>
          <w:color w:val="111111"/>
          <w:sz w:val="28"/>
          <w:sz w:val="28"/>
          <w:szCs w:val="28"/>
          <w:rtl w:val="true"/>
          <w:lang w:bidi="fa-IR"/>
        </w:rPr>
        <w:t>، فالرجوع إلی الأعلم و تقلیده مجزٍ قطعاً، و الرجوع إلی غیره و تقلیده مشکوک الجواز، فیحتاج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من قبیل دوران الأمر بین التعیین و التخییر، بعد ما ثبت أنّ حجّیّة فتوی المجتهد من باب الطریقیّة إلی الواقع، و المختار فیه هو التعیین، خصوصاً فی صورة الشکّ فی حجّیّة طریق؛ لاعتبار القطع بالحجّیّة للطریق المسلوک فی مقام الامتثال، و فتوی الأعلم کذلک؛ للعلم بحجّیّتها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تعییناً، أو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فتوی غیر الأعلم یحتاج إلی الدلیل؛ لما عرفت من أنّه لا إشکال هنا فی التعیین، و إن لم نقل به فی سائر موارد دورانه بین التعیین و التخییر، مع أنّ الحقّ فیها أیضاً ذلک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 و بین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الأوّل إنّما هو بمناط القدر المتیقّن و من طریقه، بخلاف هذا الوجه، فإنّه بمناط الدوران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تقریبه بطریق الانسداد؛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الرجوع إلی الأعلم فی مقام الامتثال و تقلیده، لزم إمّا إهمال الوقائع، و هو باطل بالضرورة، و إمّا الاحتیاط، و هو مستلزم لاختلال النظام و المعاش، و إمّا الرجوع إلی غیر الأعلم فیلزم ترجیح المرجوح علی الراجح، کما تقدّم فی باب الانسداد، فإذا بطلت التوالی الثلاث ثبت المقدّم، و هو وجوب تقلید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إهمال الوقائع و إن کان خلاف الضرورة، و کذلک الاحتیاط التامّ موجب لاختلال النظام و العسر و الحرج، لکن التجزّی فی الاحتیاط لا یوجب ذلک، کالأخذ بأحوط أقوال المجتهدین؛ لعدم العلم بوجود التکالیف خارجاً عن دائرة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ترجیح المرجوح علی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منه أنّ فتوی الأعلم أقرب إلی الواقع من فتوی غیر الأعلم، فهو ممنوع؛ لأنّه کثیراً ما توافق فتوی غیر الأعلم فتوی الأعلم من الفقهاء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دلیل الانسداد لا ینتج إلّا وجوب التبعیض فی الاحتیاط، کما قرّرناه فی الانسداد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تعیّن وجوب تقلید الأعلم؛ لأنّه لو فرض هنا مجتهدان متساویان فی العلم و لا أعلم منهما، فالعقل یحکم بالتخییر بینهما بعد بطلان وجوب الاحتیاط، فلو صار أحدهما بعد ذلک أعلم من الآخر فیشکّ حینئذٍ فی بقاء التخییر و عدمه، فقضیّة استصحاب بقاء التخییر هو التخییر بینهما، و بعدم القول بالفصل بینه و بین سائر الموارد یثبت المطلوب؛ أی التخییر مطلقاً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یعارض ذلک بما لو فرض وجود مجتهد واحد لا غیر، فإنّه یتعیّن تقلیده، فلو وجد مجتهد آخر بعد ذلک، لکنّ الأوّل أعلم من هذا، فیشکّ فی بقاء تعیین تقلید الأوّل الأعلم و عدمه، یستصحب تعیّن تقلیده، و بعدم القول بالفصل یثبت تعیّن</w:t>
      </w:r>
    </w:p>
    <w:p>
      <w:pPr>
        <w:pStyle w:val="BookText"/>
        <w:rPr/>
      </w:pPr>
      <w:r>
        <w:rPr>
          <w:rFonts w:ascii="IRNazanin" w:hAnsi="IRNazanin" w:eastAsia="IRNazanin"/>
          <w:color w:val="111111"/>
          <w:sz w:val="28"/>
          <w:sz w:val="28"/>
          <w:szCs w:val="28"/>
          <w:rtl w:val="true"/>
          <w:lang w:bidi="fa-IR"/>
        </w:rPr>
        <w:t>الرجوع إلی الأعلم مطلقاً،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الشیخ علی الأوّل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الثابت أوّلًا، إنّما هو مع القطع بتساویهما فی العلم و عدم المرجّح لأحدهما، و أمّا مع وجود المرجِّح فلا یجری الاستصحاب</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الإیراد مع إجماله لا یصلح للجواب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العقلی بالتخییر فی صورة تساویهما مرتفع قطعاً، مع احتمال عروض المرجّح لأحدهما، فلا مجال لاستصحابه؛ للعلم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العقلی و إن کان مرتفعاً لکنّ الحکم الشرعی المستکشف من هذا الحکم العقلی مشکوک البقاء، فیستصحب</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ما قدّمناه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الشرعیّة المستکشفة من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للأحکام العقلیّة المستکشَف بها، و أنّ موضوعهما واحد، و لا یعقل اختلاف موضوعهما فی السعة و الضیق، فمتعلّق حکم العقل هو العنوان الکلّی، مثل عنوان الظلم الذی یحکم العقل بقبحه، و یستکشف منه حکم الشرع بحرمته بما هو ظلم، ثمّ بعد انطباق هذا العنوان علی المصداق الخارجی، یصیر هو محکوماً بحکمی العقل و الشرع المذکورین، فلو احتمل بعد ذلک انطباق عنوان آخر علیه لا یحکم العقل معه بالقبح، مثل عنوان المفسد فی الأرض، فبمجرّد هذا الاحتمال ینتفی حکم العقل بقبحه قطعاً، و یتبعه حکم الشرع المستکشَف من حکم العقل لاتّحاد مناطهما، فیتلازمان فی الوجود و عدمه، و ما نحن فیه من هذا القبیل، فإنّ حکم العقل بالتخییر فی تقلید المجتهدین المذکورین، إنّما هو بمناط تساویهما فی العلم، فیُکشف به حکم الشرع بذلک بهذا المناط، لا علی الموضوع الأعمّ أو الأخصّ من موضوع حکم</w:t>
      </w:r>
      <w:bookmarkStart w:id="803" w:name="pg12898_148371"/>
    </w:p>
    <w:p>
      <w:pPr>
        <w:pStyle w:val="BookText"/>
        <w:rPr/>
      </w:pPr>
      <w:bookmarkEnd w:id="803"/>
      <w:r>
        <w:rPr>
          <w:rFonts w:ascii="IRNazanin" w:hAnsi="IRNazanin" w:eastAsia="IRNazanin"/>
          <w:color w:val="111111"/>
          <w:sz w:val="28"/>
          <w:sz w:val="28"/>
          <w:szCs w:val="28"/>
          <w:rtl w:val="true"/>
          <w:lang w:bidi="fa-IR"/>
        </w:rPr>
        <w:t>العقل، فإنّه غیر معقول، فمع احتمال عروض الترجیح فی أحدهما ینتفی حکم العقل بالتخییر، و یتبعه حکم الشرع المستکشف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احتمل حدوث مناط آخر للحکم الشرعی مقارناً لارتفاع مناط الحکم الشرعی الأوّل، أمکن استصحاب الکلّی الجامع بینهما، و لکن لا مجال لاستصحاب شخص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المستکشف من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احتمال زوال المناط؛ لما عرفت من أنّه تابع للحکم العقلی، و أنّ موضوعهما و مناطهما واحد، لکن لو شکّ فی بقاء الحکم الشرعی، المستکشف بالحکم العقلی الکلّی بعد انطباقه علی الخارج، و احتمل انطباق عنوان آخر علیه، و عروض انطباق مناط آخر علیه لشخص آخر من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الشخص الأوّل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المستکشف من الحکم العقلی، فهو من قبیل القسم الثالث من أقسام استصحاب الکلّی، 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أقساماً یجری فی بعضها الاستصحاب، دون بعض آخر منها، و ما نحن فیه ممّا لا یجری فیه استصحاب الکلّی؛ لأنّ التخییر الکلّی الجامع بین هذا الفرد من الکلّی و بین ذاک، لیس حکماً شرعیّاً، و لا موضوعاً ذا حکم شرعیّ، بل جمیع موارد استصحاب الجامع بین الحکمین کذلک؛ لأنّه أمر منتزع منهما، و هو لیس حکماً شرعیّاً بنفسه، و لا موضوعاً ذا أثر شرعیّ، و تقدّم أنّه یعتبر فی الاستصحاب کون المستصحَب حکماً شرعیّاً، أو موضوعاً یترتّب علیه الأثر الشرعی؛ أی کبری کلّیّة شرعیّة، و حینئذٍ فلا مجال لاستصحاب التخییر فی المقام أصلًا، مضافاً إلی المعارضة المتقدّمة، مع أنّه لا معنی لعدم القول بالفصل فی تلک المسألة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الأوّلی هو وجوب تقلید الأعلم</w:t>
      </w:r>
      <w:r>
        <w:rPr>
          <w:rFonts w:eastAsia="IRNazanin" w:cs="IRNazanin"/>
          <w:color w:val="111111"/>
          <w:sz w:val="28"/>
          <w:szCs w:val="28"/>
          <w:rtl w:val="true"/>
          <w:lang w:bidi="fa-IR"/>
        </w:rPr>
        <w:t>.</w:t>
      </w:r>
    </w:p>
    <w:p>
      <w:pPr>
        <w:pStyle w:val="Heading5"/>
        <w:numPr>
          <w:ilvl w:val="4"/>
          <w:numId w:val="1"/>
        </w:numPr>
        <w:rPr/>
      </w:pPr>
      <w:bookmarkStart w:id="804" w:name="__RefHeading___Toc3235266_3224264995"/>
      <w:bookmarkStart w:id="805" w:name="_Toc302"/>
      <w:bookmarkEnd w:id="804"/>
      <w:r>
        <w:rPr>
          <w:rtl w:val="true"/>
        </w:rPr>
        <w:t>حول الاستدلال ببناء العقلاء فی التقلید</w:t>
      </w:r>
      <w:bookmarkEnd w:id="805"/>
    </w:p>
    <w:p>
      <w:pPr>
        <w:pStyle w:val="Heading6"/>
        <w:numPr>
          <w:ilvl w:val="5"/>
          <w:numId w:val="1"/>
        </w:numPr>
        <w:rPr/>
      </w:pPr>
      <w:bookmarkStart w:id="806" w:name="__RefHeading___Toc3235268_3224264995"/>
      <w:bookmarkStart w:id="807" w:name="_Toc303"/>
      <w:bookmarkEnd w:id="806"/>
      <w:r>
        <w:rPr>
          <w:rtl w:val="true"/>
        </w:rPr>
        <w:t>اشارة</w:t>
      </w:r>
      <w:bookmarkEnd w:id="807"/>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بدّ من تقدیم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مبنی جواز رجوع الجاهل إلی العالم أو وجوبه، و العمدة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العقلاء بالفطرة علی الرجوع فی کلّ أمر عند الاحتیاج</w:t>
      </w:r>
      <w:bookmarkStart w:id="808" w:name="pg12898_148372"/>
    </w:p>
    <w:p>
      <w:pPr>
        <w:pStyle w:val="BookText"/>
        <w:rPr/>
      </w:pPr>
      <w:bookmarkEnd w:id="808"/>
      <w:r>
        <w:rPr>
          <w:rFonts w:ascii="Amiri" w:hAnsi="Amiri" w:eastAsia="Amiri" w:cs="Amiri"/>
          <w:color w:val="111111"/>
          <w:sz w:val="28"/>
          <w:sz w:val="28"/>
          <w:szCs w:val="28"/>
          <w:rtl w:val="true"/>
          <w:lang w:bidi="ar-SA"/>
        </w:rPr>
        <w:t>إلی أهل الخبرة فیه، و القبول منهم، و الجری العملی علی طبق رأیهم فی الصناعات و غیرها فی کلّ فنّ، کاستقرار بنائهم علی العمل بخبر الثقة و الید و أصالة الصحّة فی فعل الغیر و غیر ذلک، و أدلّة عدم جواز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و نحوه علی فرض تسلیم عدم اختصاصها باصول العقائد کما لا یبعد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للردع عن هذا البناء؛ لأنّ هذا البناء الثابت المستقرّ منهم یحتاج الردع عنه إلی بیان أوضح و أوفی من ذلک، بل لا ینقدح فی ارتکازهم و أذهانهم أنّ ذلک من قبیل الظنون، بل هو علم عادیّ عندهم، و لا ینقدح أیضاً فی أذهانهم أنّ ذلک ردع عن هذا البناء، کبنائهم علی العمل بخبر الثقة و الید</w:t>
      </w:r>
      <w:r>
        <w:rPr>
          <w:rFonts w:eastAsia="IRNazanin" w:cs="IRNazanin"/>
          <w:color w:val="111111"/>
          <w:sz w:val="28"/>
          <w:szCs w:val="28"/>
          <w:rtl w:val="true"/>
          <w:lang w:bidi="fa-IR"/>
        </w:rPr>
        <w:t>.</w:t>
      </w:r>
    </w:p>
    <w:p>
      <w:pPr>
        <w:pStyle w:val="Heading6"/>
        <w:numPr>
          <w:ilvl w:val="5"/>
          <w:numId w:val="1"/>
        </w:numPr>
        <w:rPr/>
      </w:pPr>
      <w:bookmarkStart w:id="809" w:name="__RefHeading___Toc3235270_3224264995"/>
      <w:bookmarkStart w:id="810" w:name="_Toc304"/>
      <w:bookmarkEnd w:id="809"/>
      <w:r>
        <w:rPr>
          <w:rtl w:val="true"/>
        </w:rPr>
        <w:t>الشبهة فی الاستدلال ببناء العقلاء و جوابها</w:t>
      </w:r>
      <w:bookmarkEnd w:id="810"/>
    </w:p>
    <w:p>
      <w:pPr>
        <w:pStyle w:val="BookText"/>
        <w:rPr/>
      </w:pPr>
      <w:r>
        <w:rPr>
          <w:rFonts w:ascii="IRNazanin" w:hAnsi="IRNazanin" w:eastAsia="IRNazanin"/>
          <w:color w:val="111111"/>
          <w:sz w:val="28"/>
          <w:sz w:val="28"/>
          <w:szCs w:val="28"/>
          <w:rtl w:val="true"/>
          <w:lang w:bidi="fa-IR"/>
        </w:rPr>
        <w:t>لکن هنا شبهة تتوقّف استقامة هذا الدلیل علی دفعها، و إلّا لم یتمّ ذلک، و هی أنّ الاستدلال ببناء العقلاء إنّما یتمّ لو ثبت هذا البناء منهم فی عصر الأئمّة علیهم السلام بمرأی و منظرهم، فإنّه حینئذٍ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ردعهم علیهم السلام عن ذلک کافٍ فی إمضائهم علیهم السلام له، و ما نحن فیه لیس من هذا القبیل، فإنّ رجوع العامّی إلی الفقیه 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بالاجتهاد المتعارف فی هذه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مستحدَث لم یکن فی زمانهم علیهم السلام بل المحدِّثون فی عصرهم علیهم السلام یتلقّون الأحکام منهم علیهم السلام شفاهاً، و یروونها لغیرهم، و أین ذلک من الاجتهاد المتعارف فی هذه الأعصار، المتوقّف علی مَئونات و مشقّات کثیرة و إعمال الدقائق العلمیّة و العلوم المختلفة، کالعلوم الریاضیّة و غیرها؟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ببناء العقلاء فیما نحن فیه، إنّما یتمّ لو ثبت أحد أمرین</w:t>
      </w:r>
      <w:bookmarkStart w:id="811" w:name="pg12898_148373"/>
    </w:p>
    <w:p>
      <w:pPr>
        <w:pStyle w:val="BookText"/>
        <w:rPr/>
      </w:pPr>
      <w:bookmarkEnd w:id="811"/>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تحقّق الاجتهاد بهذا المعنی المتعارف فی هذا العصر فی عصرهم علیهم السلام و رجوع الجهّال بالأحکام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علی الأئمّة علیهم السلام الردع عن المبانی العقلائیّة الحادثة فی زمن الغیبة مع عدم رضا الشارع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إثبات هذین الأمرین لم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إرجاعهم إلی مثل زرارة</w:t>
      </w:r>
      <w:r>
        <w:rPr>
          <w:rStyle w:val="FootnoteAnchor"/>
          <w:rtl w:val="true"/>
        </w:rPr>
        <w:footnoteReference w:id="847"/>
      </w:r>
      <w:r>
        <w:rPr>
          <w:rFonts w:ascii="IRNazanin" w:hAnsi="IRNazanin" w:eastAsia="IRNazanin"/>
          <w:color w:val="111111"/>
          <w:sz w:val="28"/>
          <w:sz w:val="28"/>
          <w:szCs w:val="28"/>
          <w:rtl w:val="true"/>
          <w:lang w:bidi="fa-IR"/>
        </w:rPr>
        <w:t>و الأسدی</w:t>
      </w:r>
      <w:r>
        <w:rPr>
          <w:rStyle w:val="FootnoteAnchor"/>
          <w:rtl w:val="true"/>
        </w:rPr>
        <w:footnoteReference w:id="848"/>
      </w:r>
      <w:r>
        <w:rPr>
          <w:rFonts w:ascii="IRNazanin" w:hAnsi="IRNazanin" w:eastAsia="IRNazanin"/>
          <w:color w:val="111111"/>
          <w:sz w:val="28"/>
          <w:sz w:val="28"/>
          <w:szCs w:val="28"/>
          <w:rtl w:val="true"/>
          <w:lang w:bidi="fa-IR"/>
        </w:rPr>
        <w:t>و نحوهما</w:t>
      </w:r>
      <w:r>
        <w:rPr>
          <w:rStyle w:val="FootnoteAnchor"/>
          <w:rtl w:val="true"/>
        </w:rPr>
        <w:footnoteReference w:id="849"/>
      </w:r>
      <w:r>
        <w:rPr>
          <w:rFonts w:ascii="IRNazanin" w:hAnsi="IRNazanin" w:eastAsia="IRNazanin"/>
          <w:color w:val="111111"/>
          <w:sz w:val="28"/>
          <w:sz w:val="28"/>
          <w:szCs w:val="28"/>
          <w:rtl w:val="true"/>
          <w:lang w:bidi="fa-IR"/>
        </w:rPr>
        <w:t>لأخذ الأحکام، و بإلغاء الخصوصیّة یتمّ المطلوب، و هو جواز الرجوع إلی الفقهاء فی هذا العصر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إنّما یصحّ لو ثبت الاجتهاد بهذا المعنی المتعارف فی زماننا لأمثال زرارة و الأسدی، و الظاهر خلافه، بل لم یکن شأنهم إلّا مجرّد نقل الروایة</w:t>
      </w:r>
      <w:r>
        <w:rPr>
          <w:rFonts w:eastAsia="IRNazanin" w:cs="IRNazanin"/>
          <w:color w:val="111111"/>
          <w:sz w:val="28"/>
          <w:szCs w:val="28"/>
          <w:rtl w:val="true"/>
          <w:lang w:bidi="fa-IR"/>
        </w:rPr>
        <w:t>.</w:t>
      </w:r>
    </w:p>
    <w:p>
      <w:pPr>
        <w:pStyle w:val="Heading6"/>
        <w:numPr>
          <w:ilvl w:val="5"/>
          <w:numId w:val="1"/>
        </w:numPr>
        <w:rPr/>
      </w:pPr>
      <w:bookmarkStart w:id="812" w:name="__RefHeading___Toc3235272_3224264995"/>
      <w:bookmarkStart w:id="813" w:name="_Toc305"/>
      <w:bookmarkEnd w:id="812"/>
      <w:r>
        <w:rPr>
          <w:rtl w:val="true"/>
        </w:rPr>
        <w:t>تحقّق الاجتهاد المتعارف فی عصرنا فی زمان الأئمة علیهم السلام</w:t>
      </w:r>
      <w:bookmarkEnd w:id="813"/>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بتحقّق الاجتهاد بهذا المعنی المتعارف فی عصرنا فی زمان الأئمّة علیهم السلام؛ و ذلک لأنّ مبنی الاجتهاد فی هذا العصر هو الکتاب و السُّنّة و بعض القواعد العقلیّة و العقلائیّة، و لا دخْل لکثیر من المسائل الاصولیّة فی الاجتهاد</w:t>
      </w:r>
    </w:p>
    <w:p>
      <w:pPr>
        <w:pStyle w:val="BookText"/>
        <w:rPr/>
      </w:pPr>
      <w:r>
        <w:rPr>
          <w:rFonts w:ascii="IRNazanin" w:hAnsi="IRNazanin" w:eastAsia="IRNazanin"/>
          <w:color w:val="111111"/>
          <w:sz w:val="28"/>
          <w:sz w:val="28"/>
          <w:szCs w:val="28"/>
          <w:rtl w:val="true"/>
          <w:lang w:bidi="fa-IR"/>
        </w:rPr>
        <w:t>و استنباط الأحکام، و لا ریب فی أنّ الاستنباط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الکتاب و السُّنّة و بعض القواعد، کالاستصحاب و قواعد التعارض، مثل عرض المتعارضین علی الکتاب و السُّنّة، و اختیار ما وافقهما و ما یخالف العامّة، و طرح ما خالف الکتاب و السُّنّة، و الترجیح بالشهرة،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متعارفاً و متحقّقاً فی أعصار الأئمة علیهم السلام بلا ریب و إشکال؛ لأنّه من المعلوم عدم تمکّن کلّ أحد فی عصرهم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کالذین فی البلاد البعیدة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السؤال منهم و الحضور عندهم، مع شدّة احتیاجهم إلی السؤال من أحکامهم و معالم دینهم، و لم یمکن معرفتها حینئذٍ إلّا بالتوغّل فی الأخبار المنقولة عنهم علیهم السلام، و ملاحظة قواعد التعارض بینها، کما وقع السؤال فیها منهم علیهم السلام و إرجاعهم موالیهم و شیعتهم إلی فقهائهم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الفروع فی هذه الأزمنة أکثر من الفروع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تحقّق الاستنباط و الاجتهاد بهذا المعنی فی أعصارهم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الناهیة عن الفتوی بغیر علم</w:t>
      </w:r>
      <w:r>
        <w:rPr>
          <w:rStyle w:val="FootnoteAnchor"/>
          <w:rtl w:val="true"/>
        </w:rPr>
        <w:footnoteReference w:id="850"/>
      </w:r>
      <w:r>
        <w:rPr>
          <w:rFonts w:ascii="IRNazanin" w:hAnsi="IRNazanin" w:eastAsia="IRNazanin"/>
          <w:color w:val="111111"/>
          <w:sz w:val="28"/>
          <w:sz w:val="28"/>
          <w:szCs w:val="28"/>
          <w:rtl w:val="true"/>
          <w:lang w:bidi="fa-IR"/>
        </w:rPr>
        <w:t>، فیستفاد منها جواز الفتوی بالعلم المستفاد من الکتاب و السُّنّة، فی مقابل الفتوی علی وفق القیاس و الاستحسانات العقلیّة، لا العلم الوجدانی، فیظهر منها تحقّق الفتوی عن علم فی زمانهم علیهم السلام، و لا یمکن الفتوی إلّا بالاجتهاد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الناهیة عن الحکم بغیر ما أنزل اللَّه</w:t>
      </w:r>
      <w:r>
        <w:rPr>
          <w:rStyle w:val="FootnoteAnchor"/>
          <w:rtl w:val="true"/>
        </w:rPr>
        <w:footnoteReference w:id="851"/>
      </w:r>
      <w:r>
        <w:rPr>
          <w:rFonts w:ascii="IRNazanin" w:hAnsi="IRNazanin" w:eastAsia="IRNazanin"/>
          <w:color w:val="111111"/>
          <w:sz w:val="28"/>
          <w:sz w:val="28"/>
          <w:szCs w:val="28"/>
          <w:rtl w:val="true"/>
          <w:lang w:bidi="fa-IR"/>
        </w:rPr>
        <w:t>، فتدلّ علی جواز الحکم بما أنزل اللَّه، و تمییز ما أنزل اللَّه تعالی عن غیره لا یمکن إلّا بالاجتهاد و النظر، و إلّا فمجرّد نقل الحدیث لا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نقلًا عن کتاب هشام بن سالم،</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علینا أن نلقی إلیکم الاصول، و علیکم أن تفرّعوا</w:t>
      </w:r>
      <w:r>
        <w:rPr>
          <w:rFonts w:eastAsia="IRNazanin" w:cs="IRNazanin"/>
          <w:color w:val="111111"/>
          <w:sz w:val="28"/>
          <w:szCs w:val="28"/>
          <w:rtl w:val="true"/>
          <w:lang w:bidi="fa-IR"/>
        </w:rPr>
        <w:t>)</w:t>
      </w:r>
    </w:p>
    <w:p>
      <w:pPr>
        <w:pStyle w:val="BookText"/>
        <w:rPr/>
      </w:pP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المنقول عن کتاب البزنطی،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الاصول، و علیکم التفریع</w:t>
      </w:r>
      <w:r>
        <w:rPr>
          <w:rFonts w:eastAsia="IRNazanin" w:cs="IRNazanin"/>
          <w:color w:val="111111"/>
          <w:sz w:val="28"/>
          <w:szCs w:val="28"/>
          <w:rtl w:val="true"/>
          <w:lang w:bidi="fa-IR"/>
        </w:rPr>
        <w:t>)</w:t>
      </w:r>
    </w:p>
    <w:p>
      <w:pPr>
        <w:pStyle w:val="BookText"/>
        <w:rPr/>
      </w:pP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الاجتهاد لیس إلّا عبارة عن ردّ الفروع إلی الاصول و القواعد المتلقّاة منهم علیهم السلام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Style w:val="FootnoteAnchor"/>
          <w:rtl w:val="true"/>
        </w:rPr>
        <w:footnoteReference w:id="8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p>
    <w:p>
      <w:pPr>
        <w:pStyle w:val="BookText"/>
        <w:rPr/>
      </w:pPr>
      <w:r>
        <w:rPr>
          <w:rStyle w:val="FootnoteAnchor"/>
          <w:rtl w:val="true"/>
        </w:rPr>
        <w:footnoteReference w:id="855"/>
      </w:r>
      <w:r>
        <w:rPr>
          <w:rFonts w:ascii="IRNazanin" w:hAnsi="IRNazanin" w:eastAsia="IRNazanin"/>
          <w:color w:val="111111"/>
          <w:sz w:val="28"/>
          <w:sz w:val="28"/>
          <w:szCs w:val="28"/>
          <w:rtl w:val="true"/>
          <w:lang w:bidi="fa-IR"/>
        </w:rPr>
        <w:t>و نحو ذلک، و تطبیق تلک الاصول علی مصادیقها و ما یشمله إطلاقاتها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هذین الخبرین تحقّق الاجتهاد بهذا المعنی المتعارف فی هذه الأعصار فی أعصارهم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بعض الأخبار من النهی عن الإفتاء و الاجتهاد</w:t>
      </w:r>
      <w:r>
        <w:rPr>
          <w:rStyle w:val="FootnoteAnchor"/>
          <w:rtl w:val="true"/>
        </w:rPr>
        <w:footnoteReference w:id="856"/>
      </w:r>
      <w:r>
        <w:rPr>
          <w:rFonts w:ascii="IRNazanin" w:hAnsi="IRNazanin" w:eastAsia="IRNazanin"/>
          <w:color w:val="111111"/>
          <w:sz w:val="28"/>
          <w:sz w:val="28"/>
          <w:szCs w:val="28"/>
          <w:rtl w:val="true"/>
          <w:lang w:bidi="fa-IR"/>
        </w:rPr>
        <w:t>، فهی ناظرة إلی فتاوی العامّة و فقهائهم بالقیاس و الاستحسانات، کما کان ذلک من دأب أبی حنیفة و غیره، لا الفتوی المستنبطة من الکتاب و السُّنّة، کما هو ظاهر لمن له أدنی تأمّل و تدبّر</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Style w:val="FootnoteAnchor"/>
          <w:rtl w:val="true"/>
        </w:rPr>
        <w:footnoteReference w:id="857"/>
      </w:r>
      <w:r>
        <w:rPr>
          <w:rFonts w:ascii="IRNazanin" w:hAnsi="IRNazanin" w:eastAsia="IRNazanin"/>
          <w:color w:val="111111"/>
          <w:sz w:val="28"/>
          <w:sz w:val="28"/>
          <w:szCs w:val="28"/>
          <w:rtl w:val="true"/>
          <w:lang w:bidi="fa-IR"/>
        </w:rPr>
        <w:t>، فإنّها و إن وردت فی خصوص القضاء، لکن</w:t>
      </w:r>
    </w:p>
    <w:p>
      <w:pPr>
        <w:pStyle w:val="BookText"/>
        <w:rPr/>
      </w:pPr>
      <w:r>
        <w:rPr>
          <w:rFonts w:ascii="IRNazanin" w:hAnsi="IRNazanin" w:eastAsia="IRNazanin"/>
          <w:color w:val="111111"/>
          <w:sz w:val="28"/>
          <w:sz w:val="28"/>
          <w:szCs w:val="28"/>
          <w:rtl w:val="true"/>
          <w:lang w:bidi="fa-IR"/>
        </w:rPr>
        <w:t>القدر المسلَّم شمولها للقضاء فی الشبهات الحکمیّة، فإنّ اختلاف الحَکَمین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فرض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إلّا بالاجتهاد و النظر فی معنی الحدیث، سواء ارید اختلافهما فی معنی حدیث واحد، أو فی حدیثین؛ بأن استند أحدهما فی حکمه علی حدیث، و الآخر علی حدیث آخر؛ ضرورة عدم نشوء اختلافهما عن الشهوات النفسانیّة و الأمیال الشخصیّة و بلا ملاک و 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المقبولة الأمران المتقدّمان؛ و هما وجود الناظر فی الحلال و الحرام العارف بالأحکام فی عصرهم، و حکمهم علیهم بالرجوع إلیه فی المنازعات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أبی خدیجة</w:t>
      </w:r>
      <w:r>
        <w:rPr>
          <w:rStyle w:val="FootnoteAnchor"/>
          <w:rtl w:val="true"/>
        </w:rPr>
        <w:footnoteReference w:id="858"/>
      </w:r>
      <w:r>
        <w:rPr>
          <w:rFonts w:ascii="IRNazanin" w:hAnsi="IRNazanin" w:eastAsia="IRNazanin"/>
          <w:color w:val="111111"/>
          <w:sz w:val="28"/>
          <w:sz w:val="28"/>
          <w:szCs w:val="28"/>
          <w:rtl w:val="true"/>
          <w:lang w:bidi="fa-IR"/>
        </w:rPr>
        <w:t>بالتقریب المتقدّم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قدس سره عن أبیه، عن علیّ بن إبراهیم، عن أبیه، عن أبی حیّون مولی الرضا،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إلی محکمه فقد هُدِی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أخبارنا محکماً کمحکم القرآن، و متشابهاً کمتشابه القرآن، فردّوا متشابهها إلی محکمها، و لا تتّبعوا متشابهها دون محکمها فتضلّوا</w:t>
      </w:r>
      <w:r>
        <w:rPr>
          <w:rFonts w:eastAsia="IRNazanin" w:cs="IRNazanin"/>
          <w:color w:val="111111"/>
          <w:sz w:val="28"/>
          <w:szCs w:val="28"/>
          <w:rtl w:val="true"/>
          <w:lang w:bidi="fa-IR"/>
        </w:rPr>
        <w:t>)</w:t>
      </w:r>
    </w:p>
    <w:p>
      <w:pPr>
        <w:pStyle w:val="BookText"/>
        <w:rPr/>
      </w:pP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ردّ المتشابه من الکتاب و السُّنّة إلی المحکم منها، لا یمکن إلّا بالاجتهاد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معانی الأخبار بسنده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إنّ الکلمة لتنصرف</w:t>
      </w:r>
    </w:p>
    <w:p>
      <w:pPr>
        <w:pStyle w:val="BookText"/>
        <w:rPr/>
      </w:pPr>
      <w:r>
        <w:rPr>
          <w:rFonts w:ascii="IRNazanin" w:hAnsi="IRNazanin" w:eastAsia="IRNazanin"/>
          <w:color w:val="111111"/>
          <w:sz w:val="28"/>
          <w:sz w:val="28"/>
          <w:szCs w:val="28"/>
          <w:rtl w:val="true"/>
          <w:lang w:bidi="fa-IR"/>
        </w:rPr>
        <w:t>علی وجوه، فلو شاء إنسان لَصرف کلامه کیف شاء و لا یکذب</w:t>
      </w:r>
      <w:r>
        <w:rPr>
          <w:rFonts w:eastAsia="IRNazanin" w:cs="IRNazanin"/>
          <w:color w:val="111111"/>
          <w:sz w:val="28"/>
          <w:szCs w:val="28"/>
          <w:rtl w:val="true"/>
          <w:lang w:bidi="fa-IR"/>
        </w:rPr>
        <w:t>)</w:t>
      </w:r>
    </w:p>
    <w:p>
      <w:pPr>
        <w:pStyle w:val="BookText"/>
        <w:rPr/>
      </w:pPr>
      <w:r>
        <w:rPr>
          <w:rStyle w:val="FootnoteAnchor"/>
          <w:rtl w:val="true"/>
        </w:rPr>
        <w:footnoteReference w:id="860"/>
      </w:r>
      <w:r>
        <w:rPr>
          <w:rFonts w:ascii="IRNazanin" w:hAnsi="IRNazanin" w:eastAsia="IRNazanin"/>
          <w:color w:val="111111"/>
          <w:sz w:val="28"/>
          <w:sz w:val="28"/>
          <w:szCs w:val="28"/>
          <w:rtl w:val="true"/>
          <w:lang w:bidi="fa-IR"/>
        </w:rPr>
        <w:t>، فإنّ فهم المراد منها لا یمکن إلّا بالاجتهاد و الانس بمذاقهم علیهم السلام، الحاصل بالتوغّل و التفکّر فی معانی الأخبار و ملاحظة سائر ما له دَخْل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 بدّاً من معرفته، و لیس فی البلد الذی أنا فیه أحد أستفتیه من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فقیه البلد، فاستفته من أمرک، فإذا أفتاک بشی‌ء فخذ بخلافه، فإنّ الحقّ فیه</w:t>
      </w:r>
      <w:r>
        <w:rPr>
          <w:rFonts w:eastAsia="IRNazanin" w:cs="IRNazanin"/>
          <w:color w:val="111111"/>
          <w:sz w:val="28"/>
          <w:szCs w:val="28"/>
          <w:rtl w:val="true"/>
          <w:lang w:bidi="fa-IR"/>
        </w:rPr>
        <w:t>)</w:t>
      </w:r>
    </w:p>
    <w:p>
      <w:pPr>
        <w:pStyle w:val="BookText"/>
        <w:rPr/>
      </w:pP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منها الأمران المتقدّمان؛ وجود الفقیه و الفتوی فی ذلک الزمان، و استقرار بنائهم علی الرجوع إلیه و أخذ الأحکام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إلی قثم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اجلس لهم العصرین، فأفتِ للمستفتی، و علّم الجاهل، و ذاکر العالم</w:t>
      </w:r>
      <w:r>
        <w:rPr>
          <w:rFonts w:eastAsia="IRNazanin" w:cs="IRNazanin"/>
          <w:color w:val="111111"/>
          <w:sz w:val="28"/>
          <w:szCs w:val="28"/>
          <w:rtl w:val="true"/>
          <w:lang w:bidi="fa-IR"/>
        </w:rPr>
        <w:t>)</w:t>
      </w:r>
    </w:p>
    <w:p>
      <w:pPr>
        <w:pStyle w:val="BookText"/>
        <w:rPr/>
      </w:pPr>
      <w:r>
        <w:rPr>
          <w:rStyle w:val="FootnoteAnchor"/>
          <w:rtl w:val="true"/>
        </w:rPr>
        <w:footnoteReference w:id="862"/>
      </w:r>
      <w:r>
        <w:rPr>
          <w:rFonts w:ascii="IRNazanin" w:hAnsi="IRNazanin" w:eastAsia="IRNazanin"/>
          <w:color w:val="111111"/>
          <w:sz w:val="28"/>
          <w:sz w:val="28"/>
          <w:szCs w:val="28"/>
          <w:rtl w:val="true"/>
          <w:lang w:bidi="fa-IR"/>
        </w:rPr>
        <w:t>، فإنّ أمره علیه السلام له بالإفتاء، یکشف منه أهلیّته له، و تمکّنه من معرفة الأحکام من الأدلّة، لا مجرّد نقل الحدیث، فیعلم منه تحقّق الاجتهاد المصطلح فی ذلک العصر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أبی جعفر علیه السلام 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المسجد و أفتِ الناس، فإنّی احبّ أن یُفتی من شیعتی مثلک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الطویلة لیونس</w:t>
      </w:r>
      <w:r>
        <w:rPr>
          <w:rStyle w:val="FootnoteAnchor"/>
          <w:rtl w:val="true"/>
        </w:rPr>
        <w:footnoteReference w:id="864"/>
      </w:r>
      <w:r>
        <w:rPr>
          <w:rFonts w:ascii="IRNazanin" w:hAnsi="IRNazanin" w:eastAsia="IRNazanin"/>
          <w:color w:val="111111"/>
          <w:sz w:val="28"/>
          <w:sz w:val="28"/>
          <w:szCs w:val="28"/>
          <w:rtl w:val="true"/>
          <w:lang w:bidi="fa-IR"/>
        </w:rPr>
        <w:t>، المتضمّنة لبیان طریق الاجتهاد فی أبواب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بالمسح علی المرارة فی روایة عبد الأعلی، و أنّه یعرف هذا و أشباهه من کتاب اللَّه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استدلاله علیه السلام فی بعض الأخبار لکفایة المسح علی بعض الرأس</w:t>
      </w:r>
      <w:r>
        <w:rPr>
          <w:rStyle w:val="FootnoteAnchor"/>
          <w:rtl w:val="true"/>
        </w:rPr>
        <w:footnoteReference w:id="866"/>
      </w:r>
      <w:r>
        <w:rPr>
          <w:rFonts w:ascii="IRNazanin" w:hAnsi="IRNazanin" w:eastAsia="IRNazanin"/>
          <w:color w:val="111111"/>
          <w:sz w:val="28"/>
          <w:sz w:val="28"/>
          <w:szCs w:val="28"/>
          <w:rtl w:val="true"/>
          <w:lang w:bidi="fa-IR"/>
        </w:rPr>
        <w:t>لمکان الباء فی آیة الوضوء</w:t>
      </w:r>
      <w:r>
        <w:rPr>
          <w:rStyle w:val="FootnoteAnchor"/>
          <w:rtl w:val="true"/>
        </w:rPr>
        <w:footnoteReference w:id="867"/>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إرجاعهم موالیهم و شیعتهم إلی الفقهاء فی ذلک الزمان، فهو ممّا لا ریب فیه أیضاً، مثل إرجاعه علیه السلام إیّاهم إلی زکریّا بن آدم فی کلّ ما یحتاج إلیه</w:t>
      </w:r>
      <w:r>
        <w:rPr>
          <w:rStyle w:val="FootnoteAnchor"/>
          <w:rtl w:val="true"/>
        </w:rPr>
        <w:footnoteReference w:id="868"/>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p>
    <w:p>
      <w:pPr>
        <w:pStyle w:val="BookText"/>
        <w:rPr/>
      </w:pPr>
      <w:r>
        <w:rPr>
          <w:rStyle w:val="FootnoteAnchor"/>
          <w:rtl w:val="true"/>
        </w:rPr>
        <w:footnoteReference w:id="86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الجالس</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0"/>
      </w:r>
      <w:r>
        <w:rPr>
          <w:rFonts w:ascii="IRNazanin" w:hAnsi="IRNazanin" w:eastAsia="IRNazanin"/>
          <w:color w:val="111111"/>
          <w:sz w:val="28"/>
          <w:sz w:val="28"/>
          <w:szCs w:val="28"/>
          <w:rtl w:val="true"/>
          <w:lang w:bidi="fa-IR"/>
        </w:rPr>
        <w:t>مشیراً إلی زرارة، و تدلّ علیه المقبولة و مشهورة أبی خدیجة و غیرها من الروایات المتقدّمة، و ما دلّ علی أنّ العلماء امناء</w:t>
      </w:r>
      <w:bookmarkStart w:id="814" w:name="pg12898_148379"/>
    </w:p>
    <w:p>
      <w:pPr>
        <w:pStyle w:val="BookText"/>
        <w:rPr/>
      </w:pPr>
      <w:bookmarkEnd w:id="814"/>
      <w:r>
        <w:rPr>
          <w:rFonts w:ascii="IRNazanin" w:hAnsi="IRNazanin" w:eastAsia="IRNazanin"/>
          <w:color w:val="111111"/>
          <w:sz w:val="28"/>
          <w:sz w:val="28"/>
          <w:szCs w:val="28"/>
          <w:rtl w:val="true"/>
          <w:lang w:bidi="fa-IR"/>
        </w:rPr>
        <w:t>الرُّسل، و خلفاء اللَّه فی أرضه، و أنّهم لم یدخلوا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الدخول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الدخول فی أمر السلطان</w:t>
      </w:r>
      <w:r>
        <w:rPr>
          <w:rFonts w:eastAsia="IRNazanin" w:cs="IRNazanin"/>
          <w:color w:val="111111"/>
          <w:sz w:val="28"/>
          <w:szCs w:val="28"/>
          <w:rtl w:val="true"/>
          <w:lang w:bidi="fa-IR"/>
        </w:rPr>
        <w:t>)</w:t>
      </w:r>
    </w:p>
    <w:p>
      <w:pPr>
        <w:pStyle w:val="BookText"/>
        <w:rPr/>
      </w:pP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 علیه السلام إنّما هو لإرجاع الناس إلیهم و أخذ الفتوی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الأمرین المتقدّمین؛ أی تحقّق الاجتهاد بالمعنی المصطلح فی زمانهم علیهم السلام، و إرجاعهم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المجتهدین فی عصرهم</w:t>
      </w:r>
      <w:r>
        <w:rPr>
          <w:rFonts w:eastAsia="IRNazanin" w:cs="IRNazanin"/>
          <w:color w:val="111111"/>
          <w:sz w:val="28"/>
          <w:szCs w:val="28"/>
          <w:rtl w:val="true"/>
          <w:lang w:bidi="fa-IR"/>
        </w:rPr>
        <w:t>.</w:t>
      </w:r>
    </w:p>
    <w:p>
      <w:pPr>
        <w:pStyle w:val="Heading6"/>
        <w:numPr>
          <w:ilvl w:val="5"/>
          <w:numId w:val="1"/>
        </w:numPr>
        <w:rPr/>
      </w:pPr>
      <w:bookmarkStart w:id="815" w:name="__RefHeading___Toc3235274_3224264995"/>
      <w:bookmarkStart w:id="816" w:name="_Toc306"/>
      <w:bookmarkEnd w:id="815"/>
      <w:r>
        <w:rPr>
          <w:rtl w:val="true"/>
        </w:rPr>
        <w:t>شبهة اخری فی الاستدلال علی بناء العقلاء</w:t>
      </w:r>
      <w:bookmarkEnd w:id="816"/>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هنا شبهة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لا ریب فی أنّ حجّیّة فتوی المجتهد لیست من باب السببیّة؛ بإیجاد نظره مصلحة فی مؤدّی فتواه جابرة لمصلحة الواقع، بل هی من باب الطریقیّة للوصول إلی الأحکام الواقعیّة، کما هو المرتکز فی أذهان العرف و العقلاء فی جمیع موارد رجوع الجاهل إلی العالم، و حینئذٍ فهذا الاختلاف الشدید بین الفقهاء فی هذه الأعصار فی الفتاوی و الآراء؛ بحیث یُخطّئ کلٌّ الآخر فی نظره، و لم یکن فی عصر الأئمّة علیهم السلام بین الفقهاء، مثل زرارة و محمّد بن مسلم و أمثالهما؛ لتمکّنهم من استکشاف الحال بالرجوع إلیهم علیهم السلام، فقلیلًا ما یصاب الواقع فی عصرنا، بخلاف عصرهم علیهم السلام، فإمضاؤهم علیهم السلام لبناء العقلاء فی رجوعهم إلی الفقهاء فی عصرهم، إنّما هو لمکان إصابة أنظارهم للواقع دائماً أو غالباً، لا یفید و لا یستلزم إمضاءهم للرجوع إلی الفقهاء فی هذه الأعصار؛ لندرة إصابة أنظارهم للواقع، فمجرّد عدم الردع عن بنائهم فی الرجوع إلی الفقهاء فی عصرهم، لا یکفی فی الإمضاء بالنسبة إلی هذه الأعصار، إلّا أن نلتزم بأنّ حجّیّة الفتاوی من باب السببیّة، فإنّه علیه لا فرق بین</w:t>
      </w:r>
    </w:p>
    <w:p>
      <w:pPr>
        <w:pStyle w:val="BookText"/>
        <w:rPr/>
      </w:pPr>
      <w:r>
        <w:rPr>
          <w:rFonts w:ascii="IRNazanin" w:hAnsi="IRNazanin" w:eastAsia="IRNazanin"/>
          <w:color w:val="111111"/>
          <w:sz w:val="28"/>
          <w:sz w:val="28"/>
          <w:szCs w:val="28"/>
          <w:rtl w:val="true"/>
          <w:lang w:bidi="fa-IR"/>
        </w:rPr>
        <w:t>وجود الاختلاف الشدید بین آرائهم و عدمه، و لکنّه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الشبهة لا ترتفع إلّا بإثبات الأمر الثانی المتقدّم، و هو إثبات رضا الشارع و إمضائه لرجوع العوامّ إلی المجتهدین فی زمان الغیبة فی تلقّی الأحکام منهم، مع شدّة احتیاجهم إلیه، و علمهم علیهم السلام بابتلاء الناس بزمان الغیبة، و أنّه بعد الغیبة و ختم الولایة الظاهریّة یتحقّق الاختلاف الشدید بینهم، طبعاً یقطع بذلک من تأمّل و تدبّر فی ذلک؛ من دون احتیاج إلی العلم بالغیب، و حینئذٍ فمع وضوح أداء الأمر إلی ذلک، و علمهم علیهم السلام بذلک، و تحقّق بناء العقلاء فی جمیع الأعصار علی رجوع الجاهل إلی العالم، فعدم ردعهم عنه کافٍ فی الإمضاء، و کاشف عن أنّ رجوع العوامّ إلی المجتهدین فی ذلک الزمان مرضیّ لدیهم، و إلّا وجب علیهم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شیخنا الحائری قدس سره فی دفع الشبهة بأنّ للأحکام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الأوّلیّة، و الواقعیّة الثانویّة، و الأحکام الظاهریّة، و المطلوب فی مقام الاحتجاج هی الأحکام الظاهریّة؛ لأنّ المقصود هو التخلّص من العقاب، و الفقهاء کلّهم مصیبون فیها و إن کثر الاختلاف بینهم جدّاً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بالنسبة إلی وظیفة المجتهد نفسه، لا بالنسبة إلی مقلّده العامّی، فإنّ المجتهد معذور لو خالف نظره الواقع، و أدّی إلی خلافه؛ لو استفرغ وسعه و بذل جهده فی مقام الاستنباط، و أمّا العامّی فاللّازم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العمل بالواقع، و إمّا بما هو عذر، و مجرّد معذوریّة الفقیه لنفسه لا یستلزم معذوریّة الجاهل المقلِّد له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أفاده فی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خطأ المجتهدین فی الآراء و الأنظار و إن کان کثیراً فی نفسه، لکنّه بالنسبة إلی موارد الإصابة فی غایة القلّة؛ بحیث یکون احتمال الخلاف و الخطأ عند العقلاء فی کلّ مورد مُلغی</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أیضاً ممنوع؛ لکثرة الاختلاف فی آرائهم و أنظارهم فی هذه الأعصار غایتها، حتّی أنّ لفقیه واحد أقوالًا فی کتبه المختلفة، کالعلّامة قدس سره فی کتبه</w:t>
      </w:r>
      <w:r>
        <w:rPr>
          <w:rStyle w:val="FootnoteAnchor"/>
          <w:rtl w:val="true"/>
        </w:rPr>
        <w:footnoteReference w:id="874"/>
      </w:r>
      <w:r>
        <w:rPr>
          <w:rFonts w:ascii="IRNazanin" w:hAnsi="IRNazanin" w:eastAsia="IRNazanin"/>
          <w:color w:val="111111"/>
          <w:sz w:val="28"/>
          <w:sz w:val="28"/>
          <w:szCs w:val="28"/>
          <w:rtl w:val="true"/>
          <w:lang w:bidi="fa-IR"/>
        </w:rPr>
        <w:t>، و مع الالتفات إلی هذه الاختلافات فاحتمال الخلاف لیس ملغًی عند العقلاء؛ لیتمسّک فی المقام ببناء العقلاء، و لا ریب فی أنّ بناء العقلاء علی رجوع الجاهل إلی العالم، إنّما هو لأجل أنّ نظر أهل الخبرة عندهم نادر التخلّف عن الواقع؛ بحیث لا ینقدح احتماله فی أذهانهم، کما فی مثل بنائهم علی اعتبار الید و أصالة الصحّة فی فعل الغیر و نحوهما، لا لأجل انسداد باب العلم و احتیاجهم إلی معرفة الأحکام، مع بطلان وجوب الاحتیاط؛ لعدم تمامیّة مقدّمات الانسداد عند العقلاء؛ لإمکان الاحتیاط و عدم لزوم العسر و الحرج منه، و علی فرض استلزام الاحتیاط التامّ لهما، فلا ریب فی إمکان التجزّی فی الاحتیاط؛ لعدم استلزامه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بناؤهم هذا لأجل تواطؤ رؤساء القوم و توافقهم علی جعل ذلک قانوناً کلّیّاً؛ لمکان احتیاجهم إلیه و اختلال نظامهم و معاشهم بدونه، و أنّه بقی ذلک معمولًا به حتّی صار ارتکازیّاً فی هذه الأعصار و إن لم یکن کذلک فی الأوّل، کما تقدّم احتمال ذلک فی مثل أصالة الصحّة و نحوها، فإنّ هذا الاحتمال فی غایة البعد، کالممتنع عادة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فتوی الفقیه الجامع للشرائط، و أنّها طریق إلی الواقع، و بناء العقلاء علی ذلک، و إن کان ناشئاً عن مقدّمة خطابیّة، و هی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المورد مثل سائر موارد رجوع الجاهل إلی العالم؛ غفلة عن کثرة الاختلافات بین فتاواهم، بل یمکن البناء علی کاشفیّة فتاویهم عن الواقع شرعاً أیضاً؛ لأنّها کذلک عند</w:t>
      </w:r>
      <w:bookmarkStart w:id="817" w:name="pg12898_148382"/>
    </w:p>
    <w:p>
      <w:pPr>
        <w:pStyle w:val="BookText"/>
        <w:rPr/>
      </w:pPr>
      <w:bookmarkEnd w:id="817"/>
      <w:r>
        <w:rPr>
          <w:rFonts w:ascii="IRNazanin" w:hAnsi="IRNazanin" w:eastAsia="IRNazanin"/>
          <w:color w:val="111111"/>
          <w:sz w:val="28"/>
          <w:sz w:val="28"/>
          <w:szCs w:val="28"/>
          <w:rtl w:val="true"/>
          <w:lang w:bidi="fa-IR"/>
        </w:rPr>
        <w:t>العقلاء، و الشارع أمضی بناءهم کما هی عندهم، فهی إمّا أمارة علی الواقع أو کالأمارة، و تقدّم أنّ بناءهم إنّما هو علی الرجوع إلی الفاضل مع الإمکان، و عدم الرجوع إلی المفضول؛ مع العلم باختلافهما فی الرأی و الفتوی تفصیلًا أو إجمالًا، أو مع احتمال ذلک إذا کان له منشأ عقلائیّ</w:t>
      </w:r>
      <w:r>
        <w:rPr>
          <w:rFonts w:eastAsia="IRNazanin" w:cs="IRNazanin"/>
          <w:color w:val="111111"/>
          <w:sz w:val="28"/>
          <w:szCs w:val="28"/>
          <w:rtl w:val="true"/>
          <w:lang w:bidi="fa-IR"/>
        </w:rPr>
        <w:t>.</w:t>
      </w:r>
    </w:p>
    <w:p>
      <w:pPr>
        <w:pStyle w:val="Heading5"/>
        <w:numPr>
          <w:ilvl w:val="4"/>
          <w:numId w:val="1"/>
        </w:numPr>
        <w:rPr/>
      </w:pPr>
      <w:bookmarkStart w:id="818" w:name="__RefHeading___Toc3235276_3224264995"/>
      <w:bookmarkStart w:id="819" w:name="_Toc307"/>
      <w:bookmarkEnd w:id="818"/>
      <w:r>
        <w:rPr>
          <w:rtl w:val="true"/>
        </w:rPr>
        <w:t>کیفیّة السیرة العقلائیّة فی حجیّة قول المفضول</w:t>
      </w:r>
      <w:bookmarkEnd w:id="819"/>
    </w:p>
    <w:p>
      <w:pPr>
        <w:pStyle w:val="Heading6"/>
        <w:numPr>
          <w:ilvl w:val="5"/>
          <w:numId w:val="1"/>
        </w:numPr>
        <w:rPr/>
      </w:pPr>
      <w:bookmarkStart w:id="820" w:name="__RefHeading___Toc3235278_3224264995"/>
      <w:bookmarkStart w:id="821" w:name="_Toc308"/>
      <w:bookmarkEnd w:id="820"/>
      <w:r>
        <w:rPr>
          <w:rtl w:val="true"/>
        </w:rPr>
        <w:t>اشارة</w:t>
      </w:r>
      <w:bookmarkEnd w:id="821"/>
    </w:p>
    <w:p>
      <w:pPr>
        <w:pStyle w:val="BookText"/>
        <w:rPr/>
      </w:pPr>
      <w:r>
        <w:rPr>
          <w:rFonts w:ascii="IRNazanin" w:hAnsi="IRNazanin" w:eastAsia="IRNazanin"/>
          <w:color w:val="111111"/>
          <w:sz w:val="28"/>
          <w:sz w:val="28"/>
          <w:szCs w:val="28"/>
          <w:rtl w:val="true"/>
          <w:lang w:bidi="fa-IR"/>
        </w:rPr>
        <w:t>لکن فی حجّیّة قول المفضول ذاتاً مع وجود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فتقدیم الأفضل حینئذٍ علیه من قبیل ترجیح إحدی الحجّتین علی الاخری، نظیر تقدیم خبر الأوثق علی غیر الأوثق؛ مع حجّیّة خبر الموثّق أیضاً ذاتاً لا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عدمها أصلًا لا فعلًا و لا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فتقدیم الفاضل علی المفضول من قبیل تقدیم الحجّة علی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أوجههما الأوّل؛ إذ لا ریب فی وجوب الرجوع إلی المفضول مع عدم التمکّن من الرجوع إلی الفاضل، و استقرّ علیه بناء العقلاء فی مراجعاتهم إلی أهل الخبرة من الأطبّاء و غیرهم، و هو دلیل قطعیّ علی ثبوت الأماریّة لفتوی المفضول ذاتاً و الطریقیّة الذاتیّة لها، بل لا یعقل دَخْل وجود الفاضل و عدمه فی ثبوت الحجّیّة الذاتیّة لفتوی المفضول و عدمها؛ و إن أمکن دَخْله فی الحجّیّة الفعلیّة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إلغاء احتمال الخلاف عند العقلاء بالنسبة إلی کلّ واحد من فتوی الأفضل و الفاضل، لکن یرجّح عندهم الأفضل مع الإمکان</w:t>
      </w:r>
      <w:r>
        <w:rPr>
          <w:rFonts w:eastAsia="IRNazanin" w:cs="IRNazanin"/>
          <w:color w:val="111111"/>
          <w:sz w:val="28"/>
          <w:szCs w:val="28"/>
          <w:rtl w:val="true"/>
          <w:lang w:bidi="fa-IR"/>
        </w:rPr>
        <w:t>.</w:t>
      </w:r>
    </w:p>
    <w:p>
      <w:pPr>
        <w:pStyle w:val="Heading6"/>
        <w:numPr>
          <w:ilvl w:val="5"/>
          <w:numId w:val="1"/>
        </w:numPr>
        <w:rPr/>
      </w:pPr>
      <w:bookmarkStart w:id="822" w:name="__RefHeading___Toc3235280_3224264995"/>
      <w:bookmarkStart w:id="823" w:name="_Toc309"/>
      <w:bookmarkEnd w:id="822"/>
      <w:r>
        <w:rPr>
          <w:rtl w:val="true"/>
        </w:rPr>
        <w:t>هل ترجیح قول الأفضل لزومیّ أم لا؟</w:t>
      </w:r>
      <w:bookmarkEnd w:id="823"/>
    </w:p>
    <w:p>
      <w:pPr>
        <w:pStyle w:val="BookText"/>
        <w:rPr/>
      </w:pPr>
      <w:r>
        <w:rPr>
          <w:rFonts w:ascii="IRNazanin" w:hAnsi="IRNazanin" w:eastAsia="IRNazanin"/>
          <w:color w:val="111111"/>
          <w:sz w:val="28"/>
          <w:sz w:val="28"/>
          <w:szCs w:val="28"/>
          <w:rtl w:val="true"/>
          <w:lang w:bidi="fa-IR"/>
        </w:rPr>
        <w:t>نعم، یبقی فی المقام أمر؛ و هو أنّه هل تقدّم فتوی الأفضل بنحو الإلزام؛ بأن یُقال</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 الأفضل و فتواه کاشف عن خطأ الآخر فی فتواه و علی عدم أماریّتها، دون</w:t>
      </w:r>
    </w:p>
    <w:p>
      <w:pPr>
        <w:pStyle w:val="BookText"/>
        <w:rPr/>
      </w:pPr>
      <w:r>
        <w:rPr>
          <w:rFonts w:ascii="IRNazanin" w:hAnsi="IRNazanin" w:eastAsia="IRNazanin"/>
          <w:color w:val="111111"/>
          <w:sz w:val="28"/>
          <w:sz w:val="28"/>
          <w:szCs w:val="28"/>
          <w:rtl w:val="true"/>
          <w:lang w:bidi="fa-IR"/>
        </w:rPr>
        <w:t>العکس، أو أنّه بنحو الاستحسان لا الحتم؟</w:t>
      </w:r>
    </w:p>
    <w:p>
      <w:pPr>
        <w:pStyle w:val="BookText"/>
        <w:rPr/>
      </w:pPr>
      <w:r>
        <w:rPr>
          <w:rFonts w:ascii="IRNazanin" w:hAnsi="IRNazanin" w:eastAsia="IRNazanin"/>
          <w:color w:val="111111"/>
          <w:sz w:val="28"/>
          <w:sz w:val="28"/>
          <w:szCs w:val="28"/>
          <w:rtl w:val="true"/>
          <w:lang w:bidi="fa-IR"/>
        </w:rPr>
        <w:t>الظاهر هو الثانی، کما یظهر ذلک من التصفّح و التأمّل فی مبانی العقلاء فی موارد رجوعهم إلی أرباب الصناعات، فإنّ الرجوع إلی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الإمکان و عدم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مستحسن عندهم لا حتمیّ، و أمّا مع تعذّر الرجوع إلی الأعلم و إن لم یکن من الأعذار العقلائیّة، فلا ریب فی رجوعهم إلی غیر الأفضل، فالرجوع إلی الأفضل من باب الاحتیاط و مستحسن عندهم، لا أنّه متعیّن و متحتّم، لکنّه إنّما هو فیما إذا لم یحتمل مخالفتهما فی الرأی احتمالًا معتدّاً به؛ لإلغاء احتمال الخلاف فی فتوی کلّ واحد من الأعلم و غیر الأعلم حینئذٍ، و أمّا مع الاحتمال العقلائی فی مخالفة فتواه لفتوی الأعلم أو العلم الإجمالی بذلک، فالرجوع إلی الأعلم متعیّن عندهم؛ لأنّه لا یجتمع إلغاءُ احتمال الخلاف بالفعل فی فتواهما مع العلم الإجمالی بالمخالفة بین قولیهما، بل و مع الاحتمال أیضاً إذا کان عقلائیّاً، ففی الموارد التی یتراءی منها من رجوعهم إلی غیر الأعلم؛ مع التمکّن من الرجوع إلی الأعلم، لا بدّ أن یکون لأجل عدم حصول الاحتمال العقلائی بمخالفتهما فی الفتوی، فضلًا عن العلم الإجمالی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العلم الإجمالی بذلک فی فتاوی غیر محصورة، لا یمنع من الرجوع إلی غیر الأعلم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القواعد هو تعیّن الرجوع إلی الأعلم مع العلم بالمخالفة بین فتواهما و لو إجمالًا، بل و مع احتمالها إذا کان له منشأ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الأصل الأوّلی</w:t>
      </w:r>
      <w:r>
        <w:rPr>
          <w:rFonts w:eastAsia="IRNazanin" w:cs="IRNazanin"/>
          <w:color w:val="111111"/>
          <w:sz w:val="28"/>
          <w:szCs w:val="28"/>
          <w:rtl w:val="true"/>
          <w:lang w:bidi="fa-IR"/>
        </w:rPr>
        <w:t>.</w:t>
      </w:r>
      <w:bookmarkStart w:id="824" w:name="pg12898_148384"/>
    </w:p>
    <w:p>
      <w:pPr>
        <w:pStyle w:val="Heading6"/>
        <w:numPr>
          <w:ilvl w:val="5"/>
          <w:numId w:val="1"/>
        </w:numPr>
        <w:rPr/>
      </w:pPr>
      <w:bookmarkStart w:id="825" w:name="__RefHeading___Toc3235282_3224264995"/>
      <w:bookmarkStart w:id="826" w:name="_Toc310"/>
      <w:bookmarkEnd w:id="824"/>
      <w:bookmarkEnd w:id="825"/>
      <w:r>
        <w:rPr>
          <w:rtl w:val="true"/>
        </w:rPr>
        <w:t>أدلّة جواز الرجوع إلی المفضول</w:t>
      </w:r>
      <w:bookmarkEnd w:id="826"/>
    </w:p>
    <w:p>
      <w:pPr>
        <w:pStyle w:val="Heading6"/>
        <w:numPr>
          <w:ilvl w:val="5"/>
          <w:numId w:val="1"/>
        </w:numPr>
        <w:rPr/>
      </w:pPr>
      <w:bookmarkStart w:id="827" w:name="__RefHeading___Toc3235284_3224264995"/>
      <w:bookmarkStart w:id="828" w:name="_Toc311"/>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و لکن استدلّ لجواز تقلید غیر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مخالفته للأعلم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بالآیات و الروایات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9" w:name="__RefHeading___Toc3235286_3224264995"/>
      <w:bookmarkStart w:id="830" w:name="_Toc312"/>
      <w:bookmarkEnd w:id="829"/>
      <w:r>
        <w:rPr>
          <w:rtl w:val="true"/>
        </w:rPr>
        <w:t>الآیات التی استدلّ بها</w:t>
      </w:r>
      <w:bookmarkEnd w:id="830"/>
    </w:p>
    <w:p>
      <w:pPr>
        <w:pStyle w:val="BookText"/>
        <w:rPr/>
      </w:pPr>
      <w:r>
        <w:rPr>
          <w:rFonts w:ascii="IRNazanin" w:hAnsi="IRNazanin" w:eastAsia="IRNazanin"/>
          <w:color w:val="111111"/>
          <w:sz w:val="28"/>
          <w:sz w:val="28"/>
          <w:szCs w:val="28"/>
          <w:rtl w:val="true"/>
          <w:lang w:bidi="fa-IR"/>
        </w:rPr>
        <w:t>أمّا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آیة السؤال المذکورة فی سورتی النحل</w:t>
      </w:r>
      <w:r>
        <w:rPr>
          <w:rStyle w:val="FootnoteAnchor"/>
          <w:rtl w:val="true"/>
        </w:rPr>
        <w:footnoteReference w:id="876"/>
      </w:r>
      <w:r>
        <w:rPr>
          <w:rFonts w:ascii="IRNazanin" w:hAnsi="IRNazanin" w:eastAsia="IRNazanin"/>
          <w:color w:val="111111"/>
          <w:sz w:val="28"/>
          <w:sz w:val="28"/>
          <w:szCs w:val="28"/>
          <w:rtl w:val="true"/>
          <w:lang w:bidi="fa-IR"/>
        </w:rPr>
        <w:t>و الأنبیاء</w:t>
      </w:r>
      <w:r>
        <w:rPr>
          <w:rStyle w:val="FootnoteAnchor"/>
          <w:rtl w:val="true"/>
        </w:rPr>
        <w:footnoteReference w:id="877"/>
      </w:r>
      <w:r>
        <w:rPr>
          <w:rFonts w:ascii="Amiri" w:hAnsi="Amiri" w:eastAsia="Amiri" w:cs="Amiri"/>
          <w:color w:val="111111"/>
          <w:sz w:val="28"/>
          <w:sz w:val="28"/>
          <w:szCs w:val="28"/>
          <w:rtl w:val="true"/>
          <w:lang w:bidi="ar-SA"/>
        </w:rPr>
        <w:t>،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الواضح اختلاف مراتب الفقهاء فی العلم، و کذلک اختلافهم فی الفتاوی و عدم تساوی الاثنین منهم فی العلم و اتّفاقهما فی الفتوی فی غایة الندرة، و من المعلوم أنّه لیس المراد السؤال من جمیع أهل الذکر، أو الواحد المعیّن منهم، فلا بدّ أن یراد السؤال من واحد منهم، و الآیة بحسب إطلاقها شاملة لما إذا علم بمخالفة الفاضل للمفضول فی الفتوی و عدمه، و لا یصحّ تنزیل الآیة علی خصوص صورة العلم بتساویهما فی المرتبة و الفضیلة و اتّفاقهما فی الرأی؛ لأنّه حمل علی المورد النادر، و حینئذٍ فمقتضاها جواز تقلید المفضول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تقریب الاستدلال، و لکن یرد علیه بوجوه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علیه سیاقها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أهل الذکر علماء</w:t>
      </w:r>
    </w:p>
    <w:p>
      <w:pPr>
        <w:pStyle w:val="BookText"/>
        <w:rPr/>
      </w:pPr>
      <w:r>
        <w:rPr>
          <w:rFonts w:ascii="Amiri" w:hAnsi="Amiri" w:eastAsia="Amiri" w:cs="Amiri"/>
          <w:color w:val="111111"/>
          <w:sz w:val="28"/>
          <w:sz w:val="28"/>
          <w:szCs w:val="28"/>
          <w:rtl w:val="true"/>
          <w:lang w:bidi="ar-SA"/>
        </w:rPr>
        <w:t>الیهود؛ لأنّ قبلها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إِلَّا رِجالًا نُوحِی إِلَیْهِمْ</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الآیة، فهی ردّ علی من زعم أنّ الرسول لا بدّ أن یکون مَلَکاً، فأمر اللَّه تعالی عوام الیهود بالسؤال من علمائهم؛ لعلمهم بأنّ الرسل السابقین کانوا رجالًا لا 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الأخبار الواردة فی تفسیرها، أنّ المراد من أهل الذکر هم الأئمّة علیهم السلام خاصّة لا غیر،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w:t>
      </w:r>
    </w:p>
    <w:p>
      <w:pPr>
        <w:pStyle w:val="BookText"/>
        <w:rPr/>
      </w:pPr>
      <w:r>
        <w:rPr>
          <w:rStyle w:val="FootnoteAnchor"/>
          <w:rtl w:val="true"/>
        </w:rPr>
        <w:footnoteReference w:id="879"/>
      </w:r>
      <w:r>
        <w:rPr>
          <w:rFonts w:ascii="IRNazanin" w:hAnsi="IRNazanin" w:eastAsia="IRNazanin"/>
          <w:color w:val="111111"/>
          <w:sz w:val="28"/>
          <w:sz w:val="28"/>
          <w:szCs w:val="28"/>
          <w:rtl w:val="true"/>
          <w:lang w:bidi="fa-IR"/>
        </w:rPr>
        <w:t>، و لسنا فعلًا بصدد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مرتبطة باصول العقائد المطلوب فیها العلم و الاعتقاد، و 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فاسألوا منهم أوصاف النبیّ صلی الله علیه و آله و سلم؛ کی تعلموا أنّه النبیّ النذیر المبشَّر به من اللَّه تعالی فی التوراة و الإنجیل، و هذا غیر ما نحن بصدده من جواز تقلید المفضول؛ و الرجوع إلیه فی المسائل الفرعیّة و إن لم یحصل العلم مع وجود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جمیع ما ذکر، لکن لا نسلّم إطلاق الآیة؛ بحیث تشمل صورة العلم بمخالفة المفضول للفاضل فی الرأی و الفتوی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النَّفْر،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الاستدلال بها لجواز تقلید 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العلم بمخالفته للفاضل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یجب النَّفْر علی طائفة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التفقّه غایة للنَّفْر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المنذَر به من جنس ما یتفقّه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واحد من النافرین منذِراً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القوم، لا مجموعهم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منها التفقّه فی الفروع أو الأعمّ منها و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التحذیر العملی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الإطلاق للآیة؛ بحیث تشمل صورتی حصول العلم بما انذر به و عدمه؛ سواء خالف قولُ المنذر و فتواه قولَ المنذِر الآخر و فتواه،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کثیر من هذه الامور محلّ منع؛ و ذلک لأنّ استفادة وجوب النَّفْر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التحضیضیّة مشکلة، بل مقتضی سیاق الآیة أنّها فی مقام النهی عن نَفْر الجمیع؛ لقوله تعالی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نهی عن نَفْر جمیعهم باتّفاق المفسِّرین</w:t>
      </w:r>
      <w:r>
        <w:rPr>
          <w:rStyle w:val="FootnoteAnchor"/>
          <w:rtl w:val="true"/>
        </w:rPr>
        <w:footnoteReference w:id="881"/>
      </w:r>
      <w:r>
        <w:rPr>
          <w:rFonts w:ascii="IRNazanin" w:hAnsi="IRNazanin" w:eastAsia="IRNazanin"/>
          <w:color w:val="111111"/>
          <w:sz w:val="28"/>
          <w:sz w:val="28"/>
          <w:szCs w:val="28"/>
          <w:rtl w:val="true"/>
          <w:lang w:bidi="fa-IR"/>
        </w:rPr>
        <w:t xml:space="preserve">، کما یُشعر به عدم نقل الطبرسی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 ذلک</w:t>
      </w:r>
      <w:r>
        <w:rPr>
          <w:rStyle w:val="FootnoteAnchor"/>
          <w:rtl w:val="true"/>
        </w:rPr>
        <w:footnoteReference w:id="882"/>
      </w:r>
      <w:r>
        <w:rPr>
          <w:rFonts w:ascii="IRNazanin" w:hAnsi="IRNazanin" w:eastAsia="IRNazanin"/>
          <w:color w:val="111111"/>
          <w:sz w:val="28"/>
          <w:sz w:val="28"/>
          <w:szCs w:val="28"/>
          <w:rtl w:val="true"/>
          <w:lang w:bidi="fa-IR"/>
        </w:rPr>
        <w:t>، مع أنّ دأبه فی تفسیره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ما قبل الآیة نهیٌ عن نَفْر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فی مقام توهُّم الحظر، فلا یستفاد منه الوجوب، کما قُرّر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تفسیر المفسّرین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الذی یبدو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قبل الآیة لیس نهیاً عن النَّفْر العمومی، بل هو إخبار عن أنّ النهی عن النَّفْر العمومی إنّما هو لإیجابه اختلال النظام، و حینئذٍ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علی نَفْر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نُسلّم کون المنذر به من جنس ما یُتفقّه فیه؛ لأنّه خلاف ظاهر الآیة؛ لأنّ ظاهرها أنّ غایة النَّفْر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فی الدین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الإنذار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حینئذٍ أن یکون المنذَر به من جنس المتفقَّه فیه، و أیضاً لا دلیل علی أنّ المراد من المنذَر به هو الفتوی، بل هو خلاف ظاهر الآیة، فالظاهر أنّ المراد تخویف الناس؛ بذکر الآیات و الأخبار الواردة فی الوعید علی مخالفة اللَّه و الرسول، کما هو دأب الواعظین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یناسبه حینئذٍ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لإمکان الوعظ و التخویف من غیر المتفقّه فی مسائل الحلال 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یمکن الإنذار إلّا من الفقیه البصیر بالحلال و الحرام و اصول العقائد و مبانی الإسلام، و لا یختصّ بالفروع، بل یشمل اصول الدین، إلّا أنّه فیه مقیِّد لصورة حصول العلم، و إلّا فربّما یؤدّی إنذاره إلی ما هو خلاف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لا نسلّم أیضاً أنّ المراد من التحذیر وجوب التحذیر العملی، بل ظاهر الآیة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یوجد فی أنفس القوم ما یوجب التذکّر و الخوف من العقاب و زوال الغفلة،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فرض الإغماض عن جمیع ما ذکر لا نسلّم إطلاق الآیة؛ بحیث یشمل صورة اختلاف المفضول للفاضل فی الفتوی؛ لأنّها لیست فی مقام بیان ذلک</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نسلّم إطلاقها الشامل لصورتی حصول العلم من إنذار المنذر و عدمه،</w:t>
      </w:r>
      <w:bookmarkStart w:id="831" w:name="pg12898_148388"/>
    </w:p>
    <w:p>
      <w:pPr>
        <w:pStyle w:val="BookText"/>
        <w:rPr/>
      </w:pPr>
      <w:bookmarkEnd w:id="831"/>
      <w:r>
        <w:rPr>
          <w:rFonts w:ascii="IRNazanin" w:hAnsi="IRNazanin" w:eastAsia="IRNazanin"/>
          <w:color w:val="111111"/>
          <w:sz w:val="28"/>
          <w:sz w:val="28"/>
          <w:szCs w:val="28"/>
          <w:rtl w:val="true"/>
          <w:lang w:bidi="fa-IR"/>
        </w:rPr>
        <w:t>فالآیة أجنبیّة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منها فی عدم الدلالة علی المطلوب آیة الکتمان</w:t>
      </w:r>
      <w:r>
        <w:rPr>
          <w:rStyle w:val="FootnoteAnchor"/>
          <w:rtl w:val="true"/>
        </w:rPr>
        <w:footnoteReference w:id="884"/>
      </w:r>
      <w:r>
        <w:rPr>
          <w:rFonts w:ascii="IRNazanin" w:hAnsi="IRNazanin" w:eastAsia="IRNazanin"/>
          <w:color w:val="111111"/>
          <w:sz w:val="28"/>
          <w:sz w:val="28"/>
          <w:szCs w:val="28"/>
          <w:rtl w:val="true"/>
          <w:lang w:bidi="fa-IR"/>
        </w:rPr>
        <w:t>، و غیرها ممّا استدلّ بها فی المقام</w:t>
      </w:r>
      <w:r>
        <w:rPr>
          <w:rFonts w:eastAsia="IRNazanin" w:cs="IRNazanin"/>
          <w:color w:val="111111"/>
          <w:sz w:val="28"/>
          <w:szCs w:val="28"/>
          <w:rtl w:val="true"/>
          <w:lang w:bidi="fa-IR"/>
        </w:rPr>
        <w:t>.</w:t>
      </w:r>
    </w:p>
    <w:p>
      <w:pPr>
        <w:pStyle w:val="Heading6"/>
        <w:numPr>
          <w:ilvl w:val="5"/>
          <w:numId w:val="1"/>
        </w:numPr>
        <w:rPr/>
      </w:pPr>
      <w:bookmarkStart w:id="832" w:name="__RefHeading___Toc3235288_3224264995"/>
      <w:bookmarkStart w:id="833" w:name="_Toc313"/>
      <w:bookmarkEnd w:id="832"/>
      <w:r>
        <w:rPr>
          <w:rtl w:val="true"/>
        </w:rPr>
        <w:t>الروایات التی استدلّ بها لجواز تقلید غیر الأعلم</w:t>
      </w:r>
      <w:bookmarkEnd w:id="833"/>
    </w:p>
    <w:p>
      <w:pPr>
        <w:pStyle w:val="BookText"/>
        <w:rPr/>
      </w:pPr>
      <w:r>
        <w:rPr>
          <w:rFonts w:ascii="IRNazanin" w:hAnsi="IRNazanin" w:eastAsia="IRNazanin"/>
          <w:color w:val="111111"/>
          <w:sz w:val="28"/>
          <w:sz w:val="28"/>
          <w:szCs w:val="28"/>
          <w:rtl w:val="true"/>
          <w:lang w:bidi="fa-IR"/>
        </w:rPr>
        <w:t>و 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بعدّة منها لجواز تقلید غیر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روایة الاحتجاج عن تفسیر الإمام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 ثُمَّ یَقُولُونَ هذا مِنْ عِنْدِ</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لقوم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عوام الیهود کانوا قد عرفوا علماءهم بالکذب الصریح و أکل الحرام و تغییر الأحکام، و اضطرّوا بقلوبهم إلی أنّ من فعل ذلک فهو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 ذلک لا یکون إلّا بعض فقهاء الشیعة لا کلّهم، فإنّ من رکب من القبائح و الفواحش مراکب علماء العامّة، فلا تقبلوا منهم عنّا شیئاً</w:t>
      </w:r>
      <w:r>
        <w:rPr>
          <w:rFonts w:eastAsia="IRNazanin" w:cs="IRNazanin"/>
          <w:color w:val="111111"/>
          <w:sz w:val="28"/>
          <w:szCs w:val="28"/>
          <w:rtl w:val="true"/>
          <w:lang w:bidi="fa-IR"/>
        </w:rPr>
        <w:t>)</w:t>
      </w:r>
    </w:p>
    <w:p>
      <w:pPr>
        <w:pStyle w:val="BookText"/>
        <w:rPr/>
      </w:pPr>
      <w:r>
        <w:rPr>
          <w:rStyle w:val="FootnoteAnchor"/>
          <w:rtl w:val="true"/>
        </w:rPr>
        <w:footnoteReference w:id="88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شمول إطلاقها لتقلید من ثبت له هذه الأوصاف، و اقتضائها جوازه و لو مع مخالفة رأیه لرأی الأعلم منه، خصوصاً مع کثرة مراتب الفقهاء فی الفضل و العلم و نُدرة تساوی الاثنین منهم فی الفضل و الفتوی</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یرد علی الاستدلال بها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سندها؛ لعدم</w:t>
      </w:r>
    </w:p>
    <w:p>
      <w:pPr>
        <w:pStyle w:val="BookText"/>
        <w:rPr/>
      </w:pPr>
      <w:r>
        <w:rPr>
          <w:rFonts w:ascii="Amiri" w:hAnsi="Amiri" w:eastAsia="Amiri" w:cs="Amiri"/>
          <w:color w:val="111111"/>
          <w:sz w:val="28"/>
          <w:sz w:val="28"/>
          <w:szCs w:val="28"/>
          <w:rtl w:val="true"/>
          <w:lang w:bidi="ar-SA"/>
        </w:rPr>
        <w:t>ثبوت صحّة نسبة التفسیر المذکور إلی الإمام علیه السلام، بل کان بعض أساتیذنا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مشتمل علی امور و مطالب یُعلم منها أنّه لیس من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علماء الیهود و رؤساءهم کانوا ظانّین بنبوّة نبیّنا صلی الله علیه و آله و سلم و خلافة الإمام علیه السلام، و أنّ عوامّهم یقلّدونهم، و أنّ ذمّهم لتقلیدهم علماءهم لیس لأجل أنّه تقلید فی اصول العقائد، و هو غیر جائز، بل لأجل أنّهم فسّاق، مع أنّ عدم جواز التقلید فی اصول العقائد، من الضروریّات و البدیهیّات لو لم یحصل العلم و الاعتقاد،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و لا یصحّ تقیید الروایة بغیر اصول الدین؛ لأنّه موردها، فلا یجوز إخراجها عنها، مضافاً إلی منع الإطلاق فی الروایة؛ و شمولها للرجوع إلی المفضول مع مخالفته للفاضل فی الرأی و الاجتهاد، بل ظاهرها أنّها فی مقام بیان مطلب آخر، هو بیان جهة الاشتراک بین عوامّنا و عوامّهم وجهة الافتراق بینهما، فلا دلالة لها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بها تارة لتعیّن تقلید الأعلم، و اخری لجواز تقلید غیر الأعلم، و هی مقبولة عمر بن حنظلة، 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 فلیرضوا به حکماً، فإنّی قد جعلته علیکم حاکماً، فإذا حکم بحکمنا، فلم یقبل منه، فإنّما استخفّ بحکم اللَّه، و علینا ردّ، و الرادّ علینا الرادّ علی اللَّه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بها علی جواز الرجوع إلی المفضول و إن علم مخالفته للفاضل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 إن کانت فی مقام أمر القضاء و صفات القاضی و من یجوز</w:t>
      </w:r>
    </w:p>
    <w:p>
      <w:pPr>
        <w:pStyle w:val="BookText"/>
        <w:rPr/>
      </w:pPr>
      <w:r>
        <w:rPr>
          <w:rFonts w:ascii="IRNazanin" w:hAnsi="IRNazanin" w:eastAsia="IRNazanin"/>
          <w:color w:val="111111"/>
          <w:sz w:val="28"/>
          <w:sz w:val="28"/>
          <w:szCs w:val="28"/>
          <w:rtl w:val="true"/>
          <w:lang w:bidi="fa-IR"/>
        </w:rPr>
        <w:t>التحاکم إلیه، لکنّها ربّما تکون فی الشبهات الحکمیّة التی تشخیصها منوط بنظر الحاکم، فتدلّ الروایة علی حجّیّة رأی من له الصفات المذکورة فی الروایة فی حقوق الناس، فیعلم أنّه کذلک فی حقوق اللَّه بالأولویّة، أو بإلغاء الخصوصیّة العرفیّة، أو بتنقیح المناط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تدلّ علی اعتبار تشخیص العرف و العقلاء أنّه قد حکم بحکمهم؛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بدّ من إلغاء احتمال الخلاف و الخطأ فی رأیه و نظره و فتواه عندهم، بعد إلغاء احتمال تعمّد الکذب علی اللَّه تعالی؛ لفرض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الروایة متعرِّضة لصورة اختلاف الحَکَمین فی رأیهما و نظرهما؛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فیعلم منه شمول صدرها لصورة اختلافهما فی الفتوی، لکنّها تختصّ بباب الحکومة و شمولها لغیرها یحتاج إلی إلغاء الخصوصیّة العرفیّة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ما فی هذا الاستدلال؛ لأنّ إلغاء الخصوصیّة إنّما هو فیما لو فهم العرف و العقلاء عدم دَخْل القید عند الإطلاق،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الأذان و قد دخل فی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یحتمل فی المتفاهم العرفی دَخْل الرجولیّة بخصوصها فی هذا الحکم، فالمرأة کذلک عندهم، و أمّا لو احتمل عرفاً دَخْل خصوصیّة للقید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الخصوصیّة مُلغاة عرفاً؛ للفرق بین باب القضاء و بین باب الفتوی، فإنّه لا مجال للاحتیاط و الصلح فی الأوّل غالباً، بخلاف مقام الفتوی؛ لاحتمال مطلوبیّة الاحتیاط أو التجزئة فیه، و حینئذٍ فیمکن نفوذ حکم غیر الأعلم فی مقام القضاء مع عدم حجّیّة فتواه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تنقیح المناط إنّما تصحّ لو علم المناط قطعاً فی حجّیّة فتواه فی الحکومة، لا فیما لم یعلم کما فی المقام؛ لعدم معلومیّة مناط حجّیّة فتواه فی الحکومة؛ حتّی یتمشّی فیه قضیّة 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الروایة علی إلغاء العرف احتمال الخلاف فی فتواه، فهو إنّما یسلّم فی الحکومة فقط، لا مطلقاً؛ حتّی فی سائر فتاواه فی غیر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تعرّض الروایة لصورة اختلاف الحَکَمین فی رأیهما، فهو علی خلاف المطلوب أدلّ؛ حیث حکم علیه السلام بالرجوع إلی أفقههما و الأخذ بقوله، فیدلّ علی عدم اعتبار رأی غیر الأفقه حتّی فی باب الحکومة، و کذلک الأصدق و غیره، فتدلّ علی عدم جواز تقلید غیر الأفقه و الأصدق، و هکذا الکلام فی مشهورة أبی خدیجة استدلالًا و 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 لإسحاق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أن یوصل لی کتاباً، قد سألتُ فیه عن مسائل اشکلت علیّ، فورد التوقیع بخطّ مولانا صاحب الزمان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سألت عنه أرشدک اللَّه و ثبّتک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p>
    <w:p>
      <w:pPr>
        <w:pStyle w:val="BookText"/>
        <w:rPr/>
      </w:pP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خصوص الشبهات الحکمیّة التی لا بدّ من الرجوع فیها إلی أحکام الإسلام، أو الأعمّ منها و من الشبهات الموضوعیّة، و علی أیّ تقدیر تشمل الشبهات الحکمیّة، و من المعلوم أنّه لیس مراده علیه السلام إرجاعهم إلی الرواة لمجرّد تلقّی الحدیث و أخذه؛ لعدم حلّ المشکل به، و لا سبیل إلی إنکار إرادة الرجوع إلیهم فی حلّ الإشکال و رفع الشبهة؛ لأنّه المناسب لقوله و تعلیله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حجّتی علیکم، و أنا حجّة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الظاهر فی أنّ المراد أنّ أعمالهم و أفعالهم و أنظارهم کأفعاله و أعماله و أنظاره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حجّة اللَّه علیهم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بأنّهم بمنزلته، فکما</w:t>
      </w:r>
    </w:p>
    <w:p>
      <w:pPr>
        <w:pStyle w:val="BookText"/>
        <w:rPr/>
      </w:pPr>
      <w:r>
        <w:rPr>
          <w:rFonts w:ascii="IRNazanin" w:hAnsi="IRNazanin" w:eastAsia="IRNazanin"/>
          <w:color w:val="111111"/>
          <w:sz w:val="28"/>
          <w:sz w:val="28"/>
          <w:szCs w:val="28"/>
          <w:rtl w:val="true"/>
          <w:lang w:bidi="fa-IR"/>
        </w:rPr>
        <w:t>أنّه علیه السلام حجّة اللَّه فی جمیع شئون الإسلام فکذلک هؤلاء، فلا بدّ من الرجوع إلیهم فی جمیع شئون الإسلام التی منها آراءهم و فتاواهم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فیها إشکالان لا طریق إلی حلّهما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ضعیفة السند بإسحاق بن یعقوب، فإنّه لا أثر له فی الأخبار إلّا نقل هذه الروایة و التوقیع، و مجرّد نقل المشایخ العظام لتوقیعه لا یفید فی توثیقه و اعتباره؛ لأنّهم کثیراً ما ینقلون ما لا یعتمدون علیه فی مقام الفتوی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یذکر فیها السؤال أنّه عن أیّ شی‌ء هو؟ فمن المحتمل أنّه ممّا یصلح للقرینة علی أنّ الجواب فی خصوص باب الحکومة و القضاء، و هذا الاحتمال العقلائی لا دافع له، و معه لم یستقم الاستدلال بها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منع دلالتها علی ثبوت جمیع ما للإمام علیه السلام من شئون الإسلام للفقیه المفضول أیضاً، و علی فرض تسلیمه نمنع شمولها لصورة مخالفته للفاضل فی الرأی و الفتوی، مع أنّ الرجوع إلی المفضول حینئذٍ خلاف طریقة العقلاء، و لا یکفی هذا النحو من البیان للردع عن هذه الطریقة العقلائیّة، بل یحتاج إلی بیان أوفی و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المحتمل أنّ المذکور فی السؤال، ما یصلح قرینة علی أنّ المرجوع إلیه شخص خاصّ أو عدّة معیّنة مخصوصة، لا یتأتّی فیه إلغاء خصوصیّتهم من جهة عدم اختلاف أنظارهم أو قلّته، مع کثرة الاختلاف بین فقهاء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الکشّی عن موسی بن جعفر بن وهب، عن أحمد بن حاتم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عمّن آخذ معالم دینی؟ و کتب أخوه أیضاً بذلک، فکتب علیه السلام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ذکرتما فاصمدا فی دینکما علی کلّ</w:t>
      </w:r>
    </w:p>
    <w:p>
      <w:pPr>
        <w:pStyle w:val="BookText"/>
        <w:rPr/>
      </w:pPr>
      <w:r>
        <w:rPr>
          <w:rFonts w:ascii="Amiri" w:hAnsi="Amiri" w:eastAsia="Amiri" w:cs="Amiri"/>
          <w:color w:val="111111"/>
          <w:sz w:val="28"/>
          <w:sz w:val="28"/>
          <w:szCs w:val="28"/>
          <w:rtl w:val="true"/>
          <w:lang w:bidi="ar-SA"/>
        </w:rPr>
        <w:t>مسنٍّ فی حبّنا، و کلّ کثیر القدم فی أمرنا، فإنّهم کافوکما إن شاء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الحکم فیها بالرجوع إلی من ثبت له إحدی هاتین الصفتین، هو جواز الرجوع إلیهما و إن وجد الأفضل منهما و لو مع المخالفة بینهم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أیضاً ضعیفة السند، مضافاً إلی أنّ ظاهرها و أمثالها، أنّها فی مقام توثیق عدّة من الرواة و تعریف أشخاصهم و تمییزهم، مع أنّ الرجوع إلی الثقة من المرتکزات فی أذهان المسلمین بنحو العموم، فلیست فی مقام هذا الحکم الکلّی، مضافاً إلی عدم استفادة جواز الرجوع إلی کلّ فقیه و عالم منها، بل من ثبت له هاتان الصفتان فی ذلک العصر، و منع إلغاء الخصوصیّة عرفاً،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للمطلوب ببعض الأخبار الآمرة بالرجوع إلی بعض الأشخاص المعیّنین من الرواة، مثل إرجاع ابن أبی یعفور إلی محمّد بن مسلم</w:t>
      </w:r>
      <w:r>
        <w:rPr>
          <w:rStyle w:val="FootnoteAnchor"/>
          <w:rtl w:val="true"/>
        </w:rPr>
        <w:footnoteReference w:id="892"/>
      </w:r>
      <w:r>
        <w:rPr>
          <w:rFonts w:ascii="IRNazanin" w:hAnsi="IRNazanin" w:eastAsia="IRNazanin"/>
          <w:color w:val="111111"/>
          <w:sz w:val="28"/>
          <w:sz w:val="28"/>
          <w:szCs w:val="28"/>
          <w:rtl w:val="true"/>
          <w:lang w:bidi="fa-IR"/>
        </w:rPr>
        <w:t>، و لذا قد یقال بدلالتها علی جواز رجوع مجتهد إلی مجتهد آخر، و قد تقدّم خلافه؛ لما عرفت من افتقاره إلی إلغاء الخصوصیّة عرفاً، و هو أیضاً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إرجاع ابن أبی یعفور إلی محمّد بن مسلم، فلیس من قبیل إرجاع مجتهد إلی آخر فی أخذ الفتوی و تقلیده؛ لینافی ما ذکرناه سابقاً من عدم جواز ذلک، بل لأجل أنّه کان عنده علوم تلقّاها من الأئمّة علیهم السلام، لا یمکن معرفتها له إلّا بالرجوع إلیه و تلقّیها منه، و هو أخذ الروایة منه مجرّداً، دون فتواه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للمطلوب بالإجماعات المنقولة فهو أیضاً غیر سدید؛ لأنّ</w:t>
      </w:r>
      <w:bookmarkStart w:id="834" w:name="pg12898_148394"/>
    </w:p>
    <w:p>
      <w:pPr>
        <w:pStyle w:val="BookText"/>
        <w:rPr/>
      </w:pPr>
      <w:bookmarkEnd w:id="834"/>
      <w:r>
        <w:rPr>
          <w:rFonts w:ascii="IRNazanin" w:hAnsi="IRNazanin" w:eastAsia="IRNazanin"/>
          <w:color w:val="111111"/>
          <w:sz w:val="28"/>
          <w:sz w:val="28"/>
          <w:szCs w:val="28"/>
          <w:rtl w:val="true"/>
          <w:lang w:bidi="fa-IR"/>
        </w:rPr>
        <w:t>الاستدلال بالإجماع إنّما یصحّ لو لم یکن فی المسألة ما یحتمل استناد القائلین و المجمعین إلیه؛ من بناء العقلاء أو حکم العقل، و فیما نحن فیه یحتمل استنادهم إلی بناء العقلاء أو حکم العقل، و معه فلیس الإجماع کاشفاً عن الحجّیّة و وجود النصّ المعتبر</w:t>
      </w:r>
      <w:r>
        <w:rPr>
          <w:rFonts w:eastAsia="IRNazanin" w:cs="IRNazanin"/>
          <w:color w:val="111111"/>
          <w:sz w:val="28"/>
          <w:szCs w:val="28"/>
          <w:rtl w:val="true"/>
          <w:lang w:bidi="fa-IR"/>
        </w:rPr>
        <w:t>.</w:t>
      </w:r>
    </w:p>
    <w:p>
      <w:pPr>
        <w:pStyle w:val="Heading6"/>
        <w:numPr>
          <w:ilvl w:val="5"/>
          <w:numId w:val="1"/>
        </w:numPr>
        <w:rPr/>
      </w:pPr>
      <w:bookmarkStart w:id="835" w:name="__RefHeading___Toc3235290_3224264995"/>
      <w:bookmarkStart w:id="836" w:name="_Toc314"/>
      <w:bookmarkEnd w:id="835"/>
      <w:r>
        <w:rPr>
          <w:rtl w:val="true"/>
        </w:rPr>
        <w:t>أدلّة وجوب الرجوع إلی الأفضل</w:t>
      </w:r>
      <w:bookmarkEnd w:id="836"/>
    </w:p>
    <w:p>
      <w:pPr>
        <w:pStyle w:val="Heading6"/>
        <w:numPr>
          <w:ilvl w:val="5"/>
          <w:numId w:val="1"/>
        </w:numPr>
        <w:rPr/>
      </w:pPr>
      <w:bookmarkStart w:id="837" w:name="__RefHeading___Toc3235292_3224264995"/>
      <w:bookmarkStart w:id="838" w:name="_Toc315"/>
      <w:bookmarkEnd w:id="837"/>
      <w:r>
        <w:rPr>
          <w:rtl w:val="true"/>
        </w:rPr>
        <w:t>اشارة</w:t>
      </w:r>
      <w:bookmarkEnd w:id="838"/>
    </w:p>
    <w:p>
      <w:pPr>
        <w:pStyle w:val="BookText"/>
        <w:rPr/>
      </w:pPr>
      <w:r>
        <w:rPr>
          <w:rFonts w:ascii="IRNazanin" w:hAnsi="IRNazanin" w:eastAsia="IRNazanin"/>
          <w:color w:val="111111"/>
          <w:sz w:val="28"/>
          <w:sz w:val="28"/>
          <w:szCs w:val="28"/>
          <w:rtl w:val="true"/>
          <w:lang w:bidi="fa-IR"/>
        </w:rPr>
        <w:t>استدلّ لوجوب تقلید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مخالفته فی الفتوی لغیر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بالمقبولة</w:t>
      </w:r>
      <w:r>
        <w:rPr>
          <w:rStyle w:val="FootnoteAnchor"/>
          <w:rtl w:val="true"/>
        </w:rPr>
        <w:footnoteReference w:id="893"/>
      </w:r>
      <w:r>
        <w:rPr>
          <w:rFonts w:ascii="IRNazanin" w:hAnsi="IRNazanin" w:eastAsia="IRNazanin"/>
          <w:color w:val="111111"/>
          <w:sz w:val="28"/>
          <w:sz w:val="28"/>
          <w:szCs w:val="28"/>
          <w:rtl w:val="true"/>
          <w:lang w:bidi="fa-IR"/>
        </w:rPr>
        <w:t>حیث إنّه بعد فرض الراوی اختلاف الحَکَمین فی الحکم، حکم علیه السلام بالرجوع إلی الأفقه و الأعدل و الأصدق، مع ظهور الروایة فی الشبهات الحکمیّة أو الأعمّ منها و من الموضوعیّة، و من المعلوم أنّ الحکم بتعیّن نفوذ حکم الأفقه مستلزم لتعین اعتبار رأیه و نظره؛ إذ لا یعقل عدم تعیّن اعتبار 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مستند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حکمه و نفوذه فقط، و بعد إلغاء خصوصیّة الدَّین و المیراث تشمل فتواه فی غیر باب القضاء، فتدلّ علی اعتبار فتواه بما أنّها فتواه مطلقاً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المقبولة هو تقدیم من اجتمعت فیه هذه الصفات أجمع؛ للعطف فیها بالواو، لا تقدیم الأفقه فقط، کما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مقتضاها اعتبار اجتماع هذه الصفات کلّها فی الترجیح، لا بمجرّد الأفقهیّة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اعتبار حکمه فی الشبهات الحکمیّة و إن استلزم تعیّن اعتبار فتواه فی ذلک؛ لما تقدّم من أنّه لا یعقل تعیّن اعتبار حکمه دون فتواه التی هی مستند حکمه، لکن لا ملازمة بینهما فی جانب السلب فی فتوی المفضول و حکمه؛ بمعنی أنّ عدم</w:t>
      </w:r>
      <w:bookmarkStart w:id="839" w:name="pg12898_148395"/>
    </w:p>
    <w:p>
      <w:pPr>
        <w:pStyle w:val="BookText"/>
        <w:rPr/>
      </w:pPr>
      <w:bookmarkEnd w:id="839"/>
      <w:r>
        <w:rPr>
          <w:rFonts w:ascii="IRNazanin" w:hAnsi="IRNazanin" w:eastAsia="IRNazanin"/>
          <w:color w:val="111111"/>
          <w:sz w:val="28"/>
          <w:sz w:val="28"/>
          <w:szCs w:val="28"/>
          <w:rtl w:val="true"/>
          <w:lang w:bidi="fa-IR"/>
        </w:rPr>
        <w:t>اعتبار حکمه و قضائه لا یستلزم عدم اعتبار فتواه؛ لأنّه من المحتمل أنّ عدم اعتبار حکمه لانتفاء مقدّماته الاخر، لا لعدم حجّیّة فتواه، و هذا احتمال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إلغاء الخصوصیّة بعد الفرق بین باب القضاء و بین باب الفتوی؛ لعدم تعقّل أمر القاضی المتخاصمین بالاحتیاط أو التجزیة فیه فی الأوّل دون الثانی، فقیاس باب الفتوی علیه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ممّا استدلّ به لتعیّن وجوب تقلید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رأی الأعلم أقرب إلی الواقع، و کلّ من هو کذلک تعیّن تقلیده عقلًا، ینتج وجوب تقلید الأعلم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نظره أصوب و أقرب إلی الواقع لفرض أعلمیّته، و هو أخبر بمجاری الاصول و القواعد و مواقعها، و تمییز الدلیل الحاکم عن المحکوم و مجاری البراءة و الاشتغال و غیر ذلک، و المفروض أنّ نظره أقرب إلی الواقع و طریق إلیه و کاشف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إذا لم تکن لأنظار المجتهدین موضوعیّة و سببیّة، بل هی طریق کاشف عن الواقع، و أنّ ما هو المطلوب هو الأحکام الواقعیّة، فمع أقربیّة رأی الأعلم إلی الواقع یتعیّن لزوم اتّباعه و أخذ الفتوی منه عقلًا</w:t>
      </w:r>
      <w:r>
        <w:rPr>
          <w:rFonts w:eastAsia="IRNazanin" w:cs="IRNazanin"/>
          <w:color w:val="111111"/>
          <w:sz w:val="28"/>
          <w:szCs w:val="28"/>
          <w:rtl w:val="true"/>
          <w:lang w:bidi="fa-IR"/>
        </w:rPr>
        <w:t>.</w:t>
      </w:r>
    </w:p>
    <w:p>
      <w:pPr>
        <w:pStyle w:val="Heading6"/>
        <w:numPr>
          <w:ilvl w:val="5"/>
          <w:numId w:val="1"/>
        </w:numPr>
        <w:rPr/>
      </w:pPr>
      <w:bookmarkStart w:id="840" w:name="__RefHeading___Toc3235294_3224264995"/>
      <w:bookmarkStart w:id="841" w:name="_Toc316"/>
      <w:bookmarkEnd w:id="840"/>
      <w:r>
        <w:rPr>
          <w:rtl w:val="true"/>
        </w:rPr>
        <w:t>إشکال المحقّق الخراسانی قدس سره صغرویاً</w:t>
      </w:r>
      <w:bookmarkEnd w:id="841"/>
    </w:p>
    <w:p>
      <w:pPr>
        <w:pStyle w:val="BookText"/>
        <w:rPr/>
      </w:pPr>
      <w:r>
        <w:rPr>
          <w:rFonts w:ascii="IRNazanin" w:hAnsi="IRNazanin" w:eastAsia="IRNazanin"/>
          <w:color w:val="111111"/>
          <w:sz w:val="28"/>
          <w:sz w:val="28"/>
          <w:szCs w:val="28"/>
          <w:rtl w:val="true"/>
          <w:lang w:bidi="fa-IR"/>
        </w:rPr>
        <w:t xml:space="preserve">و 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فتوی غیر الأفضل ربّما تکون أقرب من فتوی الأفضل؛ لموافقة فتواه لفتوی من هو أفضل من هذا الأفضل من الأموات، فإنّ العقل لا یری تفاوتاً بین الأقربیّة فی الأمارة؛ لنفسها أو لأجل موافقتها لأمارة اخری</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w:t>
      </w:r>
      <w:bookmarkStart w:id="842" w:name="pg12898_148396"/>
    </w:p>
    <w:p>
      <w:pPr>
        <w:pStyle w:val="BookText"/>
        <w:rPr/>
      </w:pPr>
      <w:bookmarkEnd w:id="842"/>
      <w:r>
        <w:rPr>
          <w:rFonts w:ascii="IRNazanin" w:hAnsi="IRNazanin" w:eastAsia="IRNazanin"/>
          <w:color w:val="111111"/>
          <w:sz w:val="28"/>
          <w:sz w:val="28"/>
          <w:szCs w:val="28"/>
          <w:rtl w:val="true"/>
          <w:lang w:bidi="fa-IR"/>
        </w:rPr>
        <w:t>بأنّ اعتبار الظنّ الحاصل من فتوی المجتهد لیس لأنّه ظنّ مطلق بالواقع، بل لأجل أنّه ظنّ خاصّ حاصل من رأی المجتهد المستند علی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بین الأقربیّة، لنفسه أو لموافقته لأمارة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رأی المیّت فی نفسه لیس حجّة، و ضمّ الحجّة إلیه لا یفید شیئاً من القوّة، فإنّ إلحاق الظنّ الغیر المعتبر بالظنّ المعتبر کالحجر فی جنب الإنسان، و حینئذٍ فالفرق بین المرجّحات الداخلیّة و الخارجیّة قویّ</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قوّة فهمه قدس سره و دقّة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منه، فإنّه قدس سره خلط بین الصغری و الکبری، و إشکال صاحب الکفایة إنّما هو علی الصغری؛ أی أنّ رأی الأعلم أقرب إلی الواقع، فأشکل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بعدم عمومیّة ذلک؛ أی کلیّة الصغری، و إشکاله قدس سره فی محلّه؛ لما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ربّما یوافق رأی غیر الأفضل رأی الأفضل من هذا الأفضل من الأموات، فمقصوده قدس سره من هذا الإشکال نفی الصغری لا الکبری، و هی حجّیّة ما هو أقرب إلی الواقع عقلًا؛ فلا یرد علیه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المرجّحات الداخلیّة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الصغری، و الإیراد المذکور علیه إنّما هو راجع إلی الکبری، فهو فی غیر محلّه</w:t>
      </w:r>
      <w:r>
        <w:rPr>
          <w:rFonts w:eastAsia="IRNazanin" w:cs="IRNazanin"/>
          <w:color w:val="111111"/>
          <w:sz w:val="28"/>
          <w:szCs w:val="28"/>
          <w:rtl w:val="true"/>
          <w:lang w:bidi="fa-IR"/>
        </w:rPr>
        <w:t>.</w:t>
      </w:r>
    </w:p>
    <w:p>
      <w:pPr>
        <w:pStyle w:val="Heading6"/>
        <w:numPr>
          <w:ilvl w:val="5"/>
          <w:numId w:val="1"/>
        </w:numPr>
        <w:rPr/>
      </w:pPr>
      <w:bookmarkStart w:id="843" w:name="__RefHeading___Toc3235296_3224264995"/>
      <w:bookmarkStart w:id="844" w:name="_Toc317"/>
      <w:bookmarkEnd w:id="843"/>
      <w:r>
        <w:rPr>
          <w:rtl w:val="true"/>
        </w:rPr>
        <w:t>إشکال المحقّق الخراسانی قدس سره کبرویاً</w:t>
      </w:r>
      <w:bookmarkEnd w:id="84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بما حاصله 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هنا لیس فی بناء العقلاء علی تعیّن تقلید الأعلم، و لا لأنّه مقتضی الأصل</w:t>
      </w:r>
    </w:p>
    <w:p>
      <w:pPr>
        <w:pStyle w:val="BookText"/>
        <w:rPr/>
      </w:pPr>
      <w:r>
        <w:rPr>
          <w:rFonts w:ascii="IRNazanin" w:hAnsi="IRNazanin" w:eastAsia="IRNazanin"/>
          <w:color w:val="111111"/>
          <w:sz w:val="28"/>
          <w:sz w:val="28"/>
          <w:szCs w:val="28"/>
          <w:rtl w:val="true"/>
          <w:lang w:bidi="fa-IR"/>
        </w:rPr>
        <w:t>العقلی فی دوران الأمر بین التعیین و التخییر؛ للفراغ عن البحث فیهما، بل المقصود هنا إقامة برهان مرکّب من صغری وجدانیّة و کبری عقلیّة، فیرد علی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لأجل إحاطته بجمیع ملاکات الأحکام الشرعیّة، فحکمه حینئذٍ قطعیّ جزمیّ؛ بحیث لو ورد فی الشرع ما هو بخلافه تعیّن طرحه؛ لأنّه خلاف الحکم العقلی القطعی، فهو ممنوع؛ لأنّه لم یعلم أنّ ملاک حجّیّة رأی الغیر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نحو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القرب إلی الواقع، و لعلّه لملاک هو فی الأفضل و غیره سیّان، و لم یکن لزیادة القرب فی أحدهما دَخْل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مطلوب الشارع هو الأحکام الواقعیّة، و إلّا تعیّن الاحتیاط و إن استلزم العسر و الحرج و اختلال النظام، و لما صحّ التعبّد بالأمارات و الاصول، بل التعبّد بقول الأعلم أیضاً؛ للعلم بعدم مطابقة جمیع فتاواه للواقع دائماً، فدعوی أنّ مطلوب الشارع هو الأحکام الواقعیّة خلاف ضرورة الفقه؛ ضرورة ثبوت التعبّد بالأمارات و الاصول، بل یعلم بعدم مطلوبیّة التجزّی فی الاحتیاط شرعاً أیضاً، بل المطلوب هی الأحکام الواقعیّة من طریق العمل بالأمارات و الاصول و سلوکها، و حینئذٍ فللشارع أن یحکم بتخییر المقلّدین بین تقلید الأعلم و غیره، بل له التعبّد بتعیّن الرجوع إلی غیر الأعلم، فمع عدم امتناع ذلک لم تتمّ الکبری المذکورة؛ لأنّ حکم العقل لا یجتمع مع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الأقربیّة إلی الواقع هی تمام الملاک،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أنّه یمکن دَخْل الأقربیّة إلی الواقع فی تعیّن الرجوع إلی الأعلم، مع قطع النظر عن الجهات الاخر، فهو لا یفید المطلوب</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المحقّق المذکور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أراد عدم دَخْل القرب إلی</w:t>
      </w:r>
    </w:p>
    <w:p>
      <w:pPr>
        <w:pStyle w:val="BookText"/>
        <w:rPr/>
      </w:pPr>
      <w:r>
        <w:rPr>
          <w:rFonts w:ascii="IRNazanin" w:hAnsi="IRNazanin" w:eastAsia="IRNazanin"/>
          <w:color w:val="111111"/>
          <w:sz w:val="28"/>
          <w:sz w:val="28"/>
          <w:szCs w:val="28"/>
          <w:rtl w:val="true"/>
          <w:lang w:bidi="fa-IR"/>
        </w:rPr>
        <w:t>الواقع فی حجّیّة قول المفتی أصلًا، فهو منافٍ لطریقیّة رأیه إلی الواقع، مع اعترافه بأنّ رأی المجتهد حجّة من باب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لیس له تمام الدَّخْل فیها، بل جزؤه، و أنّ هنا خصوصیّة اخری دخیلة فی حجّیّة رأیه أیضاً بنحو جزء الموضوع، فإمّا أنّ تلک الخصوصیّة جزء المقتضی للحجیّة، أو شرط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وجوب تقلید الأعلم تعییناً؛ لأنّه علیه یشترک رأی الأعلم و غیر الأعلم فی جمیع الخصوصیّات، لکن فی رأی الأعلم خصوصیّة اخری هی جزء المقتضی لحجّیّته، و هی الأقربیّة إلی الواقع المنتفیة فی رأی غیر الأعلم، و حینئذٍ یجب تقدیم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یقدّم علی غیر الأعلم فی 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الخصوصیّة الموجودة فی رأیه المفقودة فی رأی غیره، أوجبت تقدیمه علی غیره بنحو الإطلاق، أی کون الخصوصیّة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منافاته لوجوب تقلید الأعلم أوضح؛ لأنّ الخصوصیّة الزائدة لا دَخْل لها فی قرب الآراء إلی الواقع و بُعدها عنه؛ لأنّ الملاک فی القوّة و الضعف فی المقتضی، لا فی الشرائط، و المفروض أنّ المقتضی فی رأی الأعلم أقوی، فوجب تقدیمه، و لهذا لا مجال لمقایسة المقام علی اعتبار البصر و الکتابة فی القاضی؛ لأنّها مع الفارق؛ لأنّ المعتبر فی القاضی هو أصل البصر و الکتابة، لا قوّة البصر و جودة الکتابة، بخلاف الفتوی و رأی المجتهد؛ حیث إنّه طریق إلی الواقع، فیعتبر فیه قوّة النظر و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المراد بالأعلمیّة قوّة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زوال رأیه بتشکیک المشکّک، لا أنّ نظره أقرب إلی الواقع و 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المقایسة المذکورة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یمکن إقامة دلیل آخر علی وجوب الرجوع إلی الأعلم، و إن</w:t>
      </w:r>
    </w:p>
    <w:p>
      <w:pPr>
        <w:pStyle w:val="BookText"/>
        <w:rPr/>
      </w:pPr>
      <w:r>
        <w:rPr>
          <w:rFonts w:ascii="IRNazanin" w:hAnsi="IRNazanin" w:eastAsia="IRNazanin"/>
          <w:color w:val="111111"/>
          <w:sz w:val="28"/>
          <w:sz w:val="28"/>
          <w:szCs w:val="28"/>
          <w:rtl w:val="true"/>
          <w:lang w:bidi="fa-IR"/>
        </w:rPr>
        <w:t>فرض عدم أقربیّة رأی الأعلم إلی الواقع، أو قلنا بعدم دَخْل الأقربیّة إلی الواقع فی المقام، و هو أنّه إذا کان الأعلم أجود استنباطاً، و أخبر بمجاری الاصول و غیرها تعیّن الرجوع إلیه عقلًا؛ لإذعان العقل بلزوم تقدیمه و إدراکه له؛ لأنّ التسویة بینه و بین المفضول مثل التسویة بین العالم و الجاهل، لا أنّ العقل متوقّف فی ذلک</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دَخْل القرب إلی الواقع فی حجّیّة رأی المجتهد؛ لما تقدّم من أنّ رأیه أمارة إلی الواقع، لکنّ المدّعی هو أنّ علّة جعل الأمارة شرعاً، لا تنحصر فی وجود المقتضی و انتفاء المانع،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العلّة فی جعل حجّیّة الأمارات منحصرة بالمقتضی و المانع، بل یمکن وجود مصالح عامّة هی العلّة فی جعل الأمارات، مع أنّه کثیراً ما تخالف الواقع، کعدم لزوم العسر و الحرج و اختلال النظام، و إلّا یلزم عدم کون الشریعة سمحة سهلة، فلیس التعبّد برجوع الجاهل إلی العالم و تقلید المجتهد فی الأحکام الشرعیّة لخصوصیّة زائدة، بل لأجل مراعاة مصالح عامّة، لا ینافی ذلک مطلوبیّة الأحکام الواقعیّة للشارع، نعم فی موارد عدم إصابة الأمارة للواقع، لا بدّ و أن یرفع الید عن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القرب إلی الواقع إمّا جزء المقتضی لحجّیّة فتوی المجتهد، أو شرط، غیر صحیح، فلیس الأمر دائراً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الأخیر الذی ذکره لوجوب تقلید الأعلم،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تقریب لأقربیّة فتواه إلی الواقع؛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الأعلم أجود استنباطاً، و هو صحیح</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إذعان العقل بعدم التساوی بینهما، و أنّ التساوی بینهما کالتساوی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ممّا ذکره هو أنّه لو ورد التعبّد بقیام أمارة أو دلالة آیة علی جواز تقلید غیر الأعلم هو طرحه؛ لأنّه خلاف ما أذعن به العقل و حکم به، و لا أظنّ أن یلتزم هو قدس سره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تعیّن تقلید الأعلم، 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العقلاء علیه، و حکم العقل بالتعیین فی دوران الأمر بین التعیین و التخییر، غیر سدید فیما لو وافقت فتوی غیر الأعلم فتوی الأعلم من هذا الأعلم؛ من الأموات أو من الأحیاء الذی لا یجوز تقلیده لفسقه و نحوه، بل الأمر حینئذٍ دائر بین التعیینیّین، لا التعیین و التخییر، و کذلک بناء العقلاء، فإنّه غیر مسلّم فی هذا الفرض الذی یکون رأی غیر الأعلم أقرب إلی الواقع من جهة اخری، فالحکم بتعیّن الرجوع إلی الأعلم بنحو الإطلاق غیر سدید، و غایة 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الشهرة المدّعاة فی تعیّنه</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 المحقّق الثانی تسالم الأصحاب علیه و عدم النکیر من أحد علیه</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فیما لو علم بمخالفة المفضول للفاضل فی الفتوی تفصیلًا، أو إجمالًا فی الفتاوی المحصورة</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لم یعلم بمخالفتهما فی الفتوی أصلًا، أو علم إجمالًا بها فی فتاواهما الغیر المحصورة، فیمکن دعوی بناء العقلاء علی جواز الرجوع إلی المفضول، و کذلک دعوی شمول إطلاق الأخبار الآمرة بالرجوع إلی الفقهاء له، إن لم نقل بشموله للصورتین الأوّلتین، فإنّ إطلاق الأمر بالرجوع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المخالفة بینهما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المتفاضلین فی العلم</w:t>
      </w:r>
      <w:r>
        <w:rPr>
          <w:rFonts w:eastAsia="IRNazanin" w:cs="IRNazanin"/>
          <w:color w:val="111111"/>
          <w:sz w:val="28"/>
          <w:szCs w:val="28"/>
          <w:rtl w:val="true"/>
          <w:lang w:bidi="fa-IR"/>
        </w:rPr>
        <w:t>.</w:t>
      </w:r>
      <w:bookmarkStart w:id="845" w:name="pg12898_148401"/>
    </w:p>
    <w:p>
      <w:pPr>
        <w:pStyle w:val="Heading6"/>
        <w:numPr>
          <w:ilvl w:val="5"/>
          <w:numId w:val="1"/>
        </w:numPr>
        <w:rPr/>
      </w:pPr>
      <w:bookmarkStart w:id="846" w:name="__RefHeading___Toc3235298_3224264995"/>
      <w:bookmarkStart w:id="847" w:name="_Toc318"/>
      <w:bookmarkEnd w:id="845"/>
      <w:bookmarkEnd w:id="846"/>
      <w:r>
        <w:rPr>
          <w:rtl w:val="true"/>
        </w:rPr>
        <w:t>فی حال المجتهدین المتساویین فی الفضل</w:t>
      </w:r>
      <w:bookmarkEnd w:id="847"/>
    </w:p>
    <w:p>
      <w:pPr>
        <w:pStyle w:val="BookText"/>
        <w:rPr/>
      </w:pPr>
      <w:r>
        <w:rPr>
          <w:rFonts w:ascii="IRNazanin" w:hAnsi="IRNazanin" w:eastAsia="IRNazanin"/>
          <w:color w:val="111111"/>
          <w:sz w:val="28"/>
          <w:sz w:val="28"/>
          <w:szCs w:val="28"/>
          <w:rtl w:val="true"/>
          <w:lang w:bidi="fa-IR"/>
        </w:rPr>
        <w:t>أمّا المجتهدان المتساویان فی الفضل فالأقسام المتقدّمة متصوّرة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إمّا أن یعلم بمخالفتهما فی الفتوی تفصیلًا، أو إجمالًا فی المحصور و الغیر المحصور، أولا؛ بل یحتمل ذلک، أو یقطع بموافقتهما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عقلًا و عرفاً فی صورة العلم بالمخالفة تفصیلًا أو إجمالًا فی المحصور هو التساقط؛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حجّیّة فتوی الفقیه إنّما هی علی الطریقیّة و الکاشفیّة عن الواقع، لا الموضوعیّة و السببیّة، و مع تعارضهما یستحیل الکشف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العمل علی وفق أحدهما الموافق للاحتیاط، کما لو کان رأی أحدهما وجوب صلاة الجمعة و فتوی الآخر جوازها، فإنّه لا مانع من العمل بالأوّل و الإتیان بها، لکن لیس أحدهما أقرب إلی الواقع، فإنّ الاحتیاط حسن لا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الکلام علی وفق القواعد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مقتضی الأدلّة الاجتهادیّة و الأخبار،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بتساقطهما فی الفرض لیس إلزامیّاً حتمیّاً؛ بأن یمتنع التعبّد بأحدهما شرعاً، بل یمکن وقوع التعبّد بذلک، و حینئذٍ فیمکن الاستدلال لجواز ذلک بالأخبار، مثل ما فی التوقیع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الحوادث الواقعة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w:t>
      </w:r>
      <w:r>
        <w:rPr>
          <w:rStyle w:val="FootnoteAnchor"/>
          <w:rtl w:val="true"/>
        </w:rPr>
        <w:footnoteReference w:id="900"/>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فاصمدا فی دینکما علی کلّ مُسِنٍّ فی حبّنا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Style w:val="FootnoteAnchor"/>
          <w:rtl w:val="true"/>
        </w:rPr>
        <w:footnoteReference w:id="901"/>
      </w:r>
      <w:r>
        <w:rPr>
          <w:rFonts w:ascii="IRNazanin" w:hAnsi="IRNazanin" w:eastAsia="IRNazanin"/>
          <w:color w:val="111111"/>
          <w:sz w:val="28"/>
          <w:sz w:val="28"/>
          <w:szCs w:val="28"/>
          <w:rtl w:val="true"/>
          <w:lang w:bidi="fa-IR"/>
        </w:rPr>
        <w:t>،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 شیخنا الحائری قدس سره</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و إن لم نقل بشمول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اعتبار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نحن فیه، لکن لا مانع من شمول إطلاق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اعتبار فتوی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تعارضها؛ للفرق بین المقامین؛ لأنّ أخبار الثقات کثیرة متشتّة فی أبواب الفقه، و قد امرنا بالأخذ بکلّ واحد منها تعییناً؛ لأنّ مفادها أنّ کلّ واحد منها حجّة کذلک، و الحجّة التعیینیّة ممتنعة فی المتعارضین؛ لامتناع حجّیّة کلّ واحد من المتعارضین تعییناً، بل لا بدّ أن یکون بنحو التخییر، و لا یمکن شمول دلیل واحد لکلتا الصورتین؛ یعنی دلالته علی حجّیّة کلّ خبر فی غیر صورة التعارض تعییناً، و فی صورة التعارض تخییراً، بخلاف ما نحن فیه؛ لأنّه لیس مفادُ الأخبار الدالّة علی اعتبار فتوی الفقیه، اعتبارَ رأی کلّ فقیه تعییناً بالنسبة إلی کلّ فتوی من فتاویه، فإنّ لکلّ فقیه أن یفتی من أوّل الفقه إلی آخره، و لا معنی للأمر بأخذ فتوی کلّ واحد من المجتهدین، فلا بدّ أن یکون المأمور بالأخذ منه هو صرف وجود الفقیه، لا کلّ واحد، 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مسنٍّ فی 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یراد منه کلّ واحد منه عرفاً، بل المراد صرف وجوده، و حینئذٍ فیمکن دعوی شمول إطلاق تلک الأخبار لاعتبار فتوی صِرف وجود الفقیه؛ سواء وافقت فتواه فتاوی سائر الأفراد،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إمکان شمول الأخبار الدالّة علی اعتبار خبر الثقة لصورة التعارض</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الأخبار هو حجّیّة کلّ واحد من أفراد الثقة تعییناً، و إحالة حکم صورة التعارض إلی حکم العقل، کما تقدّم نظیر ذلک فی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الفرق بین ما نحن فیه و بین باب التزاحم؛ لوجود المقتضی فی المتزاحمین معاً، بخلاف ما نحن فیه؛ بناءً علی الطریقیّة کما هو الحقّ، لکن تقدّم فی باب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إمکان شمول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حلال</w:t>
      </w:r>
      <w:r>
        <w:rPr>
          <w:rFonts w:eastAsia="Amiri" w:cs="Amiri" w:ascii="Amiri" w:hAnsi="Amiri"/>
          <w:color w:val="111111"/>
          <w:sz w:val="28"/>
          <w:szCs w:val="28"/>
          <w:rtl w:val="true"/>
          <w:lang w:bidi="ar-SA"/>
        </w:rPr>
        <w:t>)</w:t>
      </w:r>
    </w:p>
    <w:p>
      <w:pPr>
        <w:pStyle w:val="BookText"/>
        <w:rPr/>
      </w:pPr>
      <w:r>
        <w:rPr>
          <w:rStyle w:val="FootnoteAnchor"/>
          <w:rtl w:val="true"/>
        </w:rPr>
        <w:footnoteReference w:id="903"/>
      </w:r>
      <w:r>
        <w:rPr>
          <w:rFonts w:ascii="IRNazanin" w:hAnsi="IRNazanin" w:eastAsia="IRNazanin"/>
          <w:color w:val="111111"/>
          <w:sz w:val="28"/>
          <w:sz w:val="28"/>
          <w:szCs w:val="28"/>
          <w:rtl w:val="true"/>
          <w:lang w:bidi="fa-IR"/>
        </w:rPr>
        <w:t xml:space="preserve">لأطراف العلم الإجمالی و الشبهات البدویّة معاً، مع أنّ شموله للشبهات البَدْویة بنحو التعیین، و لأطراف العلم الإجمالی بنحو التخییر، مع أنّه دلیل واحد، و أنّه یمکن الترخیص فی کلّ واحد منهما بدلیل واحد؛ لوجوه نذکر واحداً منها، و هو أنّ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أفرادیّاً بالنسبة إلی کلّ واحد من المصادیق و إطلاقاً أحوالیّاً بالنسبة إلی حالات الأفراد، فمفاده أنّ کلَّ فرد من أفراد المشکوک حلّیّتهُ حلالٌ مطلقاً؛ أی مع ارتکاب الآخر و عدمه، لکن یقیّد الإطلاق المذکور فی أطراف العلم الإجمالی بما إذا لم یرتکب الطرف الآخر مع بقاء العموم بحاله، و النتیجة حینئذٍ الترخیص فی کلّ واحد من أفراد الشبهة البدْویّة تعییناً، و فی أطراف العلم الإجمالی تخییراً؛ من دون استلزامه لحاظ حکمین مختلفین فی دلیل واحد، فیمکن جریان هذا البیان فی دلیل حجّیّة خبر الثقة، و شموله لصورة تعارض الخبرین بنحو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إمکان ذلک فیما نحن فیه،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الإمکان لا یفید فی ثبوت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شمول إطلاق الأمر بالرجوع إلی الفقیه لصورة العلم باختلاف الفتاوی أیضاً، مع کثرة الآراء المختلفة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لما تقدّم من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اصمدا فی دینکما علی کلّ مسنٍّ فی حبّنا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لیس فی مقام إیجاب الرجوع إلی الفقیه؛ لأنّه أمر مرتکز فی أذهان العقلاء و معلوم، بل هو و أمثاله فی مقام تشخیص من یرجع إلیه و تعیین مصداقه، نظیر</w:t>
      </w:r>
    </w:p>
    <w:p>
      <w:pPr>
        <w:pStyle w:val="BookText"/>
        <w:rPr/>
      </w:pPr>
      <w:r>
        <w:rPr>
          <w:rFonts w:ascii="IRNazanin" w:hAnsi="IRNazanin" w:eastAsia="IRNazanin"/>
          <w:color w:val="111111"/>
          <w:sz w:val="28"/>
          <w:sz w:val="28"/>
          <w:szCs w:val="28"/>
          <w:rtl w:val="true"/>
          <w:lang w:bidi="fa-IR"/>
        </w:rPr>
        <w:t>ما تقدّم فی الأخبار التی استدلّ بها لحجّیّة خبر الثقة، بل لا تعرّض فی الروایة للفقیه، فإنّ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مسنّ فی حبّنا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هو اعتبار التشیّع الراسخ فیه فی المرجوع إلیه، فلا إطلاق لها یشمل ما نحن فیه، نظیر أمر المریض بالرجوع إلی الطبیب، فإنّه لا إطلاق له یشمل صورة العلم باختلافهم فی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لذلک أیضاً بالمقبولة</w:t>
      </w:r>
      <w:r>
        <w:rPr>
          <w:rStyle w:val="FootnoteAnchor"/>
          <w:rtl w:val="true"/>
        </w:rPr>
        <w:footnoteReference w:id="904"/>
      </w:r>
      <w:r>
        <w:rPr>
          <w:rFonts w:ascii="IRNazanin" w:hAnsi="IRNazanin" w:eastAsia="IRNazanin"/>
          <w:color w:val="111111"/>
          <w:sz w:val="28"/>
          <w:sz w:val="28"/>
          <w:szCs w:val="28"/>
          <w:rtl w:val="true"/>
          <w:lang w:bidi="fa-IR"/>
        </w:rPr>
        <w:t>حیث إنّه 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حکمه علیه السلام بترجیح قول الأفقه فی صورة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الحجّیّة موجود فی قول غیر الأفقه أیضاً، إلّا أنّه یرجّح قول الأفقه بالأفقهیّة، و هو مستلزم للتخییر عند تساویهما فی الفقه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دالّة علی تقدیم حکم الأفقه، و أنّه لا یلتفت إلی الآخر، ثمّ الأخذ بالأشهر، و ترک الشاذّ النادر؛ لأنّ الأوّل بیّن الرشد، و الآخر بیِّن الغیّ، ثمّ بترجیح ما یخالف العامّة؛ لأنّ الرشد فی خلافهم، فمن أین یستفاد منها حجّیّةُ قول کلّ واحد منهما، و وجودُ ملاک الحجّیّة فی غیر الأفقه و الأشهر، و لکن یرجّح الأفقه بالأفقهیّة علی الآخر، مع الحکم فیها بعدم الالتفات إلی الآخر و ترک الشاذّ النادر؛ فمن أین یستکشف منه وجود ملاک الحجّیّة فی الآخر؛ لیستلزم التخییر عند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حکم بالاحتیاط عند فقد المرجّحات، لا التخییر بینهما، مضافاً إلی أنّ ذلک إنّما یصحّ بناءً علی الموضوعیّة و السببیّة فی حجّیّة فتوی الفقیه، لا علی الطریقیّة، و تقدّم أنّ الحقّ هو اعتبار فتوی الفقیه علی الطریقیّة، و حینئذٍ فلا 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بتقدیم حکم الأفقه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الملاک فی الآخر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w:t>
      </w:r>
      <w:r>
        <w:rPr>
          <w:rStyle w:val="FootnoteAnchor"/>
          <w:rtl w:val="true"/>
        </w:rPr>
        <w:footnoteReference w:id="906"/>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رواه الکلینی قدس سره عن علی بن إبراهیم، عن أبیه، عن عثمان</w:t>
      </w:r>
    </w:p>
    <w:p>
      <w:pPr>
        <w:pStyle w:val="BookText"/>
        <w:rPr/>
      </w:pPr>
      <w:r>
        <w:rPr>
          <w:rFonts w:ascii="IRNazanin" w:hAnsi="IRNazanin" w:eastAsia="IRNazanin"/>
          <w:color w:val="111111"/>
          <w:sz w:val="28"/>
          <w:sz w:val="28"/>
          <w:szCs w:val="28"/>
          <w:rtl w:val="true"/>
          <w:lang w:bidi="fa-IR"/>
        </w:rPr>
        <w:t>ابن عیسی و الحسن بن محبوب جمیعاً،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و کلاهما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یأمر بأخذه، و الآخر ینهاه عنه، کیف یصنع؟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لسماعة عن أبی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یأمرنا بالأخذ به، و الآخر ینهانا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تلقی صاحبک فتسأله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p>
    <w:p>
      <w:pPr>
        <w:pStyle w:val="BookText"/>
        <w:rPr/>
      </w:pP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احتمال اتّحادها مع ما قبلها</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 شیخنا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اختلاف الرجلین فی أمر، لیس فی مجرّد نقل ألفاظ الروایة من دون رأی للناقلین لهما، فإنّه لا یصدق علیه الاختلاف فی الأمر، بل لا بدّ أن یراد منه الاختلاف فی الأمر، بل لا بدّ أن یراد منه الاختلاف فی نظریهما و رأییهما المستندین إلی الروایتین، مضافاً إلی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یأمرنا، و الآخر ینهانا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أیضاً ظاهر فی اختلافهما فی نظریهما المستندین إلی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 عدم صدق ذلک فی اختلاف رأی المجتهدین المستندین إلی الروایة،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فی مرسلة الکلینی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بأیّهما أخذتَ من باب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تعلیل للحکم بالتخییر، و إنّ العلّة له هو التسلیم و الانقیاد، و هذا التعلیل جارٍ فی اختلاف آراء المجتهدین المستندة إلی الأخبار أیضاً</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المحکیّ عنه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دعوی إلغاء الخصوصیّة العرفیّة، فإنّها کما تعمّ الخبرین المنقولین بالمعنی کذلک الآراء المستندة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فإنّه علیه السلام أمر بالإرجاء و التأخیر إلی ملاقاة الإمام،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أنّه فی السعة فی أمر الواقعة، لا العمل بأحد الخبرین و التخییر فی الأخذ بأحدهما، و لهذا قال علیه السلام فی روایته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فهذه الروایة علی خلاف المطلوب أدلّ، علی فرض شمولها لاختلاف الآراء و عدم اختصاصها باختلاف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مرسلة الکلینی قدس سره فعلی فرض الإغماض عن ضعف سندها، لا یفهم منها تعلیل أصلًا، ولیت شعری من أین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التخییر هو التسلیم لأمر اللَّه؛ حتّی یتعدّی عن موردها إلی اختلاف المجتهدین فی الفتوی،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فیه التسلیم لأمر اللَّه ففیه التخییر، مع أنّ التسلیم فی الروایات غیر التسلیم فی الفتاوی، فلا وجه للتعدّی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إلغاء الخصوصیّة 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یُسلّم لو فُهم ذلک المعنی من اللفظ،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الممنوع فی المقام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الصلاة فی المحمل</w:t>
      </w:r>
      <w:r>
        <w:rPr>
          <w:rStyle w:val="FootnoteAnchor"/>
          <w:rtl w:val="true"/>
        </w:rPr>
        <w:footnoteReference w:id="910"/>
      </w:r>
      <w:r>
        <w:rPr>
          <w:rFonts w:ascii="IRNazanin" w:hAnsi="IRNazanin" w:eastAsia="IRNazanin"/>
          <w:color w:val="111111"/>
          <w:sz w:val="28"/>
          <w:sz w:val="28"/>
          <w:szCs w:val="28"/>
          <w:rtl w:val="true"/>
          <w:lang w:bidi="fa-IR"/>
        </w:rPr>
        <w:t>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فیها إنّما هو عن الحکم</w:t>
      </w:r>
    </w:p>
    <w:p>
      <w:pPr>
        <w:pStyle w:val="BookText"/>
        <w:rPr/>
      </w:pPr>
      <w:r>
        <w:rPr>
          <w:rFonts w:ascii="IRNazanin" w:hAnsi="IRNazanin" w:eastAsia="IRNazanin"/>
          <w:color w:val="111111"/>
          <w:sz w:val="28"/>
          <w:sz w:val="28"/>
          <w:szCs w:val="28"/>
          <w:rtl w:val="true"/>
          <w:lang w:bidi="fa-IR"/>
        </w:rPr>
        <w:t>الواقعی، و هی بمعزل عن مسألة التخییر</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بسائر أخبار التخییر فقد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استقصینا الأخبار فلم نجد ما یصلح للاستدلال به سنداً و دلالة، إلّا روایة واحدة أو روایتین، و الواضحة الدلالة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عوالی اللآلی</w:t>
      </w:r>
      <w:r>
        <w:rPr>
          <w:rStyle w:val="FootnoteAnchor"/>
          <w:rtl w:val="true"/>
        </w:rPr>
        <w:footnoteReference w:id="911"/>
      </w:r>
      <w:r>
        <w:rPr>
          <w:rFonts w:ascii="IRNazanin" w:hAnsi="IRNazanin" w:eastAsia="IRNazanin"/>
          <w:color w:val="111111"/>
          <w:sz w:val="28"/>
          <w:sz w:val="28"/>
          <w:szCs w:val="28"/>
          <w:rtl w:val="true"/>
          <w:lang w:bidi="fa-IR"/>
        </w:rPr>
        <w:t>مرفوعاً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باختلاف الروایات، لا الفتاوی، فإنّ المناط هو الانفهام العرفی من الأخبار، لا الدقائق العقلیّة، و الاختلاف فی الرأی فی الانفهام العرفی غیر اختلاف الخبرین و الحدیثین</w:t>
      </w:r>
      <w:r>
        <w:rPr>
          <w:rFonts w:eastAsia="IRNazanin" w:cs="IRNazanin"/>
          <w:color w:val="111111"/>
          <w:sz w:val="28"/>
          <w:szCs w:val="28"/>
          <w:rtl w:val="true"/>
          <w:lang w:bidi="fa-IR"/>
        </w:rPr>
        <w:t>.</w:t>
      </w:r>
      <w:bookmarkStart w:id="848" w:name="pg12898_148409"/>
    </w:p>
    <w:p>
      <w:pPr>
        <w:pStyle w:val="Heading3"/>
        <w:numPr>
          <w:ilvl w:val="2"/>
          <w:numId w:val="1"/>
        </w:numPr>
        <w:rPr/>
      </w:pPr>
      <w:bookmarkStart w:id="849" w:name="__RefHeading___Toc3235300_3224264995"/>
      <w:bookmarkStart w:id="850" w:name="_Toc319"/>
      <w:bookmarkEnd w:id="848"/>
      <w:bookmarkEnd w:id="849"/>
      <w:r>
        <w:rPr>
          <w:rtl w:val="true"/>
        </w:rPr>
        <w:t>الفصل الثانی حول شرط الحیاة لمرجع التقلید</w:t>
      </w:r>
      <w:bookmarkEnd w:id="850"/>
    </w:p>
    <w:p>
      <w:pPr>
        <w:pStyle w:val="Heading4"/>
        <w:numPr>
          <w:ilvl w:val="3"/>
          <w:numId w:val="1"/>
        </w:numPr>
        <w:rPr/>
      </w:pPr>
      <w:bookmarkStart w:id="851" w:name="__RefHeading___Toc3235302_3224264995"/>
      <w:bookmarkStart w:id="852" w:name="_Toc320"/>
      <w:bookmarkEnd w:id="851"/>
      <w:r>
        <w:rPr>
          <w:rtl w:val="true"/>
        </w:rPr>
        <w:t>اشارة</w:t>
      </w:r>
      <w:bookmarkEnd w:id="852"/>
    </w:p>
    <w:p>
      <w:pPr>
        <w:pStyle w:val="BookText"/>
        <w:rPr/>
      </w:pPr>
      <w:r>
        <w:rPr>
          <w:rFonts w:ascii="IRNazanin" w:hAnsi="IRNazanin" w:eastAsia="IRNazanin"/>
          <w:color w:val="111111"/>
          <w:sz w:val="28"/>
          <w:sz w:val="28"/>
          <w:szCs w:val="28"/>
          <w:rtl w:val="true"/>
          <w:lang w:bidi="fa-IR"/>
        </w:rPr>
        <w:t>اختلفوا فی اشتراط الحیاة فی المجتهد الذی یرجع إلیه و تؤخذ فتواه للعمل بها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التفصیل بین التقلید الاستمراری و الابتدائی؛ بالاشتراط فی الثانی دون الأوّل</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بین أصحابنا الاشتراط مطلقاً</w:t>
      </w:r>
      <w:r>
        <w:rPr>
          <w:rStyle w:val="FootnoteAnchor"/>
          <w:rtl w:val="true"/>
        </w:rPr>
        <w:footnoteReference w:id="913"/>
      </w:r>
      <w:r>
        <w:rPr>
          <w:rFonts w:ascii="IRNazanin" w:hAnsi="IRNazanin" w:eastAsia="IRNazanin"/>
          <w:color w:val="111111"/>
          <w:sz w:val="28"/>
          <w:sz w:val="28"/>
          <w:szCs w:val="28"/>
          <w:rtl w:val="true"/>
          <w:lang w:bidi="fa-IR"/>
        </w:rPr>
        <w:t xml:space="preserve">، بل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الإجماع</w:t>
      </w:r>
      <w:r>
        <w:rPr>
          <w:rStyle w:val="FootnoteAnchor"/>
          <w:rtl w:val="true"/>
        </w:rPr>
        <w:footnoteReference w:id="914"/>
      </w:r>
      <w:r>
        <w:rPr>
          <w:rFonts w:ascii="IRNazanin" w:hAnsi="IRNazanin" w:eastAsia="IRNazanin"/>
          <w:color w:val="111111"/>
          <w:sz w:val="28"/>
          <w:sz w:val="28"/>
          <w:szCs w:val="28"/>
          <w:rtl w:val="true"/>
          <w:lang w:bidi="fa-IR"/>
        </w:rPr>
        <w:t>، و حکی عن الشهید قدس سره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تفحّصت کلمات الفقهاء، و لم أجد من ذهب إلی عدم الاشتراط</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الثانی فی خِیَرَة الأخباریّین</w:t>
      </w:r>
      <w:r>
        <w:rPr>
          <w:rStyle w:val="FootnoteAnchor"/>
          <w:rtl w:val="true"/>
        </w:rPr>
        <w:footnoteReference w:id="916"/>
      </w:r>
      <w:r>
        <w:rPr>
          <w:rFonts w:ascii="IRNazanin" w:hAnsi="IRNazanin" w:eastAsia="IRNazanin"/>
          <w:color w:val="111111"/>
          <w:sz w:val="28"/>
          <w:sz w:val="28"/>
          <w:szCs w:val="28"/>
          <w:rtl w:val="true"/>
          <w:lang w:bidi="fa-IR"/>
        </w:rPr>
        <w:t>و بعض أهل الفتوی من أصحابنا،</w:t>
      </w:r>
      <w:bookmarkStart w:id="853" w:name="pg12898_148410"/>
    </w:p>
    <w:p>
      <w:pPr>
        <w:pStyle w:val="BookText"/>
        <w:rPr/>
      </w:pPr>
      <w:bookmarkEnd w:id="853"/>
      <w:r>
        <w:rPr>
          <w:rFonts w:ascii="Amiri" w:hAnsi="Amiri" w:eastAsia="Amiri" w:cs="Amiri"/>
          <w:color w:val="111111"/>
          <w:sz w:val="28"/>
          <w:sz w:val="28"/>
          <w:szCs w:val="28"/>
          <w:rtl w:val="true"/>
          <w:lang w:bidi="ar-SA"/>
        </w:rPr>
        <w:t>کالمحقّق القمّی قدس سره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3235304_3224264995"/>
      <w:bookmarkStart w:id="855" w:name="_Toc321"/>
      <w:bookmarkEnd w:id="854"/>
      <w:r>
        <w:rPr>
          <w:rtl w:val="true"/>
        </w:rPr>
        <w:t>مقتضی الأصل فی جواز تقلید المیّت</w:t>
      </w:r>
      <w:bookmarkEnd w:id="855"/>
    </w:p>
    <w:p>
      <w:pPr>
        <w:pStyle w:val="BookText"/>
        <w:rPr/>
      </w:pPr>
      <w:r>
        <w:rPr>
          <w:rFonts w:ascii="IRNazanin" w:hAnsi="IRNazanin" w:eastAsia="IRNazanin"/>
          <w:color w:val="111111"/>
          <w:sz w:val="28"/>
          <w:sz w:val="28"/>
          <w:szCs w:val="28"/>
          <w:rtl w:val="true"/>
          <w:lang w:bidi="fa-IR"/>
        </w:rPr>
        <w:t>و قبل الشروع فی البحث لا بدّ من بیان مقتضی الأصل و القاعدة الأوّلیّة فیه،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الأصل عدم جواز تقلید المیّت، و إنّ الجواز یفتقر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تتحقّق به براءة الذمّة و فراغها عن التکالیف الواقعیّة، و یوافقه حکم العقل هو الإتیان بها قطعاً بالعلم التفصیلی، أو الإجمالی بالاحتیاط، و أمّا ما وراء القطع من الأمارات و الاصول، فبراءة الذمّة بالعمل بها یحتاج إلی الدلیل إمّا تأسیساً من الشارع المقدّس، أو إمضاء و الأمر فی المقام دائر بین تقلید الحیّ و الرجوع إلیه من بین المجتهدین، و بین جواز الرجوع إلی المیّت منهم أیضاً، و الأوّل مقطوع الجواز؛ لقیام الدلیل علیه، و الثانی مشکوک فیه، و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التعیین و التخییر، هو التعیین</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ما 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الإشکال علی هذا الأصل فی مسألة وجوب تقلید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بهذه الکلّیّة ممنوع، فإنّه و إن صحّ فی صورة تساوی المجتهدین الحیّ و المیّت فی الفضل و العلم و الورع و الصدق؛ لدوران الأمر حینئذٍ بین التعیین و التخییر، فإنّ احتمال اشتراط الموت فی مرجع التقلید مقطوع العدم، بخلاف اشتراط حیاته، و لکنّه فی صورة أفضلیّة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أورعیّته و أصدقیّته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لاحتمال تعیّن الرجوع إلی الأعلم المیّت شرعاً؛ لفرض أنّه أجود استنباطاً للأحکام الواقعیّة من الحیّ، و أصوب نظراً، و أحسن إدراکاً منه، فیحتمل تعیّن الرجوع إلیه</w:t>
      </w:r>
      <w:bookmarkStart w:id="856" w:name="pg12898_148411"/>
    </w:p>
    <w:p>
      <w:pPr>
        <w:pStyle w:val="BookText"/>
        <w:rPr/>
      </w:pPr>
      <w:bookmarkEnd w:id="856"/>
      <w:r>
        <w:rPr>
          <w:rFonts w:ascii="IRNazanin" w:hAnsi="IRNazanin" w:eastAsia="IRNazanin"/>
          <w:color w:val="111111"/>
          <w:sz w:val="28"/>
          <w:sz w:val="28"/>
          <w:szCs w:val="28"/>
          <w:rtl w:val="true"/>
          <w:lang w:bidi="fa-IR"/>
        </w:rPr>
        <w:t>شرعاً؛ لأنّ المفروض أنّ رأیه أمارة و طریق إلی الأحکام الواقعیّة، کما یحتمل تعیّن الرجوع إلی الحیّ؛ لاحتمال اشتراط الحیاة فی المقلّد، و حینئذٍ فهو من قبیل دوران الأمر بین التعیینیّین، لا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تقریر الأصل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الإجماع قائم علی عدم تعیّن الرجوع إلی المیّت؛ و إن کان أعلم و أفضل و أصدق؛ لعدم ذهاب أحد من الفقهاء إلی تعیّنه، بل الأقوال بین تعیّن الرجوع إلی الحیّ، و بین التخییر بینه و بین الرجوع إلی المیّت، فبملاحظة هذا الإجماع و الاتّفاق نقطع بعدم تعیّن الرجوع إلی المیّت مطلقاً، مع احتمال تعیّن الرجوع إلی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تعیّن الرجوع إلی المیّت الأعلم من الحیّ و ان کان متحقّقاً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خُلّینا 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منفیّ قطعاً بملاحظة الإجماع المنقول متکرّراً علی تعیّن الرجوع إلی الحیّ، مع ما تقدّم من عدم ذهاب أحد من العلماء إلی تعیّن الرجوع إلی المیّت، کما تقدّم عن الشهید قدس سره، و حینئذ فالمقام من قبیل دوران الأمر بین التعیین و التخییر</w:t>
      </w:r>
      <w:r>
        <w:rPr>
          <w:rFonts w:eastAsia="IRNazanin" w:cs="IRNazanin"/>
          <w:color w:val="111111"/>
          <w:sz w:val="28"/>
          <w:szCs w:val="28"/>
          <w:rtl w:val="true"/>
          <w:lang w:bidi="fa-IR"/>
        </w:rPr>
        <w:t>.</w:t>
      </w:r>
    </w:p>
    <w:p>
      <w:pPr>
        <w:pStyle w:val="Heading4"/>
        <w:numPr>
          <w:ilvl w:val="3"/>
          <w:numId w:val="1"/>
        </w:numPr>
        <w:rPr/>
      </w:pPr>
      <w:bookmarkStart w:id="857" w:name="__RefHeading___Toc3235306_3224264995"/>
      <w:bookmarkStart w:id="858" w:name="_Toc322"/>
      <w:bookmarkEnd w:id="857"/>
      <w:r>
        <w:rPr>
          <w:rtl w:val="true"/>
        </w:rPr>
        <w:t>التمسّک بالاستصحاب علی جواز تقلید المیّت</w:t>
      </w:r>
      <w:bookmarkEnd w:id="858"/>
    </w:p>
    <w:p>
      <w:pPr>
        <w:pStyle w:val="Heading5"/>
        <w:numPr>
          <w:ilvl w:val="4"/>
          <w:numId w:val="1"/>
        </w:numPr>
        <w:rPr/>
      </w:pPr>
      <w:bookmarkStart w:id="859" w:name="__RefHeading___Toc3235308_3224264995"/>
      <w:bookmarkStart w:id="860" w:name="_Toc323"/>
      <w:bookmarkEnd w:id="859"/>
      <w:r>
        <w:rPr>
          <w:rtl w:val="true"/>
        </w:rPr>
        <w:t>اشارة</w:t>
      </w:r>
      <w:bookmarkEnd w:id="860"/>
    </w:p>
    <w:p>
      <w:pPr>
        <w:pStyle w:val="BookText"/>
        <w:rPr/>
      </w:pPr>
      <w:r>
        <w:rPr>
          <w:rFonts w:ascii="IRNazanin" w:hAnsi="IRNazanin" w:eastAsia="IRNazanin"/>
          <w:color w:val="111111"/>
          <w:sz w:val="28"/>
          <w:sz w:val="28"/>
          <w:szCs w:val="28"/>
          <w:rtl w:val="true"/>
          <w:lang w:bidi="fa-IR"/>
        </w:rPr>
        <w:t>لکن استدلّ لجواز تقلید المیّت ابتداءً و استدامة حتّی بالنسبة إلی غیر الموجودین فی زمان حیاة ذلک المجتهد بالاستصحاب، و قُرّر هذا الاستصحاب بوجوه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المجتهد،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جائز التقلید لکلّ مکلّف عامّیّ فی زمان حیاته، و یشکّ فی بقاء الجواز بعد موته، و الأصل بقاء الجواز</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العامّی المستفتی؛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یجوز له تقلید هذا المجتهد فی زمان حیاته؛ و الرجوع إلیه و العمل علی طبق فتواه؛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لکلّ مکلّف الرجوع إلی العلّامة قدس سره فی عصره، و أخذ فتواه و العمل بها، و یشکّ فی بقاء الجواز بعد موته، فیستصحب</w:t>
      </w:r>
      <w:r>
        <w:rPr>
          <w:rFonts w:eastAsia="IRNazanin" w:cs="IRNazanin"/>
          <w:color w:val="111111"/>
          <w:sz w:val="28"/>
          <w:szCs w:val="28"/>
          <w:rtl w:val="true"/>
          <w:lang w:bidi="fa-IR"/>
        </w:rPr>
        <w:t>.</w:t>
      </w:r>
      <w:bookmarkStart w:id="861" w:name="pg12898_148412"/>
    </w:p>
    <w:p>
      <w:pPr>
        <w:pStyle w:val="BookText"/>
        <w:rPr/>
      </w:pPr>
      <w:bookmarkEnd w:id="861"/>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حجّیّة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التعلیقی؛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المکلّف مدرکاً لزمان حیاته کان تقلیده إیّاه جائزاً، فالآن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الأحکام الفرعیّة الثابتة بفتوی المیّت فی زمان حیاته؛ حیث إنّها طریق معتبر إلی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الحکم الظاهری الذی هو مؤدّی الأمارات بناءً علی القول بجعل المماثل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التقریبات المتقاربة</w:t>
      </w:r>
      <w:r>
        <w:rPr>
          <w:rFonts w:eastAsia="IRNazanin" w:cs="IRNazanin"/>
          <w:color w:val="111111"/>
          <w:sz w:val="28"/>
          <w:szCs w:val="28"/>
          <w:rtl w:val="true"/>
          <w:lang w:bidi="fa-IR"/>
        </w:rPr>
        <w:t>.</w:t>
      </w:r>
    </w:p>
    <w:p>
      <w:pPr>
        <w:pStyle w:val="Heading5"/>
        <w:numPr>
          <w:ilvl w:val="4"/>
          <w:numId w:val="1"/>
        </w:numPr>
        <w:rPr/>
      </w:pPr>
      <w:bookmarkStart w:id="862" w:name="__RefHeading___Toc3235310_3224264995"/>
      <w:bookmarkStart w:id="863" w:name="_Toc324"/>
      <w:bookmarkEnd w:id="862"/>
      <w:r>
        <w:rPr>
          <w:rtl w:val="true"/>
        </w:rPr>
        <w:t>الإشکالات التی اورد علی الاستصحاب</w:t>
      </w:r>
      <w:bookmarkEnd w:id="863"/>
    </w:p>
    <w:p>
      <w:pPr>
        <w:pStyle w:val="BookText"/>
        <w:rPr/>
      </w:pPr>
      <w:r>
        <w:rPr>
          <w:rFonts w:ascii="IRNazanin" w:hAnsi="IRNazanin" w:eastAsia="IRNazanin"/>
          <w:color w:val="111111"/>
          <w:sz w:val="28"/>
          <w:sz w:val="28"/>
          <w:szCs w:val="28"/>
          <w:rtl w:val="true"/>
          <w:lang w:bidi="fa-IR"/>
        </w:rPr>
        <w:t>و اورد علیها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استصحاب الحکم الثابت فی زمان حیاته بنحو القضیّة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للموجودین فی زمان حیاة المجتهد، و إمّا بنحو القضیّة الحقیقیّة؛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مکلّف لو وجد فی زمان حیاته، فهو بحیث لو وجد فیه جاز له الرجوع إلیه و تقلیده، و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صحّ بالنسبة إلی الموجودین فی زمان حیاته، لکنّه لا یصحّ بالنسبة إلی المعدومین فیه، الذی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استصحاب الحکم الثابت فی زمانه بنحو القضیّة الحقیقیّة منجّزاً، فلا حالة سابقة له بالنسبة إلی من لم یدرک زمان حیاته؛ لأنّه لم یثبت بالنسبة إلیه حکم منجّز فعلیّ بجواز تقلیده لیستصحب</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استصحابه بنحو التعلیق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التعلیقی إنّما یصحّ فیما لو کان التعلیق شرعیّاً، لکن التعلیق فیما نحن فیه لیس کذلک، بل هو عقلیّ؛ حیث إنّ الحکم المذکور إنّما ورد فی الشرع منجّزاً، غایة الأمر أنّ للعقل إرجاعه إلی</w:t>
      </w:r>
    </w:p>
    <w:p>
      <w:pPr>
        <w:pStyle w:val="BookText"/>
        <w:rPr/>
      </w:pPr>
      <w:r>
        <w:rPr>
          <w:rFonts w:ascii="IRNazanin" w:hAnsi="IRNazanin" w:eastAsia="IRNazanin"/>
          <w:color w:val="111111"/>
          <w:sz w:val="28"/>
          <w:sz w:val="28"/>
          <w:szCs w:val="28"/>
          <w:rtl w:val="true"/>
          <w:lang w:bidi="fa-IR"/>
        </w:rPr>
        <w:t>التعلیق؛ لحکمه بأنّه علی تقدیر وجود هذا المکلّف فی زمان حیاة هذا المجتهد، جاز له تقلیده، فیستصحب هذا الحکم التعلیقی العقلی، و مثل هذا الاستصحاب لا یثمر ثمرة، و لا ینتج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غیر متوجّه؛ و ذلک لأنّه لا إشکال فی أنّ کلّ واحدة من القضایا الحقیقیّة و الخارجیّة، من القضایا البتّیّة لا الشرطیّة، و کما أنّ الحکم الثابت فی الاولی متعلّق بعنوان کلّیّ، کذلک فی الثانیة، غایة الأمر أنّ العنوان فی الخارجیّة مقیّد بقید، لا ینطبق إلّا علی الأفراد الموجودة محقّقاً، و لیس الحکم فیها متعلّقاً بذات الأفراد و أشخاصها الخارجیّة، و لیس مفاد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لو وجد کان ناراً، فهو بحیث لو وجد کان حارّاً، بل إنّما ذکروا ذلک فی مقام التقریب إلی أذهان المتعلّمین، و إلّا فهو فی غایة الوضوح من الفساد، و کلّ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المحصورات، أم المطلقات التی هی فی حکم المحصورات الإخباریّة و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قضیّة واحدة؛ و إخبار واحد، أو إنشاء واحد، فکما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واحد عن عنوان قابل الانطباق علی الکثیر، لا أنّه إخبارات متعدّدة بعدد مصادیق ذلک العنوان، و لذا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کذب واحد، لا أکاذیب متعدّدة، کذلک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إنشاء و جعل واحد لوجوب الحجّ علی عنوان المستطیع القابل للصدق علی کثیرین، لا أنّه إنشاءات متعدّدة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نظیر هذا الإیراد المزبور، وارد علی استصحاب عدم النسخ المتّفق علیه بین العلماء؛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استصحاب الحکم الثابت أوّلًا علی المکلّفین بنحو القضیّة الخارجیّة، فلا یفید بالنسبة إلی الغیر الموجودین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استصحابه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یراد استصحاب الحکم المنجّز، فلم یکن هذا الحکم منجّزاً بالنسبة إلی المعدومین فی الزمان السابق الموجودین فی هذا الزمان، أو یراد الاستصحاب التعلیقی فلا مجال له فی التعلیقات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یجاب عنه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استصحاب الحکم المنجّز الثابت علی العنوان الکلّی؛ لاحتمال زواله عن هذا العنوان باحتمال النسخ، و یترتّب علیه بقاء وجوب الحجّ علی عنوان المستطیع مثلًا، فیجب علی کلّ من استطاع إلیه سبیلًا فی هذا الزمان، کذلک یجاب عن الإیراد المذکور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هو استصحاب الحکم الفعلی المنجَّز، المتعلِّق بعنوان کلّیّ فی زمان حیاة المجتهد، و هو جواز تقلید کلّ مجتهد 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 علی العلّامة قدس سره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کلّ مکلّف، أو استصحاب حکم المجتهد؛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9"/>
      </w:r>
      <w:r>
        <w:rPr>
          <w:rFonts w:ascii="IRNazanin" w:hAnsi="IRNazanin" w:eastAsia="IRNazanin"/>
          <w:color w:val="111111"/>
          <w:sz w:val="28"/>
          <w:sz w:val="28"/>
          <w:szCs w:val="28"/>
          <w:rtl w:val="true"/>
          <w:lang w:bidi="fa-IR"/>
        </w:rPr>
        <w:t>، فإنّه لا إشکال فی جریان استصحاب هذا الحکم الفعلی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بالعنوان الکلّی فی زمان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الزمان أیضاً، لو شکّ فی بقائه، فکما أنّه لو وجد المکلّف فی زمان حیاته، و انطبق علیه عنوان متعلّق الحکم، وجب علیه تقلیده، کذلک فی هذا الزمان، فإنّه نتیجة هذا الاستصحاب، و لیس مثبتاً، و إلّا یلزم سدّ باب الاستصحاب رأساً، فهذا الإیراد غیر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من الإیرادات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المحقّق صاحب الکفایة،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الاستصحاب بقاء الموضوع، و المناط فی بقائه و عدمه هو نظر العرف، لا الدِّقّة العقلیّة، و لیس الموضوع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رأی المجتهد و ظنّه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 عرفاً؛</w:t>
      </w:r>
    </w:p>
    <w:p>
      <w:pPr>
        <w:pStyle w:val="BookText"/>
        <w:rPr/>
      </w:pPr>
      <w:r>
        <w:rPr>
          <w:rFonts w:ascii="IRNazanin" w:hAnsi="IRNazanin" w:eastAsia="IRNazanin"/>
          <w:color w:val="111111"/>
          <w:sz w:val="28"/>
          <w:sz w:val="28"/>
          <w:szCs w:val="28"/>
          <w:rtl w:val="true"/>
          <w:lang w:bidi="fa-IR"/>
        </w:rPr>
        <w:t>لأنّ الموت عرفاً عبارة عن انعدام من مات مع رأیه و ظنّه، و حشره و بعثه یوم القیامة إنّما هو من قبیل إعادة المعدوم فی نظر العرف، و إن لم یکن کذلک حقیقة؛ لبقاء النفس الناطقة التی هی الموضوع حقیقة لتجرّدها، لکنّ المناط فی الاستصحاب بقاء الموضوع عرفاً، و مع عدم بقاء الشخص و الرأی عرفاً لا مجال للاستصحاب المذکور</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المحقّق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بما لا یصلح للإیراد علی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تجرّد النفس الناطقة، و أنّها تستکمل بمرور الدهور و الأیّام، و أنّها و إدراکاتها موجودة باقیة، و کذلک رأیها و اعتقاداتها، و أطال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اعتراف صاحب الکفایة بذلک، کما صرّح هو قدس سره به</w:t>
      </w:r>
      <w:r>
        <w:rPr>
          <w:rStyle w:val="FootnoteAnchor"/>
          <w:rtl w:val="true"/>
        </w:rPr>
        <w:footnoteReference w:id="922"/>
      </w:r>
      <w:r>
        <w:rPr>
          <w:rFonts w:ascii="IRNazanin" w:hAnsi="IRNazanin" w:eastAsia="IRNazanin"/>
          <w:color w:val="111111"/>
          <w:sz w:val="28"/>
          <w:sz w:val="28"/>
          <w:szCs w:val="28"/>
          <w:rtl w:val="true"/>
          <w:lang w:bidi="fa-IR"/>
        </w:rPr>
        <w:t>، و لکن مدّعاه أنّ المناط فی بقاء الموضوع فی الاستصحاب، هو نظر العرف، لا الحقیقة، و الموضوع للاستصحاب فی المقام غیر باقٍ عرفاً، فلا یرد علیه هذا الإشکال</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علی الاستصحاب، قریب ممّا ذکره الشیخ الأعظم قدس سره علی ما فی التقریرات،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واقعیّة متعلّقة بالعناوین الأوّلیّة، و لا دَخْل لرأی المجتهد فیها، و ظاهریّة هی مؤدّی الطرق و الأمارات، التی لرأی المجتهد و ظنّه دَخْل فی موضوعها، و لیس متعلّقها العنوان الأوّلی الواقعی، بل هی بما أنّها مظنونة الحکم متعلّقها، و الظنّ واسطة فی ثبوت هذا الحکم، فالموضوع لوجوب اتّباع المجتهد أو جوازه هو العصیر المظنون الحرمة مثلًا، لا العنوان الأوّلی للعصیر، و لا أقلّ من الشکّ فی ذلک، و حیث إنّ المیّت لا ظنّ له و لا رأی، فلا مجال للاستصحاب المذکور لاعتبار بقاء الموضوع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نسلّم دَخْل ظنّ المجتهد فی الموضوع، بل الدخیل فیه هو قوله، و هو 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ذلک؛ لأنّ أدلّة جواز الرجوع إلی المجتهد من الإجماع و السُّنّة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ظاهرة فی اعتبار حیاته،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 أو إطلاق لها یشمل حالة الموت الذی ینعدم به ظنّه أیضاً، و قوله حینئذٍ لیس مستنداً إلی الظنّ، فلا مجال حینئذٍ للاستصحاب؛ لاحتمال أن یکون الظنّ قیداً للموضوع، لا واسطة فی ثبوت الحکم للموضوع، و هو کافٍ فی عدم جریان الاستصحاب</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المقام من ملاحظة أدلّة جواز التقلید أو وجوبه، و العمدة منها هو بناء العقلاء، و أمّا الآیات و الروایات فبعضها ضعیفة الدلالة، و بعضها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و الظنّ و نحوهما الحاصل للمجتهد حیثیّتان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صفة خاصّة قائمة بالنفس، نظیر سائر أوصاف النفس، کالشجاعة و السخاوة و العفّة و نحوها، و هی من الأوصاف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الأماریّة و الکاشفیّة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أنّ اعتبار قول مثل الطبیب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نظره طریق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الحیثیّة الثانیة، فإذا حکم فی واقعة بشی‌ء فنظره متّبع عرفاً ما لم یرجع عن نظره؛ من غیر فرق بین زمان حیاته أو موته، حتّی فیما لو زال علمه بمرض و هرم و نحوهما، و لا یحتمل عند العرف و العقلاء دَخْل حیاته و تأثیرها فی کاشفیّة نظره عن الواقع، بل ظنّه و رأیه بنفسه کاشف عن الواقع حتّی بعد مماته، و أنّه تمام الموضوع للکاشفیّة عنه فی مقام العمل</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استقرار بناء العقلاء علی العمل برأی أهل الخبرة</w:t>
      </w:r>
    </w:p>
    <w:p>
      <w:pPr>
        <w:pStyle w:val="BookText"/>
        <w:rPr/>
      </w:pPr>
      <w:r>
        <w:rPr>
          <w:rFonts w:ascii="IRNazanin" w:hAnsi="IRNazanin" w:eastAsia="IRNazanin"/>
          <w:color w:val="111111"/>
          <w:sz w:val="28"/>
          <w:sz w:val="28"/>
          <w:szCs w:val="28"/>
          <w:rtl w:val="true"/>
          <w:lang w:bidi="fa-IR"/>
        </w:rPr>
        <w:t>و العلم من کلّ صناعة بعد الموت أیضاً، و إنّما الکلام فی احتمال تصرّف الشارع فی هذا البناء العقلائی؛ لاحتمال اشتراطه الحیاة فی تقلید المجتهد الذی یرجع إلیه لمکان مصلحة فیه، و حینئذٍ یشکّ فی بقاء جواز الرجوع إلیه بعد موته، و بالاستصحاب یحکم ببقائه؛ لأنّ القضیّة المتیقّنة عین القضیّة المشکوکة، و الموضوع باقٍ أیضاً، و هو رأی المیّت فی کتابه مثلًا، فتستصحب حجّیّته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الحکم متعلّق بالمظنون، و لا أقلّ من احتمال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المقیّد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الحکم بنجاسة الماء المتغیّر، فإنّ الموضوع له هو المقیّد بالتغیّر، و مع زواله لا یبقی الموضوع، فلا یجوز استصحاب حکمه، لکنّه إنّما هو فیما إذا ارید إجراء حکم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الماء الغیر المتغیّر بعنوانه الکلّی، فإنّه إسراء للحکم من موضوع إلی موضوع آخر، لکنّ المقصود لیس ذلک، بل الماء المتغیّر إذا وجد فی الخارج، و انطبق علیه هذا العنوان الکلّی، و حکم علیه بالنجاسة، و زال تغیّره بنفسه، و شکّ فی بقاء نجاسة هذا الموجود و عدمه، فإنّه یشار إلی هذا الماء</w:t>
      </w:r>
      <w:r>
        <w:rPr>
          <w:rStyle w:val="FootnoteAnchor"/>
          <w:rtl w:val="true"/>
        </w:rPr>
        <w:footnoteReference w:id="925"/>
      </w:r>
      <w:r>
        <w:rPr>
          <w:rFonts w:ascii="IRNazanin" w:hAnsi="IRNazanin" w:eastAsia="IRNazanin"/>
          <w:color w:val="111111"/>
          <w:sz w:val="28"/>
          <w:sz w:val="28"/>
          <w:szCs w:val="28"/>
          <w:rtl w:val="true"/>
          <w:lang w:bidi="fa-IR"/>
        </w:rPr>
        <w:t>،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نجساً قطعاً، فالآن کما کان،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قطعاً، و إنّما تغیّر بعض حالاته و أوصافه، و لم یعلم من الدلیل حال زوال التغیّر بمجرّد تقیّد الموضوع الکلّی للحکم، فکذلک یقال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علی حجّیّة رأی المجتهد، و إن لم یعلم شموله لما بعد موته، لکن بعد قیام الدلیل علی حجّیّة مظنونات المجتهد بنحو الکلّی، و وجد فی الخارج مجتهد کالعلّامة قدس سره، و تعلّق ظنّه بحکم بموضوع، و انطبق علیه موضوع الدلیل المذکور، تتحقّق هناک قضیّة متیقّنة، و هی أنّ ظنّ العلّامة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ثمّ یشکّ فی بقاء حجّیّته بشخصه بعد موته، فلا مانع من جریان</w:t>
      </w:r>
    </w:p>
    <w:p>
      <w:pPr>
        <w:pStyle w:val="BookText"/>
        <w:rPr/>
      </w:pPr>
      <w:r>
        <w:rPr>
          <w:rFonts w:ascii="IRNazanin" w:hAnsi="IRNazanin" w:eastAsia="IRNazanin"/>
          <w:color w:val="111111"/>
          <w:sz w:val="28"/>
          <w:sz w:val="28"/>
          <w:szCs w:val="28"/>
          <w:rtl w:val="true"/>
          <w:lang w:bidi="fa-IR"/>
        </w:rPr>
        <w:t>استصحابه،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ظنّه فی واقعة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قطعاً،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الإشکال المذکور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 المجتهد موضوع للحکم بجواز التقلید، و قد زال بالموت جزماً عرفاً، و لا أقلّ من الشکّ فی بقائه و زواله، و هو کافٍ فی عدم جریان الاستصحاب لاشتراط إحراز بقاء الموضوع فیه،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للحکم المذکور لیس هو الظنّ بالحکم، بل هو ظنّ المجتهد الحیّ؛ إمّا لظهور الأدلّة فی ذلک،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لأنّه القدر المتیقّن من الإجماع و غیره من الأدلّة، و حینئذٍ فلا یجری الاستصحاب بعد موته و لو مع العلم ببقاء ظنّه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أنّ الموضوع هو العنوان المقیّد؛ أی ظنّ المجتهد الحیّ، کما یحتمل أنّه ظنّ المجتهد حال حیاته؛ بأن لم تکن الحیاة قیداً داخلًا فی الموضوع، بل من حالاته، فکلّ واحد من الاحتمالین هنا ممکن متحقّق؛ لأنّ الدلیل علیه لُبّیّ لیس موضوعه مبیّناً، فعلی الاحتمال الأوّل لا یکون الموضوع باقیاً قطعاً، و علی الثانی فهو باقٍ، و مع الشکّ فی ذلک لا مجال لجریان الاستصحاب؛ لاعتبار إحراز بقاء الموضوع فیه، و لیس بمُحرَز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للحکم المذکور هو ذات المظنون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إنّه مظنون بوصف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تعلّق ظنّ المجتهد بحکم من الأحکام، فهنا ثلاثة 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المجتهد بما أنّه ظنّ و صفة قائمة بنفس المجتهد، مع قطع النظر عن متعلّقه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المجتهد مع ملاحظة إضافته إلی متعلقه؛ أی المظنون بما هو مظنون</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المظنون لا بما هو مظنون، و هو رأی المجتهد الموجود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الموضوع للحکم المذکور أحد الأوّلین؛ لعدم تعلّق العمل بهما کی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مرتفع بالموت جزماً، بل الموضوع له هو الثالث؛ لتعلّق العمل به، و هو باقٍ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المذکور ناشٍ عن الخلط بین الموضوع فی القضیّة و 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اعتبار فتوی المجتهد و حجّیّة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موضوع الاستصحاب، فإنّ موضوع الأوّل هو ظنّه الاجتهادی بما أنّه ظنّ و صفة، بخلاف الثانی، فإنّ موضوعه ذات المظنون؛ أی رأیه الموجود فی کتابه،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الموجود فی الکتاب مظنون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مظنونه حجّة؛ للدلیل الاجتهادی الدالّ علیها، و حیثیّةُ کونه مظنوناً تعلیلیّةٌ لا تقییدیّة، و کذا علی فرض کونها تقییدیّة، و فرض عدم المفهوم للقید فی الدلیل الاجتهادی، فإنّه حینئذٍ لا إشکال فی بقاء الموضوع، فیستصحب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الشیخ الأعظم قدس سره فی خلال کلامه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فرض أنّ رأی المجتهد عبارة عن نقل الخبر بالمعنی، فللاستصحاب حینئذٍ مجال، لکنّه لیس کذلک، فإنّ رأیه و ظنّه غیر نقل الخبر بالمعنی</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یتفاوت الحال فی جریان الاستصحاب و عدمه بین خبر الواحد و فتوی المجتهد؛ و ذلک لأنّ حجّیّة الخبر إنّما هی فیما إذا أخبر به جزماً، فإخباره الجزمی سبب لحجّیّة خبره، لا قطعه و جزمه، و أمّا لو أخبر ظنّاً، أو بنحو التردید، فلیس خبره حینئذٍ حجّة، فلو أخبر بشی‌ء جزماً، ثمّ مات، فلا ریب فی بقاء حجّیّة خبره مع العلم بزوال جزمه و قطعه بالموت؛ لعدم زوال کاشفیّة خبره عن الواقع بالموت، و کذلک لو مرض أو هرم ما لم یعرض له التردید، بل و مع حصول التردید لمرض أو هرم؛ بحیث لا یعتنی بتردیده العقلاء لهرمه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الفتوی فقد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حجّیّتها إنّما هی من باب الطریقیّة، و حینئذٍ فجزم المجتهد بحکم فی واقعة سبب لکاشفیّة رأیه عن الواقع، فلو علم عدم اعتبار الشارع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حجّیّته، لما احتجنا فی إثبات حجّیّة رأیه بعد موته إلی الاستصحاب؛ للعلم حینئذٍ ببقاء حجیّته؛ لبقاء کاشفیّة رأیه عن الواقع بعد الموت أیضاً، فالاحتیاج إلی الاستصحاب إنّما هو لاحتمال اعتبار الحیاة فی کاشفیّة رأیه و حجّیّة فتواه، و لو احتمل ذلک فی حجّیّة الأخبار أیضاً افتقر إلی الاستصحاب فیها أیضاً، فباب الأخبار و الفتوی کلیهما من وادٍ واحد، و أنّ الجزم سبب لحجّیّة کلّ واحد منهما، غایة الأمر أنّه یعلم ببقاء حجّیّة الخبر بعد موت المخبر جزماً من دون الافتقار فیها إلی الاستصحاب؛ للعلم بعدم اعتبار الحیاة فیها، بخلاف الفتوی لمکان هذا الاحتمال فیها، و لذا احتجنا إلی الاستصحاب فی بقاء حجّیّتها، و یثبت به بقاء حجّیّتها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من الإیرادات علی الاستصحاب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الاستصحاب أن یکون المستصحَب حکماً شرعیّاً أو موضوعاً ذا أثر شرعیّ، و ما نحن فیه لیس کذلک؛ لأنّه لو أفتی الفقیه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فتوی الفقیه أمارة علی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الحکم الواقعی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حجّیّتها العقلائیّة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حجّیّتها الشرعیّة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بفتواه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المجعول علی طبق الأمارة المماثل للحکم الواقعی، نظیر أصالتی الطهارة و الحلّیّة الظاهرتین، و حینئذٍ فإن ارید استصحاب الأماریة العقلائیّة لفتوی المیّت، فهی ثابتة و متحقّقة بعد أیضاً لا شکّ فی بقائها حتّی تستصحب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ارید استصحاب حجّیّتها الشرعیّة، فقد تقدّم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الحجّیّة لیست مجعولة شرعاً، بل هی من الامور الانتزاعیّة العقلائیّة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ارید استصحاب جواز العمل علی طبق فتواه شرعاً، 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علی اعتبار فتوی الفقیه و الرجوع إلیه إمضائیّة، لا تأسیسیّة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الحکم الواقعی المستکشف من فتواه، فلیس الشکّ هنا فی بقاء الحکم الواقعی؛ من جهة احتمال النسخ، أو لفقدان ما احتملت شرطیّته له، کالحضور بالنسبة إلی وجوب صلاة الجمعة، بل الشکّ إنّما هو فی بقاء حجّیّة فتوی المجتهد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یوجب سدّ باب الاستصحاب فی الأحکام التی هی مؤدّی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نمنع من استصحاب مؤدّی الأمارات لو احتمل ارتفاع الحکم الثابت بالأمارة؛ من جهة احتمال النسخ، أو لانتفاء ما احتملت شرطیّته له، أو لعدم إحراز استعداد بقائه إلی زمان الشکّ، و 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الحکم الظاهری المجعول علی طبق فتوی المجتهد؛ بناءً علی القول بجعل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جعل الحکم المماثل فی مؤدّی الأمارات، کما عرفت فی محلّه، بل الوجه فی حجّیّة الأمارات هو أنّها طریق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وجوب الجزم بالنیّة فی العبادات هو الالتزام بجعل المماثل؛ لیتمکّن المکلّف منه، و إلّا لا یمکنه الجزم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وجوب الجزم بالنیّة فی العبادات، و القدر المسلّم الثابت هو أصل النیّة و القربة فیها</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وجوبه فیمکن الجزم بها هنا؛ لعدم احتمال الخلاف</w:t>
      </w:r>
    </w:p>
    <w:p>
      <w:pPr>
        <w:pStyle w:val="BookText"/>
        <w:rPr/>
      </w:pPr>
      <w:r>
        <w:rPr>
          <w:rFonts w:ascii="IRNazanin" w:hAnsi="IRNazanin" w:eastAsia="IRNazanin"/>
          <w:color w:val="111111"/>
          <w:sz w:val="28"/>
          <w:sz w:val="28"/>
          <w:szCs w:val="28"/>
          <w:rtl w:val="true"/>
          <w:lang w:bidi="fa-IR"/>
        </w:rPr>
        <w:t>فی أذهان العقلاء فی مثل فتوی الفقیه و نظر أهل الخبرة و غیرهما؛ ممّا استقرّ علیه بناؤهم، مثل الید و نحوها، فیتحقّق الجزم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بجعل المماثل لا یوجب حصول الجزم بالنیّة و تحقّقه؛ بأن یصیر سبباً و منشأً له؛ لعدم التفات العقلاء إلی هذا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دفع الإشکال المتقدّم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یستکشف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تحقّق الإرادة الجدّیّة من الشارع لا الأمر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حکم العقل؛ بناءً علی الملازمة بین حکم العقل و الشرع؛ إذ لیس المراد منها استکشاف أمر الشارع بذلک، بل استکشاف الإرادة الشرعیّة الجدّیّة التی هی أصل الحکم و روحه، أو من وجوب المقدّمات، أو من الأمر بالشی‌ء بناءً علی اقتضائه النهی عن ضدّه، فإنّه لیس مراد القائل به اقتضاء الأمر الإنشائی نهیاً متعلّقاً بضدّه، بل المراد استکشاف إرادة جدّیّة زجریّة بضدّه، التی هی الحکم حقیقة، و الأوامر المتعلّقة بالعناوین، أیضاً إنّما تعدّ حکماً من جهة أنّها کاشفة عن إرادة جدّیة هی الحکم حقیقة، و لهذا لا یجب الامتثال لو أمر بشی‌ء علم بعدم تعلّق إرادته الجدّیّة به، و علی فرض الإتیان به فهو لا یعدّ امتثالًا یوجب المثوبة، و لا ترکه مخالفة تترتّب علیها العقوبة، و لو علم بتعلّق إرادة المولی الجدّیّة بشی‌ء، و لکن لم یأمر به لغفلته، مع العلم بأنّه مطلوب إلزامیّ له، کإنقاذ ابنه الغریق؛ بحیث لو التفت إلیه أمره به، فإنّه یجب تحصیل غرضه عقلًا و عرفاً</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استکشف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 جزمیّاً، ثمّ شکّ فی بقائه، فلا مانع من شمول أدلّة الاستصحاب له، کما یجری لو استکشفت الإرادة الجدّیّة من الأمر و الإنشاء اللفظی، و حینئذٍ ففی موارد استقرار بناء العقلاء علی شی‌ء، کالید و أصالة الصحّة فی فعل الغیر و العمل بخبر الواحد و رأی المفتی، مع سکوت الشارع عنه، مع کونه بمرأی و منظر منه، یستکشف أنّه مرضیّ للشارع و أنّه تعلّقت إرادته الجدّیّة به، کشفاً جزمیّاً، و إلّا فلیس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w:t>
      </w:r>
    </w:p>
    <w:p>
      <w:pPr>
        <w:pStyle w:val="BookText"/>
        <w:rPr/>
      </w:pPr>
      <w:r>
        <w:rPr>
          <w:rFonts w:ascii="IRNazanin" w:hAnsi="IRNazanin" w:eastAsia="IRNazanin"/>
          <w:color w:val="111111"/>
          <w:sz w:val="28"/>
          <w:sz w:val="28"/>
          <w:szCs w:val="28"/>
          <w:rtl w:val="true"/>
          <w:lang w:bidi="fa-IR"/>
        </w:rPr>
        <w:t>و حجّة، ثمّ بعد عروض ما یحتمل دَخْل عدمه فی بقاء تلک الإرادة المنکشفة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کموت المجتهد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أیضاً فی بعض موارد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ریب فی أنّه یُستکشَف من اتّفاق العلماء و إطباقهم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المجتهدین المختلفین فی الفتوی المتساویین فی الفضل فی تقلید أیّهما شاء، مع أنّ مقتضی حکم العقل جزماً و القاعدة العقلائیّة، هو التساقط، کما فی کلّ حجّة معتبرة من جهة الطریقیّة و الکاشفیّة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نصٍّ معتبر عندهم علیه، أو وصول هذا الحکم من الأئمة علیهم السلام یداً بید، کشفاً جزمیّاً، و لذا حکموا بالتخییر، لا وجوب الاحتیاط، مع عدم جواز الرجوع إلی البراءة، و بعد موت هذین المجتهدین یشکّ فی بقاء التخییر الشرعی المستکشف من إجماعهم و عدمه، فیستصحب؛ سواء أخذ فتوی أحدهما فی زمان حیاتهما و عمل به، أم لا و لکن أدرک زمان حیاتهما، فینتج ذلک التفصیل بین ما لو أدرک زمان حیاتهما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المجتهدین المتساویین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بجریان الاستصحاب فی الأوّل فقط، دون الثانی، فیجری الاستصحاب المذکور فی قسم واحد من الابتدائی، و هو ما إذا أدرک زمانهما، إلّا أنّ الإجماع قائم علی عدم جواز تقلیده الابتدائی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الذی یمکن الاعتماد علیه فی مقام التصدیق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التفصیل؛ لاقتضاء الاستصحاب المذکور له، أو أنّه لا بدّ من ملاحظة أدلّة المسألة، و العمدة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العقلاء، و إلّا فلا دلیل لفظیّ من الآیات و الروایات یصلح للاستناد علیه فی المقام؛ لیلاحظ مقدار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المدّعی لجواز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تطمئنّ النفس بتحقّقه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ما ذکرنا؛ أی ما لو أدرک زمان المجتهدین المتساویین، و أمّا فی غیر ذلک فلا</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العقلاء فلا ریب فی أنّ الثابت المرتکز فی أذهانهم، عدمُ الفرق بین الحیّ من ذوی الخبرة فی کلّ فنّ، و بین المیّت منهم؛ فی الرجوع إلیهم ابتداء و استدامة،</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رأیهم و نظرهم طریق إلی الواقع، کما لا فرق بین حال نومهم و یقظتهم و بین حال الهرم و غیره، إلّا إذا تبدّل رأیهم و نظرهم عن علم و اجتهاد، فلا یعتبر رأیه الأوّل حینئذٍ عند العقلاء، فلو علم بعدم اعتبار شی‌ء آخر سوی ذلک، لم یفتقر إلی الاستصحاب و غیره، و لکنّ المفروض أنّ اعتبار بناء العقلاء و حجّیّته إنّما هو بسبب إمضاء الشارع له، و لا إشکال فیه بالنسبة إلی التقلید الاستمراری فی المسائل التی عمل بها المکلّف، ثمّ مات ذلک المجتهد، فإنّه یمکن الاطمئنان بتحقّق إمضاء الشارع لبنائهم فیه، و لا ینقدح خلافه فی أذهانهم، فإنّه لا یُعدّ بالموت من الجاهلین بالأحکام، و لا یخرج به عن ذوی أهل الخبرة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التقلید الابتدائی، بل یمکن أن یقال بعدم تعارف الرجوع إلی المیّت ابتداءً بین العقلاء، فالحقّ هو التفصیل بین الابتدائی و الاستمراری</w:t>
      </w:r>
      <w:r>
        <w:rPr>
          <w:rFonts w:eastAsia="IRNazanin" w:cs="IRNazanin"/>
          <w:color w:val="111111"/>
          <w:sz w:val="28"/>
          <w:szCs w:val="28"/>
          <w:rtl w:val="true"/>
          <w:lang w:bidi="fa-IR"/>
        </w:rPr>
        <w:t>.</w:t>
      </w:r>
      <w:bookmarkStart w:id="864" w:name="pg12898_148425"/>
    </w:p>
    <w:p>
      <w:pPr>
        <w:pStyle w:val="Heading3"/>
        <w:numPr>
          <w:ilvl w:val="2"/>
          <w:numId w:val="1"/>
        </w:numPr>
        <w:rPr/>
      </w:pPr>
      <w:bookmarkStart w:id="865" w:name="__RefHeading___Toc3235312_3224264995"/>
      <w:bookmarkStart w:id="866" w:name="_Toc325"/>
      <w:bookmarkEnd w:id="864"/>
      <w:bookmarkEnd w:id="865"/>
      <w:r>
        <w:rPr>
          <w:rtl w:val="true"/>
        </w:rPr>
        <w:t>الفصل الثالث فی جواز العدول من مجتهد إلی آخر</w:t>
      </w:r>
      <w:bookmarkEnd w:id="866"/>
    </w:p>
    <w:p>
      <w:pPr>
        <w:pStyle w:val="BookText"/>
        <w:rPr/>
      </w:pPr>
      <w:r>
        <w:rPr>
          <w:rFonts w:ascii="IRNazanin" w:hAnsi="IRNazanin" w:eastAsia="IRNazanin"/>
          <w:color w:val="111111"/>
          <w:sz w:val="28"/>
          <w:sz w:val="28"/>
          <w:szCs w:val="28"/>
          <w:rtl w:val="true"/>
          <w:lang w:bidi="fa-IR"/>
        </w:rPr>
        <w:t>هل یجوز العدول من مجتهد إلی آخر مساوٍ له فی العلم و الفضل مع اختلافهما فی الفتوی؟</w:t>
      </w:r>
    </w:p>
    <w:p>
      <w:pPr>
        <w:pStyle w:val="BookText"/>
        <w:rPr/>
      </w:pPr>
      <w:r>
        <w:rPr>
          <w:rFonts w:ascii="IRNazanin" w:hAnsi="IRNazanin" w:eastAsia="IRNazanin"/>
          <w:color w:val="111111"/>
          <w:sz w:val="28"/>
          <w:sz w:val="28"/>
          <w:szCs w:val="28"/>
          <w:rtl w:val="true"/>
          <w:lang w:bidi="fa-IR"/>
        </w:rPr>
        <w:t>ففی المقام صور کثیرة نتعرّض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التزم بتقلید أحدهما و أخذ الفتوی منه؛ لیعمل علی وفقها و لم یعمل بعدُ، و أراد العدول إلی الآخر؛ بناءً علی القول بأنّ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الالتزام و عقد القلب علی العمل علی طبق 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عمل بفتوی أحدهما فی واقعة، و أراد العدول إلی الآخر فی تلک الواقعة، کما لو قلّد أحدهما القائل بعدم وجوب السورة فی الصلاة، فصلّی الظهر بلا سورة، ثمّ أراد الرجوع إلی الآخر، و الإتیان بصلاة الظهر مع السورة فی ذلک الیوم ثانیاً علی طبق فتوی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بعد الأخذ بفتوی أحدهما و العمل بها فی واقعة إلی الآخر فی غیر تلک الواقعة من الوقائع المتأخّرة</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بعد الأخذ بفتوی أحدهما و العمل بها فی باب من أبواب الفقه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الآخر فی غیر هذا الباب کباب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شیخنا الحائری قدس سره إلی عدم جواز العدول فیها؛ لأنّ مستند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إطلاقاته،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Style w:val="FootnoteAnchor"/>
          <w:rtl w:val="true"/>
        </w:rPr>
        <w:footnoteReference w:id="927"/>
      </w:r>
      <w:r>
        <w:rPr>
          <w:rFonts w:ascii="IRNazanin" w:hAnsi="IRNazanin" w:eastAsia="IRNazanin"/>
          <w:color w:val="111111"/>
          <w:sz w:val="28"/>
          <w:sz w:val="28"/>
          <w:szCs w:val="28"/>
          <w:rtl w:val="true"/>
          <w:lang w:bidi="fa-IR"/>
        </w:rPr>
        <w:t>و نحوه؛ بناء علی استفادة التخییر منها فی المقام أیضاً، أو لأنّه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جواز العدول واضح؛ لأنّ الأمر فیها متعلّق بصرف الوجود للتخییر، و قد سقط بمجرّد الالتزام بتقلید أحدهما، و الأمر بالتخییر بعد ذلک من قبیل الأمر بتحصیل الحاصل، نظیر الإتیان بصلاة الظهر بعد الإتیان بها بقصد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کما لا یلزم تحصیل الحاصل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یقیّد بکلّ زمان لا بنحو الظرفیّة، فکذلک یمکن التخییر فی المقام بأن یؤخذ کلّ زمان قیداً له، فلا یلزم منه الأمر بتحصیل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بینهما؛ حیث إنّ الأمر التخییری هنا متعلِّق بإحداث التقلید إمّا علی طبق رأی هذا المجتهد أو ذاک، و العقد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الالتزام و البناء علی الأخذ بفتوی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الممتدّة الباقیة، التی لا حدوث آخر لها بعد ذلک، بل وجوده بعد ذلک بقاء للأوّل، مثل وجود زید فی الأزمنة المتأخّرة عن زمان حدوثه، و ما هو مفاد الدلیل و مدلوله هو جواز الأخذ بفتوی هذا أو ذاک، لا الأخذ فی زمان کذا و کذا؛ لعدم دَخْل الزمان فی ذلک، و المفروض حصوله بالالتزام بالعمل علی طبق رأی أحدهما، فالالتزام به علی طبق رأی الآخر تحصیل للحاصل</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یرد دلیل آخر بلسان آخر، یدلّ علی التخییر بین الاکتفاء بهذا و بین الالتزام بالعمل ثانیاً علی طبق رأی المجتهد الآخر، لکن لا یمکن ذلک بالدلیل الأوّل، نظیر عدم إمکان الجمع بین قاعدة الطهارة و استصحابها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جهة عدم إمکان الجمع بین اللحاظین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استُند فی التخییر إلی إطلاقات أدلّة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استُند فیه إلی الاستصحاب فکذلک؛ لعدم جریانه فی المقام؛ لأنّه إن ارید استصحاب المعنی التخییری و حکمه فهو معلوم الانتفاء؛ لسقوطه بالالتزام بالعمل علی فتوی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حکم آخر فلا حالة سابقة له، فإنّ المتیقّن السابق لیس إلّا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یُفتقر فی المقام إلی استصحاب التخییر، بل هنا استصحاب آخر، و هو الاستصحاب التعلیقی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قد قلّد المجتهد الآخر کان قوله حجّة، و الآن کما کان، فیستصحب هذا المعنی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الثابت المتیقّن فی السابق هی الحجّیّة المبهمة الغیر المتعیّنة، و إنّما تُعیَّن بالأخذ بفتوی أحدهما، نظیر الملکیّة المشاعة فی الأموال المشترکة، فإنّ الإشاعة ترتفع بالإفراز و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العدول من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الأخذ برأیه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فی الوقائع الاخر المستقبلة، کما لو صلّی الظهر بلا سورة علی طبق هذا المفتی، و أراد العدول عنه إلی مجتهد آخر و تقلیده بالصلاة مع السورة غداً، فالحکم فیها بجواز العدول و عدمه مبنیّ علی أنّ المستفاد من أدلّة التقلید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w:t>
      </w:r>
      <w:r>
        <w:rPr>
          <w:rFonts w:eastAsia="Amiri" w:cs="Amiri" w:ascii="Amiri" w:hAnsi="Amiri"/>
          <w:color w:val="111111"/>
          <w:sz w:val="28"/>
          <w:szCs w:val="28"/>
          <w:rtl w:val="true"/>
          <w:lang w:bidi="ar-SA"/>
        </w:rPr>
        <w:t>)</w:t>
      </w:r>
    </w:p>
    <w:p>
      <w:pPr>
        <w:pStyle w:val="BookText"/>
        <w:rPr/>
      </w:pPr>
      <w:r>
        <w:rPr>
          <w:rStyle w:val="FootnoteAnchor"/>
          <w:rtl w:val="true"/>
        </w:rPr>
        <w:footnoteReference w:id="928"/>
      </w:r>
      <w:r>
        <w:rPr>
          <w:rFonts w:ascii="IRNazanin" w:hAnsi="IRNazanin" w:eastAsia="IRNazanin"/>
          <w:color w:val="111111"/>
          <w:sz w:val="28"/>
          <w:sz w:val="28"/>
          <w:szCs w:val="28"/>
          <w:rtl w:val="true"/>
          <w:lang w:bidi="fa-IR"/>
        </w:rPr>
        <w:t>، و أدلّة التخییر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بأیّهما أخذتَ من باب التسلیم وسعک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أنّ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الالتزام بالعمل علی فتوی المجتهد و العقد القلبی علیه، أو أنّه عبارة عن العمل برأیه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فیها هو الکلام فی الصورة الاولی؛ لحصوله و تحقّقه</w:t>
      </w:r>
    </w:p>
    <w:p>
      <w:pPr>
        <w:pStyle w:val="BookText"/>
        <w:rPr/>
      </w:pPr>
      <w:r>
        <w:rPr>
          <w:rFonts w:ascii="IRNazanin" w:hAnsi="IRNazanin" w:eastAsia="IRNazanin"/>
          <w:color w:val="111111"/>
          <w:sz w:val="28"/>
          <w:sz w:val="28"/>
          <w:szCs w:val="28"/>
          <w:rtl w:val="true"/>
          <w:lang w:bidi="fa-IR"/>
        </w:rPr>
        <w:t>بالالتزام بتقلید الأوّل، فالعدول منه إلی الثانی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قوله علیه السلام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بأیّهما عملتَ من باب التسلیم </w:t>
      </w:r>
      <w:r>
        <w:rPr>
          <w:rFonts w:eastAsia="IRNazanin" w:cs="IRNazanin"/>
          <w:color w:val="111111"/>
          <w:sz w:val="28"/>
          <w:szCs w:val="28"/>
          <w:rtl w:val="true"/>
          <w:lang w:bidi="fa-IR"/>
        </w:rPr>
        <w:t>...)</w:t>
      </w:r>
    </w:p>
    <w:p>
      <w:pPr>
        <w:pStyle w:val="BookText"/>
        <w:rPr/>
      </w:pPr>
      <w:r>
        <w:rPr>
          <w:rStyle w:val="FootnoteAnchor"/>
          <w:rtl w:val="true"/>
        </w:rPr>
        <w:footnoteReference w:id="929"/>
      </w:r>
      <w:r>
        <w:rPr>
          <w:rFonts w:ascii="IRNazanin" w:hAnsi="IRNazanin" w:eastAsia="IRNazanin"/>
          <w:color w:val="111111"/>
          <w:sz w:val="28"/>
          <w:sz w:val="28"/>
          <w:szCs w:val="28"/>
          <w:rtl w:val="true"/>
          <w:lang w:bidi="fa-IR"/>
        </w:rPr>
        <w:t>إلی آخره، فلاستصحاب بقاء التخییر حینئذٍ بالنسبة إلی الوقائع المتأخّرة مجال، و یمکن شمول إطلاق أدلّة التخییر له أیضاً، و علی فرض الإشکال فی شمول إطلاق الأدلّة، فالاستصحاب المذکور کافٍ فی المطلوب و إثبات بقاء التخییر</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قبیل الأمر بتحصیل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لو کان الحکم التخییری نفسیّاً، کالتخییر فی خصال الکفّارات الثلاث، أو بین الظهر و الجمعة، فإنّه بعد الإتیان بأحد أفراد الواجب المخیّر یسقط الأمر التخییری، و لا معنی للامتثال حینئذٍ ثانیاً بالإتیان بالفرد الآخر له؛ سواء قلنا بأنّ الأمر فی الواجب التخییری متعلّق بالجامع بین أفراده، و أنّ ذکر الأفراد إنّما هو للإرشاد إلیه، أم قلنا بأنّه سنخ خاصّ من الواجب، و لکن ما نحن فیه لیس کذلک، فإنّ الأمر بالأخذ بالطرق و الأمارات التی منها فتاوی المجتهدین لیس من جهة أنّها مطلوبات نفسیّة، بل من جهة أنّها طریق إلی الواقع و کاشفة عنه، فإن کان المستفاد من أدلّة التخییر هو الحکم بالأخذ بأحدهما عند التعارض، و أنّ هنا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التخییر بینهما، و الثانی عدم جواز الجمع بینهما، فلا یجوز العدول حینئذٍ بعد الأخذ بأحدهما و تقلیده؛ لعدم إمکان تبدیل ما صدر منه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بالالتزام بالعمل علی طبق 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هو علیه و جعله بمنزلة العدم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بأنّه لا یستفاد من أدلّة التخییر إلّا التوسعة علی المکلّف؛ بجواز</w:t>
      </w:r>
    </w:p>
    <w:p>
      <w:pPr>
        <w:pStyle w:val="BookText"/>
        <w:rPr/>
      </w:pPr>
      <w:r>
        <w:rPr>
          <w:rFonts w:ascii="IRNazanin" w:hAnsi="IRNazanin" w:eastAsia="IRNazanin"/>
          <w:color w:val="111111"/>
          <w:sz w:val="28"/>
          <w:sz w:val="28"/>
          <w:szCs w:val="28"/>
          <w:rtl w:val="true"/>
          <w:lang w:bidi="fa-IR"/>
        </w:rPr>
        <w:t>الأخذ بأیّهما شاء، فعلی القول بالإجزاء فیما لو قلّد أحدهما و إن خالف رأیه الواقع، فلا إشکال فی عدم جواز العدول إلی الآخر أیضاً؛ لسقوط الأمر الواقعی بذلک، و إن قلنا بعدم الإجزاء فیما لو خالف رأیه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المکلّف معذوراً فی مخالفة الواقع، فأراد العدول إلی الآخر فی الوقائع المتأخّرة، فلا یصدق مفهوم العدول و لا التخییر علیه؛ لأنّ تقلید المکلَّف لمجتهدٍ آخر فی فعل آخر لا یعدّ عدولًا، لکن لو أراد العدول فی تلک الواقعة بعینها؛ بالإتیان بفرد آخر من ذلک الفعل بتقلید مجتهد آخر؛ لکونه أفضلهما، فهل یجوز ذلک أو لا؟ نظیر ما لو أمر المولی بإتیان الماء، فأتاه بماء فی آنیة، ثمّ أراد الإتیان بماء أعذب منه فی آنیة اخری أجود من الاولی، فهل یصحّ ذلک؛ و أنّ اللَّه یختار أحبّهما إلیه، أو لا؟</w:t>
      </w:r>
    </w:p>
    <w:p>
      <w:pPr>
        <w:pStyle w:val="BookText"/>
        <w:rPr/>
      </w:pPr>
      <w:r>
        <w:rPr>
          <w:rFonts w:ascii="IRNazanin" w:hAnsi="IRNazanin" w:eastAsia="IRNazanin"/>
          <w:color w:val="111111"/>
          <w:sz w:val="28"/>
          <w:sz w:val="28"/>
          <w:szCs w:val="28"/>
          <w:rtl w:val="true"/>
          <w:lang w:bidi="fa-IR"/>
        </w:rPr>
        <w:t>لکنّ الظاهر أنّ ما نحن فیه لیس کذلک؛ لما عرفت من الفرق بین التکالیف النفسیّة و الطریقیّة؛ لأنّ المطلوب فی الاولی نفس المأمور به، و لیس وراءه شی‌ء آخر هو المطلوب، بخلاف التکالیف الطریقیّة، فإنّ المطلوب فیها هو الواقع و الإتیان به، و إنّما أمر بالعمل بالطریق للإیصال إلیه، و إلّا فنفس الطریق لیس مطلوباً بذاته، فبناء علی القول بعدم الإجزاء لو خالف تقلیده الأوّل الواقع، فلا مانع من الإتیان بالمأمور به ثانیاً علی طبق رأی المجتهد الثانی و تقلیده؛ لمجرّد احتمال عدم موافقة الأوّل للواقع</w:t>
      </w:r>
      <w:r>
        <w:rPr>
          <w:rStyle w:val="FootnoteAnchor"/>
          <w:rtl w:val="true"/>
        </w:rPr>
        <w:footnoteReference w:id="931"/>
      </w:r>
      <w:r>
        <w:rPr>
          <w:rFonts w:ascii="IRNazanin" w:hAnsi="IRNazanin" w:eastAsia="IRNazanin"/>
          <w:color w:val="111111"/>
          <w:sz w:val="28"/>
          <w:sz w:val="28"/>
          <w:szCs w:val="28"/>
          <w:rtl w:val="true"/>
          <w:lang w:bidi="fa-IR"/>
        </w:rPr>
        <w:t>، کما لو صلّی الظهر بلا سورة؛ لعدم وجوبها عند أحد المجتهدَینِ، و أراد الإتیان بها ثانیاً مع السورة بتقلید المجتهد الآخر؛ لاحتماله بقاء التکلیف الواقعی، و إن لم یجب ذلک علیه لأجل هذا الاحتمال و إن کان معذوراً، و لیس من التشریع المحرّم، نعم علی القول بالإجزاء لا یصحّ العدول، و لا یجری هذا البیان</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قیاسه قدس سره ما نحن فیه بالملکیّة المشاعة التی هی من الامور الواقعیّة فی</w:t>
      </w:r>
    </w:p>
    <w:p>
      <w:pPr>
        <w:pStyle w:val="BookText"/>
        <w:rPr/>
      </w:pPr>
      <w:r>
        <w:rPr>
          <w:rFonts w:ascii="IRNazanin" w:hAnsi="IRNazanin" w:eastAsia="IRNazanin"/>
          <w:color w:val="111111"/>
          <w:sz w:val="28"/>
          <w:sz w:val="28"/>
          <w:szCs w:val="28"/>
          <w:rtl w:val="true"/>
          <w:lang w:bidi="fa-IR"/>
        </w:rPr>
        <w:t>وعاء الاعتبار، فقد ظهر ما فیه، بعد ما عرفت من الفرق بین التکالیف النفسیّة و بین الطریقیّة، و عدم المانع من الإتیان بالعمل ثانیاً علی رأی المجتهد الثانی؛ من جهة احتمال بقاء التکلیف الواقعی فی الثانیة و إن لم یجب ذلک علیه، دون الأوّل، فإنّ الملکیّة المشاعة من الامور الواقعیّة کالتکالیف النفسیّة، فإذا افرزت بالتقسیم زالت الإشاعة حقیقة، و لیس وراءها شی‌ء آخر، بخلاف فتوی المجتهد، فإنّها طریق إلی الواقع و کاشفة عنه، الذی هو المطلوب،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مخالفة فتواه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بحاله؛ بناء علی القول بعدم الإجزاء، فله الإتیان علی رأی المجتهد الثانی، و إن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القول بأنّ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الالتزام و العقد القلبی علی تقلید المجتهد، و بین القول بأنّه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الخارجی علی رأی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الأوّل یبقی التفصیل بین الالتزام المذکور ابتداءً؛ بتقلید فقیه فی واقعة و الالتزام بتقلید الآخر فی سائر الوقائع المتأخِّرة، و بین الالتزام فی الواقعة الحاضرة بتقلید أحدهما و عدم الالتزام بتقلید الآخر فی الوقائع المتأخّرة، أو عزم علی عدم التقلید له فیها؛ حیث إنّه لا معنی للتخییر فی الأوّل بالنسبة إلی الوقائع المتأخّرة؛ لما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قبیل تحصیل الحاصل، و أمّا علی الثانی فإنّه لا مانع من شمول إطلاقات أدلّة التخییر له، لکنّه إحداث للتخییر، لا استدامة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التزم بتقلیده فی الوقائع المتأخّرة أیضاً، و عزم علی ذلک، لکن رجع عن هذا العقد القلبی و عزمه الباطنی، فلا مانع حینئذٍ من الرجوع إلی الآخر؛ لانعدام الموضوع برجوعه عن عزمه الأوّل، فتشمله الأدلّة الدالّة علی تخییره بین تقلید هذا أو ذاک بناءً علی إطلاقها، و لیس هو مثل ما لو عمل برأیه فی واقعة شخصیّة، و أراد الرجوع إلی الآخر فی تلک الواقعة</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التقلید لو کان عبارة عن العمل الخارجی علی طبق رأی</w:t>
      </w:r>
    </w:p>
    <w:p>
      <w:pPr>
        <w:pStyle w:val="BookText"/>
        <w:rPr/>
      </w:pPr>
      <w:r>
        <w:rPr>
          <w:rFonts w:ascii="IRNazanin" w:hAnsi="IRNazanin" w:eastAsia="IRNazanin"/>
          <w:color w:val="111111"/>
          <w:sz w:val="28"/>
          <w:sz w:val="28"/>
          <w:szCs w:val="28"/>
          <w:rtl w:val="true"/>
          <w:lang w:bidi="fa-IR"/>
        </w:rPr>
        <w:t>مجتهد، فما لم یعمل بعدُ علی رأی أحدهما فالتخییر باقٍ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لو کان الدلیل علی التخییر هو الإطلاقات و الأدلّة اللّفظیّة، 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بأیّهما أخذت من باب التسلیم وَسِعک</w:t>
      </w:r>
      <w:r>
        <w:rPr>
          <w:rFonts w:eastAsia="Amiri" w:cs="Amiri" w:ascii="Amiri" w:hAnsi="Amiri"/>
          <w:color w:val="111111"/>
          <w:sz w:val="28"/>
          <w:szCs w:val="28"/>
          <w:rtl w:val="true"/>
          <w:lang w:bidi="ar-SA"/>
        </w:rPr>
        <w:t>)</w:t>
      </w:r>
    </w:p>
    <w:p>
      <w:pPr>
        <w:pStyle w:val="BookText"/>
        <w:rPr/>
      </w:pP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علیه هو الإجماع و نحوه من الأدلّة اللُّبّیّة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إطلاق لها القاصرة عن بیان کیفیّة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هو الأخذ بالقدر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التقلید فی الوقائع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المجتهد الأوّل الذی قلّده و عمل بفتواه فی الواقعة الماضیة، لا لأجل أنّه تقلید ابتدائیّ للمیت بالنسبة إلی الوقائع المتأخّرة، بل لأجل أنّه نافذ علی أیّ تقدیر؛ لدوران الأمر فیه بین تعیین تقلیده فیها، و بین تخییره بینه و بین تقلید الآخر، و القدر المتیقّن هو الأوّل؛ لاحتمال عدم جواز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استصحاب الجامع بین التخییر الابتدائی و الاستمراری، یرد علیه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الجامع بین الحکمین لیس حکماً شرعیّاً، و لا موضوعاً یترتّب علیه أثر شرعیّ، و یعتبر فی الاستصحاب أحد هذین الأمرین، فلا مجال لاستصحابه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استصحاب خصوص التخییر الابتدائی أو الاستمراری، فالمفروض أنّه لم یثبت بالأدلّة أنّ التخییر بدْویّ أو استمراریّ، فإنّ التخییر علی الأوّل هو حکم واحد بالتخییر بین تقلید هذا فی جمیع الوقائع، أو ذاک کذلک فی الابتداء؛ بحیث لو عمل علی رأی أحدهما فی واقعة سقط التخییر، و علی الثانی فمعناه أنّ المکلّف مخیّر فی کلّ واقعة فی تقلید أیّهما شاء، فله تخییرات؛ أی أحکام تخییریّة متعدّدة بعدد الوقائع، و حیث إنّه لم یعلم أنّه بدویّ أو استمراری، فلا مجال لاستصحاب أحدهما؛ لعدم العلم بالحالة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مقام الثبوت، و أمّا فی مقام الإثبات و التصدیق، فأدلّة التخییر ظاهرة فی أنّ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العمل الخارجی علی طبق رأی المجتهد استناداً إلیه، و حینئذٍ فمقتضی الأدلّة و الاستصحاب جواز العدول فی الوقائع المتأخّرة إلی المجتهد الآخر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دلیل لفظیّ فی مسألة التقلید، و الأدلّة اللفظیّة التی استدلّ بها فیها،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دلالة له فی المقام، بل الدلیل علی رجوع المقلِّد العامّی إلی المجتهد هو الإجماع، و هو دلیل لبّیّ لا إطلاق له، و لا مجال للاستصحاب فیه أیضاً</w:t>
      </w:r>
      <w:r>
        <w:rPr>
          <w:rFonts w:eastAsia="IRNazanin" w:cs="IRNazanin"/>
          <w:color w:val="111111"/>
          <w:sz w:val="28"/>
          <w:szCs w:val="28"/>
          <w:rtl w:val="true"/>
          <w:lang w:bidi="fa-IR"/>
        </w:rPr>
        <w:t>.</w:t>
      </w:r>
      <w:bookmarkStart w:id="867" w:name="pg12898_148433"/>
    </w:p>
    <w:p>
      <w:pPr>
        <w:pStyle w:val="Heading3"/>
        <w:numPr>
          <w:ilvl w:val="2"/>
          <w:numId w:val="1"/>
        </w:numPr>
        <w:rPr/>
      </w:pPr>
      <w:bookmarkStart w:id="868" w:name="__RefHeading___Toc3235314_3224264995"/>
      <w:bookmarkStart w:id="869" w:name="_Toc326"/>
      <w:bookmarkEnd w:id="867"/>
      <w:bookmarkEnd w:id="868"/>
      <w:r>
        <w:rPr>
          <w:rtl w:val="true"/>
        </w:rPr>
        <w:t>الفصل الرابع فی اختلاف الحیّ و المیّت فی مسألة البقاء</w:t>
      </w:r>
      <w:bookmarkEnd w:id="869"/>
    </w:p>
    <w:p>
      <w:pPr>
        <w:pStyle w:val="Heading4"/>
        <w:numPr>
          <w:ilvl w:val="3"/>
          <w:numId w:val="1"/>
        </w:numPr>
        <w:rPr/>
      </w:pPr>
      <w:bookmarkStart w:id="870" w:name="__RefHeading___Toc3235316_3224264995"/>
      <w:bookmarkStart w:id="871" w:name="_Toc327"/>
      <w:bookmarkEnd w:id="870"/>
      <w:r>
        <w:rPr>
          <w:rtl w:val="true"/>
        </w:rPr>
        <w:t>اشارة</w:t>
      </w:r>
      <w:bookmarkEnd w:id="871"/>
    </w:p>
    <w:p>
      <w:pPr>
        <w:pStyle w:val="BookText"/>
        <w:rPr/>
      </w:pPr>
      <w:r>
        <w:rPr>
          <w:rFonts w:ascii="IRNazanin" w:hAnsi="IRNazanin" w:eastAsia="IRNazanin"/>
          <w:color w:val="111111"/>
          <w:sz w:val="28"/>
          <w:sz w:val="28"/>
          <w:szCs w:val="28"/>
          <w:rtl w:val="true"/>
          <w:lang w:bidi="fa-IR"/>
        </w:rPr>
        <w:t>لو قلّد مجتهداً ثمّ مات ذلک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رأیه موافقاً لرأی المجتهد الحیّ فی مسألة البقاء علی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أو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وجوب الرجوع إلی الحیّ، فلا إشکال، و کذا لو اختلفا، و کان فتوی المیّت فیها جواز البقاء، و فتوی الحیّ وجوب العدول إلی الحیّ، فلا إشکال أیضاً؛ حیث إنّ القدر المتیقّن هو الرجوع إلی الحیّ</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و الإشکال فیما لو کان رأی المیّت وجوب الرجوع إلی الحیّ، و فتوی الحیّ وجوب البقاء، فإنّ فیه إشکالًا عقلیّاً؛ لأنّه لو رجع إلی الحیّ فی تلک المسألة، و بقی علی تقلید المیّت، لزم من حجّیّة فتوی المیّت فی المسائل الفرعیّة عدم حجّیّتها؛ لأنّ من فتاواه هی فتواه بوجوب الرجوع إلی الحیّ و عدم حجّیّة فتاواه بعد موته، و هذا نظیر الإشکال المعروف فی حجّیّة خبر الواحد</w:t>
      </w:r>
      <w:r>
        <w:rPr>
          <w:rStyle w:val="FootnoteAnchor"/>
          <w:rtl w:val="true"/>
        </w:rPr>
        <w:footnoteReference w:id="934"/>
      </w:r>
      <w:r>
        <w:rPr>
          <w:rFonts w:ascii="Amiri" w:hAnsi="Amiri" w:eastAsia="Amiri" w:cs="Amiri"/>
          <w:color w:val="111111"/>
          <w:sz w:val="28"/>
          <w:sz w:val="28"/>
          <w:szCs w:val="28"/>
          <w:rtl w:val="true"/>
          <w:lang w:bidi="ar-SA"/>
        </w:rPr>
        <w:t>حیث إنّ مقتضی أدلّة حجّیّته هو حجّیّة إخبار السیّد الإجماع علی عدم حجّیّة خبر الواحد، فإنّه أیضاً من أخبار الآحاد، و یلزم من حجّیّته عدم حجّیّة أخبار الآحاد التی منها خبر السیّد،</w:t>
      </w:r>
      <w:bookmarkStart w:id="872" w:name="pg12898_148434"/>
    </w:p>
    <w:p>
      <w:pPr>
        <w:pStyle w:val="BookText"/>
        <w:rPr/>
      </w:pPr>
      <w:bookmarkEnd w:id="872"/>
      <w:r>
        <w:rPr>
          <w:rFonts w:ascii="Amiri" w:hAnsi="Amiri" w:eastAsia="Amiri" w:cs="Amiri"/>
          <w:color w:val="111111"/>
          <w:sz w:val="28"/>
          <w:sz w:val="28"/>
          <w:szCs w:val="28"/>
          <w:rtl w:val="true"/>
          <w:lang w:bidi="ar-SA"/>
        </w:rPr>
        <w:t>فیلزم من حجّیّة خبر السیّد عدم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عنه الشیخ الأعظم قدس سره فی مبحث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المحذور العقلی ناشٍ عن حجّیّة خبر السیّد فقط، فیطرح خبره؛ لعدم حجّیّته حینئذٍ، فتبقی سائر الأخبار خالیة عن الإشکال</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3235318_3224264995"/>
      <w:bookmarkStart w:id="874" w:name="_Toc328"/>
      <w:bookmarkEnd w:id="873"/>
      <w:r>
        <w:rPr>
          <w:rtl w:val="true"/>
        </w:rPr>
        <w:t>کلام العلّامة الحائری قدس سره</w:t>
      </w:r>
      <w:bookmarkEnd w:id="874"/>
    </w:p>
    <w:p>
      <w:pPr>
        <w:pStyle w:val="Heading5"/>
        <w:numPr>
          <w:ilvl w:val="4"/>
          <w:numId w:val="1"/>
        </w:numPr>
        <w:rPr/>
      </w:pPr>
      <w:bookmarkStart w:id="875" w:name="__RefHeading___Toc3235320_3224264995"/>
      <w:bookmarkStart w:id="876" w:name="_Toc329"/>
      <w:bookmarkEnd w:id="875"/>
      <w:r>
        <w:rPr>
          <w:rtl w:val="true"/>
        </w:rPr>
        <w:t>اشارة</w:t>
      </w:r>
      <w:bookmarkEnd w:id="876"/>
    </w:p>
    <w:p>
      <w:pPr>
        <w:pStyle w:val="BookText"/>
        <w:rPr/>
      </w:pPr>
      <w:r>
        <w:rPr>
          <w:rFonts w:ascii="IRNazanin" w:hAnsi="IRNazanin" w:eastAsia="IRNazanin"/>
          <w:color w:val="111111"/>
          <w:sz w:val="28"/>
          <w:sz w:val="28"/>
          <w:szCs w:val="28"/>
          <w:rtl w:val="true"/>
          <w:lang w:bidi="fa-IR"/>
        </w:rPr>
        <w:t>و أورد علیه شیخنا الاستاذ الحائری قدس سره بأنّه قدس سره قد دقّق النظر فی الجواب عن الإشکال، و لکن النظر الأدقّ یقتضی عدم صحّة هذا الجواب؛ و ذلک لأنّ خبر السیّد بعدم حجّیّة خبر الواحد ینحلّ إلی أخبار متعدّدة، فإنّ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خبر زرارة، و خبر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خبره هذا عن الإجماع علی عدم حجّیّة خبر الواحد و الذی یلزم منه المحذور هو حجّیّة خبره هذا بالنسبة إلی هذا الخبر نفسه، و أمّا مفاده بالنسبة إلی سائر الأخبار فلا یلزم منه محذور، و حینئذٍ فیحکم بعدم حجّیّة خبره هذا بالخصوص، لا خبره بعدم حجّیّة سائر الأخبار، فإنّه لا یلزم منه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المحذور من إطلاق خبر السیّد بعدم حجّیّة خبر الواحد الشامل لخبر نفسه، لا من أصل خبره بتمام مفاده، فخبره هذا بالنسبة إلی سائر الأخبار حجّة، فیقع التعارض بین خبره و بین أدلّة حجّیّة خبر الواحد، و اللّازم طرح خبر السیّد فی مقام المعارضة، و ترجیح الأدلّة الدالّة علی حجّیّة خبر الواحد؛ لأنّه لو رُجّح خبر السیّد علی أدلّة حجّیّة خبر الواحد، یلزم التخصیص المستهجن فی أدلّة حجّیّة خبر الواحد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إلی أنّه حینئذٍ یصیر أشبه بالمعمّا و اللّغز؛ و بیان عدم حجّیّة أخبار</w:t>
      </w:r>
    </w:p>
    <w:p>
      <w:pPr>
        <w:pStyle w:val="BookText"/>
        <w:rPr/>
      </w:pPr>
      <w:r>
        <w:rPr>
          <w:rFonts w:ascii="IRNazanin" w:hAnsi="IRNazanin" w:eastAsia="IRNazanin"/>
          <w:color w:val="111111"/>
          <w:sz w:val="28"/>
          <w:sz w:val="28"/>
          <w:szCs w:val="28"/>
          <w:rtl w:val="true"/>
          <w:lang w:bidi="fa-IR"/>
        </w:rPr>
        <w:t>الآحاد بلسان حجّیّتها، و هو استهجان آخر، فلا بدّ من ترجیح أدلّة حجّیّة خبر الواحد و طرح خبر السیّد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 و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فیما نحن فیه أیضاً؛ لأنّه یرد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یلزم فی مفروض المسألة من حجّیّة فتوی المیّت عدمها، و یتوجّه علیه جواب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یلزم منه المحذور هو حجّیّة خصوص فتواه بعدم جواز تقلید المیّت، فتطرح تلک الفتوی، و یؤخذ بسائر فتاواه فی المسائل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 شیخنا الاستاذ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المحذور إنّما یلزم من بعض مفاد هذه الفتوی، لا من تمام مفادها، فإنّ فتواه هذه تنحلّ إلی فتاوی متعدّدة؛ لأنّ معناها و مفادها عدم حجّیّة فتواه فی الوضوء، و عدم حجّیّتها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کلّ واحدة من فتاواه فی الفروع، التی منها فتواه هذه؛ أی حرمة البقاء علی تقلید المیّت، و الذی یلزم منه المحذور هو شمول هذه الفتوی لنفسها، فلیست هی حجّة بالنسبة إلی نفسها، لا بالنسبة إلی سائر مفادها فی عدم حجّیّة فتاواه فی سائر الأحکام، و حینئذٍ فینزِّل المجتهد الحیّ نفسه منزلة المقلِّد فی إجراء الاستصحاب، و یقع التعارض بین استصحاب حجّیّة فتواه فی تلک المسألة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جواز البقاء علی تقلید المیّت فی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استصحاب حجّیّة فتاواه فی سائر المسائل الفرعیّة؛ للتنافی بینهما، فلأحد أن یذهب إلی التخییر کما فی المجتهدین المتساویین</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المذکور فی المسائل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غیر جارٍ، أو محکوم للاستصحاب فی المسألة الأصلیّة؛ أی استصحاب عدم حجّیّة فتواه فی مسألة البقاء؛ لأنّه إن ارید من استصحاب فتاواه فی الفروع، هو استصحاب الأحکام الواقعیّة من الواجبات و المحرّمات المستکشفة من فتواه، فهو غیر جارٍ؛ لأنّه و إن شکّ فی بقائها،</w:t>
      </w:r>
    </w:p>
    <w:p>
      <w:pPr>
        <w:pStyle w:val="BookText"/>
        <w:rPr/>
      </w:pPr>
      <w:r>
        <w:rPr>
          <w:rFonts w:ascii="IRNazanin" w:hAnsi="IRNazanin" w:eastAsia="IRNazanin"/>
          <w:color w:val="111111"/>
          <w:sz w:val="28"/>
          <w:sz w:val="28"/>
          <w:szCs w:val="28"/>
          <w:rtl w:val="true"/>
          <w:lang w:bidi="fa-IR"/>
        </w:rPr>
        <w:t>لکن لا حالة سابقة متیقّنة لها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 الوجدانی فواضح، و أمّا القطع التنزیلی فکذلک؛ لعدم تحقّق الحجّة فی ظرف الشکّ علی الواقع؛ للشکّ فی حجّیّة فتواه بعد موته، فیرتفع القطع التعبّدی الحاصل فی زمان حیاته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الحکم الظاهری الفرعی؛ أی جواز العمل بفتواه و رأیه فی المسائل الفرعیّة، فإن کان الموضوع لهذا الحکم الظاهری هو رأی ذلک المجتهد بنحو الإضافة إلیه، فأرکان الاستصحاب متحقّقة؛ للعلم بجواز العمل بفتواه فی زمان حیاته، و الشکّ فی جوازه بعد مماته، فیجری فیه الاستصحاب، لکن الاستصحاب الجاری فی المسألة الأصلیّة حاکم علی هذا الاستصحاب؛ لأنّ الشکّ فی جواز العمل برأیه فی الفروع بعد مماته، ناشٍ عن الشکّ فی حجّیّة رأیه فی تلک المسألة الأصلیّة؛ فی عدم حجّیّة قول المیّت و فتواه فی الفروع، و باستصحاب فتواه فی تلک المسألة الأصلیّة، یرتفع الشکّ فی جواز العمل بفتواه فی الفروع؛ لأنّ موضوع الحکم الظاهری هو المشکوک بما أنّه مشکوک، بخلاف الحکم الواقعی، و الأوّل فی مرتبة متأخّرة عن الثانی، فلا یجری مع جریانه فی الأوّل، و لیس مثبتاً؛ لأنّ أثره أعمّ من الواقعی و الظاهری</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استصحاب ذات قوله و رأیه من دون إضافته إلیه، بل إضافته إلیه جهة تعلیلیّة له، کان جواز العمل بهذه الفتاوی ثابتاً فی الزمان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زمان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رأیه و فتواه، فإمّا أن تعتبر علّیّته فی الزمان السابق لجواز العمل، فالمفروض انتفاؤها بالموت، و إنّما المعلوم علّیّته فی الزمان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زمان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حجّیّة فتواه بعد الموت، و إمّا أن تعتبر علّیّته له فی الزمان اللّاحق الذی هو ظرف الشکّ، فالمفروض عدمها أیضاً؛ لقطعه بخلافه من جهة التنافی بین فتوییه فی تلک المسألة</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877" w:name="pg12898_148437"/>
    </w:p>
    <w:p>
      <w:pPr>
        <w:pStyle w:val="Heading5"/>
        <w:numPr>
          <w:ilvl w:val="4"/>
          <w:numId w:val="1"/>
        </w:numPr>
        <w:rPr/>
      </w:pPr>
      <w:bookmarkStart w:id="878" w:name="__RefHeading___Toc3235322_3224264995"/>
      <w:bookmarkStart w:id="879" w:name="_Toc330"/>
      <w:bookmarkEnd w:id="877"/>
      <w:bookmarkEnd w:id="878"/>
      <w:r>
        <w:rPr>
          <w:rtl w:val="true"/>
        </w:rPr>
        <w:t>الإیراد علی مختار العلّامة الحائری قدس سره</w:t>
      </w:r>
      <w:bookmarkEnd w:id="8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الحکم الواقعی إنّما یتحقّق إذا احتمل نسخه، أو انعدام ما احتمل شرطیّته له، کالحضور بالنسبة إلی وجوب صلاة الجمعة، أو وجود ما یحتمل اعتبار عدمه فیه، مع عدم وجود الحجّة و الأمارة التی یستکشف بها الحکم الواقعی فی ظرف الشکّ، و أمّا إذا لم تتحقّق هذه الامور الموجبة للشکّ فی بقاء الحکم الواقعی، فبمجرّد احتمال عدم حجّیّة رأی المجتهد بعد موته، لا وجه للشکّ فی بقاء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قدس سره صحیح بناءً علی السببیّة فی فتوی المجتهد، و لکنّه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الاستصحاب فی المسألة الأصلیّة علیه فی المسائل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اخذ الموضوع قول المجتهد بنحو الإضافة؛ من جهة أنّ الشکّ فی الثانیة ناشٍ عن الشکّ فی الاولی، فمع جریان الاستصحاب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رأیه بعدم جواز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الشکّ فی بقاء جواز العمل بفتاواه فی سائر الفروع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الشکّ فی الثانیة لیس ناشئاً و مسبَّباً عن الشکّ فی الاولی، بل الشکّ فی کلیهما ناشٍ و مسبَّب عن ثالث هو الشکّ فی اعتبار حیاة المجتهد فی جواز تقلیده و عدمه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قد تقدّم فی باب مسألة الشکّ السببی و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التقدیم هو أنّ یکون الأصل الجاری فی السبب، منقِّحاً لموضوع دلیل اجتهادیّ حاکم علی الأصل الجاری فی المسبّب، و فی الحقیقة لا تنافی بین الأصل السببی و الأصل المسبَّبی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أحدهما حاکم علی الآخر، فإنّ تقدّم</w:t>
      </w:r>
    </w:p>
    <w:p>
      <w:pPr>
        <w:pStyle w:val="BookText"/>
        <w:rPr/>
      </w:pPr>
      <w:r>
        <w:rPr>
          <w:rFonts w:ascii="IRNazanin" w:hAnsi="IRNazanin" w:eastAsia="IRNazanin"/>
          <w:color w:val="111111"/>
          <w:sz w:val="28"/>
          <w:sz w:val="28"/>
          <w:szCs w:val="28"/>
          <w:rtl w:val="true"/>
          <w:lang w:bidi="fa-IR"/>
        </w:rPr>
        <w:t>استصحاب الکرّیّة علی استصحاب بقاء نجاسة الثوب المغسول بذلک الماء، إنّما هو لأجل أنّه منقِّح لموضوع دلیل اجتهادیّ شرعیّ، یدلّ علی أنّ کلّ کرّ مطهِّر، و هذا الدلیل حاکم علی الأصل المسبّبی، و مع عدم دلیل اجتهادی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ینقّح موضوعه بالأصل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نشوء شکّ عن شکّ لا یوجب التقدیم، فاستصحاب السبب لترتّب المسبّب من الاصول المثبتة و إن کانت السببیّة شرعیّة؛ بأنْ جعل الشارع هذا سبباً لذاک؛ لأنّ ترتّب المسبّب علیه عقلیّ، لا شرعیّ، کما فیما نحن فیه، مع أنّ السببیّة فیه لیست 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بقاء الحکم الواقعی، لکنّه غیر مفید فی إثبات الحکم الظاهری لاختلاف رتبتیهما؛ لأنّ موضوع الأوّل هو العنوان الواقعی، و موضوع الثانی هو المشکوک بما أنّه مشکوک الحکم الواقعی، فالثانی فی مرتبة متأخّرة عن الأوّل، فلیس بقاء الحکم الواقعی بقاءً للحکم الظاهری، نعم الجامع بین الحکم الظاهری و الواقعی کان معلوم الوجود سابقاً، فلا بأس باستصحابه هنا؛ بناءً علی جریان الاستصحاب فی القسم الثالث من أقسام استصحاب الکلّیّ</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تقدّم من عدم جریان الاستصحاب فی الجامع بین القسمین؛ لأنّه لیس حکماً شرعیّاً، و لا موضوعاً ذا أثر شرعیّ، و لا بدّ فی الاستصحاب من أحد الأمرین</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قدس سره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فتوی المجتهد فی ظرف الشکّ لیس حجّة علی الواقع؛ أی بعد موته، و حینئذٍ فهنا حکم ظاهریّ، و حکم واقعیّ تابع للحکم الظاهری؛ لأنّه کاشف عنه، و مع فرض جریان الأصل فی جانب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المسألة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جواز العمل بفتواه الذی هو حکم ظاهریّ، و یتبعه زوال</w:t>
      </w:r>
    </w:p>
    <w:p>
      <w:pPr>
        <w:pStyle w:val="BookText"/>
        <w:rPr/>
      </w:pPr>
      <w:r>
        <w:rPr>
          <w:rFonts w:ascii="IRNazanin" w:hAnsi="IRNazanin" w:eastAsia="IRNazanin"/>
          <w:color w:val="111111"/>
          <w:sz w:val="28"/>
          <w:sz w:val="28"/>
          <w:szCs w:val="28"/>
          <w:rtl w:val="true"/>
          <w:lang w:bidi="fa-IR"/>
        </w:rPr>
        <w:t>الحکم الواقعی أیضاً؛ لأنّه تابع له، و استصحاب الجامع إنّما یصحّ مع قطع النظر عن الإشکال المتقدّم، إذا لم یکن أحد الفردین تابعاً للفرد الآخر فی الزوال، کما لو علم بأنّه لو لم یکن البقّ لم یکن الفیل، فإنّه لا یجری استصحاب الجامع بین الفردین فیه أیضاً، و ما نحن فیه من هذا القبیل؛ لأنّ المفروض أنّه مع زوال الحکم الظاهری الکاشف، یتبعه الحکم الواقعی المکشوف عنه فی الزوال، فلا یصحّ استصحاب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استصحاب حجّیّة فتواه فی المسألة الأصلیّة، فالشکّ فی حجّیّة فتاواه فی سائر الفروع ناشٍ عن الشکّ فی بقائها فی تلک المسألة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فتواه فی مسألة البقاء لعدم جواز البقاء علی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جریان الاستصحاب فی جانب السبب یرتفع الشکّ فی جانب المسبّب، و مقتضی جریان الاستصحاب فی السبب عدم حجّیّة فتاواه فی سائر الفروع، و لیس هذا الاستصحاب مثبتاً؛ لأنّ أثره أعمّ من الواقعی و الظاهری</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من الکلام فی استصحاب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غیر قابلة للجعل، کما تقدّم مراراً، فلا یجری استصحابها و لا استصحاب عدمها</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عدل عن جمیع ما ذکر،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الاستصحاب فی المسألة الأصلیّة علیه فی المسائل الفرعیّة، إنّما هی علی تقدیر الجریان، لکنّه لا مجال لجریانه فیها؛ لأنّه یعتبر فی الاستصحاب الموضوعی ترتّب أثر شرعیّ علی المستصحب، و لا یترتّب علیه فی المسألة الأصلیّة أثر شرعیّ، بل نقیضه، فإنّه تستصحب حجّیّة فتواه؛ لیترتّب علیه سقوط فتاواه فی الفروع عن الحجّیّة، و یتفرّع علیه وجوب العدول إلی الحیّ، نظیر قول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لیس بحجّة إلّا خبر زید، و أخبر زید بأنّ کلّ خبر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شمول الأدلّة لخبر السیّد حینئذٍ؛ لأنّه ینتج نقیضه، و ما نحن فیه</w:t>
      </w:r>
    </w:p>
    <w:p>
      <w:pPr>
        <w:pStyle w:val="BookText"/>
        <w:rPr/>
      </w:pPr>
      <w:r>
        <w:rPr>
          <w:rFonts w:ascii="IRNazanin" w:hAnsi="IRNazanin" w:eastAsia="IRNazanin"/>
          <w:color w:val="111111"/>
          <w:sz w:val="28"/>
          <w:sz w:val="28"/>
          <w:szCs w:val="28"/>
          <w:rtl w:val="true"/>
          <w:lang w:bidi="fa-IR"/>
        </w:rPr>
        <w:t>کذلک؛ لأنّه یراد من استصحاب حجّیّة فتوی المیّت فی المسألة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مسألة البقاء علی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إلی الحیّ القائل بحجّیّة فتوی المیّت، فمرجعه إلی استصحاب عدم حجّیّة فتواه لیترتّب علیه إثبات حجّیة فتاواه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فتوی المیّت فی المسألة الأصلیّة، هی عدم جواز الاتّکال علی فتاواه فی الفروع استقلالًا، لا مع فتوی الحیّ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من إجراء الاستصحاب فی المسألة الأصلیّة، إثبات حجّیّة فتاواه فی الفروع، بل المقصود إثبات عدم حجّیّة فتاواه فیها، و حینئذٍ یرجع المقلِّد إلی الحیّ حسب ارتکازه، بعد ما یصیر متحیّراً لا بالاستصحاب؛ لیلزم التناقض فی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الفرق فی ذلک بین کون ذلک جزء مفاد الاستصحاب، و بین کونه لازماً له؛ فی عدم إمکان التعبّد بذلک بالاستصحاب، و حینئذٍ فلا مجال للاستصحاب فی المسألة الأصلیّة، بخلافه فی المسائل الفرعیّة</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ما أفاده إلی اعتبار ترتّب الأثر الشرعی الفعلی علی موضوع یراد استصحابه، و أنّه لا بدّ أن ینتهی الاستصحاب إلی العمل فی کلّ موارده، و لازم ذلک عدم جریان الاستصحاب فی جانب المسبّب أصلًا، لا أنّه جارٍ لکنّه محکوم للاستصحاب السببی، و کذلک لازمه عدم جریان الاستصحاب فی مورد تعارض الاستصحابین، لا أنّهما جاریان و یتساقطان؛ و ذلک لعدم انتهاء الاستصحاب فیهما إلی العمل؛ لأنّ نتیجتهما هو سقوطهما أو حکومة أحدهما علی الآخر، و لا أظنّ أن یلتزم هو قدس سره و لا غیره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أنّ المعتبر فی الاستصحاب هو ترتّب الأثر علیه ذاتاً و إن لم ینتهِ إلی العمل؛ لأنّ الاستصحاب قاعدة کلّیّة أو حکم مطلق، لم یلاحظ فیه الموارد الشخصیّة و ترتّب الأثر الفعلی فی کلّ واحد من موارده، و إلّا یلزم المحذور المذکور، فیکفی فیه ترتّب الأثر علیه ذاتاً، کما فیما نحن فیه، فإنّه یترتّب الأثر علی استصحاب حجّیّة فتواه فی المسألة الأصلیّة فی نفسه و ذاتاً، و لکن مع تحیّر المکلّف و رجوعه إلی الحیّ القائل بوجوب البقاء، ینتج حجّیّة فتاواه فی الفروع، 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یرجع فیها أوّلًا إلی الحیّ بعد موت مقلّده، إنّما هی المسألة الأصلیّة؛ أی فی جواز البقاء علی تقلید المیّت، لا المسائل الفرعیّة، و لذا صحّ له الحکم بجواز البقاء علی تقلیده فی الأحکام الفرعیّة و إن خالف فتواه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سئل فی الأحکام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کحکم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له الحکم بما یوافق فتوی المیّت فیها لو خالف رأیه فیها رأی المیّت، لکنّ المسئول فیه عن الحیّ أوّلًا لیس ذلک</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وظیفة المجتهد الحیّ لنفسه و بین بیانه وظیفة الغیر، و ما أفاده قدس سره إنّما یصحّ بالنسبة إلی وظیفة نفسه، و أمّا بالنسبة إلی الغیر فحیث إنّه یری أنّ فتوی مجتهده المیّت، کانت حجّة له فی زمان حیاته، مع شکّ المقلِّد فی بقائها، فینزِّل نفسه منزلة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تحقّق الیقین السابق فی حجّیّة فتاوی المیّت و الشکّ اللّاحق، یجری الاستصحاب، نظیر ما لو تمّت و کملت أرکان الاستصحاب فی الموضوعات عند المقلِّد دون المجتهد، فله إعلام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وظیفته الاستصحاب</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ینحسم به الإشکال و یمکن حلّه به،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التفت المقلِّد إلی أنّ فتوی مجتهده فی المسألة الأصلیّة، هو عدم جواز البقاء علی تقلید المیّت، یرجع بعد</w:t>
      </w:r>
    </w:p>
    <w:p>
      <w:pPr>
        <w:pStyle w:val="BookText"/>
        <w:rPr/>
      </w:pP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ارتکازه إلی المجتهد الحیّ غفلة عن الشکّ فی بقاء حجّیّة فتواه و عدمها، و من دون الالتفات إلی هذا الإشکال فی المسألة، کما هو الحال فی کثیر من العوامّ الخالیة أذهانهم عن هذه المطالب العلمیّة الدقیقة، فیعمل علی طبق فتوی المجتهد الحیّ، و هی أمارة له، فلا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المقلّد الملتفت إلی هذا الإشکال، فحیث إنّه یری أنّ مجتهده الذی مات، لم یجوِّز البقاء علی تقلید المیّت حتّی فی تلک المسألة الأصلیّة، و سقوط فتواه فی تلک المسألة عن الحجّیّة، فلا مناص له من الرجوع إلی الحیّ فی تلک المسألة الأصلیّة، و لا یجوز للحیّ الحکم ببقائه علی تقلید المیّت فی تلک المسألة الأصلیّة؛ لعدم جریان الاستصحاب؛ لا فی حقّ نفسه، و لا فی حقّ مقلّده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حق نفسه فواضح؛ لعدم تحقّق الشکّ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الجواز، کما هو مفروض المسألة</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حقّ المقلِّد فلأنّ المفروض رجوعه فی تلک المسألة إلی الحیّ، و فتواه أمارة له، و مع قیام الأمارة لا مجال للاستصحاب، و حینئذٍ فلا وجه للبقاء علی تقلید المیّت فی تلک المسألة، نعم للحیّ التجویز له بالبقاء فی سائر المسائل الفرعیّة</w:t>
      </w:r>
      <w:r>
        <w:rPr>
          <w:rFonts w:eastAsia="IRNazanin" w:cs="IRNazanin"/>
          <w:color w:val="111111"/>
          <w:sz w:val="28"/>
          <w:szCs w:val="28"/>
          <w:rtl w:val="true"/>
          <w:lang w:bidi="fa-IR"/>
        </w:rPr>
        <w:t>.</w:t>
      </w:r>
      <w:bookmarkStart w:id="880" w:name="pg12898_148443"/>
    </w:p>
    <w:p>
      <w:pPr>
        <w:pStyle w:val="Heading3"/>
        <w:numPr>
          <w:ilvl w:val="2"/>
          <w:numId w:val="1"/>
        </w:numPr>
        <w:rPr/>
      </w:pPr>
      <w:bookmarkStart w:id="881" w:name="__RefHeading___Toc3235324_3224264995"/>
      <w:bookmarkStart w:id="882" w:name="_Toc331"/>
      <w:bookmarkEnd w:id="880"/>
      <w:bookmarkEnd w:id="881"/>
      <w:r>
        <w:rPr>
          <w:rtl w:val="true"/>
        </w:rPr>
        <w:t>الفصل الخامس فی تبدّل رأی المجتهد</w:t>
      </w:r>
      <w:bookmarkEnd w:id="882"/>
    </w:p>
    <w:p>
      <w:pPr>
        <w:pStyle w:val="Heading4"/>
        <w:numPr>
          <w:ilvl w:val="3"/>
          <w:numId w:val="1"/>
        </w:numPr>
        <w:rPr/>
      </w:pPr>
      <w:bookmarkStart w:id="883" w:name="__RefHeading___Toc3235326_3224264995"/>
      <w:bookmarkStart w:id="884" w:name="_Toc332"/>
      <w:bookmarkEnd w:id="883"/>
      <w:r>
        <w:rPr>
          <w:rtl w:val="true"/>
        </w:rPr>
        <w:t>اشارة</w:t>
      </w:r>
      <w:bookmarkEnd w:id="884"/>
    </w:p>
    <w:p>
      <w:pPr>
        <w:pStyle w:val="BookText"/>
        <w:rPr/>
      </w:pPr>
      <w:r>
        <w:rPr>
          <w:rFonts w:ascii="IRNazanin" w:hAnsi="IRNazanin" w:eastAsia="IRNazanin"/>
          <w:color w:val="111111"/>
          <w:sz w:val="28"/>
          <w:sz w:val="28"/>
          <w:szCs w:val="28"/>
          <w:rtl w:val="true"/>
          <w:lang w:bidi="fa-IR"/>
        </w:rPr>
        <w:t>لو اضمحلّ الرأی السابق لمجتهد و تبدّل رأیه إلی آخر فإنّه یقع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تکلیف ذلک المجتهد نفسه بالنسبة إلی أعماله السابقة علی طبق رأیه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تکلیف مقلّده بالنسبة إلی أعماله السابقة علی طبق فتواه الاولی بعد الفراغ عن عدم الإشکال فی وجوب العمل علی طبق رأیه الحادث بالنسبة إلیه و إلی مقلّده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البحث لا بدّ من تحریر محلّ الکلام، فنقول</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هنا فی بیان مقتضی القواعد الأوّلیّة، مع قطع النظر عن الدلیل الخاصّ؛ من إجماع أو 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و نحو ذلک، فإنّه خارج عن محلّ الکلام هنا، و کذلک محطّ البحث إنّما هو فیما لو أتی بالمأمور به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أجزاء و شرائط و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طبق قطعه أو الأمارة القائمة علیه من حیث کیفیّة العمل، ثمّ تبدّل رأیه</w:t>
      </w:r>
      <w:bookmarkStart w:id="885" w:name="pg12898_148444"/>
    </w:p>
    <w:p>
      <w:pPr>
        <w:pStyle w:val="BookText"/>
        <w:rPr/>
      </w:pPr>
      <w:bookmarkEnd w:id="885"/>
      <w:r>
        <w:rPr>
          <w:rFonts w:ascii="IRNazanin" w:hAnsi="IRNazanin" w:eastAsia="IRNazanin"/>
          <w:color w:val="111111"/>
          <w:sz w:val="28"/>
          <w:sz w:val="28"/>
          <w:szCs w:val="28"/>
          <w:rtl w:val="true"/>
          <w:lang w:bidi="fa-IR"/>
        </w:rPr>
        <w:t>بظهور إخلاله بشرط أو جزء له أو مع مانع بحسب نظره اللّاحق، فلو لم یأتِ بالمأمور به أصلًا، أو قطع بوجوب الصلاة فأتی بها، ثمّ ظهر له وجوب الصوم لا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محلّ الکلام فی الإجزاء و عدمه، و لم یقل به فیه أحد، فمحلّ الکلام إنّما هو فیما لو أتی بالمأمور به علی طبق قطعه أو الأمارة القائمة لدیه؛ من حیث الأجزاء و الشرائط و الموانع، فظهر الخلاف من حیث کیفیّة المأمور به فی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فهنا مقامان من الکلام</w:t>
      </w:r>
      <w:r>
        <w:rPr>
          <w:rFonts w:eastAsia="IRNazanin" w:cs="IRNazanin"/>
          <w:color w:val="111111"/>
          <w:sz w:val="28"/>
          <w:szCs w:val="28"/>
          <w:rtl w:val="true"/>
          <w:lang w:bidi="fa-IR"/>
        </w:rPr>
        <w:t>:</w:t>
      </w:r>
    </w:p>
    <w:p>
      <w:pPr>
        <w:pStyle w:val="Heading4"/>
        <w:numPr>
          <w:ilvl w:val="3"/>
          <w:numId w:val="1"/>
        </w:numPr>
        <w:rPr/>
      </w:pPr>
      <w:bookmarkStart w:id="886" w:name="__RefHeading___Toc3235328_3224264995"/>
      <w:bookmarkStart w:id="887" w:name="_Toc333"/>
      <w:bookmarkEnd w:id="886"/>
      <w:r>
        <w:rPr>
          <w:rtl w:val="true"/>
        </w:rPr>
        <w:t>المقام الأوّل فی تکلیف المجتهد بالنسبة إلی نفسه</w:t>
      </w:r>
      <w:bookmarkEnd w:id="887"/>
    </w:p>
    <w:p>
      <w:pPr>
        <w:pStyle w:val="Heading5"/>
        <w:numPr>
          <w:ilvl w:val="4"/>
          <w:numId w:val="1"/>
        </w:numPr>
        <w:rPr/>
      </w:pPr>
      <w:bookmarkStart w:id="888" w:name="__RefHeading___Toc3235330_3224264995"/>
      <w:bookmarkStart w:id="889" w:name="_Toc334"/>
      <w:bookmarkEnd w:id="888"/>
      <w:r>
        <w:rPr>
          <w:rtl w:val="true"/>
        </w:rPr>
        <w:t>اشارة</w:t>
      </w:r>
      <w:bookmarkEnd w:id="889"/>
    </w:p>
    <w:p>
      <w:pPr>
        <w:pStyle w:val="BookText"/>
        <w:rPr/>
      </w:pPr>
      <w:r>
        <w:rPr>
          <w:rFonts w:ascii="IRNazanin" w:hAnsi="IRNazanin" w:eastAsia="IRNazanin"/>
          <w:color w:val="111111"/>
          <w:sz w:val="28"/>
          <w:sz w:val="28"/>
          <w:szCs w:val="28"/>
          <w:rtl w:val="true"/>
          <w:lang w:bidi="fa-IR"/>
        </w:rPr>
        <w:t>و 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تبدّل رأیه یُتصوّر علی وجوه؛ من حیث إنّ مستند رأیه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القطع؛ بأن قطع أوّلًا بعدم جزئیّة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بلا سورة، ثمّ تبدّل رأیه و زال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أمارة عقلائیّة أمضاها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أمارة شرعیّة تأسیسیّة من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أصل عقلائیّ تعبّدیّ أمضاه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أصل 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مستند رأیه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القطع، أو أمارة عقلائیّة، أو أصل عقلائیّ، أو أمارة شرعیّة، أو أصل شرعیّ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الاصول المحرِزة، مثل قاعدة التجاوز و نحوها، و إمّا غیرها ممّا اخذ الشکّ فی موضوعه، مثل أصالة الحلّ و البراءة، و یرتقی الحاصل من</w:t>
      </w:r>
      <w:bookmarkStart w:id="890" w:name="pg12898_148445"/>
    </w:p>
    <w:p>
      <w:pPr>
        <w:pStyle w:val="BookText"/>
        <w:rPr/>
      </w:pPr>
      <w:bookmarkEnd w:id="890"/>
      <w:r>
        <w:rPr>
          <w:rFonts w:ascii="IRNazanin" w:hAnsi="IRNazanin" w:eastAsia="IRNazanin"/>
          <w:color w:val="111111"/>
          <w:sz w:val="28"/>
          <w:sz w:val="28"/>
          <w:szCs w:val="28"/>
          <w:rtl w:val="true"/>
          <w:lang w:bidi="fa-IR"/>
        </w:rPr>
        <w:t>ضرب الستّة فی مثلها إلی ستّة و ثلاثین صورة</w:t>
      </w:r>
      <w:r>
        <w:rPr>
          <w:rFonts w:eastAsia="IRNazanin" w:cs="IRNazanin"/>
          <w:color w:val="111111"/>
          <w:sz w:val="28"/>
          <w:szCs w:val="28"/>
          <w:rtl w:val="true"/>
          <w:lang w:bidi="fa-IR"/>
        </w:rPr>
        <w:t>.</w:t>
      </w:r>
    </w:p>
    <w:p>
      <w:pPr>
        <w:pStyle w:val="Heading5"/>
        <w:numPr>
          <w:ilvl w:val="4"/>
          <w:numId w:val="1"/>
        </w:numPr>
        <w:rPr/>
      </w:pPr>
      <w:bookmarkStart w:id="891" w:name="__RefHeading___Toc3235332_3224264995"/>
      <w:bookmarkStart w:id="892" w:name="_Toc335"/>
      <w:bookmarkEnd w:id="891"/>
      <w:r>
        <w:rPr>
          <w:rtl w:val="true"/>
        </w:rPr>
        <w:t>حال الفتوی المستندة إلی القطع</w:t>
      </w:r>
      <w:bookmarkEnd w:id="892"/>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مستند حکمه السابق هو القطع بحکم، ثمّ تبدّل قطعه إلی القطع بالخلاف، و علم بمخالفة قطعه السابق للواقع، فلا إشکال فی عدم الإجزاء فیه؛ لأنّ حجّیّة القطع ذاتیّة، و لم یتصرّف الشارع فی طریقیّته أصلًا، بعد الفراغ عن أنّه طریق محض إلی الواقع، و أنّه بالقطع لا یتغیّر الواقع عمّا هو علیه، فمقتضی القاعدة فیه عدم الإجزاء و وجوب الإعادة أو القضاء؛ لبقاء المأمور به الواقعی بحاله</w:t>
      </w:r>
      <w:r>
        <w:rPr>
          <w:rFonts w:eastAsia="IRNazanin" w:cs="IRNazanin"/>
          <w:color w:val="111111"/>
          <w:sz w:val="28"/>
          <w:szCs w:val="28"/>
          <w:rtl w:val="true"/>
          <w:lang w:bidi="fa-IR"/>
        </w:rPr>
        <w:t>.</w:t>
      </w:r>
    </w:p>
    <w:p>
      <w:pPr>
        <w:pStyle w:val="Heading5"/>
        <w:numPr>
          <w:ilvl w:val="4"/>
          <w:numId w:val="1"/>
        </w:numPr>
        <w:rPr/>
      </w:pPr>
      <w:bookmarkStart w:id="893" w:name="__RefHeading___Toc3235334_3224264995"/>
      <w:bookmarkStart w:id="894" w:name="_Toc336"/>
      <w:bookmarkEnd w:id="893"/>
      <w:r>
        <w:rPr>
          <w:rtl w:val="true"/>
        </w:rPr>
        <w:t>حال الفتوی المستندة إلی الأمارات العقلائیّة</w:t>
      </w:r>
      <w:bookmarkEnd w:id="89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مستند حکمه السابق أمارة عقلائیّة معتبرة، کظاهر کتاب أو سُنّة و نحوهما من الأمارات العقلائیّة التی أمضاها الشارع، ثمّ قطع بالخلاف، فمقتضی القاعدة فیه أیضاً عدم الإجزاء؛ لأنّ حجّیّتها عند العقلاء من باب الطریقیّة و الکشف عن الواقع مع بقاء المأمور به علی ما هو علیه فی الواقع بحاله و عدم تغییره بقیام الأمارة، غایة الأمر أنّه معذور مع قیامها ما لم ینکشف الخلاف، و أمّا مع الانکشاف فلا</w:t>
      </w:r>
      <w:r>
        <w:rPr>
          <w:rFonts w:eastAsia="IRNazanin" w:cs="IRNazanin"/>
          <w:color w:val="111111"/>
          <w:sz w:val="28"/>
          <w:szCs w:val="28"/>
          <w:rtl w:val="true"/>
          <w:lang w:bidi="fa-IR"/>
        </w:rPr>
        <w:t>.</w:t>
      </w:r>
    </w:p>
    <w:p>
      <w:pPr>
        <w:pStyle w:val="Heading5"/>
        <w:numPr>
          <w:ilvl w:val="4"/>
          <w:numId w:val="1"/>
        </w:numPr>
        <w:rPr/>
      </w:pPr>
      <w:bookmarkStart w:id="895" w:name="__RefHeading___Toc3235336_3224264995"/>
      <w:bookmarkStart w:id="896" w:name="_Toc337"/>
      <w:bookmarkEnd w:id="895"/>
      <w:r>
        <w:rPr>
          <w:rtl w:val="true"/>
        </w:rPr>
        <w:t>حال الفتوی المستندة إلی الأمارات الشرعیّة</w:t>
      </w:r>
      <w:bookmarkEnd w:id="896"/>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المستند فی فتواه الاولی أمارة شرعیّة تأسیسیّة من الشارع، و لسان الدلیل الدالّ علیها لسان الکاشفیّة و الطریقیّة إلی الواقع، کما لو فرض أنّ حجّیّة خبر الواحد کذلک، ثمّ ظهر الخلاف بالقطع، فمقتضی القاعدة أیضاً عدم الإجزاء، فإنّ المفروض أنّ اعتبارها شرعاً إنّما هو لأجل أنّها طریق إلی الواقع، جعلها</w:t>
      </w:r>
    </w:p>
    <w:p>
      <w:pPr>
        <w:pStyle w:val="BookText"/>
        <w:rPr/>
      </w:pPr>
      <w:r>
        <w:rPr>
          <w:rFonts w:ascii="IRNazanin" w:hAnsi="IRNazanin" w:eastAsia="IRNazanin"/>
          <w:color w:val="111111"/>
          <w:sz w:val="28"/>
          <w:sz w:val="28"/>
          <w:szCs w:val="28"/>
          <w:rtl w:val="true"/>
          <w:lang w:bidi="fa-IR"/>
        </w:rPr>
        <w:t>تسهیلًا علی المکلّفین؛ لأنّ إیجاب الاحتیاط موجب للعسر و الحرج و اختلال النظام، و هی لا تغیّر الواقع عمّا هو علیه، بل هو باقٍ بحاله، فمع حصول القطع بکذبها، یعلم بقاء المأمور به بحاله لم یتغیّر عمّا هو علیه فی الواقع، فوجبت الإعادة أو القضاء و الإتیان بالمأمور به الواقعی، نعم هی عذر للمکلّف ما لم یقطع بالخلاف، و أمّا مع انکشاف الخلاف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استدلّ للإجزاء فی هاتین الصورتین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إمضاء الشارع للأمارة العقلائیّة، أو جعله لها حجّة تأسیساً، یستلزم عدم مطلوبیّة الأحکام الواقعیّة علی کلّ حال للشارع، و عدم تعلّق إرادته الجدّیّة بها کذلک، و إلّا لم یصحّ جعلها أو إمضاؤها، مع أنّها ربّما لا تصادف الواقع، بل یلزم إیجاب الاحتیاط حینئذٍ لحفظ الواقع؛ و لو أوجب العسر و الحرج الشدیدین و اختلال النظام، فجعل الشارع لأمارة، أو إمضاءه بناء العقلاء علی العمل بها، یستلزم رفع الید عن الأحکام الواقعیّة عند عدم إصابة الأمارة للواقع و عدم جزئیّة الجزء أو الشرط، مع قیام الأمارة علی عدمها، فصلّی کذلک، ثمّ انکشف الخلاف، و هو المراد من الإجزاء، بخلاف ما لو کان مستند الحکم الأوّل هو القطع؛ حیث إنّه لا یتصرّف فیه الشارع، و لا یمکنه الردع عن الجری العملی علی طبقه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فی المقام هو نظر الموالی العرفیّة فی أوامرهم التأسیسیّة أو الإمضائیّة، و لا ریب فی أنّ حجّیّة الأمارات عندهم، إنّما هی لضعف احتمال الخلاف فیها و إلغائه و عدم الالتفات إلیه، و أنّ مؤدّاها عندهم هو الواقع، فمع ظهور الخلاف و عدم موافقتها للواقع، لا یُجزی المأتیّ به علی طبقها عن الواقع، و مسلک الشارع أیضاً هذا المسلک فی الأمارات التأسیسیّة و الإمضائیّة، فإنّ الواقعیّات مطلوبة للشارع و مرادة له جدّاً، لکن حیث إنّه عارضت المصلحةَ الواقعیّة مفسدةُ إیجاب الاحتیاط، أوجب العمل بالأمارة لا الاحتیاط؛ لغلبة مطابقتها للواقع، فالحکم الواقعی باقٍ علی</w:t>
      </w:r>
    </w:p>
    <w:p>
      <w:pPr>
        <w:pStyle w:val="BookText"/>
        <w:rPr/>
      </w:pPr>
      <w:r>
        <w:rPr>
          <w:rFonts w:ascii="IRNazanin" w:hAnsi="IRNazanin" w:eastAsia="IRNazanin"/>
          <w:color w:val="111111"/>
          <w:sz w:val="28"/>
          <w:sz w:val="28"/>
          <w:szCs w:val="28"/>
          <w:rtl w:val="true"/>
          <w:lang w:bidi="fa-IR"/>
        </w:rPr>
        <w:t>مطلوبیّته له فی صورة المخالفة أیضاً، لکن یلزم رفع الید عنها فی هذه الصورة؛ فی تلک الحال حیث إنّه لا سبیل له سوی ذلک، نظیر رفع الید عن وجوب إنقاذ أحد الغریقین، مع بقاء مطلوبیّته و بقاء مصلحته؛ حیث لا محیص عنه، و لذا لو تمکّن بعد ذلک من إنقاذه وجب، و مقتضی ذلک هو وجوب الإعادة أو القضاء؛ و الإتیان بالتکلیف الواقعی عند انکشاف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الأدلّة الدالّة علی اعتبار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 أو 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الإجزاء، فإنّ لسانها کلسان أدلّة الاصول، فکما أنّ مفاد أدلّة الاصول هو ترتیب آثار الطهارة و الحلّیّة علی مؤدّاها، کذلک أدلّة اعتبار الأمارات، فإنّ إیجاب العمل بها و إن کان طریقیّاً، لکن مرجعه إلی إیجاب المعاملة معها معاملة الواقع، و أنّ کیفیة العمل بالعبادة هو ما أدّت إلیه الأمارة، فلو قامت الأمارة المعتبرة علی عدم مانعیّة لبس غیر المأکول لحمه، فمرجع إیجاب العمل بها عدم مانعیّة ذلک فی الصلاة واقعاً تعبّداً، و أنّ الصلاة معه مصداق تعبّدیّ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ورود دلیل تعبّدیّ شرعیّ دالّ علی إیجاب العمل بأمارة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تأسیساً، فالمتبادر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المحیط الذی لا یکون اعتباره فیه، إلّا لأجل أنّه کاشف عن الواقع و لو کشفاً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اعتباره و إیجاب العمل به من الشارع، إنّما هو لجهة کشفه عن الواقع و حیثیّة طریقیّته إلیه، لأجل تحصیله، لا أنّه تصرّفٌ فی الواقع و تبدیل له عمّا هو علیه، أو لأنّه تعبّد محض، و حینئذٍ فمع کشف الخلاف فالواقع باقٍ علی ما هو علیه، و مقتضاه الإعادة أو القضاء و وجوب الإتیان به، و هو المراد من عدم الإجزاء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الفرض</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الأدلّة الشرعیّة و الأخبار، ما یدلّ علی حجّیّة مثل خبر الواحد تأسیساً، بل لیس مفادها إلّا إمضاء طریقة العقلاء و بنائهم علی العمل به، و أنّ مثل قوله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التأسیس، و آیة النبأ و أمثالها</w:t>
      </w:r>
    </w:p>
    <w:p>
      <w:pPr>
        <w:pStyle w:val="BookText"/>
        <w:rPr/>
      </w:pPr>
      <w:r>
        <w:rPr>
          <w:rFonts w:ascii="IRNazanin" w:hAnsi="IRNazanin" w:eastAsia="IRNazanin"/>
          <w:color w:val="111111"/>
          <w:sz w:val="28"/>
          <w:sz w:val="28"/>
          <w:szCs w:val="28"/>
          <w:rtl w:val="true"/>
          <w:lang w:bidi="fa-IR"/>
        </w:rPr>
        <w:t>ردع عن العمل بخبر الفاسق، و لا تدلّ علی إیجاب العمل بخبر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وقع فی الشریعة المقدّسة بعض التحدیدات فی بنائهم، مثل اعتبار التعدّد فی الموضوعات، لکنّه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الاستاذ الحائری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تحقّقه بالإنشاء بالأمر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الواقعیّة التی کشف عنها الشارع، کالطهارة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العقلائیّة التی أمضاها الشارع، کالبیع و الصلح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تبدّل رأی المجتهد فی أحد الأوّلین بقیام أمارة علیه، ثمّ انکشف الخلاف، فمقتضی القاعدة عدم الإجزاء؛ حیث إنّ للحکم الشرعی واقعاً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واقعیّته بنفس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باقٍ لم یأتِ به بعد، فلا وجه للإجزاء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له واقع محفوظ أیضاً، کما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للبیع و النکاح واقعاً محفوظاً لا یتغیّر، فهو کذلک و مقتضی القاعدة فیه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الأسباب العقلائیّة غیر مستقلّة فی التأثیر، بل هی جزء السبب، و الجزء الآخر المتمّم للسبب هو إمضاء الشارع لها، نظیر إجازة المالک فی البیع الفضولی، فمقتضی القاعدة فیه هو الإجزاء؛ و ذلک لأنّ المفروض صحّة اجتهاده علی طبق الموازین الشرعیّة، و لم یتبیّن خطأه فیه بعد، لکن بعد الظفر بأمارة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الاتّفاق فی غیر مظانّها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الموضوع إلی موضوع آخر، و الحکم الظاهری و إن کان طریقاً محضاً إلی الواقع بتنزیل مؤدّی الأمارة منزلة الواقع، لکن تنزیل الشارع مؤدّاها منزلة الواقع حقیقیّ واقعیّ، مع عدم کون مؤدّی الأمارة حقیقیّاً</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الشارع بتنزیل الشارع له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حکم حقیقیّ، و الأوّل تنزیلیّ، و الذی تبیّن خطؤُه هو الأوّل لا الثانی، و بالثانی نقول بالإجزاء و نفوذ المعاملة؛ لأنّ نفوذها غیر مقیّد بزمان خاصّ، و لا یحتاج فی بقائها إلی سبب آخر، بل یکفی السبب الأوّل، نظیر حصول الطهارة بوضوء الجبیرة؛ حیث إنّها لیست مقیّدة بزمان و ما دام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الإجازة مقرونة بالردّ؛ لأنّ المفروض أنّ الأمارة الثانیة أقوی من الاولی، فهی ردع عن بناء العقلاء، و الإجازة المقرونة بالردّ غیر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الردع عنها، فإنّه لو أفتی المجتهد أوّلًا بجواز العقد بالفارسیّة؛ بالاجتهاد الصحیح علی طبق الموازین الشرعیّة؛ لأمارة قائمة علیه، ثمّ تبدّل رأیه إلی اعتبار العربیّة لأمارة اخری دالّة علیه، ظفر بها فی غیر مظانّها، راجحة علی الاولی بحسب القواعد الاجتهادیّة، فلا تنافی بین الأمارتین؛ حیث إنّ مفاد هذه اعتبارُ العربیّة فی ذات العقد مع قطع النظر عن الطوارئ، لا بطلان العقد بالفارسیّة مطلقاً، و مفاد الأمارة الاولی عدم اعتبار العربیّة فیه مع الطوارئ، و هی فی صورة الشکّ فی الاعتبار، و لا تنافی بینهما، و حینئذٍ ففی الشرع عقدان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هو الذی اعتبرت فیه العربیّة بحسب الحکم الواقعی الأوّلی، و عقد لا یعتبر فیه ذلک بحسب الحکم الظاهری، و کلّ واحد منهما مؤثّر فی النقل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العقد الفضولی لو أمضاه غیر مالکه بتخیّل أنّه المالک، ثمّ بان أنّه غیره، فکما أنّه لا یمکن أن یقال بتأثیر هذا الإمضاء، کذلک العقد بالفارسیّة بالاجتهاد الأوّل الذی تبیّن خطؤُه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خروج عن موضوع البحث؛ لأنّ المفروض أنّ الاجتهاد الأوّل کان صحیحاً تامّاً علی طبق الموازین الاجتهادیّة، و لم یتبیّن خطاؤه فیه، بل تبدّل</w:t>
      </w:r>
    </w:p>
    <w:p>
      <w:pPr>
        <w:pStyle w:val="BookText"/>
        <w:rPr/>
      </w:pPr>
      <w:r>
        <w:rPr>
          <w:rFonts w:ascii="IRNazanin" w:hAnsi="IRNazanin" w:eastAsia="IRNazanin"/>
          <w:color w:val="111111"/>
          <w:sz w:val="28"/>
          <w:sz w:val="28"/>
          <w:szCs w:val="28"/>
          <w:rtl w:val="true"/>
          <w:lang w:bidi="fa-IR"/>
        </w:rPr>
        <w:t>الموضوع إلی موضوع آخر بعد ظفره بالدلیل علی الخلاف، فالاجتهاد الأوّل أیضاً صواب</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الخلط فی کلامه قدس سره بین المعذوریّة و عدمها و بین الخطأ و الصواب، فإنّ المفروض أنّه تبیّن خطؤُه فی الاجتهاد الأوّل، بعد الظفر علی الدلیل علی الخلاف و إن کان معذوراً فیه؛ لأنّ المفروض أنّه جدَّ و اجتهد و استفرغ وسعه، و أنّ الظفر بالدلیل علی خلاف العادة، و لم یکن مقصّراً فی الاجتهاد الأوّل، و هذا لا ینافی معذوریّته فی خطأه فی الواقع،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صحّة اجتهاده السابق علی طبق الموازین الاجتهادیّة، لکن حجّیّته إنّما هی لأجل بناء العقلاء، و إمضاء الشارع له أیضاً إنّما هو لأجل أنّه کاشف عن الواقع و طریق إلیه، فالأمر بالعمل به حقیقیّ، لکنّه طریقیّ، لا أنّه مطلوب نفسیّ، و بعد ما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الأمر به واقعاً، بل تخیّل أنّه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أمر حتّی یُبحث عن اقتضائه الإجزاء و عدمه، فلا الاجتهاد السابق موافق للواقع، و لا الأمر بالأخذ بمؤدّاه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ما أفاده قدس سره ناشٍ عن الخلط بین المعذوریّة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آخر نسب إلی السیّد الجلیل صاحب العروة الوثقی، و ربّما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إلیه</w:t>
      </w:r>
      <w:r>
        <w:rPr>
          <w:rStyle w:val="FootnoteAnchor"/>
          <w:rtl w:val="true"/>
        </w:rPr>
        <w:footnoteReference w:id="944"/>
      </w:r>
      <w:r>
        <w:rPr>
          <w:rFonts w:ascii="IRNazanin" w:hAnsi="IRNazanin" w:eastAsia="IRNazanin"/>
          <w:color w:val="111111"/>
          <w:sz w:val="28"/>
          <w:sz w:val="28"/>
          <w:szCs w:val="28"/>
          <w:rtl w:val="true"/>
          <w:lang w:bidi="fa-IR"/>
        </w:rPr>
        <w:t>، و هو التفصیل بین ما لو کان الاجتهاد الأوّل ظنّیّاً مستنداً إلی الأمارات، ثمّ تبدّل رأیه بالاجتهاد الظنّی، و بین ما لو تبدّل بالقطع بالخلاف؛ بعدم الإجزاء فی الثانی و الإجزاء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الإجزاء فی الثانی فلتبیّن خطؤُه و بقاء الواقع عمّا هو علیه فوجب امتثاله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الإجزاء فی الأوّل فلعدم الترجیح بین الاجتهادین؛ حیث إنّ کلّ واحد</w:t>
      </w:r>
      <w:bookmarkStart w:id="897" w:name="pg12898_148451"/>
    </w:p>
    <w:p>
      <w:pPr>
        <w:pStyle w:val="BookText"/>
        <w:rPr/>
      </w:pPr>
      <w:bookmarkEnd w:id="897"/>
      <w:r>
        <w:rPr>
          <w:rFonts w:ascii="IRNazanin" w:hAnsi="IRNazanin" w:eastAsia="IRNazanin"/>
          <w:color w:val="111111"/>
          <w:sz w:val="28"/>
          <w:sz w:val="28"/>
          <w:szCs w:val="28"/>
          <w:rtl w:val="true"/>
          <w:lang w:bidi="fa-IR"/>
        </w:rPr>
        <w:t>منهما ظنّیّ، و لأنّه لا تأثیر للاجتهاد الثانی فیما قبله من الأعمال، بل المؤثّر فیها هو الاجتهاد الأوّل</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قدس سره أکثر من تأخّر عنه ممّن تعرّض لما ذکره، و الإیراد علیه فی محلّه؛ لأنّ المفروض ظهور خطأه فی الاجتهاد الأوّل؛ و تبیّن عدم موافقته للواقع بحسب الاجتهاد الثانی، فلو کان رأیه السابق جواز الصلاة فی وَبَر ما لا یؤکل لحمه، و صلّی فیه، و رأیه اللّاحق عدمه، مع فرض ظهور خطأه فی الاجتهاد الأوّل؛ لظفره بأمارة معتبرة علیه، فمفاد هذه الروایة و مقتضاها فساد الصلاة المذکورة بنحو الإطلاق؛ من دون اختصاصه بزمان دون زمان، فهو معذور فی اجتهاده الأوّل؛ لأنّ المفروض أنّه بذل تمام جهده فیه، لکن تبیّن خطؤُه فیه من الأوّل، فلو لا ترجیح لأحد الاجتهادین علی الآخر للزم جواز العمل علی طبق اجتهاده الأوّل فی الأعمال اللّاحقة أیضاً، و هو قدس سره لا یلتزم به، فالحکم بتعیّن العمل علی وفق الاجتهاد الثانی، إنّما هو لأجل بطلان اجتهاده الأوّل و فساده</w:t>
      </w:r>
      <w:r>
        <w:rPr>
          <w:rFonts w:eastAsia="IRNazanin" w:cs="IRNazanin"/>
          <w:color w:val="111111"/>
          <w:sz w:val="28"/>
          <w:szCs w:val="28"/>
          <w:rtl w:val="true"/>
          <w:lang w:bidi="fa-IR"/>
        </w:rPr>
        <w:t>.</w:t>
      </w:r>
    </w:p>
    <w:p>
      <w:pPr>
        <w:pStyle w:val="Heading5"/>
        <w:numPr>
          <w:ilvl w:val="4"/>
          <w:numId w:val="1"/>
        </w:numPr>
        <w:rPr/>
      </w:pPr>
      <w:bookmarkStart w:id="898" w:name="__RefHeading___Toc3235338_3224264995"/>
      <w:bookmarkStart w:id="899" w:name="_Toc338"/>
      <w:bookmarkEnd w:id="898"/>
      <w:r>
        <w:rPr>
          <w:rtl w:val="true"/>
        </w:rPr>
        <w:t>حال الفتوی المستندة إلی الاصول</w:t>
      </w:r>
      <w:bookmarkEnd w:id="89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مستنده فی رأیه السابق هو الاصول الشرعیّة، کأصالة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شمولها للشبهات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الحلّیّة و أصالة البراءة و الاستصحاب، لا العقلیّة منها، ثم انکشف الخلاف، فالظاهر هو الإجزاء، کما هو مقتضی ملاحظة أدلّة الاصول المذکورة، و الجمع العرفی بینها و بین أدلّة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بطلان الصلاة فی النجس</w:t>
      </w:r>
    </w:p>
    <w:p>
      <w:pPr>
        <w:pStyle w:val="BookText"/>
        <w:rPr/>
      </w:pPr>
      <w:r>
        <w:rPr>
          <w:rFonts w:ascii="IRNazanin" w:hAnsi="IRNazanin" w:eastAsia="IRNazanin"/>
          <w:color w:val="111111"/>
          <w:sz w:val="28"/>
          <w:sz w:val="28"/>
          <w:szCs w:val="28"/>
          <w:rtl w:val="true"/>
          <w:lang w:bidi="fa-IR"/>
        </w:rPr>
        <w:t>الواقعی، و کذلک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فی وَبَر ما لا یؤکل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یدلّ علی أنّها فی وَبَره و جلده و لحمه فاسدة، و أنّه بحسب وجوده الواقعی مانع للصلاة، و هکذا أدلّة سائر الشرائط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شموله للشبهات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منه أنّ الطهارة الواقعیّة مقیّدة بالعلم بها؛ للزوم التصویب المحال أو المجمع علی بطلانه، فلیس المراد منه جعل الطهارة الواقعیّة</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أیضاً فی الفرق بین لسان هذا الدلیل و بین لسان دلیل الأمارات؛ حیث إنّ للأمارات طریقیّة ناقصة إلی الواقع، و صالحة للکشف الناقص عنه، مثل خبر الواحد، بخلاف أدلّة الاصول، فإنّه لیس لموضوعها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أماریّة و طریقیّة إلی الواقع، و لا صلاحیّة الطریقیّة، و نفس أدلّتها أیضاً لا تدلّ علی ذلک، و لیست أیضاً مثل إیجاب الاحتیاط للتحفّظ علی الواقع، بل لسانها لسان جعل الوظیفة عند الشکّ فی الحکم الواقعی، و وجوب ترتیب الآثار، فالجمع العرفی بینها و بین أدلّة الأجزاء و الشرائط، هو أنّه تجب المعاملة مع الشکّ فی الطهارة الواقعیّة، معاملة الطهارة الواقعیّة فی تحقّق مصداق الطبیعة؛ بإتیانها مع الطهارة الظاهریّة و تحقّق الامتثال بها، فمفادها التوسعة فی الطهارة التی هی شرط للصلاة، و هو المراد من الإجزاء، نظیر حکم الشارع بالصلاة مع التیمّم مع فقدان الماء، الذی لا یتصوّر فیه انکشاف الخلاف، کما لا یتصوّر ذلک فی الاصول الشرعیّة، بخلاف الأمارات؛ حیث إنّ أدلّتها إنّما تدلّ علی وجوب العمل بها علی أنّها طریق إلی الواقع، و أنّ مؤدّاها هو الواقع، فلا وجه للإجزاء فیها مع کشف الخلاف، و هکذا الکلام فی حدیث الرفع؛ حیث إنّه لیس المراد رفع الجزئیّة و الشرطیّة واقعاً عند الشکّ فیهما؛ لیلزم التصویب المحال أو المجمع علی بطلانه، بل المراد جعلُ الوظیفة عند الشکّ فی التکلیف، و ترتیبُ الآثار، و تحقّق مصداق المأمور به بدون الجزء لو شکّ فی جزئیّته، و ذلک توسعة فی الأجزاء</w:t>
      </w:r>
    </w:p>
    <w:p>
      <w:pPr>
        <w:pStyle w:val="BookText"/>
        <w:rPr/>
      </w:pPr>
      <w:r>
        <w:rPr>
          <w:rFonts w:ascii="IRNazanin" w:hAnsi="IRNazanin" w:eastAsia="IRNazanin"/>
          <w:color w:val="111111"/>
          <w:sz w:val="28"/>
          <w:sz w:val="28"/>
          <w:szCs w:val="28"/>
          <w:rtl w:val="true"/>
          <w:lang w:bidi="fa-IR"/>
        </w:rPr>
        <w:t>و الشرائط، و مرجعه إلی تقیید أدلّة الأجزاء و الشرائط بالعلم، و لا یلزم التصویب أیضاً، بخلاف تقیید الواقعیّات بصورة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أدلّة الاستصحاب؛ حیث إنّه لیس المراد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الیقین السابق أمارة علی الواقع فی ظرف الشکّ؛ إذ لا معنی لأماریّة الیقین السابق فی زمان الشکّ، و لیس المراد الأمر بالبناء علی وجود المتیقّن الواقعی فی ظرف الشکّ، بل هو نهی عن نقض الیقین بالشکّ، فلا بدّ أن یراد به ترتیب آثاره؛ لانتقاضه حقیقة و تکویناً بتحقّق الشکّ، و مقتضاه الإجزاء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الإجزاء قوله علیه السلام فی روایة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یدلّ علی أنّ ذلک کافٍ فی صحّة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فیما لو تبدّل رأیه المستند إلی الاصول الشرعیّة، هو الإجزاء بملاحظة لسان أدلّتها، و أمّا أنّ المصلحة الواقعیّة متدارکة أو لا، أو أنّ المصلحة الظاهریة وافیة بالغرض أو لا، و أنّهما من جنس و سنخ واحد أو متعدّد، فممّا لا وجه للبحث عنه؛ إذ لا طریق لنا إلی معرفة ذلک لیبحث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یقتضیه مذهب العدلیّة و یحکم به العقل، هو أنّ الأحکام الشرعیّة تابعة للمصالح و المفاسد النفس الأمریّة، و أمّا أنّها متدارکة فی موارد الاصول الشرعیّة أو لا، فلا سبیل لنا إلی معرفته، و المتّبع هو ظهور الدلیل</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وظیفة المجتهد نفسه</w:t>
      </w:r>
      <w:r>
        <w:rPr>
          <w:rFonts w:eastAsia="IRNazanin" w:cs="IRNazanin"/>
          <w:color w:val="111111"/>
          <w:sz w:val="28"/>
          <w:szCs w:val="28"/>
          <w:rtl w:val="true"/>
          <w:lang w:bidi="fa-IR"/>
        </w:rPr>
        <w:t>.</w:t>
      </w:r>
      <w:bookmarkStart w:id="900" w:name="pg12898_148454"/>
    </w:p>
    <w:p>
      <w:pPr>
        <w:pStyle w:val="Heading4"/>
        <w:numPr>
          <w:ilvl w:val="3"/>
          <w:numId w:val="1"/>
        </w:numPr>
        <w:rPr/>
      </w:pPr>
      <w:bookmarkStart w:id="901" w:name="__RefHeading___Toc3235340_3224264995"/>
      <w:bookmarkStart w:id="902" w:name="_Toc339"/>
      <w:bookmarkEnd w:id="900"/>
      <w:bookmarkEnd w:id="901"/>
      <w:r>
        <w:rPr>
          <w:rtl w:val="true"/>
        </w:rPr>
        <w:t>المقام الثانی فی تکلیف المقلِّد مع تبدل رأی مجتهده</w:t>
      </w:r>
      <w:bookmarkEnd w:id="902"/>
    </w:p>
    <w:p>
      <w:pPr>
        <w:pStyle w:val="BookText"/>
        <w:rPr/>
      </w:pPr>
      <w:r>
        <w:rPr>
          <w:rFonts w:ascii="IRNazanin" w:hAnsi="IRNazanin" w:eastAsia="IRNazanin"/>
          <w:color w:val="111111"/>
          <w:sz w:val="28"/>
          <w:sz w:val="28"/>
          <w:szCs w:val="28"/>
          <w:rtl w:val="true"/>
          <w:lang w:bidi="fa-IR"/>
        </w:rPr>
        <w:t>و أمّا بالنسبة إلی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الأماریّة و الاصولیّة فی مستند الحکم، هی الأماریّة و الاصولیّة عند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نُزِّل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هو الکلام فی التفصیل الذی ذکرناه بالنسبة إلی وظیفة المجتهد نفسه</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فتوی الفقیه مطلقاً أمارة للمقلِّد، فمستند المقلِّد فی جمیع الأحکام هو الأمارة؛ سواء کان مستند الفقیه فیها أیضاً الأمارة أو الاصول الشرعیّة، کما هو المناط فی رجوع العقلاء إلی أرباب الصنائع؛ لعدم الیقین و الشکّ بالنسبة إلی المقلِّد، و حینئذٍ فمقتضی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تبدّل رأی مجتهده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الإجزاء؛ و وجوب الإعادة أو القضاء بالتقریبات المتقدّمة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مباحث الألفاظ و الاصول العملیّة و التعادل و الترجیح و مباحث الاجتهاد و التقلید؛ تقریراً لأبحاث الاستاذ الأکبر و القائد الأعظم و آیة اللَّه العظمی سماحة الحجّة الحاج آغا روح اللَّه الموسوی الخمینی، أدام اللَّه أیّام إفاداته و إفاضاته، و متّع اللَّه المسلمین بطول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علی ما وفّقنی لتقریر هذه المطالب النفیسة العمیقة الأنیقة من البدو إلی الختم، مع ضعف الحال و قلّة البضاعة العلمیّة، و تشتّت الأحوال، و عدم فراغ البال، و الشکر له، و الصلاة و السلام علی سیّدنا محمّد و علی أهل بیته الطاهرین</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 الفراغ من تقریره یوم الجمعة السادس عشر من شهر ذی القعدة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سبعین بعد الثلاثمائة و الألف من السنین الهجریّة القمریّة علی مهاجرها آلاف الثناء و التحیّة، بید العبد الفانی حسین بن یحیی التقوی الاشتهاردی عُفی عنهما</w:t>
      </w:r>
      <w:r>
        <w:rPr>
          <w:rFonts w:eastAsia="IRNazanin" w:cs="IRNazanin"/>
          <w:color w:val="111111"/>
          <w:sz w:val="28"/>
          <w:szCs w:val="28"/>
          <w:rtl w:val="true"/>
          <w:lang w:bidi="fa-IR"/>
        </w:rPr>
        <w:t>.</w:t>
      </w:r>
      <w:bookmarkStart w:id="903" w:name="pg12898_148457"/>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4" w:name="__RefHeading___Toc3235342_3224264995"/>
      <w:bookmarkStart w:id="905" w:name="_Toc340"/>
      <w:bookmarkEnd w:id="903"/>
      <w:bookmarkEnd w:id="904"/>
      <w:r>
        <w:rPr>
          <w:rtl w:val="true"/>
        </w:rPr>
        <w:t>فهرس الموضوعات</w:t>
      </w:r>
      <w:bookmarkEnd w:id="905"/>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 xml:space="preserve">فصل فی تعریف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الاحتمالات التی فی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الاستصحاب لیس من الأدلّة الأربعة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ضابط المسألة الاصولیّة فی کلام الشیخ الأعظم و نقدها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الحکم الثابت بالدلیل الشرعی و العقلی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الإشکالات الواردة علی الشیخ الأنصاری و جوابها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تحقیق الحال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حول التفصیل بین الشکّ فی الرافع و المقتضی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ذکر أخبار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الاولی لزرارة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بیان الاحتمالات التی فی 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تقریبات الأعلام فی اختصاص حجیّة الاستصحاب بالشکّ فی الرافع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هل الاستصحاب أمارة شرعیة أم أصل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الثانیة لزرارة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الاستدلال بالروایة و احتمالاته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الاستدلال بالجملة الواقعة فی ذیل 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الثالثة لزرارة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الاحتمالات التی فی مفاد 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علی بن محمّد القاسانی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الحلّ و الطهارة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الوضعیة و تحقیق ماهیتها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تقسم الحکم إلی التکلیفی و الوضعی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وعاء وجود الأشیاء إمّا الخارج أو الذهن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جعل الجزئیّة و الشرطیّة و السببیّة استقلالًا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فعلیّة الیقین و الشکّ و أخذهما بنحو الموضوعیّة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الاستصحاب فی مؤدّی الأمارات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استصحاب الکلی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الکلّی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الکلّی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اعتراضات و 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الکلّی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کلمات بعض الأعاظم و ما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أصالة عدم التذکیة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بیان أنحاء الشبهة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استصحاب العدم الأزلی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فی القضایا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الصدق و الکذب فی القضایا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الموضوع فی القضایا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رجوع السالبة إلی المعدولة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المختار فی أصالة عدم التذکیة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نقل کلمات الأعلام و ما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الاستصحاب فی الامور التدریجیّة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استصحاب الزمان و الحرکة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استصحاب الزمانیّات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شهبة المحقّق النراقی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أجوبة الأعلام عن شبهة المحقّق النراقی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التعلیقی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کلام بعض الأعاظم و ما یرد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معارضة الاستصحاب التعلیقی مع التنجیزی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حکومة الاستصحاب التعلیقی علی التنجیزی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أحکام الشرائع السابقة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المثبتة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حول مثبتات الأمارات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حال مثبتات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الوسائط الخفیّة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حال الأمثلة التی ذکرها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 أفاده صاحب الکفایة فی تنبیهه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استصحاب العنوان المنطبق علی الخارج لیس بمثبت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الأحکام الوضعیّة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الأثر المترتب علی الأعمّ من الوجود الواقعی و الظاهری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أصالة تأخّر الحادث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ضابط اتصال زمان الشکّ بالیقین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إشکال المحقّق الخراسانی فی مجهولی التأریخ و 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حول ما کان أحدهما معلوم التأریخ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تعاقب النجاسة و الطهارة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تعاقب الکریّة و الملاقاة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التمسّک بالعموم و استصحاب حکم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تحقیق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حول کلمات بعض الأعلام و ما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إشکال و تفصّیات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 الزمان بنحو الاستغراق أو الاستمرار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المراد من الشکّ فی الأدلّة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یعتبر فی جریان الاستصحاب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القضیّة المتیقّنة و المشکوکة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حول اعتبار بقاء 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توجیه شیخنا الحائری لکلام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عدم کفایة الاستصحاب فی إحراز موضوع القضیة المستصحبة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الخلط الواقع فی کلام بعض الأعاظم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المناط فی تشخیص وجود 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کلام المحقّق الخراسانی و ما یرد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الیقین و الشکّ فی الزمان اللّاحق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حول أنّ أخبار الباب هل تختصّ بالاستصحاب أو تعم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بقاء المتیقّن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المناط فی تقدیم أحد الدلیلین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نسبة أدلّة الاستصحاب إلی الأمارات و سائر القواعد و الاصول</w:t>
      </w:r>
    </w:p>
    <w:p>
      <w:pPr>
        <w:pStyle w:val="BookText"/>
        <w:rPr/>
      </w:pPr>
      <w:r>
        <w:rPr>
          <w:rFonts w:ascii="IRNazanin" w:hAnsi="IRNazanin" w:eastAsia="IRNazanin"/>
          <w:color w:val="111111"/>
          <w:sz w:val="28"/>
          <w:sz w:val="28"/>
          <w:szCs w:val="28"/>
          <w:rtl w:val="true"/>
          <w:lang w:bidi="fa-IR"/>
        </w:rPr>
        <w:t>یبحث فیها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أدلّة الاستصحاب مع أدلّة الأمارات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کلام شیخنا الحائری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تقدیم الاستصحاب علی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الاستصحابین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حول ما کان الشکّ مسبّباً عن الشکّ فی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المناط فی تقدیم الأصل السببی علی المسبّبی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نقل کلام الشیخ الأعظم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حول ما کان الشکّ فیهما ناشئاً عن 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عدم جواز الترجیح لأحد الاستصحابین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بیان وجه تساقطهما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حول وجهی التخییر و الجواب عنهما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الاستصحاب مع سائر القواعد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یقع الکلام فیه فی ضمن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الید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معناها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الید من الأمارات العقلائیّة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الواردة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الید علی المنفعة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کون ذی الید شاکّاً فی ملکیّته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الیدین علی شی‌ء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حول کلام المحقّق السیّد الطباطبائی؛ و ما یرد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إقامة الدعوی علی ذی الید و فروعها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حول الاحتجاج فی أمر فدک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فروع العلم بسابقة الید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علی الملکیّة اعتماداً علی الید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الاستصحاب مع قاعدتی التجاوز و الفراغ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حول الأخبار التی تستفاد منها القاعدة الکلّیّة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هنا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الکبری المجعولة فی القاعدتین واحدة أو متعددة؟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القاعدة فی الطهارات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المحلّ هو المحلّ الشرعی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الدخول فی الغیر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بالمضیّ هل هو رخصة أو عزیمة؟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أنّ القاعدة من الأمارات أو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بیان أنّ القاعدة أصل محرز حیثیّ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أنحاء الشکوک العارضة للمکلّف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کلام بعض المحقّقین و ما یرد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حال الشکّ فی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حال الشکّ فی المعاملات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کلام شیخنا الحائری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القاعدة بالشکّ الحادث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تقدّم قاعدة التجاوز علی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الاستصحاب مع أصالة الصحّة فی فعل الغیر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بسط الکلام فیه فی ضمن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دلیل اعتبارها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المراد من الصحّة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أقسام الشکّ فی العمل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القاعدة بما إذا شکّ فی تحقّق الشی‌ء صحیحاً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الشکّ فی صحّة بیع العین الموقوفة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نقل کلمات السیّد الطباطبائی و ما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إحراز اصل العمل فی جریان أصالة الصحّة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مثبتات أصالة الصحّة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تقدّم أصالة الصحّة علی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الاستصحاب مع قاعدة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دلیل اعتبارها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التخصیص المستهجن لعمومات القرعة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القرعة أمارة علی الواقع أم أصل؟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للأدلّة العامة للقرعة إطلاق من جمیع الجهات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مبحث التعارض و اختلاف الأدلّة</w:t>
      </w:r>
    </w:p>
    <w:p>
      <w:pPr>
        <w:pStyle w:val="BookText"/>
        <w:rPr/>
      </w:pPr>
      <w:r>
        <w:rPr>
          <w:rFonts w:ascii="IRNazanin" w:hAnsi="IRNazanin" w:eastAsia="IRNazanin"/>
          <w:color w:val="111111"/>
          <w:sz w:val="28"/>
          <w:sz w:val="28"/>
          <w:szCs w:val="28"/>
          <w:rtl w:val="true"/>
          <w:lang w:bidi="fa-IR"/>
        </w:rPr>
        <w:t>و قبل الورود فی أصل المطلب لا بدّ من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تعارض العامّ و 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لزوم فرض التعارض فی محیط التشریع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کلام المحقّقین فی وجه تقدیم الخاصّ علی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کلام الشیخ الأعظم و ما یرد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صاحب الکفایة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کلام شیخنا الحائری و ما یرد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کلام المیرزا النائینی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بیان أصالتی الحقیقة و الجدّ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شمول أخبار العلاج للعامّ و 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کلام المحقّق الخراسانی و شیخنا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الإشکال علی کلام العلمین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إبطال قاعدة الجمع مهما أمکن، أولی من الطرح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الشیخ فی موضوع الترجیح بحسب الدلالة و ما فیه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الخارجة عن أخبار العلاج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یکون من قبیل النصّ و 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عدّ من المرجّحات النوعیّة الدلالیّة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تعارض العموم و 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وجه تقدّم العامّ علی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دوران الأمر بین النسخ و التخصیص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وجوه دوران الأمر بین النسخ و التخصیص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دوران الأمر بین تقیید الإطلاق و حمل الأمر علی الاستحباب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التعارض بین أکثر من دلیلین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فیه صور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عامّ و خاصّان کلّ واحد منهما أخصّ من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عامّ و خاصّان بینهما عموم و خصوص مطلق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عامّ و خاصّان بینهما عموم من وجه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عامّان بینهما عموم من وجه و خاصّ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عامّان متباینان و خاصّ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تعمّ أخبار التعارض و العلاج العامّین من وجه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هل المرجّحات السندیّة جاریة فی العامّین من وجه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المتکافئین</w:t>
      </w:r>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مقتضی الأصل علی الطریقیّة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مقتضی الأصل علی السببیّة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الأخبار الواردة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نقل أخبار التخییر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نقل أخبار التوقّف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جمع الشیخ الأعظم و المحقّق النائینی و ما فیه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جمع العلّامة الحائری و ما یرد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وجه الجمع بین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التخییر فی المسألة الاصولیّة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تخییر القاضی و المفتی فی عمله و عمل مقلّدیه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التنبه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التخییر بدویّ أو استمراریّ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 مجی‌ء الخبرین المختلفین فی الإخبار مع الواسطة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الترجیح بمزیّة من المزایا</w:t>
      </w:r>
    </w:p>
    <w:p>
      <w:pPr>
        <w:pStyle w:val="BookText"/>
        <w:rPr/>
      </w:pPr>
      <w:r>
        <w:rPr>
          <w:rFonts w:ascii="Amiri" w:hAnsi="Amiri" w:eastAsia="Amiri" w:cs="Amiri"/>
          <w:color w:val="111111"/>
          <w:sz w:val="28"/>
          <w:sz w:val="28"/>
          <w:szCs w:val="28"/>
          <w:rtl w:val="true"/>
          <w:lang w:bidi="ar-SA"/>
        </w:rPr>
        <w:t>و فیه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اقتضاء الأصل للتعیین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أخبار العلاج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هنا موضعان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الأخبار الواردة فی موافقة الکتاب و مخالفته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التوفیق بین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مرجحیّة موافقة الکتاب و الثمرة بین المرجعیّة و المرجحیّة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الأخبار الواردة فی مخالفة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یتعدّی من المرجّح المنصوص إلی غیره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الوجوه التی استدلّ بها الشیخ علی التعدّی من المنصوص و نقدها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احتمالات موافقة الکتاب و مخالفة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الاجتهاد و التقلید</w:t>
      </w:r>
    </w:p>
    <w:p>
      <w:pPr>
        <w:pStyle w:val="BookText"/>
        <w:rPr/>
      </w:pPr>
      <w:r>
        <w:rPr>
          <w:rFonts w:ascii="IRNazanin" w:hAnsi="IRNazanin" w:eastAsia="IRNazanin"/>
          <w:color w:val="111111"/>
          <w:sz w:val="28"/>
          <w:sz w:val="28"/>
          <w:szCs w:val="28"/>
          <w:rtl w:val="true"/>
          <w:lang w:bidi="fa-IR"/>
        </w:rPr>
        <w:t>و اشباع الکلام فیه یأتی فی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شئون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و فیه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مَن له قوّة الاستنباط فعلًا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مقدّمات الاجتهاد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حول منصب القضاء و الحکومة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القضاء و الحکومة فی زمان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الأخبار الدالّة علی ثبوت منصب الحکومة و القضاء للفقیه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هل الاجتهاد المطلق شرط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جواز تولّی العامّی القضاء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هل یجوز للفقیه نصب العامّی للقضاء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هل یجوز توکیل العامّی للقضاء؟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مرجع التقلید و الفتوی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تقلید الأعلم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حول الاستدلال ببناء العقلاء فی التقلید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الشبهة فی الاستدلال ببناء العقلاء و جوابها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تحقّق الاجتهاد المتعارف فی عصرنا فی زمان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شبهة اخری فی الاستدلال علی بناء العقلاء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کیفیّة السیرة العقلائیّة فی حجیّة قول المفضول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هل ترجیح قول الأفضل لزومیّ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أدلّة جواز الرجوع إلی المفضول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الآیات التی استدلّ بها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الروایات التی استدلّ بها لجواز تقلید غیر الأعلم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أدلّة وجوب الرجوع إلی الأفضل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إشکال المحقّق الخراسانی صغرویاً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إشکال المحقّق الخراسانی کبرویاً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فی حال المجتهدین المتساویین فی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شرط الحیاة لمرجع التقلید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الأصل فی جواز تقلید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التمسّک بالاستصحاب علی جواز تقلید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الإشکالات التی اورد علی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العدول من مجتهد إلی آخر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الحیّ و المیّت فی مسألة البقاء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کلام العلّامة الحائری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الإیراد علی مختار العلّامة الحائری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تبدّل رأی المجتهد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تکلیف المجتهد بالنسبة إلی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حال الفتوی المستندة إلی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حال الفتوی المستندة إلی الأمارات العقلائیّة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حال الفتوی المستندة إلی الأمارات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حال الفتوی المستندة إلی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تکلیف المقلِّد مع تبدل رأی مجتهده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استظهر ذلک الشیخ الأنصاری من کلمات الشیخ الطوسی و السیدین و الفاضلین و الشهیدین و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حاشیة الکفایة للبروجردی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بعض الأعاظم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من بعض الطلبة عن مورد الاستصحاب، فإنّ الأحکام الشرعیّة متعلّقة بالموضوعات العرفیّة، فإن کان الموضوع باقیاً عرفاً کفی الدلیل الأوّل فی ثبوت الحکم علیه، و لا یفتقر إلی الاستصحاب، و إلّا فلا یصحّ الاستصحاب أیضاً؛ لاشتراط بقاء الموضوع فیه عرفاً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 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نقله عنهما المحقّق الحائری فی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الهمدانی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 قد وزّع صاحب الوسائل هذا الحدیث علی عدّة أبواب من أبواب النجاسات فی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الحدیث مطابق لما هو منقول عن التهذیب مع اختلاف یسیر لما هو منقول عن الوسائل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منقولة باختلاف یسیر مع روایة التهذیب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قرّره فی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الشیخ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یتخیّل حسن التعلیل لعدم الإعادة بملاحظة امتثال الأمر الظاهری للإجزاء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المحشی التنکابنی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 ذلک إلی المحقّق الشریف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الفرائد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الرکوع،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إلی غیر ذلک من الأحادیث المذکورة فی أبواب مختلفة من أبواب قواطع الصلاة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فتح العزیز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أکثر العلماء و به قال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فی أنّ هذا القول مشهور بینهم و معروف قبلهما أیضاً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السهو فی الصلاة، 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الأربعمائة،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الحسن الصفار و قد ذُکر فی سند هذه الروایة و هو باعتقاد ابن داود فی رجاله، مشترک بین اثنین؛ لأنّه ذکرهما بفاصلة صفحة واحدة ممّا یدلّ علی تعدّدهما برأیه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إلّا أنّ الکثیر من الکتب الرجالیة التی بأیدینا لم یتعرّضوا لهذا التعدّد بل صرّح المامقانی فی رجاله بأنّهما غیر متعددین و أنّ ابن داود وقع فی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و الأوانی،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هکذا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کل شی‌ء لک حلال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المباحث المشرقیة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الأسفار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یلزم علی ما ذکره قدس سره أن یکون جمیع الأفعال التولیدیّة قهریّة و بلا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السرّ فی 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هو قدس سره إلیه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انتزاع الجزئیّة متوقّف علی طریان الوحدة علی الأجزاء المتعدّدة، و إنّما تطرأ بسبب وحدة الحکم، فما لم یتعلّق الحکم بالموضوع لم یمکن انتزاع الجزئیّة؛ لعدم وحدة المتعدّدات إلّا به، و لا یکفی فی طروّها مجرّد تصوّرها شیئاً واحداً، بخلاف الشرطیّة و نحوها؛ حیث إنّ انتزاعها لا یتوقّف علی طروّ الوحدة؛ حتّی یتوقّف علی تعلّق الحکم، بل یکفی فیه تصوّر الربط و لحاظها واحدة، و یکفی ذلک فی عروض الوحدة الاعتباریّة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ابن سینا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عدم ترتّب الملزومات مطلقاً و اللوازم العقلیّة و العادیة، إنّما هو فیما لو کان المستصحب من الموضوعات الخارجیّة، التی لا تنالها ید الوضع و الرفع، و أمّا لو کان نفس المستصحب من المجعولات الشرعیّة، فإنّه یترتّب علیها جمیع الآثار حتی العقلیّة و العادیّة، و النجاسة من هذا القبیل؛ لأنّها من الأحکام الوضعیّة المجعولة شرعاً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إنّما یتم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النجاسة غیر مجعولة شرعاً، و أمّا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من الأحکام الوضعیّة المجعولة شرعاً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الفاضل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الکفایة للبروجردی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و لعلّه ذکره فی مجلس بحثه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شروح التلخیص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حاشیة المولی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حیث قال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 بین المتأخرین المتفلسفین من أنّ فی السالبة نسبة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مراجعة الهامش من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الصید و الذبائح، أبواب الذبائح،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حاشیة المحقّق الهمدانی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الأسفار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الاستصحاب،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أجاب المصنّف قدس سره تمام صور المسألة فی الجواب عن الشبهة، و أشبع الکلام فیه، راجع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أنّ مراده قدس سره عدم إمکان اجتماع کلا النظرین معاً بل فی مقام إنشاء الحکم لا بد أن یکون الملحوظ أحدهما فلا یمکن شموله للاستصحابین المذکورین بل أحدهما فیرتفع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البیان و إن یدفع إشکال الجمع بین اللحاظین فی مقام انشاء حرمة نقض الیقین بالشکّ لکن لا یرتفع به اشکال الفاضل النراقی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تعلیقة المحقّق القوچانی علی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الأشربة المحرمة،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المستصحب الشرعی یترتّب علیه جمیع الآثار شرعیّة کانت أم عقلیّة أم عادیّة، کاستصحاب الوجوب و الحرمة، فإنّه یترتّب علیها جمیع الآثار حتّی الغیر الشرعیّة، نعم الاستصحابات الموضوعیّة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نقله الشیخ عن بعض معاصریه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العمری و ابنه ثقتان فما أدّیا إلیک عنی فعنی یؤدّیان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الصوم، أبواب وجوب الصوم و نیّته،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هو منقول بالمعنی و لم نعثر علیه بالنصّ فی مصادرنا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الماء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الشیخ الأراکی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فقد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بعض الأصحاب جمع منها مائتی روایة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الشیخ الأنصاری عن محکی العقد الطهماسبی لوالد الشیخ البهائی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مرادهم من اشتراط بقاء الموضوع فی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إحراز موضوع القضیّة المستصحبة، و بقاؤه علی نحو ما کان موضوعاً فی الزمان السابق، فإن کان الموضوع فی السابق هو وجوده الخارجی فلا بد من إحرازه کذلک، و إن کان نفس ماهیّته فلا بدّ أن یکون فی الزمان اللّاحق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و اتّحاد القضیّتین فرع بقاء الموضوع و إحرازه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الأشربة المحرّمة،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وقع التعبیر فی کلامه بلفظ التخیّل، لکن من الواضح أنّه لیس مراده الخیال بمعناه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لا حقیقة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العرف و العقلاء یُدرکون بتلک الجهات و المناسبات أنّ الموضوع بحسب الواقع هو الأعمّ من العنب و الزبیب، فلا یرد علیه هذا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اختاره الإمام قدس سره تبعاً لأُستاذه فی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المقام روایتان إحداهما عن الخصال و الاخری عن إرشاد المفید، و ذیل الاولی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موانع الارث،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قاعدة متصیّدة من الأخبار، 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فی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مرجع هذا الوجه إلی ما ذکره الشیخ قدس سره فی ذیل کلامه إشکال بل منع، نعم بعض کلماته قبل الذیل یشعر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قرّره فی فرائد الاصول بعنوان ما ربّما یتوهم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قرّره فی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الروایة موثّقة من غیر جهة ابن الزبیر الذی فی سند الشیخ قدس سره إلی علیّ بن الحسن، و أمّا هو فهو و إن لم یوثّق فی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الظاهر وثاقته أیضاً بملاحظة روایاته فی أبواب الفقه، و کونها معمولًا بها،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کتاب اللقطة، أبواب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کتاب اللقطة، أبواب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اللقطة، أبواب اللقطة،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کتاب اللقطة، أبواب اللقطة،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إحیاء الموات،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بالاستقلالی فی مقابل التبعی لا یخلو عن مسامحة، فإنّ مقابل التبعی هو الأصلی، و کذلک فیما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استیلاء المستأجر بالعین لیس کاشفاً عن ملکیّة العین؛ بل العین عند المستأجر عاریة لاستیفاء حقّه من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کتاب اللقطة، أبواب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کتاب الخمس، أبواب قسمة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السیّد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 القضاء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فی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 ابن زهرة فی 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لم یجوّز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الجنید علی ما حکاه عنه فی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انظر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الحاکی هو الشیخ الأنصاری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ببالی من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أبا بکر سکت عن ذلک، 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یا علیّ من کلامک، فإنّا لا نقوی علی حجّتک، فإن أتیت بشهود عدول، و إلّا فهو فی‌ء للمسلمین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علیه فلا یتوجّه علیه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مرجع دعواه أنّه 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دعواها علیها السلام أنّه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الإنکار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فی الأحادیث الموضوعة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المجعول هی الجملة التی فی ذیل الخبر علی نقل العامّة، و هی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ترکناه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إلّا فالصدر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صلی الله علیه و آله و سلم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بیان مصرف أربعة أخماس الفی‌ء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الباب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الشهادات،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السجود،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المواقیت،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حاشیة الفرائد،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حاشیة الفرائد، المحقّق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المحقّق الهمدانی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الامام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السجود،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اللمعة الدمشقیّة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قد نسب المحقّق ذلک إلی الشیخ، راجع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الجنابة،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الروایة ملفقة من بین روایتین لأنّ ما هو المنقول و القریب لما فی المتن هکذا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کلّ ما شککت فیه ممّا قد مضی فامضهِ کما هو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الفقیه،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الهمدانی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إِذا قُمْتُمْ إِلَی الصَّلاةِ فَاغْسِلُوا وُجُوهَکُمْ وَ أَیْدِیَکُمْ إِلَی الْمَرافِقِ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الهمدانی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مضروبة لما إذا علم المکلّف بعد الصلاة بالإخلال ببعض أجزائها أو شرائطها سهواً، و لا تشمل ما لو لم یعلم بذلک، و شکّ فیه، فإنّ المضروب فیه هو قاعدة الفراغ، کیف و لو عمّت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الشکّ منطوقاً و مفهوماً، لزم الإعادة لو شکّ بعد الصلاة فی رکن من أرکان الصلاة، فتتعارض مع قاعدة الفراغ حینئذٍ</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القاعدة المتداولة بین الأصحاب یبدو أنّها لا أساس لها بهذا النصّ فی مصادرنا الروائیة المعروفة بل هی مستفادة من عدّة روایات أوردها الإمام قدس سره فی کتابه البیع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أکّد هناک بأنّها مستفادة منها فراجع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الباب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عقد البیع و شروطه،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دلیل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لفظیّ، و هو کافٍ فی حکومته علیها، و إلّا یلزم عدم حکومة الاستصحاب علی البراءة العقلیّة و سائر الاصول الغیر اللفظیّة، مع أنّه منقوض بحکومة خبر الواحد و الید و نحوهما من الأمارات العقلائیّة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مبناه دام ظلّه فی خبر الواحد و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الاصول، مع أنّ الدلیل علیهما غیر لفظیّ، و حینئذٍ فیمکن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الحاکم هو الذی یرفع موضوع الدلیل المحکوم و یضیّقه أو یوسّعه و إن لم یکن لفظیّاً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مشیخة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الغرقی و المهدوم علیهم،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القضاء و الأحکام،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احکام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الباب الحادی و العشرون،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القضاء و الأحکام،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العتق،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کتاب الوصایا،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الوصایا،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العتق،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العتق،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المحرّمة،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العدو و ما یناسبه،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احکام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المحرّمة،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الخنثی و ما أشبهه،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الخنثی،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القضاء و أحکام الدعوی،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الغرقی و المهدوم علیهم،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حاشیة المحقّق النائینی علی العروة الوثقی، کتاب النکاح، فصل فی أولیاء العقد،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الظاهر أنّه من باب الحکومة؛ لعدم ارتفاع موضوعها حقیقة بالاستصحاب، بل بالتعبّد، مثل</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الخُنثی و ما أشبهه،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حاشیة ملّا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قاعدة مستفادة من عدّة روایات،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احیاء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ورود هذا الإشکال علی الشیخ الأعظم قدس سره؛ و ذلک لأنّ خروج الجاهل عن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 و أمّا خروج زید العالم عنه بدلیل خاصّ،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زید العادل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کان قطعیّ السند و الدلالة، فلیس خروجه تخصصیّاً تکوینیّاً، فإنّه لو لا هذا الدلیل الخاصّ الشرعی لم یخرج عن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بقی تحته، فإخراجه بإعمال التعبّد،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عقد البیع و شروطه،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الطهارة،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آداب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الدوران لا یتحقّق إلّا مع العلم الإجمالی؛ ضرورة عدم تصوّر الدوران بینهما إلّا به، فمع انحلاله ینتج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نظر المقرّر فی الأوّل إلی أخبار طرح المخالف للکتاب فقط، کما صرّح به، و فی آخر کلامه إلی أخبار الأخذ بما یوافق الکتاب و أنّه تصدق الموافقة علی موافقة بعض مضمون أحد الخبرین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خاتمة الکتاب، فی ذکر طرق الشیخ الطوسی، الفائدة الثانیة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النفاس،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آنفاً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إنّما یصحّ علی الاحتمال الثالث، و أمّا علی الاحتمال الأخیر الذی هو ظاهر عبارة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الموضوع للحکم بالتخییر هو من لم یختر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بعد اختیارهما لا یکون الموضوع باقیاً، فلا یصحّ فیه ما أفاده دام ظلّه العالی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هذه الجملة قطعة من روایة عمر بن حنظلة، أسندها داود بن الحصین إلی الإمام علیه السلام، و یحتمل کونها روایة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 النهی عن المنکر، أبواب الأمر و النهی و ما یناسبه،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 المحقّق البهبهانی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سفینة النجاة، ضمیمة 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 فی الأحادیث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الدرر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السلسلة الضعیفة، الألبانی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لیس منقولًا باللفظ، بل إشارة إلی بعض ما ورد فی الأحادیث متفرّقاً کخبر أحمد بن إسحاق، راجع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کتاب الوکالة،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القوانین المحکمة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من حکم بغیر ما أنزل اللَّه،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ذکر الرغائب فی العلم و الحض علیه و فضائل طالبیه،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مسألة مقدار الکرّ بالمساحة حیث ذهب إلی القول بثلاثة أشبار و نصف فی مثلها طولًا و عمقاً فی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اختار فی المختلف القول بثلاثة أشبار فی مثلها طولًا و عمقاً فی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مال إلیه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أنّ أهل الذکر الذین أمر اللَّه الخلق بسؤالهم هم الأئمة علیهم السلام،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حاشیته علی الشرائع علی ما نقله عنه فی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القبلة،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نقله عنهم فی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المشار إلیه فی هذه القضیة و موضوعها، لیس هو ذات الماء، بل الماء الموجود مع جمیع خصوصیّاته و أوصافه، التی منها صفة التغیّر، فبعد زوال التغیّر 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الماء کان نجساً، فالآن کما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مع اختلاف فی اللفظ</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عدم صحّة هذا البیان فیما لو وافق رأیُ المجتهد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عمل علی وفق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الشیخ الأراکی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السیّد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مبحث الإیجاب و القبول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image" Target="media/image2.jpeg"/><Relationship Id="rId702" Type="http://schemas.openxmlformats.org/officeDocument/2006/relationships/image" Target="media/image2.jpeg"/><Relationship Id="rId703" Type="http://schemas.openxmlformats.org/officeDocument/2006/relationships/footer" Target="footer696.xml"/><Relationship Id="rId704" Type="http://schemas.openxmlformats.org/officeDocument/2006/relationships/footnotes" Target="footnotes.xml"/><Relationship Id="rId705" Type="http://schemas.openxmlformats.org/officeDocument/2006/relationships/numbering" Target="numbering.xml"/><Relationship Id="rId706" Type="http://schemas.openxmlformats.org/officeDocument/2006/relationships/fontTable" Target="fontTable.xml"/><Relationship Id="rId707" Type="http://schemas.openxmlformats.org/officeDocument/2006/relationships/settings" Target="settings.xml"/><Relationship Id="rId7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705</Pages>
  <Words>69956</Words>
  <Characters>296924</Characters>
  <CharactersWithSpaces>364430</CharactersWithSpaces>
  <Paragraphs>2451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2026-08-23T21:53:10Z</dcterms:created>
  <dc:creator>ghaemiyeh.com</dc:creator>
  <dc:description/>
  <dc:language>en-US</dc:language>
  <cp:lastModifiedBy/>
  <dcterms:modified xsi:type="dcterms:W3CDTF">2026-08-24T01:23:27Z</dcterms:modified>
  <cp:revision>1</cp:revision>
  <dc:subject/>
  <dc:title>تنقیح الاصول جلد 4</dc:title>
</cp:coreProperties>
</file>

<file path=docProps/custom.xml><?xml version="1.0" encoding="utf-8"?>
<Properties xmlns="http://schemas.openxmlformats.org/officeDocument/2006/custom-properties" xmlns:vt="http://schemas.openxmlformats.org/officeDocument/2006/docPropsVTypes"/>
</file>