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8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التعلیقه علی فرائد الاصول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27002_3224264995">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2527004_3224264995">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2527006_3224264995">
            <w:r>
              <w:rPr>
                <w:webHidden/>
                <w:rStyle w:val="IndexLink"/>
                <w:rtl w:val="true"/>
              </w:rPr>
              <w:t>مقدّمة التحقیق</w:t>
            </w:r>
            <w:r>
              <w:rPr>
                <w:rStyle w:val="IndexLink"/>
                <w:rtl w:val="true"/>
              </w:rPr>
              <w:tab/>
            </w:r>
            <w:r>
              <w:rPr>
                <w:rStyle w:val="IndexLink"/>
              </w:rPr>
              <w:t>15</w:t>
            </w:r>
          </w:hyperlink>
        </w:p>
        <w:p>
          <w:pPr>
            <w:pStyle w:val="Contents3"/>
            <w:tabs>
              <w:tab w:val="clear" w:pos="8459"/>
              <w:tab w:val="right" w:pos="9026" w:leader="dot"/>
            </w:tabs>
            <w:rPr/>
          </w:pPr>
          <w:hyperlink w:anchor="__RefHeading___Toc2527008_3224264995">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2527010_3224264995">
            <w:r>
              <w:rPr>
                <w:webHidden/>
                <w:rStyle w:val="IndexLink"/>
                <w:rtl w:val="true"/>
              </w:rPr>
              <w:t>عملیة التحقیق</w:t>
            </w:r>
            <w:r>
              <w:rPr>
                <w:rStyle w:val="IndexLink"/>
                <w:rtl w:val="true"/>
              </w:rPr>
              <w:tab/>
            </w:r>
            <w:r>
              <w:rPr>
                <w:rStyle w:val="IndexLink"/>
              </w:rPr>
              <w:t>16</w:t>
            </w:r>
          </w:hyperlink>
        </w:p>
        <w:p>
          <w:pPr>
            <w:pStyle w:val="Contents2"/>
            <w:tabs>
              <w:tab w:val="clear" w:pos="8743"/>
              <w:tab w:val="right" w:pos="9026" w:leader="dot"/>
            </w:tabs>
            <w:rPr/>
          </w:pPr>
          <w:hyperlink w:anchor="__RefHeading___Toc2527012_3224264995">
            <w:r>
              <w:rPr>
                <w:webHidden/>
                <w:rStyle w:val="IndexLink"/>
                <w:rtl w:val="true"/>
              </w:rPr>
              <w:t>[</w:t>
            </w:r>
            <w:r>
              <w:rPr>
                <w:rStyle w:val="IndexLink"/>
                <w:rtl w:val="true"/>
              </w:rPr>
              <w:t>المدخل</w:t>
            </w:r>
            <w:r>
              <w:rPr>
                <w:rStyle w:val="IndexLink"/>
                <w:rtl w:val="true"/>
              </w:rPr>
              <w:t>]</w:t>
              <w:tab/>
            </w:r>
            <w:r>
              <w:rPr>
                <w:rStyle w:val="IndexLink"/>
              </w:rPr>
              <w:t>23</w:t>
            </w:r>
          </w:hyperlink>
        </w:p>
        <w:p>
          <w:pPr>
            <w:pStyle w:val="Contents3"/>
            <w:tabs>
              <w:tab w:val="clear" w:pos="8459"/>
              <w:tab w:val="right" w:pos="9026" w:leader="dot"/>
            </w:tabs>
            <w:rPr/>
          </w:pPr>
          <w:hyperlink w:anchor="__RefHeading___Toc2527014_3224264995">
            <w:r>
              <w:rPr>
                <w:webHidden/>
                <w:rStyle w:val="IndexLink"/>
                <w:rtl w:val="true"/>
              </w:rPr>
              <w:t>[</w:t>
            </w:r>
            <w:r>
              <w:rPr>
                <w:rStyle w:val="IndexLink"/>
                <w:rtl w:val="true"/>
              </w:rPr>
              <w:t>أحوال المکلّف اذا التفت الی الحکم الشرعی</w:t>
            </w:r>
            <w:r>
              <w:rPr>
                <w:rStyle w:val="IndexLink"/>
                <w:rtl w:val="true"/>
              </w:rPr>
              <w:t>]</w:t>
              <w:tab/>
            </w:r>
            <w:r>
              <w:rPr>
                <w:rStyle w:val="IndexLink"/>
              </w:rPr>
              <w:t>23</w:t>
            </w:r>
          </w:hyperlink>
        </w:p>
        <w:p>
          <w:pPr>
            <w:pStyle w:val="Contents2"/>
            <w:tabs>
              <w:tab w:val="clear" w:pos="8743"/>
              <w:tab w:val="right" w:pos="9026" w:leader="dot"/>
            </w:tabs>
            <w:rPr/>
          </w:pPr>
          <w:hyperlink w:anchor="__RefHeading___Toc2527016_3224264995">
            <w:r>
              <w:rPr>
                <w:webHidden/>
                <w:rStyle w:val="IndexLink"/>
                <w:rtl w:val="true"/>
              </w:rPr>
              <w:t>[</w:t>
            </w:r>
            <w:r>
              <w:rPr>
                <w:rStyle w:val="IndexLink"/>
                <w:rtl w:val="true"/>
              </w:rPr>
              <w:t>مباحث القطع</w:t>
            </w:r>
            <w:r>
              <w:rPr>
                <w:rStyle w:val="IndexLink"/>
                <w:rtl w:val="true"/>
              </w:rPr>
              <w:t>]</w:t>
              <w:tab/>
            </w:r>
            <w:r>
              <w:rPr>
                <w:rStyle w:val="IndexLink"/>
              </w:rPr>
              <w:t>27</w:t>
            </w:r>
          </w:hyperlink>
        </w:p>
        <w:p>
          <w:pPr>
            <w:pStyle w:val="Contents3"/>
            <w:tabs>
              <w:tab w:val="clear" w:pos="8459"/>
              <w:tab w:val="right" w:pos="9026" w:leader="dot"/>
            </w:tabs>
            <w:rPr/>
          </w:pPr>
          <w:hyperlink w:anchor="__RefHeading___Toc2527018_3224264995">
            <w:r>
              <w:rPr>
                <w:webHidden/>
                <w:rStyle w:val="IndexLink"/>
                <w:rtl w:val="true"/>
              </w:rPr>
              <w:t>[</w:t>
            </w:r>
            <w:r>
              <w:rPr>
                <w:rStyle w:val="IndexLink"/>
                <w:rtl w:val="true"/>
              </w:rPr>
              <w:t>حجّیة القطع ذاتیة</w:t>
            </w:r>
            <w:r>
              <w:rPr>
                <w:rStyle w:val="IndexLink"/>
                <w:rtl w:val="true"/>
              </w:rPr>
              <w:t>]</w:t>
              <w:tab/>
            </w:r>
            <w:r>
              <w:rPr>
                <w:rStyle w:val="IndexLink"/>
              </w:rPr>
              <w:t>27</w:t>
            </w:r>
          </w:hyperlink>
        </w:p>
        <w:p>
          <w:pPr>
            <w:pStyle w:val="Contents3"/>
            <w:tabs>
              <w:tab w:val="clear" w:pos="8459"/>
              <w:tab w:val="right" w:pos="9026" w:leader="dot"/>
            </w:tabs>
            <w:rPr/>
          </w:pPr>
          <w:hyperlink w:anchor="__RefHeading___Toc2527020_3224264995">
            <w:r>
              <w:rPr>
                <w:webHidden/>
                <w:rStyle w:val="IndexLink"/>
                <w:rtl w:val="true"/>
              </w:rPr>
              <w:t>[</w:t>
            </w:r>
            <w:r>
              <w:rPr>
                <w:rStyle w:val="IndexLink"/>
                <w:rtl w:val="true"/>
              </w:rPr>
              <w:t>نظائر القطع فی عدم معقولیة تعلّق الجعل به</w:t>
            </w:r>
            <w:r>
              <w:rPr>
                <w:rStyle w:val="IndexLink"/>
                <w:rtl w:val="true"/>
              </w:rPr>
              <w:t>]</w:t>
              <w:tab/>
            </w:r>
            <w:r>
              <w:rPr>
                <w:rStyle w:val="IndexLink"/>
              </w:rPr>
              <w:t>28</w:t>
            </w:r>
          </w:hyperlink>
        </w:p>
        <w:p>
          <w:pPr>
            <w:pStyle w:val="Contents3"/>
            <w:tabs>
              <w:tab w:val="clear" w:pos="8459"/>
              <w:tab w:val="right" w:pos="9026" w:leader="dot"/>
            </w:tabs>
            <w:rPr/>
          </w:pPr>
          <w:hyperlink w:anchor="__RefHeading___Toc2527022_3224264995">
            <w:r>
              <w:rPr>
                <w:webHidden/>
                <w:rStyle w:val="IndexLink"/>
                <w:rtl w:val="true"/>
              </w:rPr>
              <w:t>الماهیّة و لوازمها</w:t>
            </w:r>
            <w:r>
              <w:rPr>
                <w:rStyle w:val="IndexLink"/>
                <w:rtl w:val="true"/>
              </w:rPr>
              <w:tab/>
            </w:r>
            <w:r>
              <w:rPr>
                <w:rStyle w:val="IndexLink"/>
              </w:rPr>
              <w:t>28</w:t>
            </w:r>
          </w:hyperlink>
        </w:p>
        <w:p>
          <w:pPr>
            <w:pStyle w:val="Contents3"/>
            <w:tabs>
              <w:tab w:val="clear" w:pos="8459"/>
              <w:tab w:val="right" w:pos="9026" w:leader="dot"/>
            </w:tabs>
            <w:rPr/>
          </w:pPr>
          <w:hyperlink w:anchor="__RefHeading___Toc2527024_3224264995">
            <w:r>
              <w:rPr>
                <w:webHidden/>
                <w:rStyle w:val="IndexLink"/>
                <w:rtl w:val="true"/>
              </w:rPr>
              <w:t>[</w:t>
            </w:r>
            <w:r>
              <w:rPr>
                <w:rStyle w:val="IndexLink"/>
                <w:rtl w:val="true"/>
              </w:rPr>
              <w:t>وجوب المقدّمة و لابدّیتها</w:t>
            </w:r>
            <w:r>
              <w:rPr>
                <w:rStyle w:val="IndexLink"/>
                <w:rtl w:val="true"/>
              </w:rPr>
              <w:t>]</w:t>
              <w:tab/>
            </w:r>
            <w:r>
              <w:rPr>
                <w:rStyle w:val="IndexLink"/>
              </w:rPr>
              <w:t>28</w:t>
            </w:r>
          </w:hyperlink>
        </w:p>
        <w:p>
          <w:pPr>
            <w:pStyle w:val="Contents3"/>
            <w:tabs>
              <w:tab w:val="clear" w:pos="8459"/>
              <w:tab w:val="right" w:pos="9026" w:leader="dot"/>
            </w:tabs>
            <w:rPr/>
          </w:pPr>
          <w:hyperlink w:anchor="__RefHeading___Toc2527026_3224264995">
            <w:r>
              <w:rPr>
                <w:webHidden/>
                <w:rStyle w:val="IndexLink"/>
                <w:rtl w:val="true"/>
              </w:rPr>
              <w:t>[</w:t>
            </w:r>
            <w:r>
              <w:rPr>
                <w:rStyle w:val="IndexLink"/>
                <w:rtl w:val="true"/>
              </w:rPr>
              <w:t>اعتبار الظن عند انسداد باب العلم</w:t>
            </w:r>
            <w:r>
              <w:rPr>
                <w:rStyle w:val="IndexLink"/>
                <w:rtl w:val="true"/>
              </w:rPr>
              <w:t>]</w:t>
              <w:tab/>
            </w:r>
            <w:r>
              <w:rPr>
                <w:rStyle w:val="IndexLink"/>
              </w:rPr>
              <w:t>30</w:t>
            </w:r>
          </w:hyperlink>
        </w:p>
        <w:p>
          <w:pPr>
            <w:pStyle w:val="Contents3"/>
            <w:tabs>
              <w:tab w:val="clear" w:pos="8459"/>
              <w:tab w:val="right" w:pos="9026" w:leader="dot"/>
            </w:tabs>
            <w:rPr/>
          </w:pPr>
          <w:hyperlink w:anchor="__RefHeading___Toc2527028_3224264995">
            <w:r>
              <w:rPr>
                <w:webHidden/>
                <w:rStyle w:val="IndexLink"/>
                <w:rtl w:val="true"/>
              </w:rPr>
              <w:t>[</w:t>
            </w:r>
            <w:r>
              <w:rPr>
                <w:rStyle w:val="IndexLink"/>
                <w:rtl w:val="true"/>
              </w:rPr>
              <w:t>اعتبار الاستصحاب و الید و السوق</w:t>
            </w:r>
            <w:r>
              <w:rPr>
                <w:rStyle w:val="IndexLink"/>
                <w:rtl w:val="true"/>
              </w:rPr>
              <w:t>]</w:t>
              <w:tab/>
            </w:r>
            <w:r>
              <w:rPr>
                <w:rStyle w:val="IndexLink"/>
              </w:rPr>
              <w:t>30</w:t>
            </w:r>
          </w:hyperlink>
        </w:p>
        <w:p>
          <w:pPr>
            <w:pStyle w:val="Contents3"/>
            <w:tabs>
              <w:tab w:val="clear" w:pos="8459"/>
              <w:tab w:val="right" w:pos="9026" w:leader="dot"/>
            </w:tabs>
            <w:rPr/>
          </w:pPr>
          <w:hyperlink w:anchor="__RefHeading___Toc2527030_3224264995">
            <w:r>
              <w:rPr>
                <w:webHidden/>
                <w:rStyle w:val="IndexLink"/>
                <w:rtl w:val="true"/>
              </w:rPr>
              <w:t>[</w:t>
            </w:r>
            <w:r>
              <w:rPr>
                <w:rStyle w:val="IndexLink"/>
                <w:rtl w:val="true"/>
              </w:rPr>
              <w:t>الأحکام الوضعیة</w:t>
            </w:r>
            <w:r>
              <w:rPr>
                <w:rStyle w:val="IndexLink"/>
                <w:rtl w:val="true"/>
              </w:rPr>
              <w:t>]</w:t>
              <w:tab/>
            </w:r>
            <w:r>
              <w:rPr>
                <w:rStyle w:val="IndexLink"/>
              </w:rPr>
              <w:t>30</w:t>
            </w:r>
          </w:hyperlink>
        </w:p>
        <w:p>
          <w:pPr>
            <w:pStyle w:val="Contents3"/>
            <w:tabs>
              <w:tab w:val="clear" w:pos="8459"/>
              <w:tab w:val="right" w:pos="9026" w:leader="dot"/>
            </w:tabs>
            <w:rPr/>
          </w:pPr>
          <w:hyperlink w:anchor="__RefHeading___Toc2527032_3224264995">
            <w:r>
              <w:rPr>
                <w:webHidden/>
                <w:rStyle w:val="IndexLink"/>
                <w:rtl w:val="true"/>
              </w:rPr>
              <w:t>[</w:t>
            </w:r>
            <w:r>
              <w:rPr>
                <w:rStyle w:val="IndexLink"/>
                <w:rtl w:val="true"/>
              </w:rPr>
              <w:t>طریقیة الطریق المنجعل موضوعیة الطریق الجعلی</w:t>
            </w:r>
            <w:r>
              <w:rPr>
                <w:rStyle w:val="IndexLink"/>
                <w:rtl w:val="true"/>
              </w:rPr>
              <w:t>]</w:t>
              <w:tab/>
            </w:r>
            <w:r>
              <w:rPr>
                <w:rStyle w:val="IndexLink"/>
              </w:rPr>
              <w:t>31</w:t>
            </w:r>
          </w:hyperlink>
        </w:p>
        <w:p>
          <w:pPr>
            <w:pStyle w:val="Contents3"/>
            <w:tabs>
              <w:tab w:val="clear" w:pos="8459"/>
              <w:tab w:val="right" w:pos="9026" w:leader="dot"/>
            </w:tabs>
            <w:rPr/>
          </w:pPr>
          <w:hyperlink w:anchor="__RefHeading___Toc2527034_3224264995">
            <w:r>
              <w:rPr>
                <w:webHidden/>
                <w:rStyle w:val="IndexLink"/>
                <w:rtl w:val="true"/>
              </w:rPr>
              <w:t>[</w:t>
            </w:r>
            <w:r>
              <w:rPr>
                <w:rStyle w:val="IndexLink"/>
                <w:rtl w:val="true"/>
              </w:rPr>
              <w:t>اختلاف اطلاق الحجّة علی القطع عن اطلاقها علی سائر الأمارات</w:t>
            </w:r>
            <w:r>
              <w:rPr>
                <w:rStyle w:val="IndexLink"/>
                <w:rtl w:val="true"/>
              </w:rPr>
              <w:t>]</w:t>
              <w:tab/>
            </w:r>
            <w:r>
              <w:rPr>
                <w:rStyle w:val="IndexLink"/>
              </w:rPr>
              <w:t>31</w:t>
            </w:r>
          </w:hyperlink>
        </w:p>
        <w:p>
          <w:pPr>
            <w:pStyle w:val="Contents3"/>
            <w:tabs>
              <w:tab w:val="clear" w:pos="8459"/>
              <w:tab w:val="right" w:pos="9026" w:leader="dot"/>
            </w:tabs>
            <w:rPr/>
          </w:pPr>
          <w:hyperlink w:anchor="__RefHeading___Toc2527036_3224264995">
            <w:r>
              <w:rPr>
                <w:webHidden/>
                <w:rStyle w:val="IndexLink"/>
                <w:rtl w:val="true"/>
              </w:rPr>
              <w:t>[</w:t>
            </w:r>
            <w:r>
              <w:rPr>
                <w:rStyle w:val="IndexLink"/>
                <w:rtl w:val="true"/>
              </w:rPr>
              <w:t>الواسطة فی الثبوت و الواسطة فی الاثبات</w:t>
            </w:r>
            <w:r>
              <w:rPr>
                <w:rStyle w:val="IndexLink"/>
                <w:rtl w:val="true"/>
              </w:rPr>
              <w:t>]</w:t>
              <w:tab/>
            </w:r>
            <w:r>
              <w:rPr>
                <w:rStyle w:val="IndexLink"/>
              </w:rPr>
              <w:t>35</w:t>
            </w:r>
          </w:hyperlink>
        </w:p>
        <w:p>
          <w:pPr>
            <w:pStyle w:val="Contents3"/>
            <w:tabs>
              <w:tab w:val="clear" w:pos="8459"/>
              <w:tab w:val="right" w:pos="9026" w:leader="dot"/>
            </w:tabs>
            <w:rPr/>
          </w:pPr>
          <w:hyperlink w:anchor="__RefHeading___Toc2527038_3224264995">
            <w:r>
              <w:rPr>
                <w:webHidden/>
                <w:rStyle w:val="IndexLink"/>
                <w:rtl w:val="true"/>
              </w:rPr>
              <w:t>[</w:t>
            </w:r>
            <w:r>
              <w:rPr>
                <w:rStyle w:val="IndexLink"/>
                <w:rtl w:val="true"/>
              </w:rPr>
              <w:t>التصویب فی الموضوعات</w:t>
            </w:r>
            <w:r>
              <w:rPr>
                <w:rStyle w:val="IndexLink"/>
                <w:rtl w:val="true"/>
              </w:rPr>
              <w:t>]</w:t>
              <w:tab/>
            </w:r>
            <w:r>
              <w:rPr>
                <w:rStyle w:val="IndexLink"/>
              </w:rPr>
              <w:t>36</w:t>
            </w:r>
          </w:hyperlink>
        </w:p>
        <w:p>
          <w:pPr>
            <w:pStyle w:val="Contents3"/>
            <w:tabs>
              <w:tab w:val="clear" w:pos="8459"/>
              <w:tab w:val="right" w:pos="9026" w:leader="dot"/>
            </w:tabs>
            <w:rPr/>
          </w:pPr>
          <w:hyperlink w:anchor="__RefHeading___Toc2527040_3224264995">
            <w:r>
              <w:rPr>
                <w:webHidden/>
                <w:rStyle w:val="IndexLink"/>
                <w:rtl w:val="true"/>
              </w:rPr>
              <w:t>[</w:t>
            </w:r>
            <w:r>
              <w:rPr>
                <w:rStyle w:val="IndexLink"/>
                <w:rtl w:val="true"/>
              </w:rPr>
              <w:t>تصرّف المعصوم فی الموضوعات</w:t>
            </w:r>
            <w:r>
              <w:rPr>
                <w:rStyle w:val="IndexLink"/>
                <w:rtl w:val="true"/>
              </w:rPr>
              <w:t>]</w:t>
              <w:tab/>
            </w:r>
            <w:r>
              <w:rPr>
                <w:rStyle w:val="IndexLink"/>
              </w:rPr>
              <w:t>37</w:t>
            </w:r>
          </w:hyperlink>
        </w:p>
        <w:p>
          <w:pPr>
            <w:pStyle w:val="Contents3"/>
            <w:tabs>
              <w:tab w:val="clear" w:pos="8459"/>
              <w:tab w:val="right" w:pos="9026" w:leader="dot"/>
            </w:tabs>
            <w:rPr/>
          </w:pPr>
          <w:hyperlink w:anchor="__RefHeading___Toc2527042_3224264995">
            <w:r>
              <w:rPr>
                <w:webHidden/>
                <w:rStyle w:val="IndexLink"/>
                <w:rtl w:val="true"/>
              </w:rPr>
              <w:t>[</w:t>
            </w:r>
            <w:r>
              <w:rPr>
                <w:rStyle w:val="IndexLink"/>
                <w:rtl w:val="true"/>
              </w:rPr>
              <w:t>انقسام رأی الأخباریة فی حجّیة مطلق العلم</w:t>
            </w:r>
            <w:r>
              <w:rPr>
                <w:rStyle w:val="IndexLink"/>
                <w:rtl w:val="true"/>
              </w:rPr>
              <w:t>]</w:t>
              <w:tab/>
            </w:r>
            <w:r>
              <w:rPr>
                <w:rStyle w:val="IndexLink"/>
              </w:rPr>
              <w:t>39</w:t>
            </w:r>
          </w:hyperlink>
        </w:p>
        <w:p>
          <w:pPr>
            <w:pStyle w:val="Contents3"/>
            <w:tabs>
              <w:tab w:val="clear" w:pos="8459"/>
              <w:tab w:val="right" w:pos="9026" w:leader="dot"/>
            </w:tabs>
            <w:rPr/>
          </w:pPr>
          <w:hyperlink w:anchor="__RefHeading___Toc2527044_3224264995">
            <w:r>
              <w:rPr>
                <w:webHidden/>
                <w:rStyle w:val="IndexLink"/>
                <w:rtl w:val="true"/>
              </w:rPr>
              <w:t>[</w:t>
            </w:r>
            <w:r>
              <w:rPr>
                <w:rStyle w:val="IndexLink"/>
                <w:rtl w:val="true"/>
              </w:rPr>
              <w:t>وجه رجوع المقلّد إلی الغیر</w:t>
            </w:r>
            <w:r>
              <w:rPr>
                <w:rStyle w:val="IndexLink"/>
                <w:rtl w:val="true"/>
              </w:rPr>
              <w:t>]</w:t>
              <w:tab/>
            </w:r>
            <w:r>
              <w:rPr>
                <w:rStyle w:val="IndexLink"/>
              </w:rPr>
              <w:t>40</w:t>
            </w:r>
          </w:hyperlink>
        </w:p>
        <w:p>
          <w:pPr>
            <w:pStyle w:val="Contents3"/>
            <w:tabs>
              <w:tab w:val="clear" w:pos="8459"/>
              <w:tab w:val="right" w:pos="9026" w:leader="dot"/>
            </w:tabs>
            <w:rPr/>
          </w:pPr>
          <w:hyperlink w:anchor="__RefHeading___Toc2527046_3224264995">
            <w:r>
              <w:rPr>
                <w:webHidden/>
                <w:rStyle w:val="IndexLink"/>
                <w:rtl w:val="true"/>
              </w:rPr>
              <w:t>[</w:t>
            </w:r>
            <w:r>
              <w:rPr>
                <w:rStyle w:val="IndexLink"/>
                <w:rtl w:val="true"/>
              </w:rPr>
              <w:t>قیام الأمارات و بعض الاصول العملیة مقام القطع</w:t>
            </w:r>
            <w:r>
              <w:rPr>
                <w:rStyle w:val="IndexLink"/>
                <w:rtl w:val="true"/>
              </w:rPr>
              <w:t>]</w:t>
              <w:tab/>
            </w:r>
            <w:r>
              <w:rPr>
                <w:rStyle w:val="IndexLink"/>
              </w:rPr>
              <w:t>41</w:t>
            </w:r>
          </w:hyperlink>
        </w:p>
        <w:p>
          <w:pPr>
            <w:pStyle w:val="Contents3"/>
            <w:tabs>
              <w:tab w:val="clear" w:pos="8459"/>
              <w:tab w:val="right" w:pos="9026" w:leader="dot"/>
            </w:tabs>
            <w:rPr/>
          </w:pPr>
          <w:hyperlink w:anchor="__RefHeading___Toc2527048_3224264995">
            <w:r>
              <w:rPr>
                <w:webHidden/>
                <w:rStyle w:val="IndexLink"/>
                <w:rtl w:val="true"/>
              </w:rPr>
              <w:t>[</w:t>
            </w:r>
            <w:r>
              <w:rPr>
                <w:rStyle w:val="IndexLink"/>
                <w:rtl w:val="true"/>
              </w:rPr>
              <w:t>حدّ تنزیل الإمارات و الاصول التنزیلیة منزلة القطع</w:t>
            </w:r>
            <w:r>
              <w:rPr>
                <w:rStyle w:val="IndexLink"/>
                <w:rtl w:val="true"/>
              </w:rPr>
              <w:t>]</w:t>
              <w:tab/>
            </w:r>
            <w:r>
              <w:rPr>
                <w:rStyle w:val="IndexLink"/>
              </w:rPr>
              <w:t>42</w:t>
            </w:r>
          </w:hyperlink>
        </w:p>
        <w:p>
          <w:pPr>
            <w:pStyle w:val="Contents3"/>
            <w:tabs>
              <w:tab w:val="clear" w:pos="8459"/>
              <w:tab w:val="right" w:pos="9026" w:leader="dot"/>
            </w:tabs>
            <w:rPr/>
          </w:pPr>
          <w:hyperlink w:anchor="__RefHeading___Toc2527050_3224264995">
            <w:r>
              <w:rPr>
                <w:webHidden/>
                <w:rStyle w:val="IndexLink"/>
                <w:rtl w:val="true"/>
              </w:rPr>
              <w:t>[</w:t>
            </w:r>
            <w:r>
              <w:rPr>
                <w:rStyle w:val="IndexLink"/>
                <w:rtl w:val="true"/>
              </w:rPr>
              <w:t>التجرّی</w:t>
            </w:r>
            <w:r>
              <w:rPr>
                <w:rStyle w:val="IndexLink"/>
                <w:rtl w:val="true"/>
              </w:rPr>
              <w:t>]</w:t>
              <w:tab/>
            </w:r>
            <w:r>
              <w:rPr>
                <w:rStyle w:val="IndexLink"/>
              </w:rPr>
              <w:t>44</w:t>
            </w:r>
          </w:hyperlink>
        </w:p>
        <w:p>
          <w:pPr>
            <w:pStyle w:val="Contents4"/>
            <w:tabs>
              <w:tab w:val="clear" w:pos="8176"/>
              <w:tab w:val="right" w:pos="9026" w:leader="dot"/>
            </w:tabs>
            <w:rPr/>
          </w:pPr>
          <w:hyperlink w:anchor="__RefHeading___Toc2527052_3224264995">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2527054_3224264995">
            <w:r>
              <w:rPr>
                <w:webHidden/>
                <w:rStyle w:val="IndexLink"/>
                <w:rtl w:val="true"/>
              </w:rPr>
              <w:t>[</w:t>
            </w:r>
            <w:r>
              <w:rPr>
                <w:rStyle w:val="IndexLink"/>
                <w:rtl w:val="true"/>
              </w:rPr>
              <w:t>بحث التجرّی مسألة فقهیة أو اصولیة أو غیرهما</w:t>
            </w:r>
            <w:r>
              <w:rPr>
                <w:rStyle w:val="IndexLink"/>
                <w:rtl w:val="true"/>
              </w:rPr>
              <w:t>]</w:t>
              <w:tab/>
            </w:r>
            <w:r>
              <w:rPr>
                <w:rStyle w:val="IndexLink"/>
              </w:rPr>
              <w:t>46</w:t>
            </w:r>
          </w:hyperlink>
        </w:p>
        <w:p>
          <w:pPr>
            <w:pStyle w:val="Contents4"/>
            <w:tabs>
              <w:tab w:val="clear" w:pos="8176"/>
              <w:tab w:val="right" w:pos="9026" w:leader="dot"/>
            </w:tabs>
            <w:rPr/>
          </w:pPr>
          <w:hyperlink w:anchor="__RefHeading___Toc2527056_3224264995">
            <w:r>
              <w:rPr>
                <w:webHidden/>
                <w:rStyle w:val="IndexLink"/>
                <w:rtl w:val="true"/>
              </w:rPr>
              <w:t>[</w:t>
            </w:r>
            <w:r>
              <w:rPr>
                <w:rStyle w:val="IndexLink"/>
                <w:rtl w:val="true"/>
              </w:rPr>
              <w:t>مصبّ النزاع فی حکم التجرّی</w:t>
            </w:r>
            <w:r>
              <w:rPr>
                <w:rStyle w:val="IndexLink"/>
                <w:rtl w:val="true"/>
              </w:rPr>
              <w:t>]</w:t>
              <w:tab/>
            </w:r>
            <w:r>
              <w:rPr>
                <w:rStyle w:val="IndexLink"/>
              </w:rPr>
              <w:t>46</w:t>
            </w:r>
          </w:hyperlink>
        </w:p>
        <w:p>
          <w:pPr>
            <w:pStyle w:val="Contents4"/>
            <w:tabs>
              <w:tab w:val="clear" w:pos="8176"/>
              <w:tab w:val="right" w:pos="9026" w:leader="dot"/>
            </w:tabs>
            <w:rPr/>
          </w:pPr>
          <w:hyperlink w:anchor="__RefHeading___Toc2527058_3224264995">
            <w:r>
              <w:rPr>
                <w:webHidden/>
                <w:rStyle w:val="IndexLink"/>
                <w:rtl w:val="true"/>
              </w:rPr>
              <w:t>[</w:t>
            </w:r>
            <w:r>
              <w:rPr>
                <w:rStyle w:val="IndexLink"/>
                <w:rtl w:val="true"/>
              </w:rPr>
              <w:t>الأقوال فی حکم مسألة التجرّی</w:t>
            </w:r>
            <w:r>
              <w:rPr>
                <w:rStyle w:val="IndexLink"/>
                <w:rtl w:val="true"/>
              </w:rPr>
              <w:t>]</w:t>
              <w:tab/>
            </w:r>
            <w:r>
              <w:rPr>
                <w:rStyle w:val="IndexLink"/>
              </w:rPr>
              <w:t>47</w:t>
            </w:r>
          </w:hyperlink>
        </w:p>
        <w:p>
          <w:pPr>
            <w:pStyle w:val="Contents4"/>
            <w:tabs>
              <w:tab w:val="clear" w:pos="8176"/>
              <w:tab w:val="right" w:pos="9026" w:leader="dot"/>
            </w:tabs>
            <w:rPr/>
          </w:pPr>
          <w:hyperlink w:anchor="__RefHeading___Toc2527060_3224264995">
            <w:r>
              <w:rPr>
                <w:webHidden/>
                <w:rStyle w:val="IndexLink"/>
                <w:rtl w:val="true"/>
              </w:rPr>
              <w:t>[</w:t>
            </w:r>
            <w:r>
              <w:rPr>
                <w:rStyle w:val="IndexLink"/>
                <w:rtl w:val="true"/>
              </w:rPr>
              <w:t>اشارة إلی الاحباط عند الإمامیة</w:t>
            </w:r>
            <w:r>
              <w:rPr>
                <w:rStyle w:val="IndexLink"/>
                <w:rtl w:val="true"/>
              </w:rPr>
              <w:t>]</w:t>
              <w:tab/>
            </w:r>
            <w:r>
              <w:rPr>
                <w:rStyle w:val="IndexLink"/>
              </w:rPr>
              <w:t>49</w:t>
            </w:r>
          </w:hyperlink>
        </w:p>
        <w:p>
          <w:pPr>
            <w:pStyle w:val="Contents4"/>
            <w:tabs>
              <w:tab w:val="clear" w:pos="8176"/>
              <w:tab w:val="right" w:pos="9026" w:leader="dot"/>
            </w:tabs>
            <w:rPr/>
          </w:pPr>
          <w:hyperlink w:anchor="__RefHeading___Toc2527062_3224264995">
            <w:r>
              <w:rPr>
                <w:webHidden/>
                <w:rStyle w:val="IndexLink"/>
                <w:rtl w:val="true"/>
              </w:rPr>
              <w:t>[</w:t>
            </w:r>
            <w:r>
              <w:rPr>
                <w:rStyle w:val="IndexLink"/>
                <w:rtl w:val="true"/>
              </w:rPr>
              <w:t>دعوی الاجماع علی حکم التجرّی</w:t>
            </w:r>
            <w:r>
              <w:rPr>
                <w:rStyle w:val="IndexLink"/>
                <w:rtl w:val="true"/>
              </w:rPr>
              <w:t>]</w:t>
              <w:tab/>
            </w:r>
            <w:r>
              <w:rPr>
                <w:rStyle w:val="IndexLink"/>
              </w:rPr>
              <w:t>53</w:t>
            </w:r>
          </w:hyperlink>
        </w:p>
        <w:p>
          <w:pPr>
            <w:pStyle w:val="Contents4"/>
            <w:tabs>
              <w:tab w:val="clear" w:pos="8176"/>
              <w:tab w:val="right" w:pos="9026" w:leader="dot"/>
            </w:tabs>
            <w:rPr/>
          </w:pPr>
          <w:hyperlink w:anchor="__RefHeading___Toc2527064_3224264995">
            <w:r>
              <w:rPr>
                <w:webHidden/>
                <w:rStyle w:val="IndexLink"/>
                <w:rtl w:val="true"/>
              </w:rPr>
              <w:t>[</w:t>
            </w:r>
            <w:r>
              <w:rPr>
                <w:rStyle w:val="IndexLink"/>
                <w:rtl w:val="true"/>
              </w:rPr>
              <w:t>اشارة إلی حقیقة الحکم الوضعی</w:t>
            </w:r>
            <w:r>
              <w:rPr>
                <w:rStyle w:val="IndexLink"/>
                <w:rtl w:val="true"/>
              </w:rPr>
              <w:t>]</w:t>
              <w:tab/>
            </w:r>
            <w:r>
              <w:rPr>
                <w:rStyle w:val="IndexLink"/>
              </w:rPr>
              <w:t>54</w:t>
            </w:r>
          </w:hyperlink>
        </w:p>
        <w:p>
          <w:pPr>
            <w:pStyle w:val="Contents4"/>
            <w:tabs>
              <w:tab w:val="clear" w:pos="8176"/>
              <w:tab w:val="right" w:pos="9026" w:leader="dot"/>
            </w:tabs>
            <w:rPr/>
          </w:pPr>
          <w:hyperlink w:anchor="__RefHeading___Toc2527066_3224264995">
            <w:r>
              <w:rPr>
                <w:webHidden/>
                <w:rStyle w:val="IndexLink"/>
                <w:rtl w:val="true"/>
              </w:rPr>
              <w:t>[</w:t>
            </w:r>
            <w:r>
              <w:rPr>
                <w:rStyle w:val="IndexLink"/>
                <w:rtl w:val="true"/>
              </w:rPr>
              <w:t>دراسة بناء العقلاء فی مسألة التجرّی</w:t>
            </w:r>
            <w:r>
              <w:rPr>
                <w:rStyle w:val="IndexLink"/>
                <w:rtl w:val="true"/>
              </w:rPr>
              <w:t>]</w:t>
              <w:tab/>
            </w:r>
            <w:r>
              <w:rPr>
                <w:rStyle w:val="IndexLink"/>
              </w:rPr>
              <w:t>55</w:t>
            </w:r>
          </w:hyperlink>
        </w:p>
        <w:p>
          <w:pPr>
            <w:pStyle w:val="Contents4"/>
            <w:tabs>
              <w:tab w:val="clear" w:pos="8176"/>
              <w:tab w:val="right" w:pos="9026" w:leader="dot"/>
            </w:tabs>
            <w:rPr/>
          </w:pPr>
          <w:hyperlink w:anchor="__RefHeading___Toc2527068_3224264995">
            <w:r>
              <w:rPr>
                <w:webHidden/>
                <w:rStyle w:val="IndexLink"/>
                <w:rtl w:val="true"/>
              </w:rPr>
              <w:t>[</w:t>
            </w:r>
            <w:r>
              <w:rPr>
                <w:rStyle w:val="IndexLink"/>
                <w:rtl w:val="true"/>
              </w:rPr>
              <w:t>دراسة حکم العقل باستحقاق الذم عند التجری</w:t>
            </w:r>
            <w:r>
              <w:rPr>
                <w:rStyle w:val="IndexLink"/>
                <w:rtl w:val="true"/>
              </w:rPr>
              <w:t>]</w:t>
              <w:tab/>
            </w:r>
            <w:r>
              <w:rPr>
                <w:rStyle w:val="IndexLink"/>
              </w:rPr>
              <w:t>55</w:t>
            </w:r>
          </w:hyperlink>
        </w:p>
        <w:p>
          <w:pPr>
            <w:pStyle w:val="Contents4"/>
            <w:tabs>
              <w:tab w:val="clear" w:pos="8176"/>
              <w:tab w:val="right" w:pos="9026" w:leader="dot"/>
            </w:tabs>
            <w:rPr/>
          </w:pPr>
          <w:hyperlink w:anchor="__RefHeading___Toc2527070_3224264995">
            <w:r>
              <w:rPr>
                <w:webHidden/>
                <w:rStyle w:val="IndexLink"/>
                <w:rtl w:val="true"/>
              </w:rPr>
              <w:t>[</w:t>
            </w:r>
            <w:r>
              <w:rPr>
                <w:rStyle w:val="IndexLink"/>
                <w:rtl w:val="true"/>
              </w:rPr>
              <w:t>بحث فی عدم العقاب علی أمر لا یرجع إلی الاختیار</w:t>
            </w:r>
            <w:r>
              <w:rPr>
                <w:rStyle w:val="IndexLink"/>
                <w:rtl w:val="true"/>
              </w:rPr>
              <w:t>]</w:t>
              <w:tab/>
            </w:r>
            <w:r>
              <w:rPr>
                <w:rStyle w:val="IndexLink"/>
              </w:rPr>
              <w:t>57</w:t>
            </w:r>
          </w:hyperlink>
        </w:p>
        <w:p>
          <w:pPr>
            <w:pStyle w:val="Contents4"/>
            <w:tabs>
              <w:tab w:val="clear" w:pos="8176"/>
              <w:tab w:val="right" w:pos="9026" w:leader="dot"/>
            </w:tabs>
            <w:rPr/>
          </w:pPr>
          <w:hyperlink w:anchor="__RefHeading___Toc2527072_3224264995">
            <w:r>
              <w:rPr>
                <w:webHidden/>
                <w:rStyle w:val="IndexLink"/>
                <w:rtl w:val="true"/>
              </w:rPr>
              <w:t>[</w:t>
            </w:r>
            <w:r>
              <w:rPr>
                <w:rStyle w:val="IndexLink"/>
                <w:rtl w:val="true"/>
              </w:rPr>
              <w:t>امکان التفاوت فی حق الحکیم بین صورة مصادفة التجرّی و بین عدمها</w:t>
            </w:r>
            <w:r>
              <w:rPr>
                <w:rStyle w:val="IndexLink"/>
                <w:rtl w:val="true"/>
              </w:rPr>
              <w:t>]</w:t>
              <w:tab/>
            </w:r>
            <w:r>
              <w:rPr>
                <w:rStyle w:val="IndexLink"/>
              </w:rPr>
              <w:t>58</w:t>
            </w:r>
          </w:hyperlink>
        </w:p>
        <w:p>
          <w:pPr>
            <w:pStyle w:val="Contents4"/>
            <w:tabs>
              <w:tab w:val="clear" w:pos="8176"/>
              <w:tab w:val="right" w:pos="9026" w:leader="dot"/>
            </w:tabs>
            <w:rPr/>
          </w:pPr>
          <w:hyperlink w:anchor="__RefHeading___Toc2527074_3224264995">
            <w:r>
              <w:rPr>
                <w:webHidden/>
                <w:rStyle w:val="IndexLink"/>
                <w:rtl w:val="true"/>
              </w:rPr>
              <w:t>[</w:t>
            </w:r>
            <w:r>
              <w:rPr>
                <w:rStyle w:val="IndexLink"/>
                <w:rtl w:val="true"/>
              </w:rPr>
              <w:t>النسبة بین قبح التجرّی من حیث النیّة و قبحه من حیث المنوی</w:t>
            </w:r>
            <w:r>
              <w:rPr>
                <w:rStyle w:val="IndexLink"/>
                <w:rtl w:val="true"/>
              </w:rPr>
              <w:t>]</w:t>
              <w:tab/>
            </w:r>
            <w:r>
              <w:rPr>
                <w:rStyle w:val="IndexLink"/>
              </w:rPr>
              <w:t>60</w:t>
            </w:r>
          </w:hyperlink>
        </w:p>
        <w:p>
          <w:pPr>
            <w:pStyle w:val="Contents4"/>
            <w:tabs>
              <w:tab w:val="clear" w:pos="8176"/>
              <w:tab w:val="right" w:pos="9026" w:leader="dot"/>
            </w:tabs>
            <w:rPr/>
          </w:pPr>
          <w:hyperlink w:anchor="__RefHeading___Toc2527076_3224264995">
            <w:r>
              <w:rPr>
                <w:webHidden/>
                <w:rStyle w:val="IndexLink"/>
                <w:rtl w:val="true"/>
              </w:rPr>
              <w:t>[</w:t>
            </w:r>
            <w:r>
              <w:rPr>
                <w:rStyle w:val="IndexLink"/>
                <w:rtl w:val="true"/>
              </w:rPr>
              <w:t>دراسة ظهور حرمة الأکل علی الزاعم طلوع الفجر فی حرمة الفعل المتجرّی به</w:t>
            </w:r>
            <w:r>
              <w:rPr>
                <w:rStyle w:val="IndexLink"/>
                <w:rtl w:val="true"/>
              </w:rPr>
              <w:t>]</w:t>
              <w:tab/>
            </w:r>
            <w:r>
              <w:rPr>
                <w:rStyle w:val="IndexLink"/>
              </w:rPr>
              <w:t>60</w:t>
            </w:r>
          </w:hyperlink>
        </w:p>
        <w:p>
          <w:pPr>
            <w:pStyle w:val="Contents4"/>
            <w:tabs>
              <w:tab w:val="clear" w:pos="8176"/>
              <w:tab w:val="right" w:pos="9026" w:leader="dot"/>
            </w:tabs>
            <w:rPr/>
          </w:pPr>
          <w:hyperlink w:anchor="__RefHeading___Toc2527078_3224264995">
            <w:r>
              <w:rPr>
                <w:webHidden/>
                <w:rStyle w:val="IndexLink"/>
                <w:rtl w:val="true"/>
              </w:rPr>
              <w:t>[</w:t>
            </w:r>
            <w:r>
              <w:rPr>
                <w:rStyle w:val="IndexLink"/>
                <w:rtl w:val="true"/>
              </w:rPr>
              <w:t>استدلال آخر بالکتاب و السنّة علی حرمة التجرّی</w:t>
            </w:r>
            <w:r>
              <w:rPr>
                <w:rStyle w:val="IndexLink"/>
                <w:rtl w:val="true"/>
              </w:rPr>
              <w:t>]</w:t>
              <w:tab/>
            </w:r>
            <w:r>
              <w:rPr>
                <w:rStyle w:val="IndexLink"/>
              </w:rPr>
              <w:t>61</w:t>
            </w:r>
          </w:hyperlink>
        </w:p>
        <w:p>
          <w:pPr>
            <w:pStyle w:val="Contents4"/>
            <w:tabs>
              <w:tab w:val="clear" w:pos="8176"/>
              <w:tab w:val="right" w:pos="9026" w:leader="dot"/>
            </w:tabs>
            <w:rPr/>
          </w:pPr>
          <w:hyperlink w:anchor="__RefHeading___Toc2527080_3224264995">
            <w:r>
              <w:rPr>
                <w:webHidden/>
                <w:rStyle w:val="IndexLink"/>
                <w:rtl w:val="true"/>
              </w:rPr>
              <w:t>[</w:t>
            </w:r>
            <w:r>
              <w:rPr>
                <w:rStyle w:val="IndexLink"/>
                <w:rtl w:val="true"/>
              </w:rPr>
              <w:t>ما یصدق معه التجرّی</w:t>
            </w:r>
            <w:r>
              <w:rPr>
                <w:rStyle w:val="IndexLink"/>
                <w:rtl w:val="true"/>
              </w:rPr>
              <w:t>]</w:t>
              <w:tab/>
            </w:r>
            <w:r>
              <w:rPr>
                <w:rStyle w:val="IndexLink"/>
              </w:rPr>
              <w:t>62</w:t>
            </w:r>
          </w:hyperlink>
        </w:p>
        <w:p>
          <w:pPr>
            <w:pStyle w:val="Contents3"/>
            <w:tabs>
              <w:tab w:val="clear" w:pos="8459"/>
              <w:tab w:val="right" w:pos="9026" w:leader="dot"/>
            </w:tabs>
            <w:rPr/>
          </w:pPr>
          <w:hyperlink w:anchor="__RefHeading___Toc2527082_3224264995">
            <w:r>
              <w:rPr>
                <w:webHidden/>
                <w:rStyle w:val="IndexLink"/>
                <w:rtl w:val="true"/>
              </w:rPr>
              <w:t>[</w:t>
            </w:r>
            <w:r>
              <w:rPr>
                <w:rStyle w:val="IndexLink"/>
                <w:rtl w:val="true"/>
              </w:rPr>
              <w:t>ما نسب إلی أکثر الاخباریة فی مسألة حجّیة ما یحتمل الخطأ</w:t>
            </w:r>
            <w:r>
              <w:rPr>
                <w:rStyle w:val="IndexLink"/>
                <w:rtl w:val="true"/>
              </w:rPr>
              <w:t>]</w:t>
              <w:tab/>
            </w:r>
            <w:r>
              <w:rPr>
                <w:rStyle w:val="IndexLink"/>
              </w:rPr>
              <w:t>65</w:t>
            </w:r>
          </w:hyperlink>
        </w:p>
        <w:p>
          <w:pPr>
            <w:pStyle w:val="Contents3"/>
            <w:tabs>
              <w:tab w:val="clear" w:pos="8459"/>
              <w:tab w:val="right" w:pos="9026" w:leader="dot"/>
            </w:tabs>
            <w:rPr/>
          </w:pPr>
          <w:hyperlink w:anchor="__RefHeading___Toc2527084_3224264995">
            <w:r>
              <w:rPr>
                <w:webHidden/>
                <w:rStyle w:val="IndexLink"/>
                <w:rtl w:val="true"/>
              </w:rPr>
              <w:t>[</w:t>
            </w:r>
            <w:r>
              <w:rPr>
                <w:rStyle w:val="IndexLink"/>
                <w:rtl w:val="true"/>
              </w:rPr>
              <w:t>ما نسب إلی السید الصدر من ملازمة حکم العقل لحکم الشرع</w:t>
            </w:r>
            <w:r>
              <w:rPr>
                <w:rStyle w:val="IndexLink"/>
                <w:rtl w:val="true"/>
              </w:rPr>
              <w:t>]</w:t>
              <w:tab/>
            </w:r>
            <w:r>
              <w:rPr>
                <w:rStyle w:val="IndexLink"/>
              </w:rPr>
              <w:t>66</w:t>
            </w:r>
          </w:hyperlink>
        </w:p>
        <w:p>
          <w:pPr>
            <w:pStyle w:val="Contents3"/>
            <w:tabs>
              <w:tab w:val="clear" w:pos="8459"/>
              <w:tab w:val="right" w:pos="9026" w:leader="dot"/>
            </w:tabs>
            <w:rPr/>
          </w:pPr>
          <w:hyperlink w:anchor="__RefHeading___Toc2527086_3224264995">
            <w:r>
              <w:rPr>
                <w:webHidden/>
                <w:rStyle w:val="IndexLink"/>
                <w:rtl w:val="true"/>
              </w:rPr>
              <w:t>[</w:t>
            </w:r>
            <w:r>
              <w:rPr>
                <w:rStyle w:val="IndexLink"/>
                <w:rtl w:val="true"/>
              </w:rPr>
              <w:t>المناقشة فی دعوی الفرق بین قطعیات العقل النظری و بین قطعیات النقل الوصوی</w:t>
            </w:r>
            <w:r>
              <w:rPr>
                <w:rStyle w:val="IndexLink"/>
                <w:rtl w:val="true"/>
              </w:rPr>
              <w:t>]</w:t>
              <w:tab/>
            </w:r>
            <w:r>
              <w:rPr>
                <w:rStyle w:val="IndexLink"/>
              </w:rPr>
              <w:t>71</w:t>
            </w:r>
          </w:hyperlink>
        </w:p>
        <w:p>
          <w:pPr>
            <w:pStyle w:val="Contents3"/>
            <w:tabs>
              <w:tab w:val="clear" w:pos="8459"/>
              <w:tab w:val="right" w:pos="9026" w:leader="dot"/>
            </w:tabs>
            <w:rPr/>
          </w:pPr>
          <w:hyperlink w:anchor="__RefHeading___Toc2527088_3224264995">
            <w:r>
              <w:rPr>
                <w:webHidden/>
                <w:rStyle w:val="IndexLink"/>
                <w:rtl w:val="true"/>
              </w:rPr>
              <w:t>[</w:t>
            </w:r>
            <w:r>
              <w:rPr>
                <w:rStyle w:val="IndexLink"/>
                <w:rtl w:val="true"/>
              </w:rPr>
              <w:t>فائدة القواعد المنطقیة</w:t>
            </w:r>
            <w:r>
              <w:rPr>
                <w:rStyle w:val="IndexLink"/>
                <w:rtl w:val="true"/>
              </w:rPr>
              <w:t>]</w:t>
              <w:tab/>
            </w:r>
            <w:r>
              <w:rPr>
                <w:rStyle w:val="IndexLink"/>
              </w:rPr>
              <w:t>72</w:t>
            </w:r>
          </w:hyperlink>
        </w:p>
        <w:p>
          <w:pPr>
            <w:pStyle w:val="Contents3"/>
            <w:tabs>
              <w:tab w:val="clear" w:pos="8459"/>
              <w:tab w:val="right" w:pos="9026" w:leader="dot"/>
            </w:tabs>
            <w:rPr/>
          </w:pPr>
          <w:hyperlink w:anchor="__RefHeading___Toc2527090_3224264995">
            <w:r>
              <w:rPr>
                <w:webHidden/>
                <w:rStyle w:val="IndexLink"/>
                <w:rtl w:val="true"/>
              </w:rPr>
              <w:t>[</w:t>
            </w:r>
            <w:r>
              <w:rPr>
                <w:rStyle w:val="IndexLink"/>
                <w:rtl w:val="true"/>
              </w:rPr>
              <w:t>منشأ الخلافات فی الفروع الفقهیة</w:t>
            </w:r>
            <w:r>
              <w:rPr>
                <w:rStyle w:val="IndexLink"/>
                <w:rtl w:val="true"/>
              </w:rPr>
              <w:t>]</w:t>
              <w:tab/>
            </w:r>
            <w:r>
              <w:rPr>
                <w:rStyle w:val="IndexLink"/>
              </w:rPr>
              <w:t>73</w:t>
            </w:r>
          </w:hyperlink>
        </w:p>
        <w:p>
          <w:pPr>
            <w:pStyle w:val="Contents3"/>
            <w:tabs>
              <w:tab w:val="clear" w:pos="8459"/>
              <w:tab w:val="right" w:pos="9026" w:leader="dot"/>
            </w:tabs>
            <w:rPr/>
          </w:pPr>
          <w:hyperlink w:anchor="__RefHeading___Toc2527092_3224264995">
            <w:r>
              <w:rPr>
                <w:webHidden/>
                <w:rStyle w:val="IndexLink"/>
                <w:rtl w:val="true"/>
              </w:rPr>
              <w:t>[</w:t>
            </w:r>
            <w:r>
              <w:rPr>
                <w:rStyle w:val="IndexLink"/>
                <w:rtl w:val="true"/>
              </w:rPr>
              <w:t>هل یتصوّر التعارض بین القطعین</w:t>
            </w:r>
            <w:r>
              <w:rPr>
                <w:rStyle w:val="IndexLink"/>
                <w:rtl w:val="true"/>
              </w:rPr>
              <w:t>]</w:t>
              <w:tab/>
            </w:r>
            <w:r>
              <w:rPr>
                <w:rStyle w:val="IndexLink"/>
              </w:rPr>
              <w:t>75</w:t>
            </w:r>
          </w:hyperlink>
        </w:p>
        <w:p>
          <w:pPr>
            <w:pStyle w:val="Contents3"/>
            <w:tabs>
              <w:tab w:val="clear" w:pos="8459"/>
              <w:tab w:val="right" w:pos="9026" w:leader="dot"/>
            </w:tabs>
            <w:rPr/>
          </w:pPr>
          <w:hyperlink w:anchor="__RefHeading___Toc2527094_3224264995">
            <w:r>
              <w:rPr>
                <w:webHidden/>
                <w:rStyle w:val="IndexLink"/>
                <w:rtl w:val="true"/>
              </w:rPr>
              <w:t>[</w:t>
            </w:r>
            <w:r>
              <w:rPr>
                <w:rStyle w:val="IndexLink"/>
                <w:rtl w:val="true"/>
              </w:rPr>
              <w:t>تفصیل فی اعتبار الأحکام العقلیة بین الإنّی و اللمّی</w:t>
            </w:r>
            <w:r>
              <w:rPr>
                <w:rStyle w:val="IndexLink"/>
                <w:rtl w:val="true"/>
              </w:rPr>
              <w:t>]</w:t>
              <w:tab/>
            </w:r>
            <w:r>
              <w:rPr>
                <w:rStyle w:val="IndexLink"/>
              </w:rPr>
              <w:t>78</w:t>
            </w:r>
          </w:hyperlink>
        </w:p>
        <w:p>
          <w:pPr>
            <w:pStyle w:val="Contents3"/>
            <w:tabs>
              <w:tab w:val="clear" w:pos="8459"/>
              <w:tab w:val="right" w:pos="9026" w:leader="dot"/>
            </w:tabs>
            <w:rPr/>
          </w:pPr>
          <w:hyperlink w:anchor="__RefHeading___Toc2527096_3224264995">
            <w:r>
              <w:rPr>
                <w:webHidden/>
                <w:rStyle w:val="IndexLink"/>
                <w:rtl w:val="true"/>
              </w:rPr>
              <w:t>[</w:t>
            </w:r>
            <w:r>
              <w:rPr>
                <w:rStyle w:val="IndexLink"/>
                <w:rtl w:val="true"/>
              </w:rPr>
              <w:t>المراد من ذمّ العقول فی الروایات</w:t>
            </w:r>
            <w:r>
              <w:rPr>
                <w:rStyle w:val="IndexLink"/>
                <w:rtl w:val="true"/>
              </w:rPr>
              <w:t>]</w:t>
              <w:tab/>
            </w:r>
            <w:r>
              <w:rPr>
                <w:rStyle w:val="IndexLink"/>
              </w:rPr>
              <w:t>79</w:t>
            </w:r>
          </w:hyperlink>
        </w:p>
        <w:p>
          <w:pPr>
            <w:pStyle w:val="Contents3"/>
            <w:tabs>
              <w:tab w:val="clear" w:pos="8459"/>
              <w:tab w:val="right" w:pos="9026" w:leader="dot"/>
            </w:tabs>
            <w:rPr/>
          </w:pPr>
          <w:hyperlink w:anchor="__RefHeading___Toc2527098_3224264995">
            <w:r>
              <w:rPr>
                <w:webHidden/>
                <w:rStyle w:val="IndexLink"/>
                <w:rtl w:val="true"/>
              </w:rPr>
              <w:t>[</w:t>
            </w:r>
            <w:r>
              <w:rPr>
                <w:rStyle w:val="IndexLink"/>
                <w:rtl w:val="true"/>
              </w:rPr>
              <w:t>قطع القطاع</w:t>
            </w:r>
            <w:r>
              <w:rPr>
                <w:rStyle w:val="IndexLink"/>
                <w:rtl w:val="true"/>
              </w:rPr>
              <w:t>]</w:t>
              <w:tab/>
            </w:r>
            <w:r>
              <w:rPr>
                <w:rStyle w:val="IndexLink"/>
              </w:rPr>
              <w:t>81</w:t>
            </w:r>
          </w:hyperlink>
        </w:p>
        <w:p>
          <w:pPr>
            <w:pStyle w:val="Contents3"/>
            <w:tabs>
              <w:tab w:val="clear" w:pos="8459"/>
              <w:tab w:val="right" w:pos="9026" w:leader="dot"/>
            </w:tabs>
            <w:rPr/>
          </w:pPr>
          <w:hyperlink w:anchor="__RefHeading___Toc2527100_3224264995">
            <w:r>
              <w:rPr>
                <w:webHidden/>
                <w:rStyle w:val="IndexLink"/>
                <w:rtl w:val="true"/>
              </w:rPr>
              <w:t>[</w:t>
            </w:r>
            <w:r>
              <w:rPr>
                <w:rStyle w:val="IndexLink"/>
                <w:rtl w:val="true"/>
              </w:rPr>
              <w:t>ظنّ الظنّان و شکّ الشکّاک</w:t>
            </w:r>
            <w:r>
              <w:rPr>
                <w:rStyle w:val="IndexLink"/>
                <w:rtl w:val="true"/>
              </w:rPr>
              <w:t>]</w:t>
              <w:tab/>
            </w:r>
            <w:r>
              <w:rPr>
                <w:rStyle w:val="IndexLink"/>
              </w:rPr>
              <w:t>86</w:t>
            </w:r>
          </w:hyperlink>
        </w:p>
        <w:p>
          <w:pPr>
            <w:pStyle w:val="Contents3"/>
            <w:tabs>
              <w:tab w:val="clear" w:pos="8459"/>
              <w:tab w:val="right" w:pos="9026" w:leader="dot"/>
            </w:tabs>
            <w:rPr/>
          </w:pPr>
          <w:hyperlink w:anchor="__RefHeading___Toc2527102_3224264995">
            <w:r>
              <w:rPr>
                <w:webHidden/>
                <w:rStyle w:val="IndexLink"/>
                <w:rtl w:val="true"/>
              </w:rPr>
              <w:t>[</w:t>
            </w:r>
            <w:r>
              <w:rPr>
                <w:rStyle w:val="IndexLink"/>
                <w:rtl w:val="true"/>
              </w:rPr>
              <w:t>تصویر الحکم علی القاطع بالرجوع إلی العمل بخلاف قطعه</w:t>
            </w:r>
            <w:r>
              <w:rPr>
                <w:rStyle w:val="IndexLink"/>
                <w:rtl w:val="true"/>
              </w:rPr>
              <w:t>]</w:t>
              <w:tab/>
            </w:r>
            <w:r>
              <w:rPr>
                <w:rStyle w:val="IndexLink"/>
              </w:rPr>
              <w:t>87</w:t>
            </w:r>
          </w:hyperlink>
        </w:p>
        <w:p>
          <w:pPr>
            <w:pStyle w:val="Contents3"/>
            <w:tabs>
              <w:tab w:val="clear" w:pos="8459"/>
              <w:tab w:val="right" w:pos="9026" w:leader="dot"/>
            </w:tabs>
            <w:rPr/>
          </w:pPr>
          <w:hyperlink w:anchor="__RefHeading___Toc2527104_3224264995">
            <w:r>
              <w:rPr>
                <w:webHidden/>
                <w:rStyle w:val="IndexLink"/>
                <w:rtl w:val="true"/>
              </w:rPr>
              <w:t>[</w:t>
            </w:r>
            <w:r>
              <w:rPr>
                <w:rStyle w:val="IndexLink"/>
                <w:rtl w:val="true"/>
              </w:rPr>
              <w:t>تفصیل فی قطع القطّاع</w:t>
            </w:r>
            <w:r>
              <w:rPr>
                <w:rStyle w:val="IndexLink"/>
                <w:rtl w:val="true"/>
              </w:rPr>
              <w:t>]</w:t>
              <w:tab/>
            </w:r>
            <w:r>
              <w:rPr>
                <w:rStyle w:val="IndexLink"/>
              </w:rPr>
              <w:t>88</w:t>
            </w:r>
          </w:hyperlink>
        </w:p>
        <w:p>
          <w:pPr>
            <w:pStyle w:val="Contents3"/>
            <w:tabs>
              <w:tab w:val="clear" w:pos="8459"/>
              <w:tab w:val="right" w:pos="9026" w:leader="dot"/>
            </w:tabs>
            <w:rPr/>
          </w:pPr>
          <w:hyperlink w:anchor="__RefHeading___Toc2527106_3224264995">
            <w:r>
              <w:rPr>
                <w:webHidden/>
                <w:rStyle w:val="IndexLink"/>
                <w:rtl w:val="true"/>
              </w:rPr>
              <w:t>[</w:t>
            </w:r>
            <w:r>
              <w:rPr>
                <w:rStyle w:val="IndexLink"/>
                <w:rtl w:val="true"/>
              </w:rPr>
              <w:t>اتّصاف العلم بالتفصیل و الاجمال انّما هو باعتبار معلومه</w:t>
            </w:r>
            <w:r>
              <w:rPr>
                <w:rStyle w:val="IndexLink"/>
                <w:rtl w:val="true"/>
              </w:rPr>
              <w:t>]</w:t>
              <w:tab/>
            </w:r>
            <w:r>
              <w:rPr>
                <w:rStyle w:val="IndexLink"/>
              </w:rPr>
              <w:t>90</w:t>
            </w:r>
          </w:hyperlink>
        </w:p>
        <w:p>
          <w:pPr>
            <w:pStyle w:val="Contents3"/>
            <w:tabs>
              <w:tab w:val="clear" w:pos="8459"/>
              <w:tab w:val="right" w:pos="9026" w:leader="dot"/>
            </w:tabs>
            <w:rPr/>
          </w:pPr>
          <w:hyperlink w:anchor="__RefHeading___Toc2527108_3224264995">
            <w:r>
              <w:rPr>
                <w:webHidden/>
                <w:rStyle w:val="IndexLink"/>
                <w:rtl w:val="true"/>
              </w:rPr>
              <w:t>[</w:t>
            </w:r>
            <w:r>
              <w:rPr>
                <w:rStyle w:val="IndexLink"/>
                <w:rtl w:val="true"/>
              </w:rPr>
              <w:t>الامتثال الإجمالی</w:t>
            </w:r>
            <w:r>
              <w:rPr>
                <w:rStyle w:val="IndexLink"/>
                <w:rtl w:val="true"/>
              </w:rPr>
              <w:t>]</w:t>
              <w:tab/>
            </w:r>
            <w:r>
              <w:rPr>
                <w:rStyle w:val="IndexLink"/>
              </w:rPr>
              <w:t>91</w:t>
            </w:r>
          </w:hyperlink>
        </w:p>
        <w:p>
          <w:pPr>
            <w:pStyle w:val="Contents3"/>
            <w:tabs>
              <w:tab w:val="clear" w:pos="8459"/>
              <w:tab w:val="right" w:pos="9026" w:leader="dot"/>
            </w:tabs>
            <w:rPr/>
          </w:pPr>
          <w:hyperlink w:anchor="__RefHeading___Toc2527110_3224264995">
            <w:r>
              <w:rPr>
                <w:webHidden/>
                <w:rStyle w:val="IndexLink"/>
                <w:rtl w:val="true"/>
              </w:rPr>
              <w:t>[</w:t>
            </w:r>
            <w:r>
              <w:rPr>
                <w:rStyle w:val="IndexLink"/>
                <w:rtl w:val="true"/>
              </w:rPr>
              <w:t>محلّ النزاع فی کفایة الامتثال الإجمالی</w:t>
            </w:r>
            <w:r>
              <w:rPr>
                <w:rStyle w:val="IndexLink"/>
                <w:rtl w:val="true"/>
              </w:rPr>
              <w:t>]</w:t>
              <w:tab/>
            </w:r>
            <w:r>
              <w:rPr>
                <w:rStyle w:val="IndexLink"/>
              </w:rPr>
              <w:t>93</w:t>
            </w:r>
          </w:hyperlink>
        </w:p>
        <w:p>
          <w:pPr>
            <w:pStyle w:val="Contents3"/>
            <w:tabs>
              <w:tab w:val="clear" w:pos="8459"/>
              <w:tab w:val="right" w:pos="9026" w:leader="dot"/>
            </w:tabs>
            <w:rPr/>
          </w:pPr>
          <w:hyperlink w:anchor="__RefHeading___Toc2527112_3224264995">
            <w:r>
              <w:rPr>
                <w:webHidden/>
                <w:rStyle w:val="IndexLink"/>
                <w:rtl w:val="true"/>
              </w:rPr>
              <w:t>[</w:t>
            </w:r>
            <w:r>
              <w:rPr>
                <w:rStyle w:val="IndexLink"/>
                <w:rtl w:val="true"/>
              </w:rPr>
              <w:t>هل المطلوب تحقّق الإطاعة أو یعتبر معها أمر آخر</w:t>
            </w:r>
            <w:r>
              <w:rPr>
                <w:rStyle w:val="IndexLink"/>
                <w:rtl w:val="true"/>
              </w:rPr>
              <w:t>]</w:t>
              <w:tab/>
            </w:r>
            <w:r>
              <w:rPr>
                <w:rStyle w:val="IndexLink"/>
              </w:rPr>
              <w:t>93</w:t>
            </w:r>
          </w:hyperlink>
        </w:p>
        <w:p>
          <w:pPr>
            <w:pStyle w:val="Contents3"/>
            <w:tabs>
              <w:tab w:val="clear" w:pos="8459"/>
              <w:tab w:val="right" w:pos="9026" w:leader="dot"/>
            </w:tabs>
            <w:rPr/>
          </w:pPr>
          <w:hyperlink w:anchor="__RefHeading___Toc2527114_3224264995">
            <w:r>
              <w:rPr>
                <w:webHidden/>
                <w:rStyle w:val="IndexLink"/>
                <w:rtl w:val="true"/>
              </w:rPr>
              <w:t>[</w:t>
            </w:r>
            <w:r>
              <w:rPr>
                <w:rStyle w:val="IndexLink"/>
                <w:rtl w:val="true"/>
              </w:rPr>
              <w:t>دراسة ما استظهره المصنّف من عدم جواز الاکتفاء بالامتثال الاجمالی فی محلّ النزاع</w:t>
            </w:r>
            <w:r>
              <w:rPr>
                <w:rStyle w:val="IndexLink"/>
                <w:rtl w:val="true"/>
              </w:rPr>
              <w:t>]</w:t>
              <w:tab/>
            </w:r>
            <w:r>
              <w:rPr>
                <w:rStyle w:val="IndexLink"/>
              </w:rPr>
              <w:t>97</w:t>
            </w:r>
          </w:hyperlink>
        </w:p>
        <w:p>
          <w:pPr>
            <w:pStyle w:val="Contents3"/>
            <w:tabs>
              <w:tab w:val="clear" w:pos="8459"/>
              <w:tab w:val="right" w:pos="9026" w:leader="dot"/>
            </w:tabs>
            <w:rPr/>
          </w:pPr>
          <w:hyperlink w:anchor="__RefHeading___Toc2527116_3224264995">
            <w:r>
              <w:rPr>
                <w:webHidden/>
                <w:rStyle w:val="IndexLink"/>
                <w:rtl w:val="true"/>
              </w:rPr>
              <w:t>[</w:t>
            </w:r>
            <w:r>
              <w:rPr>
                <w:rStyle w:val="IndexLink"/>
                <w:rtl w:val="true"/>
              </w:rPr>
              <w:t>جواز ترک تحصیل الظن إلی العمل بالاحتیاط</w:t>
            </w:r>
            <w:r>
              <w:rPr>
                <w:rStyle w:val="IndexLink"/>
                <w:rtl w:val="true"/>
              </w:rPr>
              <w:t>]</w:t>
              <w:tab/>
            </w:r>
            <w:r>
              <w:rPr>
                <w:rStyle w:val="IndexLink"/>
              </w:rPr>
              <w:t>97</w:t>
            </w:r>
          </w:hyperlink>
        </w:p>
        <w:p>
          <w:pPr>
            <w:pStyle w:val="Contents3"/>
            <w:tabs>
              <w:tab w:val="clear" w:pos="8459"/>
              <w:tab w:val="right" w:pos="9026" w:leader="dot"/>
            </w:tabs>
            <w:rPr/>
          </w:pPr>
          <w:hyperlink w:anchor="__RefHeading___Toc2527118_3224264995">
            <w:r>
              <w:rPr>
                <w:webHidden/>
                <w:rStyle w:val="IndexLink"/>
                <w:rtl w:val="true"/>
              </w:rPr>
              <w:t>[</w:t>
            </w:r>
            <w:r>
              <w:rPr>
                <w:rStyle w:val="IndexLink"/>
                <w:rtl w:val="true"/>
              </w:rPr>
              <w:t>تأثیر العلم الاجمالی فی التنجیز</w:t>
            </w:r>
            <w:r>
              <w:rPr>
                <w:rStyle w:val="IndexLink"/>
                <w:rtl w:val="true"/>
              </w:rPr>
              <w:t>]</w:t>
              <w:tab/>
            </w:r>
            <w:r>
              <w:rPr>
                <w:rStyle w:val="IndexLink"/>
              </w:rPr>
              <w:t>101</w:t>
            </w:r>
          </w:hyperlink>
        </w:p>
        <w:p>
          <w:pPr>
            <w:pStyle w:val="Contents3"/>
            <w:tabs>
              <w:tab w:val="clear" w:pos="8459"/>
              <w:tab w:val="right" w:pos="9026" w:leader="dot"/>
            </w:tabs>
            <w:rPr/>
          </w:pPr>
          <w:hyperlink w:anchor="__RefHeading___Toc2527120_3224264995">
            <w:r>
              <w:rPr>
                <w:webHidden/>
                <w:rStyle w:val="IndexLink"/>
                <w:rtl w:val="true"/>
              </w:rPr>
              <w:t>[</w:t>
            </w:r>
            <w:r>
              <w:rPr>
                <w:rStyle w:val="IndexLink"/>
                <w:rtl w:val="true"/>
              </w:rPr>
              <w:t>المخالفة غیر العملیة للعلم الاجمالی</w:t>
            </w:r>
            <w:r>
              <w:rPr>
                <w:rStyle w:val="IndexLink"/>
                <w:rtl w:val="true"/>
              </w:rPr>
              <w:t>]</w:t>
              <w:tab/>
            </w:r>
            <w:r>
              <w:rPr>
                <w:rStyle w:val="IndexLink"/>
              </w:rPr>
              <w:t>102</w:t>
            </w:r>
          </w:hyperlink>
        </w:p>
        <w:p>
          <w:pPr>
            <w:pStyle w:val="Contents3"/>
            <w:tabs>
              <w:tab w:val="clear" w:pos="8459"/>
              <w:tab w:val="right" w:pos="9026" w:leader="dot"/>
            </w:tabs>
            <w:rPr/>
          </w:pPr>
          <w:hyperlink w:anchor="__RefHeading___Toc2527122_3224264995">
            <w:r>
              <w:rPr>
                <w:webHidden/>
                <w:rStyle w:val="IndexLink"/>
                <w:rtl w:val="true"/>
              </w:rPr>
              <w:t>[</w:t>
            </w:r>
            <w:r>
              <w:rPr>
                <w:rStyle w:val="IndexLink"/>
                <w:rtl w:val="true"/>
              </w:rPr>
              <w:t>المراد من وجوب الالتزام بالحکم</w:t>
            </w:r>
            <w:r>
              <w:rPr>
                <w:rStyle w:val="IndexLink"/>
                <w:rtl w:val="true"/>
              </w:rPr>
              <w:t>]</w:t>
              <w:tab/>
            </w:r>
            <w:r>
              <w:rPr>
                <w:rStyle w:val="IndexLink"/>
              </w:rPr>
              <w:t>105</w:t>
            </w:r>
          </w:hyperlink>
        </w:p>
        <w:p>
          <w:pPr>
            <w:pStyle w:val="Contents3"/>
            <w:tabs>
              <w:tab w:val="clear" w:pos="8459"/>
              <w:tab w:val="right" w:pos="9026" w:leader="dot"/>
            </w:tabs>
            <w:rPr/>
          </w:pPr>
          <w:hyperlink w:anchor="__RefHeading___Toc2527124_3224264995">
            <w:r>
              <w:rPr>
                <w:webHidden/>
                <w:rStyle w:val="IndexLink"/>
                <w:rtl w:val="true"/>
              </w:rPr>
              <w:t>[</w:t>
            </w:r>
            <w:r>
              <w:rPr>
                <w:rStyle w:val="IndexLink"/>
                <w:rtl w:val="true"/>
              </w:rPr>
              <w:t>تحدید أثر القول بوجوب الالتزام و حرمة المخالفة الالتزامیة</w:t>
            </w:r>
            <w:r>
              <w:rPr>
                <w:rStyle w:val="IndexLink"/>
                <w:rtl w:val="true"/>
              </w:rPr>
              <w:t>]</w:t>
              <w:tab/>
            </w:r>
            <w:r>
              <w:rPr>
                <w:rStyle w:val="IndexLink"/>
              </w:rPr>
              <w:t>109</w:t>
            </w:r>
          </w:hyperlink>
        </w:p>
        <w:p>
          <w:pPr>
            <w:pStyle w:val="Contents3"/>
            <w:tabs>
              <w:tab w:val="clear" w:pos="8459"/>
              <w:tab w:val="right" w:pos="9026" w:leader="dot"/>
            </w:tabs>
            <w:rPr/>
          </w:pPr>
          <w:hyperlink w:anchor="__RefHeading___Toc2527126_3224264995">
            <w:r>
              <w:rPr>
                <w:webHidden/>
                <w:rStyle w:val="IndexLink"/>
                <w:rtl w:val="true"/>
              </w:rPr>
              <w:t>[</w:t>
            </w:r>
            <w:r>
              <w:rPr>
                <w:rStyle w:val="IndexLink"/>
                <w:rtl w:val="true"/>
              </w:rPr>
              <w:t>الأقوال فی مسألة وجوب الالتزام بالحکم المعیّن و عدمه</w:t>
            </w:r>
            <w:r>
              <w:rPr>
                <w:rStyle w:val="IndexLink"/>
                <w:rtl w:val="true"/>
              </w:rPr>
              <w:t>]</w:t>
              <w:tab/>
            </w:r>
            <w:r>
              <w:rPr>
                <w:rStyle w:val="IndexLink"/>
              </w:rPr>
              <w:t>109</w:t>
            </w:r>
          </w:hyperlink>
        </w:p>
        <w:p>
          <w:pPr>
            <w:pStyle w:val="Contents3"/>
            <w:tabs>
              <w:tab w:val="clear" w:pos="8459"/>
              <w:tab w:val="right" w:pos="9026" w:leader="dot"/>
            </w:tabs>
            <w:rPr/>
          </w:pPr>
          <w:hyperlink w:anchor="__RefHeading___Toc2527128_3224264995">
            <w:r>
              <w:rPr>
                <w:webHidden/>
                <w:rStyle w:val="IndexLink"/>
                <w:rtl w:val="true"/>
              </w:rPr>
              <w:t>[</w:t>
            </w:r>
            <w:r>
              <w:rPr>
                <w:rStyle w:val="IndexLink"/>
                <w:rtl w:val="true"/>
              </w:rPr>
              <w:t>مخالفة الخطاب المردّد بین خطابین</w:t>
            </w:r>
            <w:r>
              <w:rPr>
                <w:rStyle w:val="IndexLink"/>
                <w:rtl w:val="true"/>
              </w:rPr>
              <w:t>]</w:t>
              <w:tab/>
            </w:r>
            <w:r>
              <w:rPr>
                <w:rStyle w:val="IndexLink"/>
              </w:rPr>
              <w:t>119</w:t>
            </w:r>
          </w:hyperlink>
        </w:p>
        <w:p>
          <w:pPr>
            <w:pStyle w:val="Contents3"/>
            <w:tabs>
              <w:tab w:val="clear" w:pos="8459"/>
              <w:tab w:val="right" w:pos="9026" w:leader="dot"/>
            </w:tabs>
            <w:rPr/>
          </w:pPr>
          <w:hyperlink w:anchor="__RefHeading___Toc2527130_3224264995">
            <w:r>
              <w:rPr>
                <w:webHidden/>
                <w:rStyle w:val="IndexLink"/>
                <w:rtl w:val="true"/>
              </w:rPr>
              <w:t>[</w:t>
            </w:r>
            <w:r>
              <w:rPr>
                <w:rStyle w:val="IndexLink"/>
                <w:rtl w:val="true"/>
              </w:rPr>
              <w:t>وجه جواز المخالفة فی الشبهة الموضوعیة من مفروض المسألة</w:t>
            </w:r>
            <w:r>
              <w:rPr>
                <w:rStyle w:val="IndexLink"/>
                <w:rtl w:val="true"/>
              </w:rPr>
              <w:t>]</w:t>
              <w:tab/>
            </w:r>
            <w:r>
              <w:rPr>
                <w:rStyle w:val="IndexLink"/>
              </w:rPr>
              <w:t>119</w:t>
            </w:r>
          </w:hyperlink>
        </w:p>
        <w:p>
          <w:pPr>
            <w:pStyle w:val="Contents3"/>
            <w:tabs>
              <w:tab w:val="clear" w:pos="8459"/>
              <w:tab w:val="right" w:pos="9026" w:leader="dot"/>
            </w:tabs>
            <w:rPr/>
          </w:pPr>
          <w:hyperlink w:anchor="__RefHeading___Toc2527132_3224264995">
            <w:r>
              <w:rPr>
                <w:webHidden/>
                <w:rStyle w:val="IndexLink"/>
                <w:rtl w:val="true"/>
              </w:rPr>
              <w:t>[</w:t>
            </w:r>
            <w:r>
              <w:rPr>
                <w:rStyle w:val="IndexLink"/>
                <w:rtl w:val="true"/>
              </w:rPr>
              <w:t>فی حکم تردّد شخص المکلّف</w:t>
            </w:r>
            <w:r>
              <w:rPr>
                <w:rStyle w:val="IndexLink"/>
                <w:rtl w:val="true"/>
              </w:rPr>
              <w:t>]</w:t>
              <w:tab/>
            </w:r>
            <w:r>
              <w:rPr>
                <w:rStyle w:val="IndexLink"/>
              </w:rPr>
              <w:t>120</w:t>
            </w:r>
          </w:hyperlink>
        </w:p>
        <w:p>
          <w:pPr>
            <w:pStyle w:val="Contents3"/>
            <w:tabs>
              <w:tab w:val="clear" w:pos="8459"/>
              <w:tab w:val="right" w:pos="9026" w:leader="dot"/>
            </w:tabs>
            <w:rPr/>
          </w:pPr>
          <w:hyperlink w:anchor="__RefHeading___Toc2527134_3224264995">
            <w:r>
              <w:rPr>
                <w:webHidden/>
                <w:rStyle w:val="IndexLink"/>
                <w:rtl w:val="true"/>
              </w:rPr>
              <w:t>[</w:t>
            </w:r>
            <w:r>
              <w:rPr>
                <w:rStyle w:val="IndexLink"/>
                <w:rtl w:val="true"/>
              </w:rPr>
              <w:t>صور مخالفة الخطاب</w:t>
            </w:r>
            <w:r>
              <w:rPr>
                <w:rStyle w:val="IndexLink"/>
                <w:rtl w:val="true"/>
              </w:rPr>
              <w:t>]</w:t>
              <w:tab/>
            </w:r>
            <w:r>
              <w:rPr>
                <w:rStyle w:val="IndexLink"/>
              </w:rPr>
              <w:t>121</w:t>
            </w:r>
          </w:hyperlink>
        </w:p>
        <w:p>
          <w:pPr>
            <w:pStyle w:val="Contents3"/>
            <w:tabs>
              <w:tab w:val="clear" w:pos="8459"/>
              <w:tab w:val="right" w:pos="9026" w:leader="dot"/>
            </w:tabs>
            <w:rPr/>
          </w:pPr>
          <w:hyperlink w:anchor="__RefHeading___Toc2527136_3224264995">
            <w:r>
              <w:rPr>
                <w:webHidden/>
                <w:rStyle w:val="IndexLink"/>
                <w:rtl w:val="true"/>
              </w:rPr>
              <w:t>[</w:t>
            </w:r>
            <w:r>
              <w:rPr>
                <w:rStyle w:val="IndexLink"/>
                <w:rtl w:val="true"/>
              </w:rPr>
              <w:t>حکم الحامل و المحمول</w:t>
            </w:r>
            <w:r>
              <w:rPr>
                <w:rStyle w:val="IndexLink"/>
                <w:rtl w:val="true"/>
              </w:rPr>
              <w:t>]</w:t>
              <w:tab/>
            </w:r>
            <w:r>
              <w:rPr>
                <w:rStyle w:val="IndexLink"/>
              </w:rPr>
              <w:t>123</w:t>
            </w:r>
          </w:hyperlink>
        </w:p>
        <w:p>
          <w:pPr>
            <w:pStyle w:val="Contents3"/>
            <w:tabs>
              <w:tab w:val="clear" w:pos="8459"/>
              <w:tab w:val="right" w:pos="9026" w:leader="dot"/>
            </w:tabs>
            <w:rPr/>
          </w:pPr>
          <w:hyperlink w:anchor="__RefHeading___Toc2527138_3224264995">
            <w:r>
              <w:rPr>
                <w:webHidden/>
                <w:rStyle w:val="IndexLink"/>
                <w:rtl w:val="true"/>
              </w:rPr>
              <w:t>[</w:t>
            </w:r>
            <w:r>
              <w:rPr>
                <w:rStyle w:val="IndexLink"/>
                <w:rtl w:val="true"/>
              </w:rPr>
              <w:t>حکم الخنثی</w:t>
            </w:r>
            <w:r>
              <w:rPr>
                <w:rStyle w:val="IndexLink"/>
                <w:rtl w:val="true"/>
              </w:rPr>
              <w:t>]</w:t>
              <w:tab/>
            </w:r>
            <w:r>
              <w:rPr>
                <w:rStyle w:val="IndexLink"/>
              </w:rPr>
              <w:t>124</w:t>
            </w:r>
          </w:hyperlink>
        </w:p>
        <w:p>
          <w:pPr>
            <w:pStyle w:val="Contents3"/>
            <w:tabs>
              <w:tab w:val="clear" w:pos="8459"/>
              <w:tab w:val="right" w:pos="9026" w:leader="dot"/>
            </w:tabs>
            <w:rPr/>
          </w:pPr>
          <w:hyperlink w:anchor="__RefHeading___Toc2527140_3224264995">
            <w:r>
              <w:rPr>
                <w:webHidden/>
                <w:rStyle w:val="IndexLink"/>
                <w:rtl w:val="true"/>
              </w:rPr>
              <w:t>[</w:t>
            </w:r>
            <w:r>
              <w:rPr>
                <w:rStyle w:val="IndexLink"/>
                <w:rtl w:val="true"/>
              </w:rPr>
              <w:t>تعرّض لحکم الجاهل بالجهر أو الإخفات</w:t>
            </w:r>
            <w:r>
              <w:rPr>
                <w:rStyle w:val="IndexLink"/>
                <w:rtl w:val="true"/>
              </w:rPr>
              <w:t>]</w:t>
              <w:tab/>
            </w:r>
            <w:r>
              <w:rPr>
                <w:rStyle w:val="IndexLink"/>
              </w:rPr>
              <w:t>127</w:t>
            </w:r>
          </w:hyperlink>
        </w:p>
        <w:p>
          <w:pPr>
            <w:pStyle w:val="Contents2"/>
            <w:tabs>
              <w:tab w:val="clear" w:pos="8743"/>
              <w:tab w:val="right" w:pos="9026" w:leader="dot"/>
            </w:tabs>
            <w:rPr/>
          </w:pPr>
          <w:hyperlink w:anchor="__RefHeading___Toc2527142_3224264995">
            <w:r>
              <w:rPr>
                <w:webHidden/>
                <w:rStyle w:val="IndexLink"/>
                <w:rtl w:val="true"/>
              </w:rPr>
              <w:t>[</w:t>
            </w:r>
            <w:r>
              <w:rPr>
                <w:rStyle w:val="IndexLink"/>
                <w:rtl w:val="true"/>
              </w:rPr>
              <w:t>مباحث الظن</w:t>
            </w:r>
            <w:r>
              <w:rPr>
                <w:rStyle w:val="IndexLink"/>
                <w:rtl w:val="true"/>
              </w:rPr>
              <w:t>]</w:t>
              <w:tab/>
            </w:r>
            <w:r>
              <w:rPr>
                <w:rStyle w:val="IndexLink"/>
              </w:rPr>
              <w:t>129</w:t>
            </w:r>
          </w:hyperlink>
        </w:p>
        <w:p>
          <w:pPr>
            <w:pStyle w:val="Contents3"/>
            <w:tabs>
              <w:tab w:val="clear" w:pos="8459"/>
              <w:tab w:val="right" w:pos="9026" w:leader="dot"/>
            </w:tabs>
            <w:rPr/>
          </w:pPr>
          <w:hyperlink w:anchor="__RefHeading___Toc2527144_3224264995">
            <w:r>
              <w:rPr>
                <w:webHidden/>
                <w:rStyle w:val="IndexLink"/>
                <w:rtl w:val="true"/>
              </w:rPr>
              <w:t>اشارة</w:t>
            </w:r>
            <w:r>
              <w:rPr>
                <w:rStyle w:val="IndexLink"/>
                <w:rtl w:val="true"/>
              </w:rPr>
              <w:tab/>
            </w:r>
            <w:r>
              <w:rPr>
                <w:rStyle w:val="IndexLink"/>
              </w:rPr>
              <w:t>129</w:t>
            </w:r>
          </w:hyperlink>
        </w:p>
        <w:p>
          <w:pPr>
            <w:pStyle w:val="Contents3"/>
            <w:tabs>
              <w:tab w:val="clear" w:pos="8459"/>
              <w:tab w:val="right" w:pos="9026" w:leader="dot"/>
            </w:tabs>
            <w:rPr/>
          </w:pPr>
          <w:hyperlink w:anchor="__RefHeading___Toc2527146_3224264995">
            <w:r>
              <w:rPr>
                <w:webHidden/>
                <w:rStyle w:val="IndexLink"/>
                <w:rtl w:val="true"/>
              </w:rPr>
              <w:t>[</w:t>
            </w:r>
            <w:r>
              <w:rPr>
                <w:rStyle w:val="IndexLink"/>
                <w:rtl w:val="true"/>
              </w:rPr>
              <w:t>إمکان التعبّد بالظنّ</w:t>
            </w:r>
            <w:r>
              <w:rPr>
                <w:rStyle w:val="IndexLink"/>
                <w:rtl w:val="true"/>
              </w:rPr>
              <w:t>]</w:t>
              <w:tab/>
            </w:r>
            <w:r>
              <w:rPr>
                <w:rStyle w:val="IndexLink"/>
              </w:rPr>
              <w:t>134</w:t>
            </w:r>
          </w:hyperlink>
        </w:p>
        <w:p>
          <w:pPr>
            <w:pStyle w:val="Contents4"/>
            <w:tabs>
              <w:tab w:val="clear" w:pos="8176"/>
              <w:tab w:val="right" w:pos="9026" w:leader="dot"/>
            </w:tabs>
            <w:rPr/>
          </w:pPr>
          <w:hyperlink w:anchor="__RefHeading___Toc2527148_3224264995">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2527150_3224264995">
            <w:r>
              <w:rPr>
                <w:webHidden/>
                <w:rStyle w:val="IndexLink"/>
                <w:rtl w:val="true"/>
              </w:rPr>
              <w:t>[</w:t>
            </w:r>
            <w:r>
              <w:rPr>
                <w:rStyle w:val="IndexLink"/>
                <w:rtl w:val="true"/>
              </w:rPr>
              <w:t>وجوه اخری ممکنة للتعبد بالظن</w:t>
            </w:r>
            <w:r>
              <w:rPr>
                <w:rStyle w:val="IndexLink"/>
                <w:rtl w:val="true"/>
              </w:rPr>
              <w:t>]</w:t>
              <w:tab/>
            </w:r>
            <w:r>
              <w:rPr>
                <w:rStyle w:val="IndexLink"/>
              </w:rPr>
              <w:t>134</w:t>
            </w:r>
          </w:hyperlink>
        </w:p>
        <w:p>
          <w:pPr>
            <w:pStyle w:val="Contents4"/>
            <w:tabs>
              <w:tab w:val="clear" w:pos="8176"/>
              <w:tab w:val="right" w:pos="9026" w:leader="dot"/>
            </w:tabs>
            <w:rPr/>
          </w:pPr>
          <w:hyperlink w:anchor="__RefHeading___Toc2527152_3224264995">
            <w:r>
              <w:rPr>
                <w:webHidden/>
                <w:rStyle w:val="IndexLink"/>
                <w:rtl w:val="true"/>
              </w:rPr>
              <w:t>[</w:t>
            </w:r>
            <w:r>
              <w:rPr>
                <w:rStyle w:val="IndexLink"/>
                <w:rtl w:val="true"/>
              </w:rPr>
              <w:t>التصویب الباطل بمعنی آخر</w:t>
            </w:r>
            <w:r>
              <w:rPr>
                <w:rStyle w:val="IndexLink"/>
                <w:rtl w:val="true"/>
              </w:rPr>
              <w:t>]</w:t>
              <w:tab/>
            </w:r>
            <w:r>
              <w:rPr>
                <w:rStyle w:val="IndexLink"/>
              </w:rPr>
              <w:t>135</w:t>
            </w:r>
          </w:hyperlink>
        </w:p>
        <w:p>
          <w:pPr>
            <w:pStyle w:val="Contents4"/>
            <w:tabs>
              <w:tab w:val="clear" w:pos="8176"/>
              <w:tab w:val="right" w:pos="9026" w:leader="dot"/>
            </w:tabs>
            <w:rPr/>
          </w:pPr>
          <w:hyperlink w:anchor="__RefHeading___Toc2527154_3224264995">
            <w:r>
              <w:rPr>
                <w:webHidden/>
                <w:rStyle w:val="IndexLink"/>
                <w:rtl w:val="true"/>
              </w:rPr>
              <w:t>[</w:t>
            </w:r>
            <w:r>
              <w:rPr>
                <w:rStyle w:val="IndexLink"/>
                <w:rtl w:val="true"/>
              </w:rPr>
              <w:t>محل الکلام فی التصویب و التخطئة</w:t>
            </w:r>
            <w:r>
              <w:rPr>
                <w:rStyle w:val="IndexLink"/>
                <w:rtl w:val="true"/>
              </w:rPr>
              <w:t>]</w:t>
              <w:tab/>
            </w:r>
            <w:r>
              <w:rPr>
                <w:rStyle w:val="IndexLink"/>
              </w:rPr>
              <w:t>138</w:t>
            </w:r>
          </w:hyperlink>
        </w:p>
        <w:p>
          <w:pPr>
            <w:pStyle w:val="Contents3"/>
            <w:tabs>
              <w:tab w:val="clear" w:pos="8459"/>
              <w:tab w:val="right" w:pos="9026" w:leader="dot"/>
            </w:tabs>
            <w:rPr/>
          </w:pPr>
          <w:hyperlink w:anchor="__RefHeading___Toc2527156_3224264995">
            <w:r>
              <w:rPr>
                <w:webHidden/>
                <w:rStyle w:val="IndexLink"/>
                <w:rtl w:val="true"/>
              </w:rPr>
              <w:t>[</w:t>
            </w:r>
            <w:r>
              <w:rPr>
                <w:rStyle w:val="IndexLink"/>
                <w:rtl w:val="true"/>
              </w:rPr>
              <w:t>فی وقوع التعبّد بالظنّ فی الأحکام الشرعیّة</w:t>
            </w:r>
            <w:r>
              <w:rPr>
                <w:rStyle w:val="IndexLink"/>
                <w:rtl w:val="true"/>
              </w:rPr>
              <w:t>]</w:t>
              <w:tab/>
            </w:r>
            <w:r>
              <w:rPr>
                <w:rStyle w:val="IndexLink"/>
              </w:rPr>
              <w:t>138</w:t>
            </w:r>
          </w:hyperlink>
        </w:p>
        <w:p>
          <w:pPr>
            <w:pStyle w:val="Contents4"/>
            <w:tabs>
              <w:tab w:val="clear" w:pos="8176"/>
              <w:tab w:val="right" w:pos="9026" w:leader="dot"/>
            </w:tabs>
            <w:rPr/>
          </w:pPr>
          <w:hyperlink w:anchor="__RefHeading___Toc2527158_3224264995">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2527160_3224264995">
            <w:r>
              <w:rPr>
                <w:webHidden/>
                <w:rStyle w:val="IndexLink"/>
                <w:rtl w:val="true"/>
              </w:rPr>
              <w:t>[</w:t>
            </w:r>
            <w:r>
              <w:rPr>
                <w:rStyle w:val="IndexLink"/>
                <w:rtl w:val="true"/>
              </w:rPr>
              <w:t>أقسام الظن و معانی العمل به</w:t>
            </w:r>
            <w:r>
              <w:rPr>
                <w:rStyle w:val="IndexLink"/>
                <w:rtl w:val="true"/>
              </w:rPr>
              <w:t>]</w:t>
              <w:tab/>
            </w:r>
            <w:r>
              <w:rPr>
                <w:rStyle w:val="IndexLink"/>
              </w:rPr>
              <w:t>139</w:t>
            </w:r>
          </w:hyperlink>
        </w:p>
        <w:p>
          <w:pPr>
            <w:pStyle w:val="Contents4"/>
            <w:tabs>
              <w:tab w:val="clear" w:pos="8176"/>
              <w:tab w:val="right" w:pos="9026" w:leader="dot"/>
            </w:tabs>
            <w:rPr/>
          </w:pPr>
          <w:hyperlink w:anchor="__RefHeading___Toc2527162_3224264995">
            <w:r>
              <w:rPr>
                <w:webHidden/>
                <w:rStyle w:val="IndexLink"/>
                <w:rtl w:val="true"/>
              </w:rPr>
              <w:t>[</w:t>
            </w:r>
            <w:r>
              <w:rPr>
                <w:rStyle w:val="IndexLink"/>
                <w:rtl w:val="true"/>
              </w:rPr>
              <w:t>الردّ علی ما استظهره من المتن فی حکم العمل بالظنّ بأقسامه و دفعه</w:t>
            </w:r>
            <w:r>
              <w:rPr>
                <w:rStyle w:val="IndexLink"/>
                <w:rtl w:val="true"/>
              </w:rPr>
              <w:t>]</w:t>
              <w:tab/>
            </w:r>
            <w:r>
              <w:rPr>
                <w:rStyle w:val="IndexLink"/>
              </w:rPr>
              <w:t>141</w:t>
            </w:r>
          </w:hyperlink>
        </w:p>
        <w:p>
          <w:pPr>
            <w:pStyle w:val="Contents4"/>
            <w:tabs>
              <w:tab w:val="clear" w:pos="8176"/>
              <w:tab w:val="right" w:pos="9026" w:leader="dot"/>
            </w:tabs>
            <w:rPr/>
          </w:pPr>
          <w:hyperlink w:anchor="__RefHeading___Toc2527164_3224264995">
            <w:r>
              <w:rPr>
                <w:webHidden/>
                <w:rStyle w:val="IndexLink"/>
                <w:rtl w:val="true"/>
              </w:rPr>
              <w:t>[</w:t>
            </w:r>
            <w:r>
              <w:rPr>
                <w:rStyle w:val="IndexLink"/>
                <w:rtl w:val="true"/>
              </w:rPr>
              <w:t>تحقیق فی أدلّة المانعین من العمل بالظن</w:t>
            </w:r>
            <w:r>
              <w:rPr>
                <w:rStyle w:val="IndexLink"/>
                <w:rtl w:val="true"/>
              </w:rPr>
              <w:t>]</w:t>
              <w:tab/>
            </w:r>
            <w:r>
              <w:rPr>
                <w:rStyle w:val="IndexLink"/>
              </w:rPr>
              <w:t>143</w:t>
            </w:r>
          </w:hyperlink>
        </w:p>
        <w:p>
          <w:pPr>
            <w:pStyle w:val="Contents4"/>
            <w:tabs>
              <w:tab w:val="clear" w:pos="8176"/>
              <w:tab w:val="right" w:pos="9026" w:leader="dot"/>
            </w:tabs>
            <w:rPr/>
          </w:pPr>
          <w:hyperlink w:anchor="__RefHeading___Toc2527166_3224264995">
            <w:r>
              <w:rPr>
                <w:webHidden/>
                <w:rStyle w:val="IndexLink"/>
                <w:rtl w:val="true"/>
              </w:rPr>
              <w:t>[</w:t>
            </w:r>
            <w:r>
              <w:rPr>
                <w:rStyle w:val="IndexLink"/>
                <w:rtl w:val="true"/>
              </w:rPr>
              <w:t>ایراد صاحب القوانین علی الاستدلال بالآیات و الروایات علی حرمة العمل بالظن عموما</w:t>
            </w:r>
            <w:r>
              <w:rPr>
                <w:rStyle w:val="IndexLink"/>
                <w:rtl w:val="true"/>
              </w:rPr>
              <w:t>]</w:t>
              <w:tab/>
            </w:r>
            <w:r>
              <w:rPr>
                <w:rStyle w:val="IndexLink"/>
              </w:rPr>
              <w:t>146</w:t>
            </w:r>
          </w:hyperlink>
        </w:p>
        <w:p>
          <w:pPr>
            <w:pStyle w:val="Contents4"/>
            <w:tabs>
              <w:tab w:val="clear" w:pos="8176"/>
              <w:tab w:val="right" w:pos="9026" w:leader="dot"/>
            </w:tabs>
            <w:rPr/>
          </w:pPr>
          <w:hyperlink w:anchor="__RefHeading___Toc2527168_3224264995">
            <w:r>
              <w:rPr>
                <w:webHidden/>
                <w:rStyle w:val="IndexLink"/>
                <w:rtl w:val="true"/>
              </w:rPr>
              <w:t>[</w:t>
            </w:r>
            <w:r>
              <w:rPr>
                <w:rStyle w:val="IndexLink"/>
                <w:rtl w:val="true"/>
              </w:rPr>
              <w:t>جواب من استاذه عن ایراد صاحب القوانین</w:t>
            </w:r>
            <w:r>
              <w:rPr>
                <w:rStyle w:val="IndexLink"/>
                <w:rtl w:val="true"/>
              </w:rPr>
              <w:t>]</w:t>
              <w:tab/>
            </w:r>
            <w:r>
              <w:rPr>
                <w:rStyle w:val="IndexLink"/>
              </w:rPr>
              <w:t>147</w:t>
            </w:r>
          </w:hyperlink>
        </w:p>
        <w:p>
          <w:pPr>
            <w:pStyle w:val="Contents4"/>
            <w:tabs>
              <w:tab w:val="clear" w:pos="8176"/>
              <w:tab w:val="right" w:pos="9026" w:leader="dot"/>
            </w:tabs>
            <w:rPr/>
          </w:pPr>
          <w:hyperlink w:anchor="__RefHeading___Toc2527170_3224264995">
            <w:r>
              <w:rPr>
                <w:webHidden/>
                <w:rStyle w:val="IndexLink"/>
                <w:rtl w:val="true"/>
              </w:rPr>
              <w:t>[</w:t>
            </w:r>
            <w:r>
              <w:rPr>
                <w:rStyle w:val="IndexLink"/>
                <w:rtl w:val="true"/>
              </w:rPr>
              <w:t>ارجاع الی الفصول فی دفع ایرادات صاحب القوانین</w:t>
            </w:r>
            <w:r>
              <w:rPr>
                <w:rStyle w:val="IndexLink"/>
                <w:rtl w:val="true"/>
              </w:rPr>
              <w:t>]</w:t>
              <w:tab/>
            </w:r>
            <w:r>
              <w:rPr>
                <w:rStyle w:val="IndexLink"/>
              </w:rPr>
              <w:t>148</w:t>
            </w:r>
          </w:hyperlink>
        </w:p>
        <w:p>
          <w:pPr>
            <w:pStyle w:val="Contents4"/>
            <w:tabs>
              <w:tab w:val="clear" w:pos="8176"/>
              <w:tab w:val="right" w:pos="9026" w:leader="dot"/>
            </w:tabs>
            <w:rPr/>
          </w:pPr>
          <w:hyperlink w:anchor="__RefHeading___Toc2527172_3224264995">
            <w:r>
              <w:rPr>
                <w:webHidden/>
                <w:rStyle w:val="IndexLink"/>
                <w:rtl w:val="true"/>
              </w:rPr>
              <w:t>[</w:t>
            </w:r>
            <w:r>
              <w:rPr>
                <w:rStyle w:val="IndexLink"/>
                <w:rtl w:val="true"/>
              </w:rPr>
              <w:t>ادلّة المجوّزین للعمل بالظن و انقسامها إلی قسمین</w:t>
            </w:r>
            <w:r>
              <w:rPr>
                <w:rStyle w:val="IndexLink"/>
                <w:rtl w:val="true"/>
              </w:rPr>
              <w:t>]</w:t>
              <w:tab/>
            </w:r>
            <w:r>
              <w:rPr>
                <w:rStyle w:val="IndexLink"/>
              </w:rPr>
              <w:t>148</w:t>
            </w:r>
          </w:hyperlink>
        </w:p>
        <w:p>
          <w:pPr>
            <w:pStyle w:val="Contents4"/>
            <w:tabs>
              <w:tab w:val="clear" w:pos="8176"/>
              <w:tab w:val="right" w:pos="9026" w:leader="dot"/>
            </w:tabs>
            <w:rPr/>
          </w:pPr>
          <w:hyperlink w:anchor="__RefHeading___Toc2527174_3224264995">
            <w:r>
              <w:rPr>
                <w:webHidden/>
                <w:rStyle w:val="IndexLink"/>
                <w:rtl w:val="true"/>
              </w:rPr>
              <w:t>[</w:t>
            </w:r>
            <w:r>
              <w:rPr>
                <w:rStyle w:val="IndexLink"/>
                <w:rtl w:val="true"/>
              </w:rPr>
              <w:t>العمل بالظن</w:t>
            </w:r>
            <w:r>
              <w:rPr>
                <w:rStyle w:val="IndexLink"/>
                <w:rtl w:val="true"/>
              </w:rPr>
              <w:t>]</w:t>
              <w:tab/>
            </w:r>
            <w:r>
              <w:rPr>
                <w:rStyle w:val="IndexLink"/>
              </w:rPr>
              <w:t>153</w:t>
            </w:r>
          </w:hyperlink>
        </w:p>
        <w:p>
          <w:pPr>
            <w:pStyle w:val="Contents4"/>
            <w:tabs>
              <w:tab w:val="clear" w:pos="8176"/>
              <w:tab w:val="right" w:pos="9026" w:leader="dot"/>
            </w:tabs>
            <w:rPr/>
          </w:pPr>
          <w:hyperlink w:anchor="__RefHeading___Toc2527176_3224264995">
            <w:r>
              <w:rPr>
                <w:webHidden/>
                <w:rStyle w:val="IndexLink"/>
                <w:rtl w:val="true"/>
              </w:rPr>
              <w:t>[</w:t>
            </w:r>
            <w:r>
              <w:rPr>
                <w:rStyle w:val="IndexLink"/>
                <w:rtl w:val="true"/>
              </w:rPr>
              <w:t>دراسة تقریر آخر للأصل فی المسألة</w:t>
            </w:r>
            <w:r>
              <w:rPr>
                <w:rStyle w:val="IndexLink"/>
                <w:rtl w:val="true"/>
              </w:rPr>
              <w:t>]</w:t>
              <w:tab/>
            </w:r>
            <w:r>
              <w:rPr>
                <w:rStyle w:val="IndexLink"/>
              </w:rPr>
              <w:t>156</w:t>
            </w:r>
          </w:hyperlink>
        </w:p>
        <w:p>
          <w:pPr>
            <w:pStyle w:val="Contents4"/>
            <w:tabs>
              <w:tab w:val="clear" w:pos="8176"/>
              <w:tab w:val="right" w:pos="9026" w:leader="dot"/>
            </w:tabs>
            <w:rPr/>
          </w:pPr>
          <w:hyperlink w:anchor="__RefHeading___Toc2527178_3224264995">
            <w:r>
              <w:rPr>
                <w:webHidden/>
                <w:rStyle w:val="IndexLink"/>
                <w:rtl w:val="true"/>
              </w:rPr>
              <w:t>[</w:t>
            </w:r>
            <w:r>
              <w:rPr>
                <w:rStyle w:val="IndexLink"/>
                <w:rtl w:val="true"/>
              </w:rPr>
              <w:t>تقریر آخر للأصل فی المسألة و تحقیقه</w:t>
            </w:r>
            <w:r>
              <w:rPr>
                <w:rStyle w:val="IndexLink"/>
                <w:rtl w:val="true"/>
              </w:rPr>
              <w:t>]</w:t>
              <w:tab/>
            </w:r>
            <w:r>
              <w:rPr>
                <w:rStyle w:val="IndexLink"/>
              </w:rPr>
              <w:t>157</w:t>
            </w:r>
          </w:hyperlink>
        </w:p>
        <w:p>
          <w:pPr>
            <w:pStyle w:val="Contents4"/>
            <w:tabs>
              <w:tab w:val="clear" w:pos="8176"/>
              <w:tab w:val="right" w:pos="9026" w:leader="dot"/>
            </w:tabs>
            <w:rPr/>
          </w:pPr>
          <w:hyperlink w:anchor="__RefHeading___Toc2527180_3224264995">
            <w:r>
              <w:rPr>
                <w:webHidden/>
                <w:rStyle w:val="IndexLink"/>
                <w:rtl w:val="true"/>
              </w:rPr>
              <w:t>[</w:t>
            </w:r>
            <w:r>
              <w:rPr>
                <w:rStyle w:val="IndexLink"/>
                <w:rtl w:val="true"/>
              </w:rPr>
              <w:t>المائز بین الظن الخاص و الظن المطلق</w:t>
            </w:r>
            <w:r>
              <w:rPr>
                <w:rStyle w:val="IndexLink"/>
                <w:rtl w:val="true"/>
              </w:rPr>
              <w:t>]</w:t>
              <w:tab/>
            </w:r>
            <w:r>
              <w:rPr>
                <w:rStyle w:val="IndexLink"/>
              </w:rPr>
              <w:t>159</w:t>
            </w:r>
          </w:hyperlink>
        </w:p>
        <w:p>
          <w:pPr>
            <w:pStyle w:val="Contents3"/>
            <w:tabs>
              <w:tab w:val="clear" w:pos="8459"/>
              <w:tab w:val="right" w:pos="9026" w:leader="dot"/>
            </w:tabs>
            <w:rPr/>
          </w:pPr>
          <w:hyperlink w:anchor="__RefHeading___Toc2527182_3224264995">
            <w:r>
              <w:rPr>
                <w:webHidden/>
                <w:rStyle w:val="IndexLink"/>
                <w:rtl w:val="true"/>
              </w:rPr>
              <w:t>[</w:t>
            </w:r>
            <w:r>
              <w:rPr>
                <w:rStyle w:val="IndexLink"/>
                <w:rtl w:val="true"/>
              </w:rPr>
              <w:t>الظنون المعتبرة</w:t>
            </w:r>
            <w:r>
              <w:rPr>
                <w:rStyle w:val="IndexLink"/>
                <w:rtl w:val="true"/>
              </w:rPr>
              <w:t>]</w:t>
              <w:tab/>
            </w:r>
            <w:r>
              <w:rPr>
                <w:rStyle w:val="IndexLink"/>
              </w:rPr>
              <w:t>160</w:t>
            </w:r>
          </w:hyperlink>
        </w:p>
        <w:p>
          <w:pPr>
            <w:pStyle w:val="Contents4"/>
            <w:tabs>
              <w:tab w:val="clear" w:pos="8176"/>
              <w:tab w:val="right" w:pos="9026" w:leader="dot"/>
            </w:tabs>
            <w:rPr/>
          </w:pPr>
          <w:hyperlink w:anchor="__RefHeading___Toc2527184_3224264995">
            <w:r>
              <w:rPr>
                <w:webHidden/>
                <w:rStyle w:val="IndexLink"/>
                <w:rtl w:val="true"/>
              </w:rPr>
              <w:t>[</w:t>
            </w:r>
            <w:r>
              <w:rPr>
                <w:rStyle w:val="IndexLink"/>
                <w:rtl w:val="true"/>
              </w:rPr>
              <w:t>منها الامارات المعمولة فی استنباط الاحکام الشرعیة من الفاظ الکتاب و السنة</w:t>
            </w:r>
            <w:r>
              <w:rPr>
                <w:rStyle w:val="IndexLink"/>
                <w:rtl w:val="true"/>
              </w:rPr>
              <w:t>]</w:t>
              <w:tab/>
            </w:r>
            <w:r>
              <w:rPr>
                <w:rStyle w:val="IndexLink"/>
              </w:rPr>
              <w:t>160</w:t>
            </w:r>
          </w:hyperlink>
        </w:p>
        <w:p>
          <w:pPr>
            <w:pStyle w:val="Contents5"/>
            <w:tabs>
              <w:tab w:val="clear" w:pos="7892"/>
              <w:tab w:val="right" w:pos="9026" w:leader="dot"/>
            </w:tabs>
            <w:rPr/>
          </w:pPr>
          <w:hyperlink w:anchor="__RefHeading___Toc2527186_3224264995">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2527188_3224264995">
            <w:r>
              <w:rPr>
                <w:webHidden/>
                <w:rStyle w:val="IndexLink"/>
                <w:rtl w:val="true"/>
              </w:rPr>
              <w:t>[</w:t>
            </w:r>
            <w:r>
              <w:rPr>
                <w:rStyle w:val="IndexLink"/>
                <w:rtl w:val="true"/>
              </w:rPr>
              <w:t>حجیة الظواهر</w:t>
            </w:r>
            <w:r>
              <w:rPr>
                <w:rStyle w:val="IndexLink"/>
                <w:rtl w:val="true"/>
              </w:rPr>
              <w:t>]</w:t>
              <w:tab/>
            </w:r>
            <w:r>
              <w:rPr>
                <w:rStyle w:val="IndexLink"/>
              </w:rPr>
              <w:t>161</w:t>
            </w:r>
          </w:hyperlink>
        </w:p>
        <w:p>
          <w:pPr>
            <w:pStyle w:val="Contents5"/>
            <w:tabs>
              <w:tab w:val="clear" w:pos="7892"/>
              <w:tab w:val="right" w:pos="9026" w:leader="dot"/>
            </w:tabs>
            <w:rPr/>
          </w:pPr>
          <w:hyperlink w:anchor="__RefHeading___Toc2527190_3224264995">
            <w:r>
              <w:rPr>
                <w:webHidden/>
                <w:rStyle w:val="IndexLink"/>
                <w:rtl w:val="true"/>
              </w:rPr>
              <w:t>[</w:t>
            </w:r>
            <w:r>
              <w:rPr>
                <w:rStyle w:val="IndexLink"/>
                <w:rtl w:val="true"/>
              </w:rPr>
              <w:t>اختلاف الاخباریین فی المنع عن العمل بظاهر الکتاب</w:t>
            </w:r>
            <w:r>
              <w:rPr>
                <w:rStyle w:val="IndexLink"/>
                <w:rtl w:val="true"/>
              </w:rPr>
              <w:t>]</w:t>
              <w:tab/>
            </w:r>
            <w:r>
              <w:rPr>
                <w:rStyle w:val="IndexLink"/>
              </w:rPr>
              <w:t>161</w:t>
            </w:r>
          </w:hyperlink>
        </w:p>
        <w:p>
          <w:pPr>
            <w:pStyle w:val="Contents5"/>
            <w:tabs>
              <w:tab w:val="clear" w:pos="7892"/>
              <w:tab w:val="right" w:pos="9026" w:leader="dot"/>
            </w:tabs>
            <w:rPr/>
          </w:pPr>
          <w:hyperlink w:anchor="__RefHeading___Toc2527192_3224264995">
            <w:r>
              <w:rPr>
                <w:webHidden/>
                <w:rStyle w:val="IndexLink"/>
                <w:rtl w:val="true"/>
              </w:rPr>
              <w:t>[</w:t>
            </w:r>
            <w:r>
              <w:rPr>
                <w:rStyle w:val="IndexLink"/>
                <w:rtl w:val="true"/>
              </w:rPr>
              <w:t>حجّیة محکمات القرآن</w:t>
            </w:r>
            <w:r>
              <w:rPr>
                <w:rStyle w:val="IndexLink"/>
                <w:rtl w:val="true"/>
              </w:rPr>
              <w:t>]</w:t>
              <w:tab/>
            </w:r>
            <w:r>
              <w:rPr>
                <w:rStyle w:val="IndexLink"/>
              </w:rPr>
              <w:t>162</w:t>
            </w:r>
          </w:hyperlink>
        </w:p>
        <w:p>
          <w:pPr>
            <w:pStyle w:val="Contents5"/>
            <w:tabs>
              <w:tab w:val="clear" w:pos="7892"/>
              <w:tab w:val="right" w:pos="9026" w:leader="dot"/>
            </w:tabs>
            <w:rPr/>
          </w:pPr>
          <w:hyperlink w:anchor="__RefHeading___Toc2527194_3224264995">
            <w:r>
              <w:rPr>
                <w:webHidden/>
                <w:rStyle w:val="IndexLink"/>
                <w:rtl w:val="true"/>
              </w:rPr>
              <w:t>[</w:t>
            </w:r>
            <w:r>
              <w:rPr>
                <w:rStyle w:val="IndexLink"/>
                <w:rtl w:val="true"/>
              </w:rPr>
              <w:t>ردّ ما استدل به علی عدم حجّیة ظواهر الکتاب</w:t>
            </w:r>
            <w:r>
              <w:rPr>
                <w:rStyle w:val="IndexLink"/>
                <w:rtl w:val="true"/>
              </w:rPr>
              <w:t>]</w:t>
              <w:tab/>
            </w:r>
            <w:r>
              <w:rPr>
                <w:rStyle w:val="IndexLink"/>
              </w:rPr>
              <w:t>163</w:t>
            </w:r>
          </w:hyperlink>
        </w:p>
        <w:p>
          <w:pPr>
            <w:pStyle w:val="Contents5"/>
            <w:tabs>
              <w:tab w:val="clear" w:pos="7892"/>
              <w:tab w:val="right" w:pos="9026" w:leader="dot"/>
            </w:tabs>
            <w:rPr/>
          </w:pPr>
          <w:hyperlink w:anchor="__RefHeading___Toc2527196_3224264995">
            <w:r>
              <w:rPr>
                <w:webHidden/>
                <w:rStyle w:val="IndexLink"/>
                <w:rtl w:val="true"/>
              </w:rPr>
              <w:t>[</w:t>
            </w:r>
            <w:r>
              <w:rPr>
                <w:rStyle w:val="IndexLink"/>
                <w:rtl w:val="true"/>
              </w:rPr>
              <w:t>تواتر القراءات</w:t>
            </w:r>
            <w:r>
              <w:rPr>
                <w:rStyle w:val="IndexLink"/>
                <w:rtl w:val="true"/>
              </w:rPr>
              <w:t>]</w:t>
              <w:tab/>
            </w:r>
            <w:r>
              <w:rPr>
                <w:rStyle w:val="IndexLink"/>
              </w:rPr>
              <w:t>169</w:t>
            </w:r>
          </w:hyperlink>
        </w:p>
        <w:p>
          <w:pPr>
            <w:pStyle w:val="Contents5"/>
            <w:tabs>
              <w:tab w:val="clear" w:pos="7892"/>
              <w:tab w:val="right" w:pos="9026" w:leader="dot"/>
            </w:tabs>
            <w:rPr/>
          </w:pPr>
          <w:hyperlink w:anchor="__RefHeading___Toc2527198_3224264995">
            <w:r>
              <w:rPr>
                <w:webHidden/>
                <w:rStyle w:val="IndexLink"/>
                <w:rtl w:val="true"/>
              </w:rPr>
              <w:t>[</w:t>
            </w:r>
            <w:r>
              <w:rPr>
                <w:rStyle w:val="IndexLink"/>
                <w:rtl w:val="true"/>
              </w:rPr>
              <w:t xml:space="preserve">مناقشة کلام الماتن </w:t>
            </w:r>
            <w:r>
              <w:rPr>
                <w:rStyle w:val="IndexLink"/>
              </w:rPr>
              <w:t>171</w:t>
            </w:r>
            <w:r>
              <w:rPr>
                <w:rStyle w:val="IndexLink"/>
                <w:rtl w:val="true"/>
              </w:rPr>
              <w:t>]</w:t>
              <w:tab/>
            </w:r>
            <w:r>
              <w:rPr>
                <w:rStyle w:val="IndexLink"/>
              </w:rPr>
              <w:t>181</w:t>
            </w:r>
          </w:hyperlink>
        </w:p>
        <w:p>
          <w:pPr>
            <w:pStyle w:val="Contents5"/>
            <w:tabs>
              <w:tab w:val="clear" w:pos="7892"/>
              <w:tab w:val="right" w:pos="9026" w:leader="dot"/>
            </w:tabs>
            <w:rPr/>
          </w:pPr>
          <w:hyperlink w:anchor="__RefHeading___Toc2527200_3224264995">
            <w:r>
              <w:rPr>
                <w:webHidden/>
                <w:rStyle w:val="IndexLink"/>
                <w:rtl w:val="true"/>
              </w:rPr>
              <w:t>[</w:t>
            </w:r>
            <w:r>
              <w:rPr>
                <w:rStyle w:val="IndexLink"/>
                <w:rtl w:val="true"/>
              </w:rPr>
              <w:t>مدلول خبر الثقلین</w:t>
            </w:r>
            <w:r>
              <w:rPr>
                <w:rStyle w:val="IndexLink"/>
                <w:rtl w:val="true"/>
              </w:rPr>
              <w:t>]</w:t>
              <w:tab/>
            </w:r>
            <w:r>
              <w:rPr>
                <w:rStyle w:val="IndexLink"/>
              </w:rPr>
              <w:t>182</w:t>
            </w:r>
          </w:hyperlink>
        </w:p>
        <w:p>
          <w:pPr>
            <w:pStyle w:val="Contents5"/>
            <w:tabs>
              <w:tab w:val="clear" w:pos="7892"/>
              <w:tab w:val="right" w:pos="9026" w:leader="dot"/>
            </w:tabs>
            <w:rPr/>
          </w:pPr>
          <w:hyperlink w:anchor="__RefHeading___Toc2527202_3224264995">
            <w:r>
              <w:rPr>
                <w:webHidden/>
                <w:rStyle w:val="IndexLink"/>
                <w:rtl w:val="true"/>
              </w:rPr>
              <w:t>[</w:t>
            </w:r>
            <w:r>
              <w:rPr>
                <w:rStyle w:val="IndexLink"/>
                <w:rtl w:val="true"/>
              </w:rPr>
              <w:t>تفصیل النظر فی ما أورده صاحب المعالم</w:t>
            </w:r>
            <w:r>
              <w:rPr>
                <w:rStyle w:val="IndexLink"/>
                <w:rtl w:val="true"/>
              </w:rPr>
              <w:t>]</w:t>
              <w:tab/>
            </w:r>
            <w:r>
              <w:rPr>
                <w:rStyle w:val="IndexLink"/>
              </w:rPr>
              <w:t>182</w:t>
            </w:r>
          </w:hyperlink>
        </w:p>
        <w:p>
          <w:pPr>
            <w:pStyle w:val="Contents5"/>
            <w:tabs>
              <w:tab w:val="clear" w:pos="7892"/>
              <w:tab w:val="right" w:pos="9026" w:leader="dot"/>
            </w:tabs>
            <w:rPr/>
          </w:pPr>
          <w:hyperlink w:anchor="__RefHeading___Toc2527204_3224264995">
            <w:r>
              <w:rPr>
                <w:webHidden/>
                <w:rStyle w:val="IndexLink"/>
                <w:rtl w:val="true"/>
              </w:rPr>
              <w:t>[</w:t>
            </w:r>
            <w:r>
              <w:rPr>
                <w:rStyle w:val="IndexLink"/>
                <w:rtl w:val="true"/>
              </w:rPr>
              <w:t>کیفیة اعتبار الظواهر</w:t>
            </w:r>
            <w:r>
              <w:rPr>
                <w:rStyle w:val="IndexLink"/>
                <w:rtl w:val="true"/>
              </w:rPr>
              <w:t>]</w:t>
              <w:tab/>
            </w:r>
            <w:r>
              <w:rPr>
                <w:rStyle w:val="IndexLink"/>
              </w:rPr>
              <w:t>185</w:t>
            </w:r>
          </w:hyperlink>
        </w:p>
        <w:p>
          <w:pPr>
            <w:pStyle w:val="Contents5"/>
            <w:tabs>
              <w:tab w:val="clear" w:pos="7892"/>
              <w:tab w:val="right" w:pos="9026" w:leader="dot"/>
            </w:tabs>
            <w:rPr/>
          </w:pPr>
          <w:hyperlink w:anchor="__RefHeading___Toc2527206_3224264995">
            <w:r>
              <w:rPr>
                <w:webHidden/>
                <w:rStyle w:val="IndexLink"/>
                <w:rtl w:val="true"/>
              </w:rPr>
              <w:t>[</w:t>
            </w:r>
            <w:r>
              <w:rPr>
                <w:rStyle w:val="IndexLink"/>
                <w:rtl w:val="true"/>
              </w:rPr>
              <w:t>الأقوال المتصوّرة فی حجّیة الظواهر غیر مختصّة بحجّیة الظواهر</w:t>
            </w:r>
            <w:r>
              <w:rPr>
                <w:rStyle w:val="IndexLink"/>
                <w:rtl w:val="true"/>
              </w:rPr>
              <w:t>]</w:t>
              <w:tab/>
            </w:r>
            <w:r>
              <w:rPr>
                <w:rStyle w:val="IndexLink"/>
              </w:rPr>
              <w:t>186</w:t>
            </w:r>
          </w:hyperlink>
        </w:p>
        <w:p>
          <w:pPr>
            <w:pStyle w:val="Contents5"/>
            <w:tabs>
              <w:tab w:val="clear" w:pos="7892"/>
              <w:tab w:val="right" w:pos="9026" w:leader="dot"/>
            </w:tabs>
            <w:rPr/>
          </w:pPr>
          <w:hyperlink w:anchor="__RefHeading___Toc2527208_3224264995">
            <w:r>
              <w:rPr>
                <w:webHidden/>
                <w:rStyle w:val="IndexLink"/>
                <w:rtl w:val="true"/>
              </w:rPr>
              <w:t>[</w:t>
            </w:r>
            <w:r>
              <w:rPr>
                <w:rStyle w:val="IndexLink"/>
                <w:rtl w:val="true"/>
              </w:rPr>
              <w:t>تحریر محلّ النزاع</w:t>
            </w:r>
            <w:r>
              <w:rPr>
                <w:rStyle w:val="IndexLink"/>
                <w:rtl w:val="true"/>
              </w:rPr>
              <w:t>]</w:t>
              <w:tab/>
            </w:r>
            <w:r>
              <w:rPr>
                <w:rStyle w:val="IndexLink"/>
              </w:rPr>
              <w:t>186</w:t>
            </w:r>
          </w:hyperlink>
        </w:p>
        <w:p>
          <w:pPr>
            <w:pStyle w:val="Contents5"/>
            <w:tabs>
              <w:tab w:val="clear" w:pos="7892"/>
              <w:tab w:val="right" w:pos="9026" w:leader="dot"/>
            </w:tabs>
            <w:rPr/>
          </w:pPr>
          <w:hyperlink w:anchor="__RefHeading___Toc2527210_3224264995">
            <w:r>
              <w:rPr>
                <w:webHidden/>
                <w:rStyle w:val="IndexLink"/>
                <w:rtl w:val="true"/>
              </w:rPr>
              <w:t>[</w:t>
            </w:r>
            <w:r>
              <w:rPr>
                <w:rStyle w:val="IndexLink"/>
                <w:rtl w:val="true"/>
              </w:rPr>
              <w:t xml:space="preserve">الأصل فی المسألة </w:t>
            </w:r>
            <w:r>
              <w:rPr>
                <w:rStyle w:val="IndexLink"/>
              </w:rPr>
              <w:t>179</w:t>
            </w:r>
            <w:r>
              <w:rPr>
                <w:rStyle w:val="IndexLink"/>
                <w:rtl w:val="true"/>
              </w:rPr>
              <w:t>]</w:t>
              <w:tab/>
            </w:r>
            <w:r>
              <w:rPr>
                <w:rStyle w:val="IndexLink"/>
              </w:rPr>
              <w:t>189</w:t>
            </w:r>
          </w:hyperlink>
        </w:p>
        <w:p>
          <w:pPr>
            <w:pStyle w:val="Contents5"/>
            <w:tabs>
              <w:tab w:val="clear" w:pos="7892"/>
              <w:tab w:val="right" w:pos="9026" w:leader="dot"/>
            </w:tabs>
            <w:rPr/>
          </w:pPr>
          <w:hyperlink w:anchor="__RefHeading___Toc2527212_3224264995">
            <w:r>
              <w:rPr>
                <w:webHidden/>
                <w:rStyle w:val="IndexLink"/>
                <w:rtl w:val="true"/>
              </w:rPr>
              <w:t>[</w:t>
            </w:r>
            <w:r>
              <w:rPr>
                <w:rStyle w:val="IndexLink"/>
                <w:rtl w:val="true"/>
              </w:rPr>
              <w:t>وجوه الأقوال فی کیفیة حجّیة الظواهر</w:t>
            </w:r>
            <w:r>
              <w:rPr>
                <w:rStyle w:val="IndexLink"/>
                <w:rtl w:val="true"/>
              </w:rPr>
              <w:t>]</w:t>
              <w:tab/>
            </w:r>
            <w:r>
              <w:rPr>
                <w:rStyle w:val="IndexLink"/>
              </w:rPr>
              <w:t>191</w:t>
            </w:r>
          </w:hyperlink>
        </w:p>
        <w:p>
          <w:pPr>
            <w:pStyle w:val="Contents5"/>
            <w:tabs>
              <w:tab w:val="clear" w:pos="7892"/>
              <w:tab w:val="right" w:pos="9026" w:leader="dot"/>
            </w:tabs>
            <w:rPr/>
          </w:pPr>
          <w:hyperlink w:anchor="__RefHeading___Toc2527214_3224264995">
            <w:r>
              <w:rPr>
                <w:webHidden/>
                <w:rStyle w:val="IndexLink"/>
                <w:rtl w:val="true"/>
              </w:rPr>
              <w:t>[</w:t>
            </w:r>
            <w:r>
              <w:rPr>
                <w:rStyle w:val="IndexLink"/>
                <w:rtl w:val="true"/>
              </w:rPr>
              <w:t>استصحاب العموم و الإطلاق</w:t>
            </w:r>
            <w:r>
              <w:rPr>
                <w:rStyle w:val="IndexLink"/>
                <w:rtl w:val="true"/>
              </w:rPr>
              <w:t>]</w:t>
              <w:tab/>
            </w:r>
            <w:r>
              <w:rPr>
                <w:rStyle w:val="IndexLink"/>
              </w:rPr>
              <w:t>197</w:t>
            </w:r>
          </w:hyperlink>
        </w:p>
        <w:p>
          <w:pPr>
            <w:pStyle w:val="Contents5"/>
            <w:tabs>
              <w:tab w:val="clear" w:pos="7892"/>
              <w:tab w:val="right" w:pos="9026" w:leader="dot"/>
            </w:tabs>
            <w:rPr/>
          </w:pPr>
          <w:hyperlink w:anchor="__RefHeading___Toc2527216_3224264995">
            <w:r>
              <w:rPr>
                <w:webHidden/>
                <w:rStyle w:val="IndexLink"/>
                <w:rtl w:val="true"/>
              </w:rPr>
              <w:t>[</w:t>
            </w:r>
            <w:r>
              <w:rPr>
                <w:rStyle w:val="IndexLink"/>
                <w:rtl w:val="true"/>
              </w:rPr>
              <w:t>فی تمیّز الظهور العرفی عن موارد الاجمال</w:t>
            </w:r>
            <w:r>
              <w:rPr>
                <w:rStyle w:val="IndexLink"/>
                <w:rtl w:val="true"/>
              </w:rPr>
              <w:t>]</w:t>
              <w:tab/>
            </w:r>
            <w:r>
              <w:rPr>
                <w:rStyle w:val="IndexLink"/>
              </w:rPr>
              <w:t>197</w:t>
            </w:r>
          </w:hyperlink>
        </w:p>
        <w:p>
          <w:pPr>
            <w:pStyle w:val="Contents5"/>
            <w:tabs>
              <w:tab w:val="clear" w:pos="7892"/>
              <w:tab w:val="right" w:pos="9026" w:leader="dot"/>
            </w:tabs>
            <w:rPr/>
          </w:pPr>
          <w:hyperlink w:anchor="__RefHeading___Toc2527218_3224264995">
            <w:r>
              <w:rPr>
                <w:webHidden/>
                <w:rStyle w:val="IndexLink"/>
                <w:rtl w:val="true"/>
              </w:rPr>
              <w:t>[</w:t>
            </w:r>
            <w:r>
              <w:rPr>
                <w:rStyle w:val="IndexLink"/>
                <w:rtl w:val="true"/>
              </w:rPr>
              <w:t>تعارض الظهورین</w:t>
            </w:r>
            <w:r>
              <w:rPr>
                <w:rStyle w:val="IndexLink"/>
                <w:rtl w:val="true"/>
              </w:rPr>
              <w:t>]</w:t>
              <w:tab/>
            </w:r>
            <w:r>
              <w:rPr>
                <w:rStyle w:val="IndexLink"/>
              </w:rPr>
              <w:t>198</w:t>
            </w:r>
          </w:hyperlink>
        </w:p>
        <w:p>
          <w:pPr>
            <w:pStyle w:val="Contents5"/>
            <w:tabs>
              <w:tab w:val="clear" w:pos="7892"/>
              <w:tab w:val="right" w:pos="9026" w:leader="dot"/>
            </w:tabs>
            <w:rPr/>
          </w:pPr>
          <w:hyperlink w:anchor="__RefHeading___Toc2527220_3224264995">
            <w:r>
              <w:rPr>
                <w:webHidden/>
                <w:rStyle w:val="IndexLink"/>
                <w:rtl w:val="true"/>
              </w:rPr>
              <w:t>[</w:t>
            </w:r>
            <w:r>
              <w:rPr>
                <w:rStyle w:val="IndexLink"/>
                <w:rtl w:val="true"/>
              </w:rPr>
              <w:t>الظاهر المکتنف بمشکوک القرینة</w:t>
            </w:r>
            <w:r>
              <w:rPr>
                <w:rStyle w:val="IndexLink"/>
                <w:rtl w:val="true"/>
              </w:rPr>
              <w:t>]</w:t>
              <w:tab/>
            </w:r>
            <w:r>
              <w:rPr>
                <w:rStyle w:val="IndexLink"/>
              </w:rPr>
              <w:t>199</w:t>
            </w:r>
          </w:hyperlink>
        </w:p>
        <w:p>
          <w:pPr>
            <w:pStyle w:val="Contents5"/>
            <w:tabs>
              <w:tab w:val="clear" w:pos="7892"/>
              <w:tab w:val="right" w:pos="9026" w:leader="dot"/>
            </w:tabs>
            <w:rPr/>
          </w:pPr>
          <w:hyperlink w:anchor="__RefHeading___Toc2527222_3224264995">
            <w:r>
              <w:rPr>
                <w:webHidden/>
                <w:rStyle w:val="IndexLink"/>
                <w:rtl w:val="true"/>
              </w:rPr>
              <w:t>[</w:t>
            </w:r>
            <w:r>
              <w:rPr>
                <w:rStyle w:val="IndexLink"/>
                <w:rtl w:val="true"/>
              </w:rPr>
              <w:t>دراسة التفصیل بین الاتصال بما یحتمل القرینیة و بین انفصاله</w:t>
            </w:r>
            <w:r>
              <w:rPr>
                <w:rStyle w:val="IndexLink"/>
                <w:rtl w:val="true"/>
              </w:rPr>
              <w:t>]</w:t>
              <w:tab/>
            </w:r>
            <w:r>
              <w:rPr>
                <w:rStyle w:val="IndexLink"/>
              </w:rPr>
              <w:t>200</w:t>
            </w:r>
          </w:hyperlink>
        </w:p>
        <w:p>
          <w:pPr>
            <w:pStyle w:val="Contents5"/>
            <w:tabs>
              <w:tab w:val="clear" w:pos="7892"/>
              <w:tab w:val="right" w:pos="9026" w:leader="dot"/>
            </w:tabs>
            <w:rPr/>
          </w:pPr>
          <w:hyperlink w:anchor="__RefHeading___Toc2527224_3224264995">
            <w:r>
              <w:rPr>
                <w:webHidden/>
                <w:rStyle w:val="IndexLink"/>
                <w:rtl w:val="true"/>
              </w:rPr>
              <w:t>[</w:t>
            </w:r>
            <w:r>
              <w:rPr>
                <w:rStyle w:val="IndexLink"/>
                <w:rtl w:val="true"/>
              </w:rPr>
              <w:t>الظاهر المکتنف بما یشکّ فی مقدار قرینیّته و صارفیّته</w:t>
            </w:r>
            <w:r>
              <w:rPr>
                <w:rStyle w:val="IndexLink"/>
                <w:rtl w:val="true"/>
              </w:rPr>
              <w:t>]</w:t>
              <w:tab/>
            </w:r>
            <w:r>
              <w:rPr>
                <w:rStyle w:val="IndexLink"/>
              </w:rPr>
              <w:t>203</w:t>
            </w:r>
          </w:hyperlink>
        </w:p>
        <w:p>
          <w:pPr>
            <w:pStyle w:val="Contents5"/>
            <w:tabs>
              <w:tab w:val="clear" w:pos="7892"/>
              <w:tab w:val="right" w:pos="9026" w:leader="dot"/>
            </w:tabs>
            <w:rPr/>
          </w:pPr>
          <w:hyperlink w:anchor="__RefHeading___Toc2527226_3224264995">
            <w:r>
              <w:rPr>
                <w:webHidden/>
                <w:rStyle w:val="IndexLink"/>
                <w:rtl w:val="true"/>
              </w:rPr>
              <w:t>[</w:t>
            </w:r>
            <w:r>
              <w:rPr>
                <w:rStyle w:val="IndexLink"/>
                <w:rtl w:val="true"/>
              </w:rPr>
              <w:t>المشخّص و المثبت للظهور</w:t>
            </w:r>
            <w:r>
              <w:rPr>
                <w:rStyle w:val="IndexLink"/>
                <w:rtl w:val="true"/>
              </w:rPr>
              <w:t>]</w:t>
              <w:tab/>
            </w:r>
            <w:r>
              <w:rPr>
                <w:rStyle w:val="IndexLink"/>
              </w:rPr>
              <w:t>203</w:t>
            </w:r>
          </w:hyperlink>
        </w:p>
        <w:p>
          <w:pPr>
            <w:pStyle w:val="Contents5"/>
            <w:tabs>
              <w:tab w:val="clear" w:pos="7892"/>
              <w:tab w:val="right" w:pos="9026" w:leader="dot"/>
            </w:tabs>
            <w:rPr/>
          </w:pPr>
          <w:hyperlink w:anchor="__RefHeading___Toc2527228_3224264995">
            <w:r>
              <w:rPr>
                <w:webHidden/>
                <w:rStyle w:val="IndexLink"/>
                <w:rtl w:val="true"/>
              </w:rPr>
              <w:t>[</w:t>
            </w:r>
            <w:r>
              <w:rPr>
                <w:rStyle w:val="IndexLink"/>
                <w:rtl w:val="true"/>
              </w:rPr>
              <w:t>ثبوت الموضوعات المستنبطة بالظن</w:t>
            </w:r>
            <w:r>
              <w:rPr>
                <w:rStyle w:val="IndexLink"/>
                <w:rtl w:val="true"/>
              </w:rPr>
              <w:t>]</w:t>
              <w:tab/>
            </w:r>
            <w:r>
              <w:rPr>
                <w:rStyle w:val="IndexLink"/>
              </w:rPr>
              <w:t>204</w:t>
            </w:r>
          </w:hyperlink>
        </w:p>
        <w:p>
          <w:pPr>
            <w:pStyle w:val="Contents5"/>
            <w:tabs>
              <w:tab w:val="clear" w:pos="7892"/>
              <w:tab w:val="right" w:pos="9026" w:leader="dot"/>
            </w:tabs>
            <w:rPr/>
          </w:pPr>
          <w:hyperlink w:anchor="__RefHeading___Toc2527230_3224264995">
            <w:r>
              <w:rPr>
                <w:webHidden/>
                <w:rStyle w:val="IndexLink"/>
                <w:rtl w:val="true"/>
              </w:rPr>
              <w:t>[</w:t>
            </w:r>
            <w:r>
              <w:rPr>
                <w:rStyle w:val="IndexLink"/>
                <w:rtl w:val="true"/>
              </w:rPr>
              <w:t>الانسداد الشخصیّ فی تشخیص الظواهر</w:t>
            </w:r>
            <w:r>
              <w:rPr>
                <w:rStyle w:val="IndexLink"/>
                <w:rtl w:val="true"/>
              </w:rPr>
              <w:t>]</w:t>
              <w:tab/>
            </w:r>
            <w:r>
              <w:rPr>
                <w:rStyle w:val="IndexLink"/>
              </w:rPr>
              <w:t>206</w:t>
            </w:r>
          </w:hyperlink>
        </w:p>
        <w:p>
          <w:pPr>
            <w:pStyle w:val="Contents5"/>
            <w:tabs>
              <w:tab w:val="clear" w:pos="7892"/>
              <w:tab w:val="right" w:pos="9026" w:leader="dot"/>
            </w:tabs>
            <w:rPr/>
          </w:pPr>
          <w:hyperlink w:anchor="__RefHeading___Toc2527232_3224264995">
            <w:r>
              <w:rPr>
                <w:webHidden/>
                <w:rStyle w:val="IndexLink"/>
                <w:rtl w:val="true"/>
              </w:rPr>
              <w:t>[</w:t>
            </w:r>
            <w:r>
              <w:rPr>
                <w:rStyle w:val="IndexLink"/>
                <w:rtl w:val="true"/>
              </w:rPr>
              <w:t>حجیة الظنّ فی اثبات الظواهر</w:t>
            </w:r>
            <w:r>
              <w:rPr>
                <w:rStyle w:val="IndexLink"/>
                <w:rtl w:val="true"/>
              </w:rPr>
              <w:t>]</w:t>
              <w:tab/>
            </w:r>
            <w:r>
              <w:rPr>
                <w:rStyle w:val="IndexLink"/>
              </w:rPr>
              <w:t>206</w:t>
            </w:r>
          </w:hyperlink>
        </w:p>
        <w:p>
          <w:pPr>
            <w:pStyle w:val="Contents5"/>
            <w:tabs>
              <w:tab w:val="clear" w:pos="7892"/>
              <w:tab w:val="right" w:pos="9026" w:leader="dot"/>
            </w:tabs>
            <w:rPr/>
          </w:pPr>
          <w:hyperlink w:anchor="__RefHeading___Toc2527234_3224264995">
            <w:r>
              <w:rPr>
                <w:webHidden/>
                <w:rStyle w:val="IndexLink"/>
                <w:rtl w:val="true"/>
              </w:rPr>
              <w:t>[</w:t>
            </w:r>
            <w:r>
              <w:rPr>
                <w:rStyle w:val="IndexLink"/>
                <w:rtl w:val="true"/>
              </w:rPr>
              <w:t>رد دعوی الماتن کون أکثر موارد اللغات معلوم</w:t>
            </w:r>
            <w:r>
              <w:rPr>
                <w:rStyle w:val="IndexLink"/>
                <w:rtl w:val="true"/>
              </w:rPr>
              <w:t>]</w:t>
              <w:tab/>
            </w:r>
            <w:r>
              <w:rPr>
                <w:rStyle w:val="IndexLink"/>
              </w:rPr>
              <w:t>207</w:t>
            </w:r>
          </w:hyperlink>
        </w:p>
        <w:p>
          <w:pPr>
            <w:pStyle w:val="Contents5"/>
            <w:tabs>
              <w:tab w:val="clear" w:pos="7892"/>
              <w:tab w:val="right" w:pos="9026" w:leader="dot"/>
            </w:tabs>
            <w:rPr/>
          </w:pPr>
          <w:hyperlink w:anchor="__RefHeading___Toc2527236_3224264995">
            <w:r>
              <w:rPr>
                <w:webHidden/>
                <w:rStyle w:val="IndexLink"/>
                <w:rtl w:val="true"/>
              </w:rPr>
              <w:t>[</w:t>
            </w:r>
            <w:r>
              <w:rPr>
                <w:rStyle w:val="IndexLink"/>
                <w:rtl w:val="true"/>
              </w:rPr>
              <w:t>حکایة کفایة الظنون فی إثبات الظواهر</w:t>
            </w:r>
            <w:r>
              <w:rPr>
                <w:rStyle w:val="IndexLink"/>
                <w:rtl w:val="true"/>
              </w:rPr>
              <w:t>]</w:t>
              <w:tab/>
            </w:r>
            <w:r>
              <w:rPr>
                <w:rStyle w:val="IndexLink"/>
              </w:rPr>
              <w:t>208</w:t>
            </w:r>
          </w:hyperlink>
        </w:p>
        <w:p>
          <w:pPr>
            <w:pStyle w:val="Contents5"/>
            <w:tabs>
              <w:tab w:val="clear" w:pos="7892"/>
              <w:tab w:val="right" w:pos="9026" w:leader="dot"/>
            </w:tabs>
            <w:rPr/>
          </w:pPr>
          <w:hyperlink w:anchor="__RefHeading___Toc2527238_3224264995">
            <w:r>
              <w:rPr>
                <w:webHidden/>
                <w:rStyle w:val="IndexLink"/>
                <w:rtl w:val="true"/>
              </w:rPr>
              <w:t>[</w:t>
            </w:r>
            <w:r>
              <w:rPr>
                <w:rStyle w:val="IndexLink"/>
                <w:rtl w:val="true"/>
              </w:rPr>
              <w:t>دفع الإیراد عن دعوی الاجماع فی المسألة</w:t>
            </w:r>
            <w:r>
              <w:rPr>
                <w:rStyle w:val="IndexLink"/>
                <w:rtl w:val="true"/>
              </w:rPr>
              <w:t>]</w:t>
              <w:tab/>
            </w:r>
            <w:r>
              <w:rPr>
                <w:rStyle w:val="IndexLink"/>
              </w:rPr>
              <w:t>209</w:t>
            </w:r>
          </w:hyperlink>
        </w:p>
        <w:p>
          <w:pPr>
            <w:pStyle w:val="Contents5"/>
            <w:tabs>
              <w:tab w:val="clear" w:pos="7892"/>
              <w:tab w:val="right" w:pos="9026" w:leader="dot"/>
            </w:tabs>
            <w:rPr/>
          </w:pPr>
          <w:hyperlink w:anchor="__RefHeading___Toc2527240_3224264995">
            <w:r>
              <w:rPr>
                <w:webHidden/>
                <w:rStyle w:val="IndexLink"/>
                <w:rtl w:val="true"/>
              </w:rPr>
              <w:t>[</w:t>
            </w:r>
            <w:r>
              <w:rPr>
                <w:rStyle w:val="IndexLink"/>
                <w:rtl w:val="true"/>
              </w:rPr>
              <w:t>ما استدلّ به صاحب الضوابط علی کفایة قول اللغوی فی تشخیص الظواهر</w:t>
            </w:r>
            <w:r>
              <w:rPr>
                <w:rStyle w:val="IndexLink"/>
                <w:rtl w:val="true"/>
              </w:rPr>
              <w:t>]</w:t>
              <w:tab/>
            </w:r>
            <w:r>
              <w:rPr>
                <w:rStyle w:val="IndexLink"/>
              </w:rPr>
              <w:t>212</w:t>
            </w:r>
          </w:hyperlink>
        </w:p>
        <w:p>
          <w:pPr>
            <w:pStyle w:val="Contents4"/>
            <w:tabs>
              <w:tab w:val="clear" w:pos="8176"/>
              <w:tab w:val="right" w:pos="9026" w:leader="dot"/>
            </w:tabs>
            <w:rPr/>
          </w:pPr>
          <w:hyperlink w:anchor="__RefHeading___Toc2527242_3224264995">
            <w:r>
              <w:rPr>
                <w:webHidden/>
                <w:rStyle w:val="IndexLink"/>
                <w:rtl w:val="true"/>
              </w:rPr>
              <w:t>[</w:t>
            </w:r>
            <w:r>
              <w:rPr>
                <w:rStyle w:val="IndexLink"/>
                <w:rtl w:val="true"/>
              </w:rPr>
              <w:t>و منها الإجماع المنقول بخبر الواحد</w:t>
            </w:r>
            <w:r>
              <w:rPr>
                <w:rStyle w:val="IndexLink"/>
                <w:rtl w:val="true"/>
              </w:rPr>
              <w:t>]</w:t>
              <w:tab/>
            </w:r>
            <w:r>
              <w:rPr>
                <w:rStyle w:val="IndexLink"/>
              </w:rPr>
              <w:t>214</w:t>
            </w:r>
          </w:hyperlink>
        </w:p>
        <w:p>
          <w:pPr>
            <w:pStyle w:val="Contents5"/>
            <w:tabs>
              <w:tab w:val="clear" w:pos="7892"/>
              <w:tab w:val="right" w:pos="9026" w:leader="dot"/>
            </w:tabs>
            <w:rPr/>
          </w:pPr>
          <w:hyperlink w:anchor="__RefHeading___Toc2527244_3224264995">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2527246_3224264995">
            <w:r>
              <w:rPr>
                <w:webHidden/>
                <w:rStyle w:val="IndexLink"/>
                <w:rtl w:val="true"/>
              </w:rPr>
              <w:t>[</w:t>
            </w:r>
            <w:r>
              <w:rPr>
                <w:rStyle w:val="IndexLink"/>
                <w:rtl w:val="true"/>
              </w:rPr>
              <w:t>محلّ النزاع فی حجّیة الإجماع المنقول</w:t>
            </w:r>
            <w:r>
              <w:rPr>
                <w:rStyle w:val="IndexLink"/>
                <w:rtl w:val="true"/>
              </w:rPr>
              <w:t>]</w:t>
              <w:tab/>
            </w:r>
            <w:r>
              <w:rPr>
                <w:rStyle w:val="IndexLink"/>
              </w:rPr>
              <w:t>214</w:t>
            </w:r>
          </w:hyperlink>
        </w:p>
        <w:p>
          <w:pPr>
            <w:pStyle w:val="Contents5"/>
            <w:tabs>
              <w:tab w:val="clear" w:pos="7892"/>
              <w:tab w:val="right" w:pos="9026" w:leader="dot"/>
            </w:tabs>
            <w:rPr/>
          </w:pPr>
          <w:hyperlink w:anchor="__RefHeading___Toc2527248_3224264995">
            <w:r>
              <w:rPr>
                <w:webHidden/>
                <w:rStyle w:val="IndexLink"/>
                <w:rtl w:val="true"/>
              </w:rPr>
              <w:t>[</w:t>
            </w:r>
            <w:r>
              <w:rPr>
                <w:rStyle w:val="IndexLink"/>
                <w:rtl w:val="true"/>
              </w:rPr>
              <w:t>وجه إعراض القائلین بحجّیته عن حجّیته</w:t>
            </w:r>
            <w:r>
              <w:rPr>
                <w:rStyle w:val="IndexLink"/>
                <w:rtl w:val="true"/>
              </w:rPr>
              <w:t>]</w:t>
              <w:tab/>
            </w:r>
            <w:r>
              <w:rPr>
                <w:rStyle w:val="IndexLink"/>
              </w:rPr>
              <w:t>215</w:t>
            </w:r>
          </w:hyperlink>
        </w:p>
        <w:p>
          <w:pPr>
            <w:pStyle w:val="Contents5"/>
            <w:tabs>
              <w:tab w:val="clear" w:pos="7892"/>
              <w:tab w:val="right" w:pos="9026" w:leader="dot"/>
            </w:tabs>
            <w:rPr/>
          </w:pPr>
          <w:hyperlink w:anchor="__RefHeading___Toc2527250_3224264995">
            <w:r>
              <w:rPr>
                <w:webHidden/>
                <w:rStyle w:val="IndexLink"/>
                <w:rtl w:val="true"/>
              </w:rPr>
              <w:t>[</w:t>
            </w:r>
            <w:r>
              <w:rPr>
                <w:rStyle w:val="IndexLink"/>
                <w:rtl w:val="true"/>
              </w:rPr>
              <w:t>الإجماع المنقول مضافا إلی من عدا الإمام</w:t>
            </w:r>
            <w:r>
              <w:rPr>
                <w:rStyle w:val="IndexLink"/>
                <w:rtl w:val="true"/>
              </w:rPr>
              <w:t>]</w:t>
              <w:tab/>
            </w:r>
            <w:r>
              <w:rPr>
                <w:rStyle w:val="IndexLink"/>
              </w:rPr>
              <w:t>216</w:t>
            </w:r>
          </w:hyperlink>
        </w:p>
        <w:p>
          <w:pPr>
            <w:pStyle w:val="Contents5"/>
            <w:tabs>
              <w:tab w:val="clear" w:pos="7892"/>
              <w:tab w:val="right" w:pos="9026" w:leader="dot"/>
            </w:tabs>
            <w:rPr/>
          </w:pPr>
          <w:hyperlink w:anchor="__RefHeading___Toc2527252_3224264995">
            <w:r>
              <w:rPr>
                <w:webHidden/>
                <w:rStyle w:val="IndexLink"/>
                <w:rtl w:val="true"/>
              </w:rPr>
              <w:t>[</w:t>
            </w:r>
            <w:r>
              <w:rPr>
                <w:rStyle w:val="IndexLink"/>
                <w:rtl w:val="true"/>
              </w:rPr>
              <w:t>النزاع فی حجّیة الإجماع المنقول إنّما هو من جهة استکشاف الناقل و حدسه</w:t>
            </w:r>
            <w:r>
              <w:rPr>
                <w:rStyle w:val="IndexLink"/>
                <w:rtl w:val="true"/>
              </w:rPr>
              <w:t>]</w:t>
              <w:tab/>
            </w:r>
            <w:r>
              <w:rPr>
                <w:rStyle w:val="IndexLink"/>
              </w:rPr>
              <w:t>217</w:t>
            </w:r>
          </w:hyperlink>
        </w:p>
        <w:p>
          <w:pPr>
            <w:pStyle w:val="Contents5"/>
            <w:tabs>
              <w:tab w:val="clear" w:pos="7892"/>
              <w:tab w:val="right" w:pos="9026" w:leader="dot"/>
            </w:tabs>
            <w:rPr/>
          </w:pPr>
          <w:hyperlink w:anchor="__RefHeading___Toc2527254_3224264995">
            <w:r>
              <w:rPr>
                <w:webHidden/>
                <w:rStyle w:val="IndexLink"/>
                <w:rtl w:val="true"/>
              </w:rPr>
              <w:t>[</w:t>
            </w:r>
            <w:r>
              <w:rPr>
                <w:rStyle w:val="IndexLink"/>
                <w:rtl w:val="true"/>
              </w:rPr>
              <w:t>وجه اعتبار الاجماع المنقول من بعض مانعی حجّیة الإجماع المنقول</w:t>
            </w:r>
            <w:r>
              <w:rPr>
                <w:rStyle w:val="IndexLink"/>
                <w:rtl w:val="true"/>
              </w:rPr>
              <w:t>]</w:t>
              <w:tab/>
            </w:r>
            <w:r>
              <w:rPr>
                <w:rStyle w:val="IndexLink"/>
              </w:rPr>
              <w:t>217</w:t>
            </w:r>
          </w:hyperlink>
        </w:p>
        <w:p>
          <w:pPr>
            <w:pStyle w:val="Contents5"/>
            <w:tabs>
              <w:tab w:val="clear" w:pos="7892"/>
              <w:tab w:val="right" w:pos="9026" w:leader="dot"/>
            </w:tabs>
            <w:rPr/>
          </w:pPr>
          <w:hyperlink w:anchor="__RefHeading___Toc2527256_3224264995">
            <w:r>
              <w:rPr>
                <w:webHidden/>
                <w:rStyle w:val="IndexLink"/>
                <w:rtl w:val="true"/>
              </w:rPr>
              <w:t>[</w:t>
            </w:r>
            <w:r>
              <w:rPr>
                <w:rStyle w:val="IndexLink"/>
                <w:rtl w:val="true"/>
              </w:rPr>
              <w:t>صحّة سند فقه الرضا علیه السّلام</w:t>
            </w:r>
            <w:r>
              <w:rPr>
                <w:rStyle w:val="IndexLink"/>
                <w:rtl w:val="true"/>
              </w:rPr>
              <w:t>]</w:t>
              <w:tab/>
            </w:r>
            <w:r>
              <w:rPr>
                <w:rStyle w:val="IndexLink"/>
              </w:rPr>
              <w:t>218</w:t>
            </w:r>
          </w:hyperlink>
        </w:p>
        <w:p>
          <w:pPr>
            <w:pStyle w:val="Contents5"/>
            <w:tabs>
              <w:tab w:val="clear" w:pos="7892"/>
              <w:tab w:val="right" w:pos="9026" w:leader="dot"/>
            </w:tabs>
            <w:rPr/>
          </w:pPr>
          <w:hyperlink w:anchor="__RefHeading___Toc2527258_3224264995">
            <w:r>
              <w:rPr>
                <w:webHidden/>
                <w:rStyle w:val="IndexLink"/>
                <w:rtl w:val="true"/>
              </w:rPr>
              <w:t>[</w:t>
            </w:r>
            <w:r>
              <w:rPr>
                <w:rStyle w:val="IndexLink"/>
                <w:rtl w:val="true"/>
              </w:rPr>
              <w:t>الاقوال فی حجّیة الإجماع المنقول</w:t>
            </w:r>
            <w:r>
              <w:rPr>
                <w:rStyle w:val="IndexLink"/>
                <w:rtl w:val="true"/>
              </w:rPr>
              <w:t>]</w:t>
              <w:tab/>
            </w:r>
            <w:r>
              <w:rPr>
                <w:rStyle w:val="IndexLink"/>
              </w:rPr>
              <w:t>219</w:t>
            </w:r>
          </w:hyperlink>
        </w:p>
        <w:p>
          <w:pPr>
            <w:pStyle w:val="Contents5"/>
            <w:tabs>
              <w:tab w:val="clear" w:pos="7892"/>
              <w:tab w:val="right" w:pos="9026" w:leader="dot"/>
            </w:tabs>
            <w:rPr/>
          </w:pPr>
          <w:hyperlink w:anchor="__RefHeading___Toc2527260_3224264995">
            <w:r>
              <w:rPr>
                <w:webHidden/>
                <w:rStyle w:val="IndexLink"/>
                <w:rtl w:val="true"/>
              </w:rPr>
              <w:t>[</w:t>
            </w:r>
            <w:r>
              <w:rPr>
                <w:rStyle w:val="IndexLink"/>
                <w:rtl w:val="true"/>
              </w:rPr>
              <w:t>رد ادلة الماتن فی المنع من حجّیة الاجماع المنقول</w:t>
            </w:r>
            <w:r>
              <w:rPr>
                <w:rStyle w:val="IndexLink"/>
                <w:rtl w:val="true"/>
              </w:rPr>
              <w:t>]</w:t>
              <w:tab/>
            </w:r>
            <w:r>
              <w:rPr>
                <w:rStyle w:val="IndexLink"/>
              </w:rPr>
              <w:t>219</w:t>
            </w:r>
          </w:hyperlink>
        </w:p>
        <w:p>
          <w:pPr>
            <w:pStyle w:val="Contents5"/>
            <w:tabs>
              <w:tab w:val="clear" w:pos="7892"/>
              <w:tab w:val="right" w:pos="9026" w:leader="dot"/>
            </w:tabs>
            <w:rPr/>
          </w:pPr>
          <w:hyperlink w:anchor="__RefHeading___Toc2527262_3224264995">
            <w:r>
              <w:rPr>
                <w:webHidden/>
                <w:rStyle w:val="IndexLink"/>
                <w:rtl w:val="true"/>
              </w:rPr>
              <w:t>[</w:t>
            </w:r>
            <w:r>
              <w:rPr>
                <w:rStyle w:val="IndexLink"/>
                <w:rtl w:val="true"/>
              </w:rPr>
              <w:t>رد دعوی عدم نهوض دلالة الآیة علی حجّیة الإجماع المنقول</w:t>
            </w:r>
            <w:r>
              <w:rPr>
                <w:rStyle w:val="IndexLink"/>
                <w:rtl w:val="true"/>
              </w:rPr>
              <w:t>]</w:t>
              <w:tab/>
            </w:r>
            <w:r>
              <w:rPr>
                <w:rStyle w:val="IndexLink"/>
              </w:rPr>
              <w:t>221</w:t>
            </w:r>
          </w:hyperlink>
        </w:p>
        <w:p>
          <w:pPr>
            <w:pStyle w:val="Contents5"/>
            <w:tabs>
              <w:tab w:val="clear" w:pos="7892"/>
              <w:tab w:val="right" w:pos="9026" w:leader="dot"/>
            </w:tabs>
            <w:rPr/>
          </w:pPr>
          <w:hyperlink w:anchor="__RefHeading___Toc2527264_3224264995">
            <w:r>
              <w:rPr>
                <w:webHidden/>
                <w:rStyle w:val="IndexLink"/>
                <w:rtl w:val="true"/>
              </w:rPr>
              <w:t>[</w:t>
            </w:r>
            <w:r>
              <w:rPr>
                <w:rStyle w:val="IndexLink"/>
                <w:rtl w:val="true"/>
              </w:rPr>
              <w:t>الکلام فی ان الإخبار بالحدس أکثر خطأ من الإخبار بالحسّ</w:t>
            </w:r>
            <w:r>
              <w:rPr>
                <w:rStyle w:val="IndexLink"/>
                <w:rtl w:val="true"/>
              </w:rPr>
              <w:t>]</w:t>
              <w:tab/>
            </w:r>
            <w:r>
              <w:rPr>
                <w:rStyle w:val="IndexLink"/>
              </w:rPr>
              <w:t>224</w:t>
            </w:r>
          </w:hyperlink>
        </w:p>
        <w:p>
          <w:pPr>
            <w:pStyle w:val="Contents5"/>
            <w:tabs>
              <w:tab w:val="clear" w:pos="7892"/>
              <w:tab w:val="right" w:pos="9026" w:leader="dot"/>
            </w:tabs>
            <w:rPr/>
          </w:pPr>
          <w:hyperlink w:anchor="__RefHeading___Toc2527266_3224264995">
            <w:r>
              <w:rPr>
                <w:webHidden/>
                <w:rStyle w:val="IndexLink"/>
                <w:rtl w:val="true"/>
              </w:rPr>
              <w:t>[</w:t>
            </w:r>
            <w:r>
              <w:rPr>
                <w:rStyle w:val="IndexLink"/>
                <w:rtl w:val="true"/>
              </w:rPr>
              <w:t>احتمال عدم إطلاق الشاهد و الراوی علی غیر الضابط أو انصرافه عنه</w:t>
            </w:r>
            <w:r>
              <w:rPr>
                <w:rStyle w:val="IndexLink"/>
                <w:rtl w:val="true"/>
              </w:rPr>
              <w:t>]</w:t>
              <w:tab/>
            </w:r>
            <w:r>
              <w:rPr>
                <w:rStyle w:val="IndexLink"/>
              </w:rPr>
              <w:t>226</w:t>
            </w:r>
          </w:hyperlink>
        </w:p>
        <w:p>
          <w:pPr>
            <w:pStyle w:val="Contents5"/>
            <w:tabs>
              <w:tab w:val="clear" w:pos="7892"/>
              <w:tab w:val="right" w:pos="9026" w:leader="dot"/>
            </w:tabs>
            <w:rPr/>
          </w:pPr>
          <w:hyperlink w:anchor="__RefHeading___Toc2527268_3224264995">
            <w:r>
              <w:rPr>
                <w:webHidden/>
                <w:rStyle w:val="IndexLink"/>
                <w:rtl w:val="true"/>
              </w:rPr>
              <w:t>[</w:t>
            </w:r>
            <w:r>
              <w:rPr>
                <w:rStyle w:val="IndexLink"/>
                <w:rtl w:val="true"/>
              </w:rPr>
              <w:t>مناقشة کلام الماتن فی وجه عدم الاستدلال علی حجّیة فتوی الفقیه علی العامی بآیة النبأ</w:t>
            </w:r>
            <w:r>
              <w:rPr>
                <w:rStyle w:val="IndexLink"/>
                <w:rtl w:val="true"/>
              </w:rPr>
              <w:t>]</w:t>
              <w:tab/>
            </w:r>
            <w:r>
              <w:rPr>
                <w:rStyle w:val="IndexLink"/>
              </w:rPr>
              <w:t>226</w:t>
            </w:r>
          </w:hyperlink>
        </w:p>
        <w:p>
          <w:pPr>
            <w:pStyle w:val="Contents5"/>
            <w:tabs>
              <w:tab w:val="clear" w:pos="7892"/>
              <w:tab w:val="right" w:pos="9026" w:leader="dot"/>
            </w:tabs>
            <w:rPr/>
          </w:pPr>
          <w:hyperlink w:anchor="__RefHeading___Toc2527270_3224264995">
            <w:r>
              <w:rPr>
                <w:webHidden/>
                <w:rStyle w:val="IndexLink"/>
                <w:rtl w:val="true"/>
              </w:rPr>
              <w:t>[</w:t>
            </w:r>
            <w:r>
              <w:rPr>
                <w:rStyle w:val="IndexLink"/>
                <w:rtl w:val="true"/>
              </w:rPr>
              <w:t>مناقشة کلام الماتن من عدم اعتبار الشهادة فی المحسوسات إن لم یستند إلی الحسّ</w:t>
            </w:r>
            <w:r>
              <w:rPr>
                <w:rStyle w:val="IndexLink"/>
                <w:rtl w:val="true"/>
              </w:rPr>
              <w:t>]</w:t>
              <w:tab/>
            </w:r>
            <w:r>
              <w:rPr>
                <w:rStyle w:val="IndexLink"/>
              </w:rPr>
              <w:t>227</w:t>
            </w:r>
          </w:hyperlink>
        </w:p>
        <w:p>
          <w:pPr>
            <w:pStyle w:val="Contents5"/>
            <w:tabs>
              <w:tab w:val="clear" w:pos="7892"/>
              <w:tab w:val="right" w:pos="9026" w:leader="dot"/>
            </w:tabs>
            <w:rPr/>
          </w:pPr>
          <w:hyperlink w:anchor="__RefHeading___Toc2527272_3224264995">
            <w:r>
              <w:rPr>
                <w:webHidden/>
                <w:rStyle w:val="IndexLink"/>
                <w:rtl w:val="true"/>
              </w:rPr>
              <w:t>[</w:t>
            </w:r>
            <w:r>
              <w:rPr>
                <w:rStyle w:val="IndexLink"/>
                <w:rtl w:val="true"/>
              </w:rPr>
              <w:t>تحقیق فی معنی الشهادة</w:t>
            </w:r>
            <w:r>
              <w:rPr>
                <w:rStyle w:val="IndexLink"/>
                <w:rtl w:val="true"/>
              </w:rPr>
              <w:t>]</w:t>
              <w:tab/>
            </w:r>
            <w:r>
              <w:rPr>
                <w:rStyle w:val="IndexLink"/>
              </w:rPr>
              <w:t>229</w:t>
            </w:r>
          </w:hyperlink>
        </w:p>
        <w:p>
          <w:pPr>
            <w:pStyle w:val="Contents5"/>
            <w:tabs>
              <w:tab w:val="clear" w:pos="7892"/>
              <w:tab w:val="right" w:pos="9026" w:leader="dot"/>
            </w:tabs>
            <w:rPr/>
          </w:pPr>
          <w:hyperlink w:anchor="__RefHeading___Toc2527274_3224264995">
            <w:r>
              <w:rPr>
                <w:webHidden/>
                <w:rStyle w:val="IndexLink"/>
                <w:rtl w:val="true"/>
              </w:rPr>
              <w:t>[</w:t>
            </w:r>
            <w:r>
              <w:rPr>
                <w:rStyle w:val="IndexLink"/>
                <w:rtl w:val="true"/>
              </w:rPr>
              <w:t>المسامحة فی إطلاق الإجماع علی ما عدا اتّفاق الکل او مجرد الاجماع الکاشف</w:t>
            </w:r>
            <w:r>
              <w:rPr>
                <w:rStyle w:val="IndexLink"/>
                <w:rtl w:val="true"/>
              </w:rPr>
              <w:t>]</w:t>
              <w:tab/>
            </w:r>
            <w:r>
              <w:rPr>
                <w:rStyle w:val="IndexLink"/>
              </w:rPr>
              <w:t>230</w:t>
            </w:r>
          </w:hyperlink>
        </w:p>
        <w:p>
          <w:pPr>
            <w:pStyle w:val="Contents5"/>
            <w:tabs>
              <w:tab w:val="clear" w:pos="7892"/>
              <w:tab w:val="right" w:pos="9026" w:leader="dot"/>
            </w:tabs>
            <w:rPr/>
          </w:pPr>
          <w:hyperlink w:anchor="__RefHeading___Toc2527276_3224264995">
            <w:r>
              <w:rPr>
                <w:webHidden/>
                <w:rStyle w:val="IndexLink"/>
                <w:rtl w:val="true"/>
              </w:rPr>
              <w:t>[</w:t>
            </w:r>
            <w:r>
              <w:rPr>
                <w:rStyle w:val="IndexLink"/>
                <w:rtl w:val="true"/>
              </w:rPr>
              <w:t>حمل کلّ لفظ صادر عن کلّ ذی اصطلاح علی خصوص مصطلحه دون معناه اللغوی</w:t>
            </w:r>
            <w:r>
              <w:rPr>
                <w:rStyle w:val="IndexLink"/>
                <w:rtl w:val="true"/>
              </w:rPr>
              <w:t>]</w:t>
              <w:tab/>
            </w:r>
            <w:r>
              <w:rPr>
                <w:rStyle w:val="IndexLink"/>
              </w:rPr>
              <w:t>230</w:t>
            </w:r>
          </w:hyperlink>
        </w:p>
        <w:p>
          <w:pPr>
            <w:pStyle w:val="Contents5"/>
            <w:tabs>
              <w:tab w:val="clear" w:pos="7892"/>
              <w:tab w:val="right" w:pos="9026" w:leader="dot"/>
            </w:tabs>
            <w:rPr/>
          </w:pPr>
          <w:hyperlink w:anchor="__RefHeading___Toc2527278_3224264995">
            <w:r>
              <w:rPr>
                <w:webHidden/>
                <w:rStyle w:val="IndexLink"/>
                <w:rtl w:val="true"/>
              </w:rPr>
              <w:t>[</w:t>
            </w:r>
            <w:r>
              <w:rPr>
                <w:rStyle w:val="IndexLink"/>
                <w:rtl w:val="true"/>
              </w:rPr>
              <w:t>سماع الحکم عن الإمام علیه السّلام فی أمثال زماننا فی المنام بل فی الیقظة</w:t>
            </w:r>
            <w:r>
              <w:rPr>
                <w:rStyle w:val="IndexLink"/>
                <w:rtl w:val="true"/>
              </w:rPr>
              <w:t>]</w:t>
              <w:tab/>
            </w:r>
            <w:r>
              <w:rPr>
                <w:rStyle w:val="IndexLink"/>
              </w:rPr>
              <w:t>231</w:t>
            </w:r>
          </w:hyperlink>
        </w:p>
        <w:p>
          <w:pPr>
            <w:pStyle w:val="Contents5"/>
            <w:tabs>
              <w:tab w:val="clear" w:pos="7892"/>
              <w:tab w:val="right" w:pos="9026" w:leader="dot"/>
            </w:tabs>
            <w:rPr/>
          </w:pPr>
          <w:hyperlink w:anchor="__RefHeading___Toc2527280_3224264995">
            <w:r>
              <w:rPr>
                <w:webHidden/>
                <w:rStyle w:val="IndexLink"/>
                <w:rtl w:val="true"/>
              </w:rPr>
              <w:t>[</w:t>
            </w:r>
            <w:r>
              <w:rPr>
                <w:rStyle w:val="IndexLink"/>
                <w:rtl w:val="true"/>
              </w:rPr>
              <w:t>انفتاح باب تحصیل الاجماع</w:t>
            </w:r>
            <w:r>
              <w:rPr>
                <w:rStyle w:val="IndexLink"/>
                <w:rtl w:val="true"/>
              </w:rPr>
              <w:t>]</w:t>
              <w:tab/>
            </w:r>
            <w:r>
              <w:rPr>
                <w:rStyle w:val="IndexLink"/>
              </w:rPr>
              <w:t>232</w:t>
            </w:r>
          </w:hyperlink>
        </w:p>
        <w:p>
          <w:pPr>
            <w:pStyle w:val="Contents5"/>
            <w:tabs>
              <w:tab w:val="clear" w:pos="7892"/>
              <w:tab w:val="right" w:pos="9026" w:leader="dot"/>
            </w:tabs>
            <w:rPr/>
          </w:pPr>
          <w:hyperlink w:anchor="__RefHeading___Toc2527282_3224264995">
            <w:r>
              <w:rPr>
                <w:webHidden/>
                <w:rStyle w:val="IndexLink"/>
                <w:rtl w:val="true"/>
              </w:rPr>
              <w:t>[</w:t>
            </w:r>
            <w:r>
              <w:rPr>
                <w:rStyle w:val="IndexLink"/>
                <w:rtl w:val="true"/>
              </w:rPr>
              <w:t>عدم صحة نسبة ما سمع من الامام فی المنام إلی الإجماع</w:t>
            </w:r>
            <w:r>
              <w:rPr>
                <w:rStyle w:val="IndexLink"/>
                <w:rtl w:val="true"/>
              </w:rPr>
              <w:t>]</w:t>
              <w:tab/>
            </w:r>
            <w:r>
              <w:rPr>
                <w:rStyle w:val="IndexLink"/>
              </w:rPr>
              <w:t>232</w:t>
            </w:r>
          </w:hyperlink>
        </w:p>
        <w:p>
          <w:pPr>
            <w:pStyle w:val="Contents5"/>
            <w:tabs>
              <w:tab w:val="clear" w:pos="7892"/>
              <w:tab w:val="right" w:pos="9026" w:leader="dot"/>
            </w:tabs>
            <w:rPr/>
          </w:pPr>
          <w:hyperlink w:anchor="__RefHeading___Toc2527284_3224264995">
            <w:r>
              <w:rPr>
                <w:webHidden/>
                <w:rStyle w:val="IndexLink"/>
                <w:rtl w:val="true"/>
              </w:rPr>
              <w:t>[</w:t>
            </w:r>
            <w:r>
              <w:rPr>
                <w:rStyle w:val="IndexLink"/>
                <w:rtl w:val="true"/>
              </w:rPr>
              <w:t>التکلّم بالظاهر الغیر المطابق للواقع و لا للقصد</w:t>
            </w:r>
            <w:r>
              <w:rPr>
                <w:rStyle w:val="IndexLink"/>
                <w:rtl w:val="true"/>
              </w:rPr>
              <w:t>]</w:t>
              <w:tab/>
            </w:r>
            <w:r>
              <w:rPr>
                <w:rStyle w:val="IndexLink"/>
              </w:rPr>
              <w:t>232</w:t>
            </w:r>
          </w:hyperlink>
        </w:p>
        <w:p>
          <w:pPr>
            <w:pStyle w:val="Contents5"/>
            <w:tabs>
              <w:tab w:val="clear" w:pos="7892"/>
              <w:tab w:val="right" w:pos="9026" w:leader="dot"/>
            </w:tabs>
            <w:rPr/>
          </w:pPr>
          <w:hyperlink w:anchor="__RefHeading___Toc2527286_3224264995">
            <w:r>
              <w:rPr>
                <w:webHidden/>
                <w:rStyle w:val="IndexLink"/>
                <w:rtl w:val="true"/>
              </w:rPr>
              <w:t>[</w:t>
            </w:r>
            <w:r>
              <w:rPr>
                <w:rStyle w:val="IndexLink"/>
                <w:rtl w:val="true"/>
              </w:rPr>
              <w:t>عدم المنع من استناد إجماعات الشیخ کلّها إلی قاعدة اللطف</w:t>
            </w:r>
            <w:r>
              <w:rPr>
                <w:rStyle w:val="IndexLink"/>
                <w:rtl w:val="true"/>
              </w:rPr>
              <w:t>]</w:t>
              <w:tab/>
            </w:r>
            <w:r>
              <w:rPr>
                <w:rStyle w:val="IndexLink"/>
              </w:rPr>
              <w:t>234</w:t>
            </w:r>
          </w:hyperlink>
        </w:p>
        <w:p>
          <w:pPr>
            <w:pStyle w:val="Contents5"/>
            <w:tabs>
              <w:tab w:val="clear" w:pos="7892"/>
              <w:tab w:val="right" w:pos="9026" w:leader="dot"/>
            </w:tabs>
            <w:rPr/>
          </w:pPr>
          <w:hyperlink w:anchor="__RefHeading___Toc2527288_3224264995">
            <w:r>
              <w:rPr>
                <w:webHidden/>
                <w:rStyle w:val="IndexLink"/>
                <w:rtl w:val="true"/>
              </w:rPr>
              <w:t>[</w:t>
            </w:r>
            <w:r>
              <w:rPr>
                <w:rStyle w:val="IndexLink"/>
                <w:rtl w:val="true"/>
              </w:rPr>
              <w:t>الاجماع علی قاعدة اللطف</w:t>
            </w:r>
            <w:r>
              <w:rPr>
                <w:rStyle w:val="IndexLink"/>
                <w:rtl w:val="true"/>
              </w:rPr>
              <w:t>]</w:t>
              <w:tab/>
            </w:r>
            <w:r>
              <w:rPr>
                <w:rStyle w:val="IndexLink"/>
              </w:rPr>
              <w:t>237</w:t>
            </w:r>
          </w:hyperlink>
        </w:p>
        <w:p>
          <w:pPr>
            <w:pStyle w:val="Contents5"/>
            <w:tabs>
              <w:tab w:val="clear" w:pos="7892"/>
              <w:tab w:val="right" w:pos="9026" w:leader="dot"/>
            </w:tabs>
            <w:rPr/>
          </w:pPr>
          <w:hyperlink w:anchor="__RefHeading___Toc2527290_3224264995">
            <w:r>
              <w:rPr>
                <w:webHidden/>
                <w:rStyle w:val="IndexLink"/>
                <w:rtl w:val="true"/>
              </w:rPr>
              <w:t>[</w:t>
            </w:r>
            <w:r>
              <w:rPr>
                <w:rStyle w:val="IndexLink"/>
                <w:rtl w:val="true"/>
              </w:rPr>
              <w:t>احتمال استناد الإجماع المنقول لنا إلی طریق موصل کاف فی القبول</w:t>
            </w:r>
            <w:r>
              <w:rPr>
                <w:rStyle w:val="IndexLink"/>
                <w:rtl w:val="true"/>
              </w:rPr>
              <w:t>]</w:t>
              <w:tab/>
            </w:r>
            <w:r>
              <w:rPr>
                <w:rStyle w:val="IndexLink"/>
              </w:rPr>
              <w:t>239</w:t>
            </w:r>
          </w:hyperlink>
        </w:p>
        <w:p>
          <w:pPr>
            <w:pStyle w:val="Contents5"/>
            <w:tabs>
              <w:tab w:val="clear" w:pos="7892"/>
              <w:tab w:val="right" w:pos="9026" w:leader="dot"/>
            </w:tabs>
            <w:rPr/>
          </w:pPr>
          <w:hyperlink w:anchor="__RefHeading___Toc2527292_3224264995">
            <w:r>
              <w:rPr>
                <w:webHidden/>
                <w:rStyle w:val="IndexLink"/>
                <w:rtl w:val="true"/>
              </w:rPr>
              <w:t>[</w:t>
            </w:r>
            <w:r>
              <w:rPr>
                <w:rStyle w:val="IndexLink"/>
                <w:rtl w:val="true"/>
              </w:rPr>
              <w:t>دراسة کلام الماتن</w:t>
            </w:r>
            <w:r>
              <w:rPr>
                <w:rStyle w:val="IndexLink"/>
                <w:rtl w:val="true"/>
              </w:rPr>
              <w:t>]</w:t>
              <w:tab/>
            </w:r>
            <w:r>
              <w:rPr>
                <w:rStyle w:val="IndexLink"/>
              </w:rPr>
              <w:t>240</w:t>
            </w:r>
          </w:hyperlink>
        </w:p>
        <w:p>
          <w:pPr>
            <w:pStyle w:val="Contents5"/>
            <w:tabs>
              <w:tab w:val="clear" w:pos="7892"/>
              <w:tab w:val="right" w:pos="9026" w:leader="dot"/>
            </w:tabs>
            <w:rPr/>
          </w:pPr>
          <w:hyperlink w:anchor="__RefHeading___Toc2527294_3224264995">
            <w:r>
              <w:rPr>
                <w:webHidden/>
                <w:rStyle w:val="IndexLink"/>
                <w:rtl w:val="true"/>
              </w:rPr>
              <w:t>[</w:t>
            </w:r>
            <w:r>
              <w:rPr>
                <w:rStyle w:val="IndexLink"/>
                <w:rtl w:val="true"/>
              </w:rPr>
              <w:t>تاکید جواز حصول السماع من الامام فی زماننا</w:t>
            </w:r>
            <w:r>
              <w:rPr>
                <w:rStyle w:val="IndexLink"/>
                <w:rtl w:val="true"/>
              </w:rPr>
              <w:t>]</w:t>
              <w:tab/>
            </w:r>
            <w:r>
              <w:rPr>
                <w:rStyle w:val="IndexLink"/>
              </w:rPr>
              <w:t>240</w:t>
            </w:r>
          </w:hyperlink>
        </w:p>
        <w:p>
          <w:pPr>
            <w:pStyle w:val="Contents5"/>
            <w:tabs>
              <w:tab w:val="clear" w:pos="7892"/>
              <w:tab w:val="right" w:pos="9026" w:leader="dot"/>
            </w:tabs>
            <w:rPr/>
          </w:pPr>
          <w:hyperlink w:anchor="__RefHeading___Toc2527296_3224264995">
            <w:r>
              <w:rPr>
                <w:webHidden/>
                <w:rStyle w:val="IndexLink"/>
                <w:rtl w:val="true"/>
              </w:rPr>
              <w:t>[</w:t>
            </w:r>
            <w:r>
              <w:rPr>
                <w:rStyle w:val="IndexLink"/>
                <w:rtl w:val="true"/>
              </w:rPr>
              <w:t>قیام السیرة علی قبول قول اهل الخبرة فی الحسیات</w:t>
            </w:r>
            <w:r>
              <w:rPr>
                <w:rStyle w:val="IndexLink"/>
                <w:rtl w:val="true"/>
              </w:rPr>
              <w:t>]</w:t>
              <w:tab/>
            </w:r>
            <w:r>
              <w:rPr>
                <w:rStyle w:val="IndexLink"/>
              </w:rPr>
              <w:t>241</w:t>
            </w:r>
          </w:hyperlink>
        </w:p>
        <w:p>
          <w:pPr>
            <w:pStyle w:val="Contents5"/>
            <w:tabs>
              <w:tab w:val="clear" w:pos="7892"/>
              <w:tab w:val="right" w:pos="9026" w:leader="dot"/>
            </w:tabs>
            <w:rPr/>
          </w:pPr>
          <w:hyperlink w:anchor="__RefHeading___Toc2527298_3224264995">
            <w:r>
              <w:rPr>
                <w:webHidden/>
                <w:rStyle w:val="IndexLink"/>
                <w:rtl w:val="true"/>
              </w:rPr>
              <w:t>[</w:t>
            </w:r>
            <w:r>
              <w:rPr>
                <w:rStyle w:val="IndexLink"/>
                <w:rtl w:val="true"/>
              </w:rPr>
              <w:t>حجّیة نقل الإجماع</w:t>
            </w:r>
            <w:r>
              <w:rPr>
                <w:rStyle w:val="IndexLink"/>
                <w:rtl w:val="true"/>
              </w:rPr>
              <w:t>]</w:t>
              <w:tab/>
            </w:r>
            <w:r>
              <w:rPr>
                <w:rStyle w:val="IndexLink"/>
              </w:rPr>
              <w:t>242</w:t>
            </w:r>
          </w:hyperlink>
        </w:p>
        <w:p>
          <w:pPr>
            <w:pStyle w:val="Contents5"/>
            <w:tabs>
              <w:tab w:val="clear" w:pos="7892"/>
              <w:tab w:val="right" w:pos="9026" w:leader="dot"/>
            </w:tabs>
            <w:rPr/>
          </w:pPr>
          <w:hyperlink w:anchor="__RefHeading___Toc2527300_3224264995">
            <w:r>
              <w:rPr>
                <w:webHidden/>
                <w:rStyle w:val="IndexLink"/>
                <w:rtl w:val="true"/>
              </w:rPr>
              <w:t>[</w:t>
            </w:r>
            <w:r>
              <w:rPr>
                <w:rStyle w:val="IndexLink"/>
                <w:rtl w:val="true"/>
              </w:rPr>
              <w:t>مرجعیة الاجتهادات مع کثرة الخطأ فیها</w:t>
            </w:r>
            <w:r>
              <w:rPr>
                <w:rStyle w:val="IndexLink"/>
                <w:rtl w:val="true"/>
              </w:rPr>
              <w:t>]</w:t>
              <w:tab/>
            </w:r>
            <w:r>
              <w:rPr>
                <w:rStyle w:val="IndexLink"/>
              </w:rPr>
              <w:t>243</w:t>
            </w:r>
          </w:hyperlink>
        </w:p>
        <w:p>
          <w:pPr>
            <w:pStyle w:val="Contents5"/>
            <w:tabs>
              <w:tab w:val="clear" w:pos="7892"/>
              <w:tab w:val="right" w:pos="9026" w:leader="dot"/>
            </w:tabs>
            <w:rPr/>
          </w:pPr>
          <w:hyperlink w:anchor="__RefHeading___Toc2527302_3224264995">
            <w:r>
              <w:rPr>
                <w:webHidden/>
                <w:rStyle w:val="IndexLink"/>
                <w:rtl w:val="true"/>
              </w:rPr>
              <w:t>[</w:t>
            </w:r>
            <w:r>
              <w:rPr>
                <w:rStyle w:val="IndexLink"/>
                <w:rtl w:val="true"/>
              </w:rPr>
              <w:t>وجود الدلیل الخاصّ علی حجّیة الظنّ الحاصل من الاجماع المنقول</w:t>
            </w:r>
            <w:r>
              <w:rPr>
                <w:rStyle w:val="IndexLink"/>
                <w:rtl w:val="true"/>
              </w:rPr>
              <w:t>]</w:t>
              <w:tab/>
            </w:r>
            <w:r>
              <w:rPr>
                <w:rStyle w:val="IndexLink"/>
              </w:rPr>
              <w:t>244</w:t>
            </w:r>
          </w:hyperlink>
        </w:p>
        <w:p>
          <w:pPr>
            <w:pStyle w:val="Contents5"/>
            <w:tabs>
              <w:tab w:val="clear" w:pos="7892"/>
              <w:tab w:val="right" w:pos="9026" w:leader="dot"/>
            </w:tabs>
            <w:rPr/>
          </w:pPr>
          <w:hyperlink w:anchor="__RefHeading___Toc2527304_3224264995">
            <w:r>
              <w:rPr>
                <w:webHidden/>
                <w:rStyle w:val="IndexLink"/>
                <w:rtl w:val="true"/>
              </w:rPr>
              <w:t>[</w:t>
            </w:r>
            <w:r>
              <w:rPr>
                <w:rStyle w:val="IndexLink"/>
                <w:rtl w:val="true"/>
              </w:rPr>
              <w:t>عدم التوقّف فی العمل بقول الشاهد فی الامور الحدسیة بمجرّد احتمال استناد إلی طریق غیر موصل</w:t>
            </w:r>
            <w:r>
              <w:rPr>
                <w:rStyle w:val="IndexLink"/>
                <w:rtl w:val="true"/>
              </w:rPr>
              <w:t>]</w:t>
              <w:tab/>
            </w:r>
            <w:r>
              <w:rPr>
                <w:rStyle w:val="IndexLink"/>
              </w:rPr>
              <w:t>244</w:t>
            </w:r>
          </w:hyperlink>
        </w:p>
        <w:p>
          <w:pPr>
            <w:pStyle w:val="Contents5"/>
            <w:tabs>
              <w:tab w:val="clear" w:pos="7892"/>
              <w:tab w:val="right" w:pos="9026" w:leader="dot"/>
            </w:tabs>
            <w:rPr/>
          </w:pPr>
          <w:hyperlink w:anchor="__RefHeading___Toc2527306_3224264995">
            <w:r>
              <w:rPr>
                <w:webHidden/>
                <w:rStyle w:val="IndexLink"/>
                <w:rtl w:val="true"/>
              </w:rPr>
              <w:t>[</w:t>
            </w:r>
            <w:r>
              <w:rPr>
                <w:rStyle w:val="IndexLink"/>
                <w:rtl w:val="true"/>
              </w:rPr>
              <w:t>إخبار الوکیل و ذی الید و إخبار العدل عن فتوی المفتی و اخبار الشاهد ببیع أو عقد</w:t>
            </w:r>
            <w:r>
              <w:rPr>
                <w:rStyle w:val="IndexLink"/>
                <w:rtl w:val="true"/>
              </w:rPr>
              <w:t>]</w:t>
              <w:tab/>
            </w:r>
            <w:r>
              <w:rPr>
                <w:rStyle w:val="IndexLink"/>
              </w:rPr>
              <w:t>245</w:t>
            </w:r>
          </w:hyperlink>
        </w:p>
        <w:p>
          <w:pPr>
            <w:pStyle w:val="Contents5"/>
            <w:tabs>
              <w:tab w:val="clear" w:pos="7892"/>
              <w:tab w:val="right" w:pos="9026" w:leader="dot"/>
            </w:tabs>
            <w:rPr/>
          </w:pPr>
          <w:hyperlink w:anchor="__RefHeading___Toc2527308_3224264995">
            <w:r>
              <w:rPr>
                <w:webHidden/>
                <w:rStyle w:val="IndexLink"/>
                <w:rtl w:val="true"/>
              </w:rPr>
              <w:t>[</w:t>
            </w:r>
            <w:r>
              <w:rPr>
                <w:rStyle w:val="IndexLink"/>
                <w:rtl w:val="true"/>
              </w:rPr>
              <w:t>ردّ دعوی الماتن من ظهور لفظ الاجماع فی إجماع أهل عصر واحد</w:t>
            </w:r>
            <w:r>
              <w:rPr>
                <w:rStyle w:val="IndexLink"/>
                <w:rtl w:val="true"/>
              </w:rPr>
              <w:t>]</w:t>
              <w:tab/>
            </w:r>
            <w:r>
              <w:rPr>
                <w:rStyle w:val="IndexLink"/>
              </w:rPr>
              <w:t>246</w:t>
            </w:r>
          </w:hyperlink>
        </w:p>
        <w:p>
          <w:pPr>
            <w:pStyle w:val="Contents5"/>
            <w:tabs>
              <w:tab w:val="clear" w:pos="7892"/>
              <w:tab w:val="right" w:pos="9026" w:leader="dot"/>
            </w:tabs>
            <w:rPr/>
          </w:pPr>
          <w:hyperlink w:anchor="__RefHeading___Toc2527310_3224264995">
            <w:r>
              <w:rPr>
                <w:webHidden/>
                <w:rStyle w:val="IndexLink"/>
                <w:rtl w:val="true"/>
              </w:rPr>
              <w:t>[</w:t>
            </w:r>
            <w:r>
              <w:rPr>
                <w:rStyle w:val="IndexLink"/>
                <w:rtl w:val="true"/>
              </w:rPr>
              <w:t>ما نقل عن کاشف الغطاء من تحصیل الاجماع من مجرّد الوقوف علی ارسال فتوی فی الدروس</w:t>
            </w:r>
            <w:r>
              <w:rPr>
                <w:rStyle w:val="IndexLink"/>
                <w:rtl w:val="true"/>
              </w:rPr>
              <w:t>]</w:t>
              <w:tab/>
            </w:r>
            <w:r>
              <w:rPr>
                <w:rStyle w:val="IndexLink"/>
              </w:rPr>
              <w:t>247</w:t>
            </w:r>
          </w:hyperlink>
        </w:p>
        <w:p>
          <w:pPr>
            <w:pStyle w:val="Contents5"/>
            <w:tabs>
              <w:tab w:val="clear" w:pos="7892"/>
              <w:tab w:val="right" w:pos="9026" w:leader="dot"/>
            </w:tabs>
            <w:rPr/>
          </w:pPr>
          <w:hyperlink w:anchor="__RefHeading___Toc2527312_3224264995">
            <w:r>
              <w:rPr>
                <w:webHidden/>
                <w:rStyle w:val="IndexLink"/>
                <w:rtl w:val="true"/>
              </w:rPr>
              <w:t>[</w:t>
            </w:r>
            <w:r>
              <w:rPr>
                <w:rStyle w:val="IndexLink"/>
                <w:rtl w:val="true"/>
              </w:rPr>
              <w:t>أخذ الأصحاب بشرائع علی بن بابویه عند اعوزاز النصوص</w:t>
            </w:r>
            <w:r>
              <w:rPr>
                <w:rStyle w:val="IndexLink"/>
                <w:rtl w:val="true"/>
              </w:rPr>
              <w:t>]</w:t>
              <w:tab/>
            </w:r>
            <w:r>
              <w:rPr>
                <w:rStyle w:val="IndexLink"/>
              </w:rPr>
              <w:t>247</w:t>
            </w:r>
          </w:hyperlink>
        </w:p>
        <w:p>
          <w:pPr>
            <w:pStyle w:val="Contents5"/>
            <w:tabs>
              <w:tab w:val="clear" w:pos="7892"/>
              <w:tab w:val="right" w:pos="9026" w:leader="dot"/>
            </w:tabs>
            <w:rPr/>
          </w:pPr>
          <w:hyperlink w:anchor="__RefHeading___Toc2527314_3224264995">
            <w:r>
              <w:rPr>
                <w:webHidden/>
                <w:rStyle w:val="IndexLink"/>
                <w:rtl w:val="true"/>
              </w:rPr>
              <w:t>[</w:t>
            </w:r>
            <w:r>
              <w:rPr>
                <w:rStyle w:val="IndexLink"/>
                <w:rtl w:val="true"/>
              </w:rPr>
              <w:t>استکشاف قول الإمام من قول جملة من العلماء</w:t>
            </w:r>
            <w:r>
              <w:rPr>
                <w:rStyle w:val="IndexLink"/>
                <w:rtl w:val="true"/>
              </w:rPr>
              <w:t>]</w:t>
              <w:tab/>
            </w:r>
            <w:r>
              <w:rPr>
                <w:rStyle w:val="IndexLink"/>
              </w:rPr>
              <w:t>247</w:t>
            </w:r>
          </w:hyperlink>
        </w:p>
        <w:p>
          <w:pPr>
            <w:pStyle w:val="Contents5"/>
            <w:tabs>
              <w:tab w:val="clear" w:pos="7892"/>
              <w:tab w:val="right" w:pos="9026" w:leader="dot"/>
            </w:tabs>
            <w:rPr/>
          </w:pPr>
          <w:hyperlink w:anchor="__RefHeading___Toc2527316_3224264995">
            <w:r>
              <w:rPr>
                <w:webHidden/>
                <w:rStyle w:val="IndexLink"/>
                <w:rtl w:val="true"/>
              </w:rPr>
              <w:t>[</w:t>
            </w:r>
            <w:r>
              <w:rPr>
                <w:rStyle w:val="IndexLink"/>
                <w:rtl w:val="true"/>
              </w:rPr>
              <w:t>استکشاف قول الإمام من قول جملة من العلماء</w:t>
            </w:r>
            <w:r>
              <w:rPr>
                <w:rStyle w:val="IndexLink"/>
                <w:rtl w:val="true"/>
              </w:rPr>
              <w:t>]</w:t>
              <w:tab/>
            </w:r>
            <w:r>
              <w:rPr>
                <w:rStyle w:val="IndexLink"/>
              </w:rPr>
              <w:t>248</w:t>
            </w:r>
          </w:hyperlink>
        </w:p>
        <w:p>
          <w:pPr>
            <w:pStyle w:val="Contents5"/>
            <w:tabs>
              <w:tab w:val="clear" w:pos="7892"/>
              <w:tab w:val="right" w:pos="9026" w:leader="dot"/>
            </w:tabs>
            <w:rPr/>
          </w:pPr>
          <w:hyperlink w:anchor="__RefHeading___Toc2527318_3224264995">
            <w:r>
              <w:rPr>
                <w:webHidden/>
                <w:rStyle w:val="IndexLink"/>
                <w:rtl w:val="true"/>
              </w:rPr>
              <w:t>[</w:t>
            </w:r>
            <w:r>
              <w:rPr>
                <w:rStyle w:val="IndexLink"/>
                <w:rtl w:val="true"/>
              </w:rPr>
              <w:t>الشواهد المورثة للعلم بقول الإمام بإجماع أهل عصر واحد</w:t>
            </w:r>
            <w:r>
              <w:rPr>
                <w:rStyle w:val="IndexLink"/>
                <w:rtl w:val="true"/>
              </w:rPr>
              <w:t>]</w:t>
              <w:tab/>
            </w:r>
            <w:r>
              <w:rPr>
                <w:rStyle w:val="IndexLink"/>
              </w:rPr>
              <w:t>248</w:t>
            </w:r>
          </w:hyperlink>
        </w:p>
        <w:p>
          <w:pPr>
            <w:pStyle w:val="Contents5"/>
            <w:tabs>
              <w:tab w:val="clear" w:pos="7892"/>
              <w:tab w:val="right" w:pos="9026" w:leader="dot"/>
            </w:tabs>
            <w:rPr/>
          </w:pPr>
          <w:hyperlink w:anchor="__RefHeading___Toc2527320_3224264995">
            <w:r>
              <w:rPr>
                <w:webHidden/>
                <w:rStyle w:val="IndexLink"/>
                <w:rtl w:val="true"/>
              </w:rPr>
              <w:t>[</w:t>
            </w:r>
            <w:r>
              <w:rPr>
                <w:rStyle w:val="IndexLink"/>
                <w:rtl w:val="true"/>
              </w:rPr>
              <w:t>دفع استبعاد الماتن اعتبار الاجماع المنقول بمجرّد احتمال الخطأ فی مدّعیه</w:t>
            </w:r>
            <w:r>
              <w:rPr>
                <w:rStyle w:val="IndexLink"/>
                <w:rtl w:val="true"/>
              </w:rPr>
              <w:t>]</w:t>
              <w:tab/>
            </w:r>
            <w:r>
              <w:rPr>
                <w:rStyle w:val="IndexLink"/>
              </w:rPr>
              <w:t>249</w:t>
            </w:r>
          </w:hyperlink>
        </w:p>
        <w:p>
          <w:pPr>
            <w:pStyle w:val="Contents5"/>
            <w:tabs>
              <w:tab w:val="clear" w:pos="7892"/>
              <w:tab w:val="right" w:pos="9026" w:leader="dot"/>
            </w:tabs>
            <w:rPr/>
          </w:pPr>
          <w:hyperlink w:anchor="__RefHeading___Toc2527322_3224264995">
            <w:r>
              <w:rPr>
                <w:webHidden/>
                <w:rStyle w:val="IndexLink"/>
                <w:rtl w:val="true"/>
              </w:rPr>
              <w:t>[</w:t>
            </w:r>
            <w:r>
              <w:rPr>
                <w:rStyle w:val="IndexLink"/>
                <w:rtl w:val="true"/>
              </w:rPr>
              <w:t>عدم وهن الاجماع المنقول بنفسه بما ذکره الماتن من موهناته</w:t>
            </w:r>
            <w:r>
              <w:rPr>
                <w:rStyle w:val="IndexLink"/>
                <w:rtl w:val="true"/>
              </w:rPr>
              <w:t>]</w:t>
              <w:tab/>
            </w:r>
            <w:r>
              <w:rPr>
                <w:rStyle w:val="IndexLink"/>
              </w:rPr>
              <w:t>251</w:t>
            </w:r>
          </w:hyperlink>
        </w:p>
        <w:p>
          <w:pPr>
            <w:pStyle w:val="Contents5"/>
            <w:tabs>
              <w:tab w:val="clear" w:pos="7892"/>
              <w:tab w:val="right" w:pos="9026" w:leader="dot"/>
            </w:tabs>
            <w:rPr/>
          </w:pPr>
          <w:hyperlink w:anchor="__RefHeading___Toc2527324_3224264995">
            <w:r>
              <w:rPr>
                <w:webHidden/>
                <w:rStyle w:val="IndexLink"/>
                <w:rtl w:val="true"/>
              </w:rPr>
              <w:t>[</w:t>
            </w:r>
            <w:r>
              <w:rPr>
                <w:rStyle w:val="IndexLink"/>
                <w:rtl w:val="true"/>
              </w:rPr>
              <w:t>صدور الحکم المختلف عن الإمام</w:t>
            </w:r>
            <w:r>
              <w:rPr>
                <w:rStyle w:val="IndexLink"/>
                <w:rtl w:val="true"/>
              </w:rPr>
              <w:t>]</w:t>
              <w:tab/>
            </w:r>
            <w:r>
              <w:rPr>
                <w:rStyle w:val="IndexLink"/>
              </w:rPr>
              <w:t>251</w:t>
            </w:r>
          </w:hyperlink>
        </w:p>
        <w:p>
          <w:pPr>
            <w:pStyle w:val="Contents5"/>
            <w:tabs>
              <w:tab w:val="clear" w:pos="7892"/>
              <w:tab w:val="right" w:pos="9026" w:leader="dot"/>
            </w:tabs>
            <w:rPr/>
          </w:pPr>
          <w:hyperlink w:anchor="__RefHeading___Toc2527326_3224264995">
            <w:r>
              <w:rPr>
                <w:webHidden/>
                <w:rStyle w:val="IndexLink"/>
                <w:rtl w:val="true"/>
              </w:rPr>
              <w:t>[</w:t>
            </w:r>
            <w:r>
              <w:rPr>
                <w:rStyle w:val="IndexLink"/>
                <w:rtl w:val="true"/>
              </w:rPr>
              <w:t>تعارض أخبار المضایقة مع أخبار المواسعة</w:t>
            </w:r>
            <w:r>
              <w:rPr>
                <w:rStyle w:val="IndexLink"/>
                <w:rtl w:val="true"/>
              </w:rPr>
              <w:t>]</w:t>
              <w:tab/>
            </w:r>
            <w:r>
              <w:rPr>
                <w:rStyle w:val="IndexLink"/>
              </w:rPr>
              <w:t>252</w:t>
            </w:r>
          </w:hyperlink>
        </w:p>
        <w:p>
          <w:pPr>
            <w:pStyle w:val="Contents5"/>
            <w:tabs>
              <w:tab w:val="clear" w:pos="7892"/>
              <w:tab w:val="right" w:pos="9026" w:leader="dot"/>
            </w:tabs>
            <w:rPr/>
          </w:pPr>
          <w:hyperlink w:anchor="__RefHeading___Toc2527328_3224264995">
            <w:r>
              <w:rPr>
                <w:webHidden/>
                <w:rStyle w:val="IndexLink"/>
                <w:rtl w:val="true"/>
              </w:rPr>
              <w:t>[</w:t>
            </w:r>
            <w:r>
              <w:rPr>
                <w:rStyle w:val="IndexLink"/>
                <w:rtl w:val="true"/>
              </w:rPr>
              <w:t>وجه تعارض الاجماعات</w:t>
            </w:r>
            <w:r>
              <w:rPr>
                <w:rStyle w:val="IndexLink"/>
                <w:rtl w:val="true"/>
              </w:rPr>
              <w:t>]</w:t>
              <w:tab/>
            </w:r>
            <w:r>
              <w:rPr>
                <w:rStyle w:val="IndexLink"/>
              </w:rPr>
              <w:t>252</w:t>
            </w:r>
          </w:hyperlink>
        </w:p>
        <w:p>
          <w:pPr>
            <w:pStyle w:val="Contents5"/>
            <w:tabs>
              <w:tab w:val="clear" w:pos="7892"/>
              <w:tab w:val="right" w:pos="9026" w:leader="dot"/>
            </w:tabs>
            <w:rPr/>
          </w:pPr>
          <w:hyperlink w:anchor="__RefHeading___Toc2527330_3224264995">
            <w:r>
              <w:rPr>
                <w:webHidden/>
                <w:rStyle w:val="IndexLink"/>
                <w:rtl w:val="true"/>
              </w:rPr>
              <w:t>[</w:t>
            </w:r>
            <w:r>
              <w:rPr>
                <w:rStyle w:val="IndexLink"/>
                <w:rtl w:val="true"/>
              </w:rPr>
              <w:t>دیدن العلماء و سیرتهم فی نقل موارد الشهرة أو عدم الخلاف</w:t>
            </w:r>
            <w:r>
              <w:rPr>
                <w:rStyle w:val="IndexLink"/>
                <w:rtl w:val="true"/>
              </w:rPr>
              <w:t>]</w:t>
              <w:tab/>
            </w:r>
            <w:r>
              <w:rPr>
                <w:rStyle w:val="IndexLink"/>
              </w:rPr>
              <w:t>253</w:t>
            </w:r>
          </w:hyperlink>
        </w:p>
        <w:p>
          <w:pPr>
            <w:pStyle w:val="Contents5"/>
            <w:tabs>
              <w:tab w:val="clear" w:pos="7892"/>
              <w:tab w:val="right" w:pos="9026" w:leader="dot"/>
            </w:tabs>
            <w:rPr/>
          </w:pPr>
          <w:hyperlink w:anchor="__RefHeading___Toc2527332_3224264995">
            <w:r>
              <w:rPr>
                <w:webHidden/>
                <w:rStyle w:val="IndexLink"/>
                <w:rtl w:val="true"/>
              </w:rPr>
              <w:t>[</w:t>
            </w:r>
            <w:r>
              <w:rPr>
                <w:rStyle w:val="IndexLink"/>
                <w:rtl w:val="true"/>
              </w:rPr>
              <w:t>تأمّل فی کلام الماتن حول حجّیة الخبر المتضمّن لافتاء جمیع أهل الفتوی</w:t>
            </w:r>
            <w:r>
              <w:rPr>
                <w:rStyle w:val="IndexLink"/>
                <w:rtl w:val="true"/>
              </w:rPr>
              <w:t>]</w:t>
              <w:tab/>
            </w:r>
            <w:r>
              <w:rPr>
                <w:rStyle w:val="IndexLink"/>
              </w:rPr>
              <w:t>256</w:t>
            </w:r>
          </w:hyperlink>
        </w:p>
        <w:p>
          <w:pPr>
            <w:pStyle w:val="Contents5"/>
            <w:tabs>
              <w:tab w:val="clear" w:pos="7892"/>
              <w:tab w:val="right" w:pos="9026" w:leader="dot"/>
            </w:tabs>
            <w:rPr/>
          </w:pPr>
          <w:hyperlink w:anchor="__RefHeading___Toc2527334_3224264995">
            <w:r>
              <w:rPr>
                <w:webHidden/>
                <w:rStyle w:val="IndexLink"/>
                <w:rtl w:val="true"/>
              </w:rPr>
              <w:t>[</w:t>
            </w:r>
            <w:r>
              <w:rPr>
                <w:rStyle w:val="IndexLink"/>
                <w:rtl w:val="true"/>
              </w:rPr>
              <w:t>انحاء نقل الإجماع</w:t>
            </w:r>
            <w:r>
              <w:rPr>
                <w:rStyle w:val="IndexLink"/>
                <w:rtl w:val="true"/>
              </w:rPr>
              <w:t>]</w:t>
              <w:tab/>
            </w:r>
            <w:r>
              <w:rPr>
                <w:rStyle w:val="IndexLink"/>
              </w:rPr>
              <w:t>257</w:t>
            </w:r>
          </w:hyperlink>
        </w:p>
        <w:p>
          <w:pPr>
            <w:pStyle w:val="Contents5"/>
            <w:tabs>
              <w:tab w:val="clear" w:pos="7892"/>
              <w:tab w:val="right" w:pos="9026" w:leader="dot"/>
            </w:tabs>
            <w:rPr/>
          </w:pPr>
          <w:hyperlink w:anchor="__RefHeading___Toc2527336_3224264995">
            <w:r>
              <w:rPr>
                <w:webHidden/>
                <w:rStyle w:val="IndexLink"/>
                <w:rtl w:val="true"/>
              </w:rPr>
              <w:t>[</w:t>
            </w:r>
            <w:r>
              <w:rPr>
                <w:rStyle w:val="IndexLink"/>
                <w:rtl w:val="true"/>
              </w:rPr>
              <w:t>حجیة التواتر</w:t>
            </w:r>
            <w:r>
              <w:rPr>
                <w:rStyle w:val="IndexLink"/>
                <w:rtl w:val="true"/>
              </w:rPr>
              <w:t>]</w:t>
              <w:tab/>
            </w:r>
            <w:r>
              <w:rPr>
                <w:rStyle w:val="IndexLink"/>
              </w:rPr>
              <w:t>258</w:t>
            </w:r>
          </w:hyperlink>
        </w:p>
        <w:p>
          <w:pPr>
            <w:pStyle w:val="Contents6"/>
            <w:tabs>
              <w:tab w:val="clear" w:pos="7609"/>
              <w:tab w:val="right" w:pos="9026" w:leader="dot"/>
            </w:tabs>
            <w:rPr/>
          </w:pPr>
          <w:hyperlink w:anchor="__RefHeading___Toc2527338_3224264995">
            <w:r>
              <w:rPr>
                <w:webHidden/>
                <w:rStyle w:val="IndexLink"/>
                <w:rtl w:val="true"/>
              </w:rPr>
              <w:t>[</w:t>
            </w:r>
            <w:r>
              <w:rPr>
                <w:rStyle w:val="IndexLink"/>
                <w:rtl w:val="true"/>
              </w:rPr>
              <w:t>التواتر المنقول، الضرورة المنقولة، الشهرة المنقولة الاستفاضة المنقولة و غیر ذلک من اوصاف الخبر</w:t>
            </w:r>
            <w:r>
              <w:rPr>
                <w:rStyle w:val="IndexLink"/>
                <w:rtl w:val="true"/>
              </w:rPr>
              <w:t>]</w:t>
              <w:tab/>
            </w:r>
            <w:r>
              <w:rPr>
                <w:rStyle w:val="IndexLink"/>
              </w:rPr>
              <w:t>258</w:t>
            </w:r>
          </w:hyperlink>
        </w:p>
        <w:p>
          <w:pPr>
            <w:pStyle w:val="Contents6"/>
            <w:tabs>
              <w:tab w:val="clear" w:pos="7609"/>
              <w:tab w:val="right" w:pos="9026" w:leader="dot"/>
            </w:tabs>
            <w:rPr/>
          </w:pPr>
          <w:hyperlink w:anchor="__RefHeading___Toc2527340_3224264995">
            <w:r>
              <w:rPr>
                <w:webHidden/>
                <w:rStyle w:val="IndexLink"/>
                <w:rtl w:val="true"/>
              </w:rPr>
              <w:t>[</w:t>
            </w:r>
            <w:r>
              <w:rPr>
                <w:rStyle w:val="IndexLink"/>
                <w:rtl w:val="true"/>
              </w:rPr>
              <w:t>معنی المتواتر</w:t>
            </w:r>
            <w:r>
              <w:rPr>
                <w:rStyle w:val="IndexLink"/>
                <w:rtl w:val="true"/>
              </w:rPr>
              <w:t>]</w:t>
              <w:tab/>
            </w:r>
            <w:r>
              <w:rPr>
                <w:rStyle w:val="IndexLink"/>
              </w:rPr>
              <w:t>259</w:t>
            </w:r>
          </w:hyperlink>
        </w:p>
        <w:p>
          <w:pPr>
            <w:pStyle w:val="Contents6"/>
            <w:tabs>
              <w:tab w:val="clear" w:pos="7609"/>
              <w:tab w:val="right" w:pos="9026" w:leader="dot"/>
            </w:tabs>
            <w:rPr/>
          </w:pPr>
          <w:hyperlink w:anchor="__RefHeading___Toc2527342_3224264995">
            <w:r>
              <w:rPr>
                <w:webHidden/>
                <w:rStyle w:val="IndexLink"/>
                <w:rtl w:val="true"/>
              </w:rPr>
              <w:t>[</w:t>
            </w:r>
            <w:r>
              <w:rPr>
                <w:rStyle w:val="IndexLink"/>
                <w:rtl w:val="true"/>
              </w:rPr>
              <w:t>محل النزاع فی التواتر المنقول</w:t>
            </w:r>
            <w:r>
              <w:rPr>
                <w:rStyle w:val="IndexLink"/>
                <w:rtl w:val="true"/>
              </w:rPr>
              <w:t>]</w:t>
              <w:tab/>
            </w:r>
            <w:r>
              <w:rPr>
                <w:rStyle w:val="IndexLink"/>
              </w:rPr>
              <w:t>259</w:t>
            </w:r>
          </w:hyperlink>
        </w:p>
        <w:p>
          <w:pPr>
            <w:pStyle w:val="Contents6"/>
            <w:tabs>
              <w:tab w:val="clear" w:pos="7609"/>
              <w:tab w:val="right" w:pos="9026" w:leader="dot"/>
            </w:tabs>
            <w:rPr/>
          </w:pPr>
          <w:hyperlink w:anchor="__RefHeading___Toc2527344_3224264995">
            <w:r>
              <w:rPr>
                <w:webHidden/>
                <w:rStyle w:val="IndexLink"/>
                <w:rtl w:val="true"/>
              </w:rPr>
              <w:t>[</w:t>
            </w:r>
            <w:r>
              <w:rPr>
                <w:rStyle w:val="IndexLink"/>
                <w:rtl w:val="true"/>
              </w:rPr>
              <w:t>إشارة إلی النظر فی اعتبار التواتر فی القراءة</w:t>
            </w:r>
            <w:r>
              <w:rPr>
                <w:rStyle w:val="IndexLink"/>
                <w:rtl w:val="true"/>
              </w:rPr>
              <w:t>]</w:t>
              <w:tab/>
            </w:r>
            <w:r>
              <w:rPr>
                <w:rStyle w:val="IndexLink"/>
              </w:rPr>
              <w:t>260</w:t>
            </w:r>
          </w:hyperlink>
        </w:p>
        <w:p>
          <w:pPr>
            <w:pStyle w:val="Contents6"/>
            <w:tabs>
              <w:tab w:val="clear" w:pos="7609"/>
              <w:tab w:val="right" w:pos="9026" w:leader="dot"/>
            </w:tabs>
            <w:rPr/>
          </w:pPr>
          <w:hyperlink w:anchor="__RefHeading___Toc2527346_3224264995">
            <w:r>
              <w:rPr>
                <w:webHidden/>
                <w:rStyle w:val="IndexLink"/>
                <w:rtl w:val="true"/>
              </w:rPr>
              <w:t>[</w:t>
            </w:r>
            <w:r>
              <w:rPr>
                <w:rStyle w:val="IndexLink"/>
                <w:rtl w:val="true"/>
              </w:rPr>
              <w:t>حجّیة التواتر المنقول</w:t>
            </w:r>
            <w:r>
              <w:rPr>
                <w:rStyle w:val="IndexLink"/>
                <w:rtl w:val="true"/>
              </w:rPr>
              <w:t>]</w:t>
              <w:tab/>
            </w:r>
            <w:r>
              <w:rPr>
                <w:rStyle w:val="IndexLink"/>
              </w:rPr>
              <w:t>261</w:t>
            </w:r>
          </w:hyperlink>
        </w:p>
        <w:p>
          <w:pPr>
            <w:pStyle w:val="Contents6"/>
            <w:tabs>
              <w:tab w:val="clear" w:pos="7609"/>
              <w:tab w:val="right" w:pos="9026" w:leader="dot"/>
            </w:tabs>
            <w:rPr/>
          </w:pPr>
          <w:hyperlink w:anchor="__RefHeading___Toc2527348_3224264995">
            <w:r>
              <w:rPr>
                <w:webHidden/>
                <w:rStyle w:val="IndexLink"/>
                <w:rtl w:val="true"/>
              </w:rPr>
              <w:t>[</w:t>
            </w:r>
            <w:r>
              <w:rPr>
                <w:rStyle w:val="IndexLink"/>
                <w:rtl w:val="true"/>
              </w:rPr>
              <w:t>الردّ علی ما ذهب إلیه الماتن من عدم حجّیة التواتر المنقول بدعوی عدم استلزام ثبوته لشخص لثبوته فی نفس الأمر</w:t>
            </w:r>
            <w:r>
              <w:rPr>
                <w:rStyle w:val="IndexLink"/>
                <w:rtl w:val="true"/>
              </w:rPr>
              <w:t>]</w:t>
              <w:tab/>
            </w:r>
            <w:r>
              <w:rPr>
                <w:rStyle w:val="IndexLink"/>
              </w:rPr>
              <w:t>261</w:t>
            </w:r>
          </w:hyperlink>
        </w:p>
        <w:p>
          <w:pPr>
            <w:pStyle w:val="Contents6"/>
            <w:tabs>
              <w:tab w:val="clear" w:pos="7609"/>
              <w:tab w:val="right" w:pos="9026" w:leader="dot"/>
            </w:tabs>
            <w:rPr/>
          </w:pPr>
          <w:hyperlink w:anchor="__RefHeading___Toc2527350_3224264995">
            <w:r>
              <w:rPr>
                <w:webHidden/>
                <w:rStyle w:val="IndexLink"/>
                <w:rtl w:val="true"/>
              </w:rPr>
              <w:t>[</w:t>
            </w:r>
            <w:r>
              <w:rPr>
                <w:rStyle w:val="IndexLink"/>
                <w:rtl w:val="true"/>
              </w:rPr>
              <w:t>النظر فی اعتراض المحقّق الأردبیلی و صاحب المدارک علی المحقّق و الشهید الثانیین</w:t>
            </w:r>
            <w:r>
              <w:rPr>
                <w:rStyle w:val="IndexLink"/>
                <w:rtl w:val="true"/>
              </w:rPr>
              <w:t>]</w:t>
              <w:tab/>
            </w:r>
            <w:r>
              <w:rPr>
                <w:rStyle w:val="IndexLink"/>
              </w:rPr>
              <w:t>263</w:t>
            </w:r>
          </w:hyperlink>
        </w:p>
        <w:p>
          <w:pPr>
            <w:pStyle w:val="Contents4"/>
            <w:tabs>
              <w:tab w:val="clear" w:pos="8176"/>
              <w:tab w:val="right" w:pos="9026" w:leader="dot"/>
            </w:tabs>
            <w:rPr/>
          </w:pPr>
          <w:hyperlink w:anchor="__RefHeading___Toc2527352_3224264995">
            <w:r>
              <w:rPr>
                <w:webHidden/>
                <w:rStyle w:val="IndexLink"/>
                <w:rtl w:val="true"/>
              </w:rPr>
              <w:t>[</w:t>
            </w:r>
            <w:r>
              <w:rPr>
                <w:rStyle w:val="IndexLink"/>
                <w:rtl w:val="true"/>
              </w:rPr>
              <w:t>و منها الشهرة</w:t>
            </w:r>
            <w:r>
              <w:rPr>
                <w:rStyle w:val="IndexLink"/>
                <w:rtl w:val="true"/>
              </w:rPr>
              <w:t>]</w:t>
              <w:tab/>
            </w:r>
            <w:r>
              <w:rPr>
                <w:rStyle w:val="IndexLink"/>
              </w:rPr>
              <w:t>264</w:t>
            </w:r>
          </w:hyperlink>
        </w:p>
        <w:p>
          <w:pPr>
            <w:pStyle w:val="Contents5"/>
            <w:tabs>
              <w:tab w:val="clear" w:pos="7892"/>
              <w:tab w:val="right" w:pos="9026" w:leader="dot"/>
            </w:tabs>
            <w:rPr/>
          </w:pPr>
          <w:hyperlink w:anchor="__RefHeading___Toc2527354_3224264995">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2527356_3224264995">
            <w:r>
              <w:rPr>
                <w:webHidden/>
                <w:rStyle w:val="IndexLink"/>
                <w:rtl w:val="true"/>
              </w:rPr>
              <w:t>[</w:t>
            </w:r>
            <w:r>
              <w:rPr>
                <w:rStyle w:val="IndexLink"/>
                <w:rtl w:val="true"/>
              </w:rPr>
              <w:t>مراحل البحث فی حجیة الشهرة</w:t>
            </w:r>
            <w:r>
              <w:rPr>
                <w:rStyle w:val="IndexLink"/>
                <w:rtl w:val="true"/>
              </w:rPr>
              <w:t>]</w:t>
              <w:tab/>
            </w:r>
            <w:r>
              <w:rPr>
                <w:rStyle w:val="IndexLink"/>
              </w:rPr>
              <w:t>264</w:t>
            </w:r>
          </w:hyperlink>
        </w:p>
        <w:p>
          <w:pPr>
            <w:pStyle w:val="Contents5"/>
            <w:tabs>
              <w:tab w:val="clear" w:pos="7892"/>
              <w:tab w:val="right" w:pos="9026" w:leader="dot"/>
            </w:tabs>
            <w:rPr/>
          </w:pPr>
          <w:hyperlink w:anchor="__RefHeading___Toc2527358_3224264995">
            <w:r>
              <w:rPr>
                <w:webHidden/>
                <w:rStyle w:val="IndexLink"/>
                <w:rtl w:val="true"/>
              </w:rPr>
              <w:t>[</w:t>
            </w:r>
            <w:r>
              <w:rPr>
                <w:rStyle w:val="IndexLink"/>
                <w:rtl w:val="true"/>
              </w:rPr>
              <w:t>معنی الحجّیة المتنازع فی ثبوتها للشهرة</w:t>
            </w:r>
            <w:r>
              <w:rPr>
                <w:rStyle w:val="IndexLink"/>
                <w:rtl w:val="true"/>
              </w:rPr>
              <w:t>]</w:t>
              <w:tab/>
            </w:r>
            <w:r>
              <w:rPr>
                <w:rStyle w:val="IndexLink"/>
              </w:rPr>
              <w:t>265</w:t>
            </w:r>
          </w:hyperlink>
        </w:p>
        <w:p>
          <w:pPr>
            <w:pStyle w:val="Contents5"/>
            <w:tabs>
              <w:tab w:val="clear" w:pos="7892"/>
              <w:tab w:val="right" w:pos="9026" w:leader="dot"/>
            </w:tabs>
            <w:rPr/>
          </w:pPr>
          <w:hyperlink w:anchor="__RefHeading___Toc2527360_3224264995">
            <w:r>
              <w:rPr>
                <w:webHidden/>
                <w:rStyle w:val="IndexLink"/>
                <w:rtl w:val="true"/>
              </w:rPr>
              <w:t>[</w:t>
            </w:r>
            <w:r>
              <w:rPr>
                <w:rStyle w:val="IndexLink"/>
                <w:rtl w:val="true"/>
              </w:rPr>
              <w:t>الأقوال فی حجّیة الشهرة</w:t>
            </w:r>
            <w:r>
              <w:rPr>
                <w:rStyle w:val="IndexLink"/>
                <w:rtl w:val="true"/>
              </w:rPr>
              <w:t>]</w:t>
              <w:tab/>
            </w:r>
            <w:r>
              <w:rPr>
                <w:rStyle w:val="IndexLink"/>
              </w:rPr>
              <w:t>265</w:t>
            </w:r>
          </w:hyperlink>
        </w:p>
        <w:p>
          <w:pPr>
            <w:pStyle w:val="Contents5"/>
            <w:tabs>
              <w:tab w:val="clear" w:pos="7892"/>
              <w:tab w:val="right" w:pos="9026" w:leader="dot"/>
            </w:tabs>
            <w:rPr/>
          </w:pPr>
          <w:hyperlink w:anchor="__RefHeading___Toc2527362_3224264995">
            <w:r>
              <w:rPr>
                <w:webHidden/>
                <w:rStyle w:val="IndexLink"/>
                <w:rtl w:val="true"/>
              </w:rPr>
              <w:t>[</w:t>
            </w:r>
            <w:r>
              <w:rPr>
                <w:rStyle w:val="IndexLink"/>
                <w:rtl w:val="true"/>
              </w:rPr>
              <w:t>محل النزاع من أقسام الشهرة هو الشهرة الفتوائیة</w:t>
            </w:r>
            <w:r>
              <w:rPr>
                <w:rStyle w:val="IndexLink"/>
                <w:rtl w:val="true"/>
              </w:rPr>
              <w:t>]</w:t>
              <w:tab/>
            </w:r>
            <w:r>
              <w:rPr>
                <w:rStyle w:val="IndexLink"/>
              </w:rPr>
              <w:t>266</w:t>
            </w:r>
          </w:hyperlink>
        </w:p>
        <w:p>
          <w:pPr>
            <w:pStyle w:val="Contents5"/>
            <w:tabs>
              <w:tab w:val="clear" w:pos="7892"/>
              <w:tab w:val="right" w:pos="9026" w:leader="dot"/>
            </w:tabs>
            <w:rPr/>
          </w:pPr>
          <w:hyperlink w:anchor="__RefHeading___Toc2527364_3224264995">
            <w:r>
              <w:rPr>
                <w:webHidden/>
                <w:rStyle w:val="IndexLink"/>
                <w:rtl w:val="true"/>
              </w:rPr>
              <w:t>[</w:t>
            </w:r>
            <w:r>
              <w:rPr>
                <w:rStyle w:val="IndexLink"/>
                <w:rtl w:val="true"/>
              </w:rPr>
              <w:t>عدم حجّیة الشهرة الفتوائیة غیر المقیدة للظن</w:t>
            </w:r>
            <w:r>
              <w:rPr>
                <w:rStyle w:val="IndexLink"/>
                <w:rtl w:val="true"/>
              </w:rPr>
              <w:t>]</w:t>
              <w:tab/>
            </w:r>
            <w:r>
              <w:rPr>
                <w:rStyle w:val="IndexLink"/>
              </w:rPr>
              <w:t>266</w:t>
            </w:r>
          </w:hyperlink>
        </w:p>
        <w:p>
          <w:pPr>
            <w:pStyle w:val="Contents5"/>
            <w:tabs>
              <w:tab w:val="clear" w:pos="7892"/>
              <w:tab w:val="right" w:pos="9026" w:leader="dot"/>
            </w:tabs>
            <w:rPr/>
          </w:pPr>
          <w:hyperlink w:anchor="__RefHeading___Toc2527366_3224264995">
            <w:r>
              <w:rPr>
                <w:webHidden/>
                <w:rStyle w:val="IndexLink"/>
                <w:rtl w:val="true"/>
              </w:rPr>
              <w:t>[</w:t>
            </w:r>
            <w:r>
              <w:rPr>
                <w:rStyle w:val="IndexLink"/>
                <w:rtl w:val="true"/>
              </w:rPr>
              <w:t>حجّیة الشهرة الکاشفة قطعا</w:t>
            </w:r>
            <w:r>
              <w:rPr>
                <w:rStyle w:val="IndexLink"/>
                <w:rtl w:val="true"/>
              </w:rPr>
              <w:t>]</w:t>
              <w:tab/>
            </w:r>
            <w:r>
              <w:rPr>
                <w:rStyle w:val="IndexLink"/>
              </w:rPr>
              <w:t>267</w:t>
            </w:r>
          </w:hyperlink>
        </w:p>
        <w:p>
          <w:pPr>
            <w:pStyle w:val="Contents5"/>
            <w:tabs>
              <w:tab w:val="clear" w:pos="7892"/>
              <w:tab w:val="right" w:pos="9026" w:leader="dot"/>
            </w:tabs>
            <w:rPr/>
          </w:pPr>
          <w:hyperlink w:anchor="__RefHeading___Toc2527368_3224264995">
            <w:r>
              <w:rPr>
                <w:webHidden/>
                <w:rStyle w:val="IndexLink"/>
                <w:rtl w:val="true"/>
              </w:rPr>
              <w:t>[</w:t>
            </w:r>
            <w:r>
              <w:rPr>
                <w:rStyle w:val="IndexLink"/>
                <w:rtl w:val="true"/>
              </w:rPr>
              <w:t>تفصیل الکلام فی حجّیة الشهرة الفتوائیة الکاشفة ظنّا</w:t>
            </w:r>
            <w:r>
              <w:rPr>
                <w:rStyle w:val="IndexLink"/>
                <w:rtl w:val="true"/>
              </w:rPr>
              <w:t>]</w:t>
              <w:tab/>
            </w:r>
            <w:r>
              <w:rPr>
                <w:rStyle w:val="IndexLink"/>
              </w:rPr>
              <w:t>267</w:t>
            </w:r>
          </w:hyperlink>
        </w:p>
        <w:p>
          <w:pPr>
            <w:pStyle w:val="Contents5"/>
            <w:tabs>
              <w:tab w:val="clear" w:pos="7892"/>
              <w:tab w:val="right" w:pos="9026" w:leader="dot"/>
            </w:tabs>
            <w:rPr/>
          </w:pPr>
          <w:hyperlink w:anchor="__RefHeading___Toc2527370_3224264995">
            <w:r>
              <w:rPr>
                <w:webHidden/>
                <w:rStyle w:val="IndexLink"/>
                <w:rtl w:val="true"/>
              </w:rPr>
              <w:t>[</w:t>
            </w:r>
            <w:r>
              <w:rPr>
                <w:rStyle w:val="IndexLink"/>
                <w:rtl w:val="true"/>
              </w:rPr>
              <w:t>الکلام فی بناء العقلاء</w:t>
            </w:r>
            <w:r>
              <w:rPr>
                <w:rStyle w:val="IndexLink"/>
                <w:rtl w:val="true"/>
              </w:rPr>
              <w:t>]</w:t>
              <w:tab/>
            </w:r>
            <w:r>
              <w:rPr>
                <w:rStyle w:val="IndexLink"/>
              </w:rPr>
              <w:t>268</w:t>
            </w:r>
          </w:hyperlink>
        </w:p>
        <w:p>
          <w:pPr>
            <w:pStyle w:val="Contents5"/>
            <w:tabs>
              <w:tab w:val="clear" w:pos="7892"/>
              <w:tab w:val="right" w:pos="9026" w:leader="dot"/>
            </w:tabs>
            <w:rPr/>
          </w:pPr>
          <w:hyperlink w:anchor="__RefHeading___Toc2527372_3224264995">
            <w:r>
              <w:rPr>
                <w:webHidden/>
                <w:rStyle w:val="IndexLink"/>
                <w:rtl w:val="true"/>
              </w:rPr>
              <w:t>[</w:t>
            </w:r>
            <w:r>
              <w:rPr>
                <w:rStyle w:val="IndexLink"/>
                <w:rtl w:val="true"/>
              </w:rPr>
              <w:t>حجیة بناء العقلاء</w:t>
            </w:r>
            <w:r>
              <w:rPr>
                <w:rStyle w:val="IndexLink"/>
                <w:rtl w:val="true"/>
              </w:rPr>
              <w:t>]</w:t>
              <w:tab/>
            </w:r>
            <w:r>
              <w:rPr>
                <w:rStyle w:val="IndexLink"/>
              </w:rPr>
              <w:t>269</w:t>
            </w:r>
          </w:hyperlink>
        </w:p>
        <w:p>
          <w:pPr>
            <w:pStyle w:val="Contents5"/>
            <w:tabs>
              <w:tab w:val="clear" w:pos="7892"/>
              <w:tab w:val="right" w:pos="9026" w:leader="dot"/>
            </w:tabs>
            <w:rPr/>
          </w:pPr>
          <w:hyperlink w:anchor="__RefHeading___Toc2527374_3224264995">
            <w:r>
              <w:rPr>
                <w:webHidden/>
                <w:rStyle w:val="IndexLink"/>
                <w:rtl w:val="true"/>
              </w:rPr>
              <w:t>[</w:t>
            </w:r>
            <w:r>
              <w:rPr>
                <w:rStyle w:val="IndexLink"/>
                <w:rtl w:val="true"/>
              </w:rPr>
              <w:t>تقریب آخر فی حجّیة بناء العقلاء</w:t>
            </w:r>
            <w:r>
              <w:rPr>
                <w:rStyle w:val="IndexLink"/>
                <w:rtl w:val="true"/>
              </w:rPr>
              <w:t>]</w:t>
              <w:tab/>
            </w:r>
            <w:r>
              <w:rPr>
                <w:rStyle w:val="IndexLink"/>
              </w:rPr>
              <w:t>269</w:t>
            </w:r>
          </w:hyperlink>
        </w:p>
        <w:p>
          <w:pPr>
            <w:pStyle w:val="Contents5"/>
            <w:tabs>
              <w:tab w:val="clear" w:pos="7892"/>
              <w:tab w:val="right" w:pos="9026" w:leader="dot"/>
            </w:tabs>
            <w:rPr/>
          </w:pPr>
          <w:hyperlink w:anchor="__RefHeading___Toc2527376_3224264995">
            <w:r>
              <w:rPr>
                <w:webHidden/>
                <w:rStyle w:val="IndexLink"/>
                <w:rtl w:val="true"/>
              </w:rPr>
              <w:t>[</w:t>
            </w:r>
            <w:r>
              <w:rPr>
                <w:rStyle w:val="IndexLink"/>
                <w:rtl w:val="true"/>
              </w:rPr>
              <w:t>افتراق بناء العرف عن بناء العقلاء</w:t>
            </w:r>
            <w:r>
              <w:rPr>
                <w:rStyle w:val="IndexLink"/>
                <w:rtl w:val="true"/>
              </w:rPr>
              <w:t>]</w:t>
              <w:tab/>
            </w:r>
            <w:r>
              <w:rPr>
                <w:rStyle w:val="IndexLink"/>
              </w:rPr>
              <w:t>270</w:t>
            </w:r>
          </w:hyperlink>
        </w:p>
        <w:p>
          <w:pPr>
            <w:pStyle w:val="Contents5"/>
            <w:tabs>
              <w:tab w:val="clear" w:pos="7892"/>
              <w:tab w:val="right" w:pos="9026" w:leader="dot"/>
            </w:tabs>
            <w:rPr/>
          </w:pPr>
          <w:hyperlink w:anchor="__RefHeading___Toc2527378_3224264995">
            <w:r>
              <w:rPr>
                <w:webHidden/>
                <w:rStyle w:val="IndexLink"/>
                <w:rtl w:val="true"/>
              </w:rPr>
              <w:t>[</w:t>
            </w:r>
            <w:r>
              <w:rPr>
                <w:rStyle w:val="IndexLink"/>
                <w:rtl w:val="true"/>
              </w:rPr>
              <w:t>استقرار بناء العقلاء علی وجه التعلیق علی العمل بجملة من الظنون</w:t>
            </w:r>
            <w:r>
              <w:rPr>
                <w:rStyle w:val="IndexLink"/>
                <w:rtl w:val="true"/>
              </w:rPr>
              <w:t>]</w:t>
              <w:tab/>
            </w:r>
            <w:r>
              <w:rPr>
                <w:rStyle w:val="IndexLink"/>
              </w:rPr>
              <w:t>270</w:t>
            </w:r>
          </w:hyperlink>
        </w:p>
        <w:p>
          <w:pPr>
            <w:pStyle w:val="Contents5"/>
            <w:tabs>
              <w:tab w:val="clear" w:pos="7892"/>
              <w:tab w:val="right" w:pos="9026" w:leader="dot"/>
            </w:tabs>
            <w:rPr/>
          </w:pPr>
          <w:hyperlink w:anchor="__RefHeading___Toc2527380_3224264995">
            <w:r>
              <w:rPr>
                <w:webHidden/>
                <w:rStyle w:val="IndexLink"/>
                <w:rtl w:val="true"/>
              </w:rPr>
              <w:t>[</w:t>
            </w:r>
            <w:r>
              <w:rPr>
                <w:rStyle w:val="IndexLink"/>
                <w:rtl w:val="true"/>
              </w:rPr>
              <w:t>بناء العقلاء علی العمل بالظن الحاصل من قول أهل الخبرة</w:t>
            </w:r>
            <w:r>
              <w:rPr>
                <w:rStyle w:val="IndexLink"/>
                <w:rtl w:val="true"/>
              </w:rPr>
              <w:t>]</w:t>
              <w:tab/>
            </w:r>
            <w:r>
              <w:rPr>
                <w:rStyle w:val="IndexLink"/>
              </w:rPr>
              <w:t>270</w:t>
            </w:r>
          </w:hyperlink>
        </w:p>
        <w:p>
          <w:pPr>
            <w:pStyle w:val="Contents5"/>
            <w:tabs>
              <w:tab w:val="clear" w:pos="7892"/>
              <w:tab w:val="right" w:pos="9026" w:leader="dot"/>
            </w:tabs>
            <w:rPr/>
          </w:pPr>
          <w:hyperlink w:anchor="__RefHeading___Toc2527382_3224264995">
            <w:r>
              <w:rPr>
                <w:webHidden/>
                <w:rStyle w:val="IndexLink"/>
                <w:rtl w:val="true"/>
              </w:rPr>
              <w:t>[</w:t>
            </w:r>
            <w:r>
              <w:rPr>
                <w:rStyle w:val="IndexLink"/>
                <w:rtl w:val="true"/>
              </w:rPr>
              <w:t>بناء العقلاء علی العمل بالظنون المعمولة لتشخیص کلّ مذهب و رویّة من مذاهب الرؤساء</w:t>
            </w:r>
            <w:r>
              <w:rPr>
                <w:rStyle w:val="IndexLink"/>
                <w:rtl w:val="true"/>
              </w:rPr>
              <w:t>]</w:t>
              <w:tab/>
            </w:r>
            <w:r>
              <w:rPr>
                <w:rStyle w:val="IndexLink"/>
              </w:rPr>
              <w:t>271</w:t>
            </w:r>
          </w:hyperlink>
        </w:p>
        <w:p>
          <w:pPr>
            <w:pStyle w:val="Contents5"/>
            <w:tabs>
              <w:tab w:val="clear" w:pos="7892"/>
              <w:tab w:val="right" w:pos="9026" w:leader="dot"/>
            </w:tabs>
            <w:rPr/>
          </w:pPr>
          <w:hyperlink w:anchor="__RefHeading___Toc2527384_3224264995">
            <w:r>
              <w:rPr>
                <w:webHidden/>
                <w:rStyle w:val="IndexLink"/>
                <w:rtl w:val="true"/>
              </w:rPr>
              <w:t>[</w:t>
            </w:r>
            <w:r>
              <w:rPr>
                <w:rStyle w:val="IndexLink"/>
                <w:rtl w:val="true"/>
              </w:rPr>
              <w:t>استمرار بناء العقلاء من العلماء علی ابتناء اجتهاداتهم الفرعیّة علی مبانی ظنیّة</w:t>
            </w:r>
            <w:r>
              <w:rPr>
                <w:rStyle w:val="IndexLink"/>
                <w:rtl w:val="true"/>
              </w:rPr>
              <w:t>]</w:t>
              <w:tab/>
            </w:r>
            <w:r>
              <w:rPr>
                <w:rStyle w:val="IndexLink"/>
              </w:rPr>
              <w:t>271</w:t>
            </w:r>
          </w:hyperlink>
        </w:p>
        <w:p>
          <w:pPr>
            <w:pStyle w:val="Contents5"/>
            <w:tabs>
              <w:tab w:val="clear" w:pos="7892"/>
              <w:tab w:val="right" w:pos="9026" w:leader="dot"/>
            </w:tabs>
            <w:rPr/>
          </w:pPr>
          <w:hyperlink w:anchor="__RefHeading___Toc2527386_3224264995">
            <w:r>
              <w:rPr>
                <w:webHidden/>
                <w:rStyle w:val="IndexLink"/>
                <w:rtl w:val="true"/>
              </w:rPr>
              <w:t>[</w:t>
            </w:r>
            <w:r>
              <w:rPr>
                <w:rStyle w:val="IndexLink"/>
                <w:rtl w:val="true"/>
              </w:rPr>
              <w:t>انحصار طریق المنع عن بناء العقلاء فی التنصیص بالنصوص المتضافرة بل المتواترة</w:t>
            </w:r>
            <w:r>
              <w:rPr>
                <w:rStyle w:val="IndexLink"/>
                <w:rtl w:val="true"/>
              </w:rPr>
              <w:t>]</w:t>
              <w:tab/>
            </w:r>
            <w:r>
              <w:rPr>
                <w:rStyle w:val="IndexLink"/>
              </w:rPr>
              <w:t>271</w:t>
            </w:r>
          </w:hyperlink>
        </w:p>
        <w:p>
          <w:pPr>
            <w:pStyle w:val="Contents5"/>
            <w:tabs>
              <w:tab w:val="clear" w:pos="7892"/>
              <w:tab w:val="right" w:pos="9026" w:leader="dot"/>
            </w:tabs>
            <w:rPr/>
          </w:pPr>
          <w:hyperlink w:anchor="__RefHeading___Toc2527388_3224264995">
            <w:r>
              <w:rPr>
                <w:webHidden/>
                <w:rStyle w:val="IndexLink"/>
                <w:rtl w:val="true"/>
              </w:rPr>
              <w:t>[</w:t>
            </w:r>
            <w:r>
              <w:rPr>
                <w:rStyle w:val="IndexLink"/>
                <w:rtl w:val="true"/>
              </w:rPr>
              <w:t>تقویة اکتفاء صاحب القوانین بمجرّد عدم الدلیل علی المنع فی حجّیة الشهرة و سائر الظنون</w:t>
            </w:r>
            <w:r>
              <w:rPr>
                <w:rStyle w:val="IndexLink"/>
                <w:rtl w:val="true"/>
              </w:rPr>
              <w:t>]</w:t>
              <w:tab/>
            </w:r>
            <w:r>
              <w:rPr>
                <w:rStyle w:val="IndexLink"/>
              </w:rPr>
              <w:t>273</w:t>
            </w:r>
          </w:hyperlink>
        </w:p>
        <w:p>
          <w:pPr>
            <w:pStyle w:val="Contents5"/>
            <w:tabs>
              <w:tab w:val="clear" w:pos="7892"/>
              <w:tab w:val="right" w:pos="9026" w:leader="dot"/>
            </w:tabs>
            <w:rPr/>
          </w:pPr>
          <w:hyperlink w:anchor="__RefHeading___Toc2527390_3224264995">
            <w:r>
              <w:rPr>
                <w:webHidden/>
                <w:rStyle w:val="IndexLink"/>
                <w:rtl w:val="true"/>
              </w:rPr>
              <w:t>[</w:t>
            </w:r>
            <w:r>
              <w:rPr>
                <w:rStyle w:val="IndexLink"/>
                <w:rtl w:val="true"/>
              </w:rPr>
              <w:t>تقویة توجیه الشهید الثانی فی حجّیة الشیاع الظنی</w:t>
            </w:r>
            <w:r>
              <w:rPr>
                <w:rStyle w:val="IndexLink"/>
                <w:rtl w:val="true"/>
              </w:rPr>
              <w:t>]</w:t>
              <w:tab/>
            </w:r>
            <w:r>
              <w:rPr>
                <w:rStyle w:val="IndexLink"/>
              </w:rPr>
              <w:t>273</w:t>
            </w:r>
          </w:hyperlink>
        </w:p>
        <w:p>
          <w:pPr>
            <w:pStyle w:val="Contents5"/>
            <w:tabs>
              <w:tab w:val="clear" w:pos="7892"/>
              <w:tab w:val="right" w:pos="9026" w:leader="dot"/>
            </w:tabs>
            <w:rPr/>
          </w:pPr>
          <w:hyperlink w:anchor="__RefHeading___Toc2527392_3224264995">
            <w:r>
              <w:rPr>
                <w:webHidden/>
                <w:rStyle w:val="IndexLink"/>
                <w:rtl w:val="true"/>
              </w:rPr>
              <w:t>[</w:t>
            </w:r>
            <w:r>
              <w:rPr>
                <w:rStyle w:val="IndexLink"/>
                <w:rtl w:val="true"/>
              </w:rPr>
              <w:t>استظهار الاجماع علی حجّیة الشهرة من عبارة الشهید فی التمهید</w:t>
            </w:r>
            <w:r>
              <w:rPr>
                <w:rStyle w:val="IndexLink"/>
                <w:rtl w:val="true"/>
              </w:rPr>
              <w:t>]</w:t>
              <w:tab/>
            </w:r>
            <w:r>
              <w:rPr>
                <w:rStyle w:val="IndexLink"/>
              </w:rPr>
              <w:t>275</w:t>
            </w:r>
          </w:hyperlink>
        </w:p>
        <w:p>
          <w:pPr>
            <w:pStyle w:val="Contents5"/>
            <w:tabs>
              <w:tab w:val="clear" w:pos="7892"/>
              <w:tab w:val="right" w:pos="9026" w:leader="dot"/>
            </w:tabs>
            <w:rPr/>
          </w:pPr>
          <w:hyperlink w:anchor="__RefHeading___Toc2527394_3224264995">
            <w:r>
              <w:rPr>
                <w:webHidden/>
                <w:rStyle w:val="IndexLink"/>
                <w:rtl w:val="true"/>
              </w:rPr>
              <w:t>[</w:t>
            </w:r>
            <w:r>
              <w:rPr>
                <w:rStyle w:val="IndexLink"/>
                <w:rtl w:val="true"/>
              </w:rPr>
              <w:t>الاستدلال بالکتاب علی حجّیة الشهرة</w:t>
            </w:r>
            <w:r>
              <w:rPr>
                <w:rStyle w:val="IndexLink"/>
                <w:rtl w:val="true"/>
              </w:rPr>
              <w:t>]</w:t>
              <w:tab/>
            </w:r>
            <w:r>
              <w:rPr>
                <w:rStyle w:val="IndexLink"/>
              </w:rPr>
              <w:t>275</w:t>
            </w:r>
          </w:hyperlink>
        </w:p>
        <w:p>
          <w:pPr>
            <w:pStyle w:val="Contents5"/>
            <w:tabs>
              <w:tab w:val="clear" w:pos="7892"/>
              <w:tab w:val="right" w:pos="9026" w:leader="dot"/>
            </w:tabs>
            <w:rPr/>
          </w:pPr>
          <w:hyperlink w:anchor="__RefHeading___Toc2527396_3224264995">
            <w:r>
              <w:rPr>
                <w:webHidden/>
                <w:rStyle w:val="IndexLink"/>
                <w:rtl w:val="true"/>
              </w:rPr>
              <w:t>[</w:t>
            </w:r>
            <w:r>
              <w:rPr>
                <w:rStyle w:val="IndexLink"/>
                <w:rtl w:val="true"/>
              </w:rPr>
              <w:t>بحث فی مفاد آیة النبأ</w:t>
            </w:r>
            <w:r>
              <w:rPr>
                <w:rStyle w:val="IndexLink"/>
                <w:rtl w:val="true"/>
              </w:rPr>
              <w:t>]</w:t>
              <w:tab/>
            </w:r>
            <w:r>
              <w:rPr>
                <w:rStyle w:val="IndexLink"/>
              </w:rPr>
              <w:t>276</w:t>
            </w:r>
          </w:hyperlink>
        </w:p>
        <w:p>
          <w:pPr>
            <w:pStyle w:val="Contents5"/>
            <w:tabs>
              <w:tab w:val="clear" w:pos="7892"/>
              <w:tab w:val="right" w:pos="9026" w:leader="dot"/>
            </w:tabs>
            <w:rPr/>
          </w:pPr>
          <w:hyperlink w:anchor="__RefHeading___Toc2527398_3224264995">
            <w:r>
              <w:rPr>
                <w:webHidden/>
                <w:rStyle w:val="IndexLink"/>
                <w:rtl w:val="true"/>
              </w:rPr>
              <w:t>[</w:t>
            </w:r>
            <w:r>
              <w:rPr>
                <w:rStyle w:val="IndexLink"/>
                <w:rtl w:val="true"/>
              </w:rPr>
              <w:t>دفع الأوهام عن دلالة الآیة علی حجّیة الشهرة</w:t>
            </w:r>
            <w:r>
              <w:rPr>
                <w:rStyle w:val="IndexLink"/>
                <w:rtl w:val="true"/>
              </w:rPr>
              <w:t>]</w:t>
              <w:tab/>
            </w:r>
            <w:r>
              <w:rPr>
                <w:rStyle w:val="IndexLink"/>
              </w:rPr>
              <w:t>277</w:t>
            </w:r>
          </w:hyperlink>
        </w:p>
        <w:p>
          <w:pPr>
            <w:pStyle w:val="Contents5"/>
            <w:tabs>
              <w:tab w:val="clear" w:pos="7892"/>
              <w:tab w:val="right" w:pos="9026" w:leader="dot"/>
            </w:tabs>
            <w:rPr/>
          </w:pPr>
          <w:hyperlink w:anchor="__RefHeading___Toc2527400_3224264995">
            <w:r>
              <w:rPr>
                <w:webHidden/>
                <w:rStyle w:val="IndexLink"/>
                <w:rtl w:val="true"/>
              </w:rPr>
              <w:t>[</w:t>
            </w:r>
            <w:r>
              <w:rPr>
                <w:rStyle w:val="IndexLink"/>
                <w:rtl w:val="true"/>
              </w:rPr>
              <w:t>المحتملات فی مراد مانعی حجّیة الشهرة</w:t>
            </w:r>
            <w:r>
              <w:rPr>
                <w:rStyle w:val="IndexLink"/>
                <w:rtl w:val="true"/>
              </w:rPr>
              <w:t>]</w:t>
              <w:tab/>
            </w:r>
            <w:r>
              <w:rPr>
                <w:rStyle w:val="IndexLink"/>
              </w:rPr>
              <w:t>278</w:t>
            </w:r>
          </w:hyperlink>
        </w:p>
        <w:p>
          <w:pPr>
            <w:pStyle w:val="Contents5"/>
            <w:tabs>
              <w:tab w:val="clear" w:pos="7892"/>
              <w:tab w:val="right" w:pos="9026" w:leader="dot"/>
            </w:tabs>
            <w:rPr/>
          </w:pPr>
          <w:hyperlink w:anchor="__RefHeading___Toc2527402_3224264995">
            <w:r>
              <w:rPr>
                <w:webHidden/>
                <w:rStyle w:val="IndexLink"/>
                <w:rtl w:val="true"/>
              </w:rPr>
              <w:t>[</w:t>
            </w:r>
            <w:r>
              <w:rPr>
                <w:rStyle w:val="IndexLink"/>
                <w:rtl w:val="true"/>
              </w:rPr>
              <w:t>الاستدلال بالاخبار علی حجیة الشهرة</w:t>
            </w:r>
            <w:r>
              <w:rPr>
                <w:rStyle w:val="IndexLink"/>
                <w:rtl w:val="true"/>
              </w:rPr>
              <w:t>]</w:t>
              <w:tab/>
            </w:r>
            <w:r>
              <w:rPr>
                <w:rStyle w:val="IndexLink"/>
              </w:rPr>
              <w:t>279</w:t>
            </w:r>
          </w:hyperlink>
        </w:p>
        <w:p>
          <w:pPr>
            <w:pStyle w:val="Contents5"/>
            <w:tabs>
              <w:tab w:val="clear" w:pos="7892"/>
              <w:tab w:val="right" w:pos="9026" w:leader="dot"/>
            </w:tabs>
            <w:rPr/>
          </w:pPr>
          <w:hyperlink w:anchor="__RefHeading___Toc2527404_3224264995">
            <w:r>
              <w:rPr>
                <w:webHidden/>
                <w:rStyle w:val="IndexLink"/>
                <w:rtl w:val="true"/>
              </w:rPr>
              <w:t>[</w:t>
            </w:r>
            <w:r>
              <w:rPr>
                <w:rStyle w:val="IndexLink"/>
                <w:rtl w:val="true"/>
              </w:rPr>
              <w:t>البحث فی سند مقبولة عمر بن حنظلة</w:t>
            </w:r>
            <w:r>
              <w:rPr>
                <w:rStyle w:val="IndexLink"/>
                <w:rtl w:val="true"/>
              </w:rPr>
              <w:t>]</w:t>
              <w:tab/>
            </w:r>
            <w:r>
              <w:rPr>
                <w:rStyle w:val="IndexLink"/>
              </w:rPr>
              <w:t>279</w:t>
            </w:r>
          </w:hyperlink>
        </w:p>
        <w:p>
          <w:pPr>
            <w:pStyle w:val="Contents5"/>
            <w:tabs>
              <w:tab w:val="clear" w:pos="7892"/>
              <w:tab w:val="right" w:pos="9026" w:leader="dot"/>
            </w:tabs>
            <w:rPr/>
          </w:pPr>
          <w:hyperlink w:anchor="__RefHeading___Toc2527406_3224264995">
            <w:r>
              <w:rPr>
                <w:webHidden/>
                <w:rStyle w:val="IndexLink"/>
                <w:rtl w:val="true"/>
              </w:rPr>
              <w:t>[</w:t>
            </w:r>
            <w:r>
              <w:rPr>
                <w:rStyle w:val="IndexLink"/>
                <w:rtl w:val="true"/>
              </w:rPr>
              <w:t>المراد من کون الراوی من أصحاب الإجماع</w:t>
            </w:r>
            <w:r>
              <w:rPr>
                <w:rStyle w:val="IndexLink"/>
                <w:rtl w:val="true"/>
              </w:rPr>
              <w:t>]</w:t>
              <w:tab/>
            </w:r>
            <w:r>
              <w:rPr>
                <w:rStyle w:val="IndexLink"/>
              </w:rPr>
              <w:t>280</w:t>
            </w:r>
          </w:hyperlink>
        </w:p>
        <w:p>
          <w:pPr>
            <w:pStyle w:val="Contents5"/>
            <w:tabs>
              <w:tab w:val="clear" w:pos="7892"/>
              <w:tab w:val="right" w:pos="9026" w:leader="dot"/>
            </w:tabs>
            <w:rPr/>
          </w:pPr>
          <w:hyperlink w:anchor="__RefHeading___Toc2527408_3224264995">
            <w:r>
              <w:rPr>
                <w:webHidden/>
                <w:rStyle w:val="IndexLink"/>
                <w:rtl w:val="true"/>
              </w:rPr>
              <w:t>[</w:t>
            </w:r>
            <w:r>
              <w:rPr>
                <w:rStyle w:val="IndexLink"/>
                <w:rtl w:val="true"/>
              </w:rPr>
              <w:t>کیفیة الاستدلال بالمقبولة علی حجیة الشهرة</w:t>
            </w:r>
            <w:r>
              <w:rPr>
                <w:rStyle w:val="IndexLink"/>
                <w:rtl w:val="true"/>
              </w:rPr>
              <w:t>]</w:t>
              <w:tab/>
            </w:r>
            <w:r>
              <w:rPr>
                <w:rStyle w:val="IndexLink"/>
              </w:rPr>
              <w:t>282</w:t>
            </w:r>
          </w:hyperlink>
        </w:p>
        <w:p>
          <w:pPr>
            <w:pStyle w:val="Contents5"/>
            <w:tabs>
              <w:tab w:val="clear" w:pos="7892"/>
              <w:tab w:val="right" w:pos="9026" w:leader="dot"/>
            </w:tabs>
            <w:rPr/>
          </w:pPr>
          <w:hyperlink w:anchor="__RefHeading___Toc2527410_3224264995">
            <w:r>
              <w:rPr>
                <w:webHidden/>
                <w:rStyle w:val="IndexLink"/>
                <w:rtl w:val="true"/>
              </w:rPr>
              <w:t>[</w:t>
            </w:r>
            <w:r>
              <w:rPr>
                <w:rStyle w:val="IndexLink"/>
                <w:rtl w:val="true"/>
              </w:rPr>
              <w:t>لا بدّ للتعلیل من زیادة الفائدة علی المعلول عند المخاطب</w:t>
            </w:r>
            <w:r>
              <w:rPr>
                <w:rStyle w:val="IndexLink"/>
                <w:rtl w:val="true"/>
              </w:rPr>
              <w:t>]</w:t>
              <w:tab/>
            </w:r>
            <w:r>
              <w:rPr>
                <w:rStyle w:val="IndexLink"/>
              </w:rPr>
              <w:t>283</w:t>
            </w:r>
          </w:hyperlink>
        </w:p>
        <w:p>
          <w:pPr>
            <w:pStyle w:val="Contents5"/>
            <w:tabs>
              <w:tab w:val="clear" w:pos="7892"/>
              <w:tab w:val="right" w:pos="9026" w:leader="dot"/>
            </w:tabs>
            <w:rPr/>
          </w:pPr>
          <w:hyperlink w:anchor="__RefHeading___Toc2527412_3224264995">
            <w:r>
              <w:rPr>
                <w:webHidden/>
                <w:rStyle w:val="IndexLink"/>
                <w:rtl w:val="true"/>
              </w:rPr>
              <w:t>[</w:t>
            </w:r>
            <w:r>
              <w:rPr>
                <w:rStyle w:val="IndexLink"/>
                <w:rtl w:val="true"/>
              </w:rPr>
              <w:t>شیوع الفتوی و الاستنباط بین الصحابة</w:t>
            </w:r>
            <w:r>
              <w:rPr>
                <w:rStyle w:val="IndexLink"/>
                <w:rtl w:val="true"/>
              </w:rPr>
              <w:t>]</w:t>
              <w:tab/>
            </w:r>
            <w:r>
              <w:rPr>
                <w:rStyle w:val="IndexLink"/>
              </w:rPr>
              <w:t>283</w:t>
            </w:r>
          </w:hyperlink>
        </w:p>
        <w:p>
          <w:pPr>
            <w:pStyle w:val="Contents5"/>
            <w:tabs>
              <w:tab w:val="clear" w:pos="7892"/>
              <w:tab w:val="right" w:pos="9026" w:leader="dot"/>
            </w:tabs>
            <w:rPr/>
          </w:pPr>
          <w:hyperlink w:anchor="__RefHeading___Toc2527414_3224264995">
            <w:r>
              <w:rPr>
                <w:webHidden/>
                <w:rStyle w:val="IndexLink"/>
                <w:rtl w:val="true"/>
              </w:rPr>
              <w:t>[</w:t>
            </w:r>
            <w:r>
              <w:rPr>
                <w:rStyle w:val="IndexLink"/>
                <w:rtl w:val="true"/>
              </w:rPr>
              <w:t>تمامیة دلالة المقبولة علی حجیة الشهرة الفتوائیة و الروائیة</w:t>
            </w:r>
            <w:r>
              <w:rPr>
                <w:rStyle w:val="IndexLink"/>
                <w:rtl w:val="true"/>
              </w:rPr>
              <w:t>]</w:t>
              <w:tab/>
            </w:r>
            <w:r>
              <w:rPr>
                <w:rStyle w:val="IndexLink"/>
              </w:rPr>
              <w:t>284</w:t>
            </w:r>
          </w:hyperlink>
        </w:p>
        <w:p>
          <w:pPr>
            <w:pStyle w:val="Contents5"/>
            <w:tabs>
              <w:tab w:val="clear" w:pos="7892"/>
              <w:tab w:val="right" w:pos="9026" w:leader="dot"/>
            </w:tabs>
            <w:rPr/>
          </w:pPr>
          <w:hyperlink w:anchor="__RefHeading___Toc2527416_3224264995">
            <w:r>
              <w:rPr>
                <w:webHidden/>
                <w:rStyle w:val="IndexLink"/>
                <w:rtl w:val="true"/>
              </w:rPr>
              <w:t>[</w:t>
            </w:r>
            <w:r>
              <w:rPr>
                <w:rStyle w:val="IndexLink"/>
                <w:rtl w:val="true"/>
              </w:rPr>
              <w:t>دفع توهّم اختصاص حجّیتها بصورة الکشف القطعی عن الواقع</w:t>
            </w:r>
            <w:r>
              <w:rPr>
                <w:rStyle w:val="IndexLink"/>
                <w:rtl w:val="true"/>
              </w:rPr>
              <w:t>]</w:t>
              <w:tab/>
            </w:r>
            <w:r>
              <w:rPr>
                <w:rStyle w:val="IndexLink"/>
              </w:rPr>
              <w:t>285</w:t>
            </w:r>
          </w:hyperlink>
        </w:p>
        <w:p>
          <w:pPr>
            <w:pStyle w:val="Contents5"/>
            <w:tabs>
              <w:tab w:val="clear" w:pos="7892"/>
              <w:tab w:val="right" w:pos="9026" w:leader="dot"/>
            </w:tabs>
            <w:rPr/>
          </w:pPr>
          <w:hyperlink w:anchor="__RefHeading___Toc2527418_3224264995">
            <w:r>
              <w:rPr>
                <w:webHidden/>
                <w:rStyle w:val="IndexLink"/>
                <w:rtl w:val="true"/>
              </w:rPr>
              <w:t>[</w:t>
            </w:r>
            <w:r>
              <w:rPr>
                <w:rStyle w:val="IndexLink"/>
                <w:rtl w:val="true"/>
              </w:rPr>
              <w:t>الاستدلال بمرفوعة زرارة</w:t>
            </w:r>
            <w:r>
              <w:rPr>
                <w:rStyle w:val="IndexLink"/>
                <w:rtl w:val="true"/>
              </w:rPr>
              <w:t>]</w:t>
              <w:tab/>
            </w:r>
            <w:r>
              <w:rPr>
                <w:rStyle w:val="IndexLink"/>
              </w:rPr>
              <w:t>285</w:t>
            </w:r>
          </w:hyperlink>
        </w:p>
        <w:p>
          <w:pPr>
            <w:pStyle w:val="Contents5"/>
            <w:tabs>
              <w:tab w:val="clear" w:pos="7892"/>
              <w:tab w:val="right" w:pos="9026" w:leader="dot"/>
            </w:tabs>
            <w:rPr/>
          </w:pPr>
          <w:hyperlink w:anchor="__RefHeading___Toc2527420_3224264995">
            <w:r>
              <w:rPr>
                <w:webHidden/>
                <w:rStyle w:val="IndexLink"/>
                <w:rtl w:val="true"/>
              </w:rPr>
              <w:t>[</w:t>
            </w:r>
            <w:r>
              <w:rPr>
                <w:rStyle w:val="IndexLink"/>
                <w:rtl w:val="true"/>
              </w:rPr>
              <w:t>وجه مناقشة المحدّث البحرانی فی سند مرفوعة زرارة</w:t>
            </w:r>
            <w:r>
              <w:rPr>
                <w:rStyle w:val="IndexLink"/>
                <w:rtl w:val="true"/>
              </w:rPr>
              <w:t>]</w:t>
              <w:tab/>
            </w:r>
            <w:r>
              <w:rPr>
                <w:rStyle w:val="IndexLink"/>
              </w:rPr>
              <w:t>286</w:t>
            </w:r>
          </w:hyperlink>
        </w:p>
        <w:p>
          <w:pPr>
            <w:pStyle w:val="Contents5"/>
            <w:tabs>
              <w:tab w:val="clear" w:pos="7892"/>
              <w:tab w:val="right" w:pos="9026" w:leader="dot"/>
            </w:tabs>
            <w:rPr/>
          </w:pPr>
          <w:hyperlink w:anchor="__RefHeading___Toc2527422_3224264995">
            <w:r>
              <w:rPr>
                <w:webHidden/>
                <w:rStyle w:val="IndexLink"/>
                <w:rtl w:val="true"/>
              </w:rPr>
              <w:t>[</w:t>
            </w:r>
            <w:r>
              <w:rPr>
                <w:rStyle w:val="IndexLink"/>
                <w:rtl w:val="true"/>
              </w:rPr>
              <w:t>الشهرة الفتوائیة الکاشفة عن مدرک ظنّی أو قطعی</w:t>
            </w:r>
            <w:r>
              <w:rPr>
                <w:rStyle w:val="IndexLink"/>
                <w:rtl w:val="true"/>
              </w:rPr>
              <w:t>]</w:t>
              <w:tab/>
            </w:r>
            <w:r>
              <w:rPr>
                <w:rStyle w:val="IndexLink"/>
              </w:rPr>
              <w:t>286</w:t>
            </w:r>
          </w:hyperlink>
        </w:p>
        <w:p>
          <w:pPr>
            <w:pStyle w:val="Contents5"/>
            <w:tabs>
              <w:tab w:val="clear" w:pos="7892"/>
              <w:tab w:val="right" w:pos="9026" w:leader="dot"/>
            </w:tabs>
            <w:rPr/>
          </w:pPr>
          <w:hyperlink w:anchor="__RefHeading___Toc2527424_3224264995">
            <w:r>
              <w:rPr>
                <w:webHidden/>
                <w:rStyle w:val="IndexLink"/>
                <w:rtl w:val="true"/>
              </w:rPr>
              <w:t>[</w:t>
            </w:r>
            <w:r>
              <w:rPr>
                <w:rStyle w:val="IndexLink"/>
                <w:rtl w:val="true"/>
              </w:rPr>
              <w:t>الظن الطریقی و الظن غیر الطریقی</w:t>
            </w:r>
            <w:r>
              <w:rPr>
                <w:rStyle w:val="IndexLink"/>
                <w:rtl w:val="true"/>
              </w:rPr>
              <w:t>]</w:t>
              <w:tab/>
            </w:r>
            <w:r>
              <w:rPr>
                <w:rStyle w:val="IndexLink"/>
              </w:rPr>
              <w:t>287</w:t>
            </w:r>
          </w:hyperlink>
        </w:p>
        <w:p>
          <w:pPr>
            <w:pStyle w:val="Contents5"/>
            <w:tabs>
              <w:tab w:val="clear" w:pos="7892"/>
              <w:tab w:val="right" w:pos="9026" w:leader="dot"/>
            </w:tabs>
            <w:rPr/>
          </w:pPr>
          <w:hyperlink w:anchor="__RefHeading___Toc2527426_3224264995">
            <w:r>
              <w:rPr>
                <w:webHidden/>
                <w:rStyle w:val="IndexLink"/>
                <w:rtl w:val="true"/>
              </w:rPr>
              <w:t>[</w:t>
            </w:r>
            <w:r>
              <w:rPr>
                <w:rStyle w:val="IndexLink"/>
                <w:rtl w:val="true"/>
              </w:rPr>
              <w:t>السیرة فی تشخیص خبریة الأخبار الموقوفة و المضمرة و جبر الضعف و الإرسال</w:t>
            </w:r>
            <w:r>
              <w:rPr>
                <w:rStyle w:val="IndexLink"/>
                <w:rtl w:val="true"/>
              </w:rPr>
              <w:t>]</w:t>
              <w:tab/>
            </w:r>
            <w:r>
              <w:rPr>
                <w:rStyle w:val="IndexLink"/>
              </w:rPr>
              <w:t>288</w:t>
            </w:r>
          </w:hyperlink>
        </w:p>
        <w:p>
          <w:pPr>
            <w:pStyle w:val="Contents5"/>
            <w:tabs>
              <w:tab w:val="clear" w:pos="7892"/>
              <w:tab w:val="right" w:pos="9026" w:leader="dot"/>
            </w:tabs>
            <w:rPr/>
          </w:pPr>
          <w:hyperlink w:anchor="__RefHeading___Toc2527428_3224264995">
            <w:r>
              <w:rPr>
                <w:webHidden/>
                <w:rStyle w:val="IndexLink"/>
                <w:rtl w:val="true"/>
              </w:rPr>
              <w:t>[</w:t>
            </w:r>
            <w:r>
              <w:rPr>
                <w:rStyle w:val="IndexLink"/>
                <w:rtl w:val="true"/>
              </w:rPr>
              <w:t>الشهرة المنضمّة إلی روایة ضعیفة</w:t>
            </w:r>
            <w:r>
              <w:rPr>
                <w:rStyle w:val="IndexLink"/>
                <w:rtl w:val="true"/>
              </w:rPr>
              <w:t>]</w:t>
              <w:tab/>
            </w:r>
            <w:r>
              <w:rPr>
                <w:rStyle w:val="IndexLink"/>
              </w:rPr>
              <w:t>289</w:t>
            </w:r>
          </w:hyperlink>
        </w:p>
        <w:p>
          <w:pPr>
            <w:pStyle w:val="Contents5"/>
            <w:tabs>
              <w:tab w:val="clear" w:pos="7892"/>
              <w:tab w:val="right" w:pos="9026" w:leader="dot"/>
            </w:tabs>
            <w:rPr/>
          </w:pPr>
          <w:hyperlink w:anchor="__RefHeading___Toc2527430_3224264995">
            <w:r>
              <w:rPr>
                <w:webHidden/>
                <w:rStyle w:val="IndexLink"/>
                <w:rtl w:val="true"/>
              </w:rPr>
              <w:t>[</w:t>
            </w:r>
            <w:r>
              <w:rPr>
                <w:rStyle w:val="IndexLink"/>
                <w:rtl w:val="true"/>
              </w:rPr>
              <w:t>حجّیة الروایة المنضمّة إلی الشهرة لا الشهرة المنضمة إلیها</w:t>
            </w:r>
            <w:r>
              <w:rPr>
                <w:rStyle w:val="IndexLink"/>
                <w:rtl w:val="true"/>
              </w:rPr>
              <w:t>]</w:t>
              <w:tab/>
            </w:r>
            <w:r>
              <w:rPr>
                <w:rStyle w:val="IndexLink"/>
              </w:rPr>
              <w:t>290</w:t>
            </w:r>
          </w:hyperlink>
        </w:p>
        <w:p>
          <w:pPr>
            <w:pStyle w:val="Contents5"/>
            <w:tabs>
              <w:tab w:val="clear" w:pos="7892"/>
              <w:tab w:val="right" w:pos="9026" w:leader="dot"/>
            </w:tabs>
            <w:rPr/>
          </w:pPr>
          <w:hyperlink w:anchor="__RefHeading___Toc2527432_3224264995">
            <w:r>
              <w:rPr>
                <w:webHidden/>
                <w:rStyle w:val="IndexLink"/>
                <w:rtl w:val="true"/>
              </w:rPr>
              <w:t>[</w:t>
            </w:r>
            <w:r>
              <w:rPr>
                <w:rStyle w:val="IndexLink"/>
                <w:rtl w:val="true"/>
              </w:rPr>
              <w:t>الثمرة بین القولین</w:t>
            </w:r>
            <w:r>
              <w:rPr>
                <w:rStyle w:val="IndexLink"/>
                <w:rtl w:val="true"/>
              </w:rPr>
              <w:t>]</w:t>
              <w:tab/>
            </w:r>
            <w:r>
              <w:rPr>
                <w:rStyle w:val="IndexLink"/>
              </w:rPr>
              <w:t>290</w:t>
            </w:r>
          </w:hyperlink>
        </w:p>
        <w:p>
          <w:pPr>
            <w:pStyle w:val="Contents5"/>
            <w:tabs>
              <w:tab w:val="clear" w:pos="7892"/>
              <w:tab w:val="right" w:pos="9026" w:leader="dot"/>
            </w:tabs>
            <w:rPr/>
          </w:pPr>
          <w:hyperlink w:anchor="__RefHeading___Toc2527434_3224264995">
            <w:r>
              <w:rPr>
                <w:webHidden/>
                <w:rStyle w:val="IndexLink"/>
                <w:rtl w:val="true"/>
              </w:rPr>
              <w:t>[</w:t>
            </w:r>
            <w:r>
              <w:rPr>
                <w:rStyle w:val="IndexLink"/>
                <w:rtl w:val="true"/>
              </w:rPr>
              <w:t>جواز العمل بکل ما طابق الشهرة من فقرات کتاب فقه الرضا علیه السلام علی تقدیر حجّیة الشهرة الجابرة و عدمه علی القول الآخر</w:t>
            </w:r>
            <w:r>
              <w:rPr>
                <w:rStyle w:val="IndexLink"/>
                <w:rtl w:val="true"/>
              </w:rPr>
              <w:t>]</w:t>
              <w:tab/>
            </w:r>
            <w:r>
              <w:rPr>
                <w:rStyle w:val="IndexLink"/>
              </w:rPr>
              <w:t>291</w:t>
            </w:r>
          </w:hyperlink>
        </w:p>
        <w:p>
          <w:pPr>
            <w:pStyle w:val="Contents5"/>
            <w:tabs>
              <w:tab w:val="clear" w:pos="7892"/>
              <w:tab w:val="right" w:pos="9026" w:leader="dot"/>
            </w:tabs>
            <w:rPr/>
          </w:pPr>
          <w:hyperlink w:anchor="__RefHeading___Toc2527436_3224264995">
            <w:r>
              <w:rPr>
                <w:webHidden/>
                <w:rStyle w:val="IndexLink"/>
                <w:rtl w:val="true"/>
              </w:rPr>
              <w:t>[</w:t>
            </w:r>
            <w:r>
              <w:rPr>
                <w:rStyle w:val="IndexLink"/>
                <w:rtl w:val="true"/>
              </w:rPr>
              <w:t>محصّل الکلام فی بحث الشهرة</w:t>
            </w:r>
            <w:r>
              <w:rPr>
                <w:rStyle w:val="IndexLink"/>
                <w:rtl w:val="true"/>
              </w:rPr>
              <w:t>]</w:t>
              <w:tab/>
            </w:r>
            <w:r>
              <w:rPr>
                <w:rStyle w:val="IndexLink"/>
              </w:rPr>
              <w:t>292</w:t>
            </w:r>
          </w:hyperlink>
        </w:p>
        <w:p>
          <w:pPr>
            <w:pStyle w:val="Contents5"/>
            <w:tabs>
              <w:tab w:val="clear" w:pos="7892"/>
              <w:tab w:val="right" w:pos="9026" w:leader="dot"/>
            </w:tabs>
            <w:rPr/>
          </w:pPr>
          <w:hyperlink w:anchor="__RefHeading___Toc2527438_3224264995">
            <w:r>
              <w:rPr>
                <w:webHidden/>
                <w:rStyle w:val="IndexLink"/>
                <w:rtl w:val="true"/>
              </w:rPr>
              <w:t>[</w:t>
            </w:r>
            <w:r>
              <w:rPr>
                <w:rStyle w:val="IndexLink"/>
                <w:rtl w:val="true"/>
              </w:rPr>
              <w:t>تجرّد الدعوی من دواعی الکذب و الجعل عند العقلاء یوجب القبول من الفاسق</w:t>
            </w:r>
            <w:r>
              <w:rPr>
                <w:rStyle w:val="IndexLink"/>
                <w:rtl w:val="true"/>
              </w:rPr>
              <w:t>]</w:t>
              <w:tab/>
            </w:r>
            <w:r>
              <w:rPr>
                <w:rStyle w:val="IndexLink"/>
              </w:rPr>
              <w:t>293</w:t>
            </w:r>
          </w:hyperlink>
        </w:p>
        <w:p>
          <w:pPr>
            <w:pStyle w:val="Contents5"/>
            <w:tabs>
              <w:tab w:val="clear" w:pos="7892"/>
              <w:tab w:val="right" w:pos="9026" w:leader="dot"/>
            </w:tabs>
            <w:rPr/>
          </w:pPr>
          <w:hyperlink w:anchor="__RefHeading___Toc2527440_3224264995">
            <w:r>
              <w:rPr>
                <w:webHidden/>
                <w:rStyle w:val="IndexLink"/>
                <w:rtl w:val="true"/>
              </w:rPr>
              <w:t>[</w:t>
            </w:r>
            <w:r>
              <w:rPr>
                <w:rStyle w:val="IndexLink"/>
                <w:rtl w:val="true"/>
              </w:rPr>
              <w:t>دلالة منطوق آیة النبأ علی قبول قول الفاسق بعد التبیّن</w:t>
            </w:r>
            <w:r>
              <w:rPr>
                <w:rStyle w:val="IndexLink"/>
                <w:rtl w:val="true"/>
              </w:rPr>
              <w:t>]</w:t>
              <w:tab/>
            </w:r>
            <w:r>
              <w:rPr>
                <w:rStyle w:val="IndexLink"/>
              </w:rPr>
              <w:t>294</w:t>
            </w:r>
          </w:hyperlink>
        </w:p>
        <w:p>
          <w:pPr>
            <w:pStyle w:val="Contents5"/>
            <w:tabs>
              <w:tab w:val="clear" w:pos="7892"/>
              <w:tab w:val="right" w:pos="9026" w:leader="dot"/>
            </w:tabs>
            <w:rPr/>
          </w:pPr>
          <w:hyperlink w:anchor="__RefHeading___Toc2527442_3224264995">
            <w:r>
              <w:rPr>
                <w:webHidden/>
                <w:rStyle w:val="IndexLink"/>
                <w:rtl w:val="true"/>
              </w:rPr>
              <w:t>[</w:t>
            </w:r>
            <w:r>
              <w:rPr>
                <w:rStyle w:val="IndexLink"/>
                <w:rtl w:val="true"/>
              </w:rPr>
              <w:t>تعارض شهرة القدماء لشهرة المتأخرین</w:t>
            </w:r>
            <w:r>
              <w:rPr>
                <w:rStyle w:val="IndexLink"/>
                <w:rtl w:val="true"/>
              </w:rPr>
              <w:t>]</w:t>
              <w:tab/>
            </w:r>
            <w:r>
              <w:rPr>
                <w:rStyle w:val="IndexLink"/>
              </w:rPr>
              <w:t>294</w:t>
            </w:r>
          </w:hyperlink>
        </w:p>
        <w:p>
          <w:pPr>
            <w:pStyle w:val="Contents5"/>
            <w:tabs>
              <w:tab w:val="clear" w:pos="7892"/>
              <w:tab w:val="right" w:pos="9026" w:leader="dot"/>
            </w:tabs>
            <w:rPr/>
          </w:pPr>
          <w:hyperlink w:anchor="__RefHeading___Toc2527444_3224264995">
            <w:r>
              <w:rPr>
                <w:webHidden/>
                <w:rStyle w:val="IndexLink"/>
                <w:rtl w:val="true"/>
              </w:rPr>
              <w:t>[</w:t>
            </w:r>
            <w:r>
              <w:rPr>
                <w:rStyle w:val="IndexLink"/>
                <w:rtl w:val="true"/>
              </w:rPr>
              <w:t>تقدیم شهرة المتأخرین</w:t>
            </w:r>
            <w:r>
              <w:rPr>
                <w:rStyle w:val="IndexLink"/>
                <w:rtl w:val="true"/>
              </w:rPr>
              <w:t>]</w:t>
              <w:tab/>
            </w:r>
            <w:r>
              <w:rPr>
                <w:rStyle w:val="IndexLink"/>
              </w:rPr>
              <w:t>295</w:t>
            </w:r>
          </w:hyperlink>
        </w:p>
        <w:p>
          <w:pPr>
            <w:pStyle w:val="Contents5"/>
            <w:tabs>
              <w:tab w:val="clear" w:pos="7892"/>
              <w:tab w:val="right" w:pos="9026" w:leader="dot"/>
            </w:tabs>
            <w:rPr/>
          </w:pPr>
          <w:hyperlink w:anchor="__RefHeading___Toc2527446_3224264995">
            <w:r>
              <w:rPr>
                <w:webHidden/>
                <w:rStyle w:val="IndexLink"/>
                <w:rtl w:val="true"/>
              </w:rPr>
              <w:t>[</w:t>
            </w:r>
            <w:r>
              <w:rPr>
                <w:rStyle w:val="IndexLink"/>
                <w:rtl w:val="true"/>
              </w:rPr>
              <w:t>تعریض بما فی الفصول و القوانین فی هذا الباب</w:t>
            </w:r>
            <w:r>
              <w:rPr>
                <w:rStyle w:val="IndexLink"/>
                <w:rtl w:val="true"/>
              </w:rPr>
              <w:t>]</w:t>
              <w:tab/>
            </w:r>
            <w:r>
              <w:rPr>
                <w:rStyle w:val="IndexLink"/>
              </w:rPr>
              <w:t>295</w:t>
            </w:r>
          </w:hyperlink>
        </w:p>
        <w:p>
          <w:pPr>
            <w:pStyle w:val="Contents5"/>
            <w:tabs>
              <w:tab w:val="clear" w:pos="7892"/>
              <w:tab w:val="right" w:pos="9026" w:leader="dot"/>
            </w:tabs>
            <w:rPr/>
          </w:pPr>
          <w:hyperlink w:anchor="__RefHeading___Toc2527448_3224264995">
            <w:r>
              <w:rPr>
                <w:webHidden/>
                <w:rStyle w:val="IndexLink"/>
                <w:rtl w:val="true"/>
              </w:rPr>
              <w:t>الکلام فی الأخبار</w:t>
            </w:r>
            <w:r>
              <w:rPr>
                <w:rStyle w:val="IndexLink"/>
                <w:rtl w:val="true"/>
              </w:rPr>
              <w:tab/>
            </w:r>
            <w:r>
              <w:rPr>
                <w:rStyle w:val="IndexLink"/>
              </w:rPr>
              <w:t>296</w:t>
            </w:r>
          </w:hyperlink>
        </w:p>
        <w:p>
          <w:pPr>
            <w:pStyle w:val="Contents6"/>
            <w:tabs>
              <w:tab w:val="clear" w:pos="7609"/>
              <w:tab w:val="right" w:pos="9026" w:leader="dot"/>
            </w:tabs>
            <w:rPr/>
          </w:pPr>
          <w:hyperlink w:anchor="__RefHeading___Toc2527450_3224264995">
            <w:r>
              <w:rPr>
                <w:webHidden/>
                <w:rStyle w:val="IndexLink"/>
                <w:rtl w:val="true"/>
              </w:rPr>
              <w:t>[</w:t>
            </w:r>
            <w:r>
              <w:rPr>
                <w:rStyle w:val="IndexLink"/>
                <w:rtl w:val="true"/>
              </w:rPr>
              <w:t>جهات البحث فی الأخبار</w:t>
            </w:r>
            <w:r>
              <w:rPr>
                <w:rStyle w:val="IndexLink"/>
                <w:rtl w:val="true"/>
              </w:rPr>
              <w:t>]</w:t>
              <w:tab/>
            </w:r>
            <w:r>
              <w:rPr>
                <w:rStyle w:val="IndexLink"/>
              </w:rPr>
              <w:t>296</w:t>
            </w:r>
          </w:hyperlink>
        </w:p>
        <w:p>
          <w:pPr>
            <w:pStyle w:val="Contents6"/>
            <w:tabs>
              <w:tab w:val="clear" w:pos="7609"/>
              <w:tab w:val="right" w:pos="9026" w:leader="dot"/>
            </w:tabs>
            <w:rPr/>
          </w:pPr>
          <w:hyperlink w:anchor="__RefHeading___Toc2527452_3224264995">
            <w:r>
              <w:rPr>
                <w:webHidden/>
                <w:rStyle w:val="IndexLink"/>
                <w:rtl w:val="true"/>
              </w:rPr>
              <w:t>[</w:t>
            </w:r>
            <w:r>
              <w:rPr>
                <w:rStyle w:val="IndexLink"/>
                <w:rtl w:val="true"/>
              </w:rPr>
              <w:t>بعض أقسام الخبر</w:t>
            </w:r>
            <w:r>
              <w:rPr>
                <w:rStyle w:val="IndexLink"/>
                <w:rtl w:val="true"/>
              </w:rPr>
              <w:t>]</w:t>
              <w:tab/>
            </w:r>
            <w:r>
              <w:rPr>
                <w:rStyle w:val="IndexLink"/>
              </w:rPr>
              <w:t>297</w:t>
            </w:r>
          </w:hyperlink>
        </w:p>
        <w:p>
          <w:pPr>
            <w:pStyle w:val="Contents6"/>
            <w:tabs>
              <w:tab w:val="clear" w:pos="7609"/>
              <w:tab w:val="right" w:pos="9026" w:leader="dot"/>
            </w:tabs>
            <w:rPr/>
          </w:pPr>
          <w:hyperlink w:anchor="__RefHeading___Toc2527454_3224264995">
            <w:r>
              <w:rPr>
                <w:webHidden/>
                <w:rStyle w:val="IndexLink"/>
                <w:rtl w:val="true"/>
              </w:rPr>
              <w:t>[</w:t>
            </w:r>
            <w:r>
              <w:rPr>
                <w:rStyle w:val="IndexLink"/>
                <w:rtl w:val="true"/>
              </w:rPr>
              <w:t>تعریف الخبر المتواتر</w:t>
            </w:r>
            <w:r>
              <w:rPr>
                <w:rStyle w:val="IndexLink"/>
                <w:rtl w:val="true"/>
              </w:rPr>
              <w:t>]</w:t>
              <w:tab/>
            </w:r>
            <w:r>
              <w:rPr>
                <w:rStyle w:val="IndexLink"/>
              </w:rPr>
              <w:t>297</w:t>
            </w:r>
          </w:hyperlink>
        </w:p>
        <w:p>
          <w:pPr>
            <w:pStyle w:val="Contents6"/>
            <w:tabs>
              <w:tab w:val="clear" w:pos="7609"/>
              <w:tab w:val="right" w:pos="9026" w:leader="dot"/>
            </w:tabs>
            <w:rPr/>
          </w:pPr>
          <w:hyperlink w:anchor="__RefHeading___Toc2527456_3224264995">
            <w:r>
              <w:rPr>
                <w:webHidden/>
                <w:rStyle w:val="IndexLink"/>
                <w:rtl w:val="true"/>
              </w:rPr>
              <w:t>[</w:t>
            </w:r>
            <w:r>
              <w:rPr>
                <w:rStyle w:val="IndexLink"/>
                <w:rtl w:val="true"/>
              </w:rPr>
              <w:t>اشکال صاحب القوانین علی التمثیل للمتواتر و دفعه</w:t>
            </w:r>
            <w:r>
              <w:rPr>
                <w:rStyle w:val="IndexLink"/>
                <w:rtl w:val="true"/>
              </w:rPr>
              <w:t>]</w:t>
              <w:tab/>
            </w:r>
            <w:r>
              <w:rPr>
                <w:rStyle w:val="IndexLink"/>
              </w:rPr>
              <w:t>298</w:t>
            </w:r>
          </w:hyperlink>
        </w:p>
        <w:p>
          <w:pPr>
            <w:pStyle w:val="Contents6"/>
            <w:tabs>
              <w:tab w:val="clear" w:pos="7609"/>
              <w:tab w:val="right" w:pos="9026" w:leader="dot"/>
            </w:tabs>
            <w:rPr/>
          </w:pPr>
          <w:hyperlink w:anchor="__RefHeading___Toc2527458_3224264995">
            <w:r>
              <w:rPr>
                <w:webHidden/>
                <w:rStyle w:val="IndexLink"/>
                <w:rtl w:val="true"/>
              </w:rPr>
              <w:t>[</w:t>
            </w:r>
            <w:r>
              <w:rPr>
                <w:rStyle w:val="IndexLink"/>
                <w:rtl w:val="true"/>
              </w:rPr>
              <w:t>اشکال صاحب المنتقی علی تواتر بعض ما یدّعی تواتره من اخبار الکتب الأربعة</w:t>
            </w:r>
            <w:r>
              <w:rPr>
                <w:rStyle w:val="IndexLink"/>
                <w:rtl w:val="true"/>
              </w:rPr>
              <w:t>]</w:t>
              <w:tab/>
            </w:r>
            <w:r>
              <w:rPr>
                <w:rStyle w:val="IndexLink"/>
              </w:rPr>
              <w:t>298</w:t>
            </w:r>
          </w:hyperlink>
        </w:p>
        <w:p>
          <w:pPr>
            <w:pStyle w:val="Contents6"/>
            <w:tabs>
              <w:tab w:val="clear" w:pos="7609"/>
              <w:tab w:val="right" w:pos="9026" w:leader="dot"/>
            </w:tabs>
            <w:rPr/>
          </w:pPr>
          <w:hyperlink w:anchor="__RefHeading___Toc2527460_3224264995">
            <w:r>
              <w:rPr>
                <w:webHidden/>
                <w:rStyle w:val="IndexLink"/>
                <w:rtl w:val="true"/>
              </w:rPr>
              <w:t>[</w:t>
            </w:r>
            <w:r>
              <w:rPr>
                <w:rStyle w:val="IndexLink"/>
                <w:rtl w:val="true"/>
              </w:rPr>
              <w:t>انقسام المتواتر</w:t>
            </w:r>
            <w:r>
              <w:rPr>
                <w:rStyle w:val="IndexLink"/>
                <w:rtl w:val="true"/>
              </w:rPr>
              <w:t>]</w:t>
              <w:tab/>
            </w:r>
            <w:r>
              <w:rPr>
                <w:rStyle w:val="IndexLink"/>
              </w:rPr>
              <w:t>299</w:t>
            </w:r>
          </w:hyperlink>
        </w:p>
        <w:p>
          <w:pPr>
            <w:pStyle w:val="Contents6"/>
            <w:tabs>
              <w:tab w:val="clear" w:pos="7609"/>
              <w:tab w:val="right" w:pos="9026" w:leader="dot"/>
            </w:tabs>
            <w:rPr/>
          </w:pPr>
          <w:hyperlink w:anchor="__RefHeading___Toc2527462_3224264995">
            <w:r>
              <w:rPr>
                <w:webHidden/>
                <w:rStyle w:val="IndexLink"/>
                <w:rtl w:val="true"/>
              </w:rPr>
              <w:t>[</w:t>
            </w:r>
            <w:r>
              <w:rPr>
                <w:rStyle w:val="IndexLink"/>
                <w:rtl w:val="true"/>
              </w:rPr>
              <w:t>الفارق بین المتواتر اللفظی و المعنوی</w:t>
            </w:r>
            <w:r>
              <w:rPr>
                <w:rStyle w:val="IndexLink"/>
                <w:rtl w:val="true"/>
              </w:rPr>
              <w:t>]</w:t>
              <w:tab/>
            </w:r>
            <w:r>
              <w:rPr>
                <w:rStyle w:val="IndexLink"/>
              </w:rPr>
              <w:t>299</w:t>
            </w:r>
          </w:hyperlink>
        </w:p>
        <w:p>
          <w:pPr>
            <w:pStyle w:val="Contents6"/>
            <w:tabs>
              <w:tab w:val="clear" w:pos="7609"/>
              <w:tab w:val="right" w:pos="9026" w:leader="dot"/>
            </w:tabs>
            <w:rPr/>
          </w:pPr>
          <w:hyperlink w:anchor="__RefHeading___Toc2527464_3224264995">
            <w:r>
              <w:rPr>
                <w:webHidden/>
                <w:rStyle w:val="IndexLink"/>
                <w:rtl w:val="true"/>
              </w:rPr>
              <w:t>[</w:t>
            </w:r>
            <w:r>
              <w:rPr>
                <w:rStyle w:val="IndexLink"/>
                <w:rtl w:val="true"/>
              </w:rPr>
              <w:t>تواتر حدیثی الثقلین و الغدیر</w:t>
            </w:r>
            <w:r>
              <w:rPr>
                <w:rStyle w:val="IndexLink"/>
                <w:rtl w:val="true"/>
              </w:rPr>
              <w:t>]</w:t>
              <w:tab/>
            </w:r>
            <w:r>
              <w:rPr>
                <w:rStyle w:val="IndexLink"/>
              </w:rPr>
              <w:t>300</w:t>
            </w:r>
          </w:hyperlink>
        </w:p>
        <w:p>
          <w:pPr>
            <w:pStyle w:val="Contents6"/>
            <w:tabs>
              <w:tab w:val="clear" w:pos="7609"/>
              <w:tab w:val="right" w:pos="9026" w:leader="dot"/>
            </w:tabs>
            <w:rPr/>
          </w:pPr>
          <w:hyperlink w:anchor="__RefHeading___Toc2527466_3224264995">
            <w:r>
              <w:rPr>
                <w:webHidden/>
                <w:rStyle w:val="IndexLink"/>
                <w:rtl w:val="true"/>
              </w:rPr>
              <w:t>[</w:t>
            </w:r>
            <w:r>
              <w:rPr>
                <w:rStyle w:val="IndexLink"/>
                <w:rtl w:val="true"/>
              </w:rPr>
              <w:t>تعمیم صاحب القوانین المدلول الالتزامی من أنواع التواتر المعنوی</w:t>
            </w:r>
            <w:r>
              <w:rPr>
                <w:rStyle w:val="IndexLink"/>
                <w:rtl w:val="true"/>
              </w:rPr>
              <w:t>]</w:t>
              <w:tab/>
            </w:r>
            <w:r>
              <w:rPr>
                <w:rStyle w:val="IndexLink"/>
              </w:rPr>
              <w:t>301</w:t>
            </w:r>
          </w:hyperlink>
        </w:p>
        <w:p>
          <w:pPr>
            <w:pStyle w:val="Contents6"/>
            <w:tabs>
              <w:tab w:val="clear" w:pos="7609"/>
              <w:tab w:val="right" w:pos="9026" w:leader="dot"/>
            </w:tabs>
            <w:rPr/>
          </w:pPr>
          <w:hyperlink w:anchor="__RefHeading___Toc2527468_3224264995">
            <w:r>
              <w:rPr>
                <w:webHidden/>
                <w:rStyle w:val="IndexLink"/>
                <w:rtl w:val="true"/>
              </w:rPr>
              <w:t>[</w:t>
            </w:r>
            <w:r>
              <w:rPr>
                <w:rStyle w:val="IndexLink"/>
                <w:rtl w:val="true"/>
              </w:rPr>
              <w:t>الردّ علی صاحب القوانین</w:t>
            </w:r>
            <w:r>
              <w:rPr>
                <w:rStyle w:val="IndexLink"/>
                <w:rtl w:val="true"/>
              </w:rPr>
              <w:t>]</w:t>
              <w:tab/>
            </w:r>
            <w:r>
              <w:rPr>
                <w:rStyle w:val="IndexLink"/>
              </w:rPr>
              <w:t>301</w:t>
            </w:r>
          </w:hyperlink>
        </w:p>
        <w:p>
          <w:pPr>
            <w:pStyle w:val="Contents6"/>
            <w:tabs>
              <w:tab w:val="clear" w:pos="7609"/>
              <w:tab w:val="right" w:pos="9026" w:leader="dot"/>
            </w:tabs>
            <w:rPr/>
          </w:pPr>
          <w:hyperlink w:anchor="__RefHeading___Toc2527470_3224264995">
            <w:r>
              <w:rPr>
                <w:webHidden/>
                <w:rStyle w:val="IndexLink"/>
                <w:rtl w:val="true"/>
              </w:rPr>
              <w:t>[</w:t>
            </w:r>
            <w:r>
              <w:rPr>
                <w:rStyle w:val="IndexLink"/>
                <w:rtl w:val="true"/>
              </w:rPr>
              <w:t>دراسة تمثیل القوانین للتواتر المعنوی بأخبار نجاسة الماء القلیل</w:t>
            </w:r>
            <w:r>
              <w:rPr>
                <w:rStyle w:val="IndexLink"/>
                <w:rtl w:val="true"/>
              </w:rPr>
              <w:t>]</w:t>
              <w:tab/>
            </w:r>
            <w:r>
              <w:rPr>
                <w:rStyle w:val="IndexLink"/>
              </w:rPr>
              <w:t>303</w:t>
            </w:r>
          </w:hyperlink>
        </w:p>
        <w:p>
          <w:pPr>
            <w:pStyle w:val="Contents6"/>
            <w:tabs>
              <w:tab w:val="clear" w:pos="7609"/>
              <w:tab w:val="right" w:pos="9026" w:leader="dot"/>
            </w:tabs>
            <w:rPr/>
          </w:pPr>
          <w:hyperlink w:anchor="__RefHeading___Toc2527472_3224264995">
            <w:r>
              <w:rPr>
                <w:webHidden/>
                <w:rStyle w:val="IndexLink"/>
                <w:rtl w:val="true"/>
              </w:rPr>
              <w:t>[</w:t>
            </w:r>
            <w:r>
              <w:rPr>
                <w:rStyle w:val="IndexLink"/>
                <w:rtl w:val="true"/>
              </w:rPr>
              <w:t>المراد من التواتر فی محاورات العلماء</w:t>
            </w:r>
            <w:r>
              <w:rPr>
                <w:rStyle w:val="IndexLink"/>
                <w:rtl w:val="true"/>
              </w:rPr>
              <w:t>]</w:t>
              <w:tab/>
            </w:r>
            <w:r>
              <w:rPr>
                <w:rStyle w:val="IndexLink"/>
              </w:rPr>
              <w:t>304</w:t>
            </w:r>
          </w:hyperlink>
        </w:p>
        <w:p>
          <w:pPr>
            <w:pStyle w:val="Contents6"/>
            <w:tabs>
              <w:tab w:val="clear" w:pos="7609"/>
              <w:tab w:val="right" w:pos="9026" w:leader="dot"/>
            </w:tabs>
            <w:rPr/>
          </w:pPr>
          <w:hyperlink w:anchor="__RefHeading___Toc2527474_3224264995">
            <w:r>
              <w:rPr>
                <w:webHidden/>
                <w:rStyle w:val="IndexLink"/>
                <w:rtl w:val="true"/>
              </w:rPr>
              <w:t>[</w:t>
            </w:r>
            <w:r>
              <w:rPr>
                <w:rStyle w:val="IndexLink"/>
                <w:rtl w:val="true"/>
              </w:rPr>
              <w:t>ما اعتبر فی تحقق التواتر</w:t>
            </w:r>
            <w:r>
              <w:rPr>
                <w:rStyle w:val="IndexLink"/>
                <w:rtl w:val="true"/>
              </w:rPr>
              <w:t>]</w:t>
              <w:tab/>
            </w:r>
            <w:r>
              <w:rPr>
                <w:rStyle w:val="IndexLink"/>
              </w:rPr>
              <w:t>304</w:t>
            </w:r>
          </w:hyperlink>
        </w:p>
        <w:p>
          <w:pPr>
            <w:pStyle w:val="Contents6"/>
            <w:tabs>
              <w:tab w:val="clear" w:pos="7609"/>
              <w:tab w:val="right" w:pos="9026" w:leader="dot"/>
            </w:tabs>
            <w:rPr/>
          </w:pPr>
          <w:hyperlink w:anchor="__RefHeading___Toc2527476_3224264995">
            <w:r>
              <w:rPr>
                <w:webHidden/>
                <w:rStyle w:val="IndexLink"/>
                <w:rtl w:val="true"/>
              </w:rPr>
              <w:t>[</w:t>
            </w:r>
            <w:r>
              <w:rPr>
                <w:rStyle w:val="IndexLink"/>
                <w:rtl w:val="true"/>
              </w:rPr>
              <w:t>البحث فی اعتبارهم استناد المخبر إلی الحسّ</w:t>
            </w:r>
            <w:r>
              <w:rPr>
                <w:rStyle w:val="IndexLink"/>
                <w:rtl w:val="true"/>
              </w:rPr>
              <w:t>]</w:t>
              <w:tab/>
            </w:r>
            <w:r>
              <w:rPr>
                <w:rStyle w:val="IndexLink"/>
              </w:rPr>
              <w:t>304</w:t>
            </w:r>
          </w:hyperlink>
        </w:p>
        <w:p>
          <w:pPr>
            <w:pStyle w:val="Contents6"/>
            <w:tabs>
              <w:tab w:val="clear" w:pos="7609"/>
              <w:tab w:val="right" w:pos="9026" w:leader="dot"/>
            </w:tabs>
            <w:rPr/>
          </w:pPr>
          <w:hyperlink w:anchor="__RefHeading___Toc2527478_3224264995">
            <w:r>
              <w:rPr>
                <w:webHidden/>
                <w:rStyle w:val="IndexLink"/>
                <w:rtl w:val="true"/>
              </w:rPr>
              <w:t>[</w:t>
            </w:r>
            <w:r>
              <w:rPr>
                <w:rStyle w:val="IndexLink"/>
                <w:rtl w:val="true"/>
              </w:rPr>
              <w:t>الأقرب عدم اعتبار الحس فی الخبر المتواتر</w:t>
            </w:r>
            <w:r>
              <w:rPr>
                <w:rStyle w:val="IndexLink"/>
                <w:rtl w:val="true"/>
              </w:rPr>
              <w:t>]</w:t>
              <w:tab/>
            </w:r>
            <w:r>
              <w:rPr>
                <w:rStyle w:val="IndexLink"/>
              </w:rPr>
              <w:t>307</w:t>
            </w:r>
          </w:hyperlink>
        </w:p>
        <w:p>
          <w:pPr>
            <w:pStyle w:val="Contents6"/>
            <w:tabs>
              <w:tab w:val="clear" w:pos="7609"/>
              <w:tab w:val="right" w:pos="9026" w:leader="dot"/>
            </w:tabs>
            <w:rPr/>
          </w:pPr>
          <w:hyperlink w:anchor="__RefHeading___Toc2527480_3224264995">
            <w:r>
              <w:rPr>
                <w:webHidden/>
                <w:rStyle w:val="IndexLink"/>
                <w:rtl w:val="true"/>
              </w:rPr>
              <w:t>[</w:t>
            </w:r>
            <w:r>
              <w:rPr>
                <w:rStyle w:val="IndexLink"/>
                <w:rtl w:val="true"/>
              </w:rPr>
              <w:t>اعتبار کثرة المخبرین إلی حدّ یمتنع تواطؤهم</w:t>
            </w:r>
            <w:r>
              <w:rPr>
                <w:rStyle w:val="IndexLink"/>
                <w:rtl w:val="true"/>
              </w:rPr>
              <w:t>]</w:t>
              <w:tab/>
            </w:r>
            <w:r>
              <w:rPr>
                <w:rStyle w:val="IndexLink"/>
              </w:rPr>
              <w:t>307</w:t>
            </w:r>
          </w:hyperlink>
        </w:p>
        <w:p>
          <w:pPr>
            <w:pStyle w:val="Contents6"/>
            <w:tabs>
              <w:tab w:val="clear" w:pos="7609"/>
              <w:tab w:val="right" w:pos="9026" w:leader="dot"/>
            </w:tabs>
            <w:rPr/>
          </w:pPr>
          <w:hyperlink w:anchor="__RefHeading___Toc2527482_3224264995">
            <w:r>
              <w:rPr>
                <w:webHidden/>
                <w:rStyle w:val="IndexLink"/>
                <w:rtl w:val="true"/>
              </w:rPr>
              <w:t>[</w:t>
            </w:r>
            <w:r>
              <w:rPr>
                <w:rStyle w:val="IndexLink"/>
                <w:rtl w:val="true"/>
              </w:rPr>
              <w:t>اعتبار استواء الطرفین فی الواسطة</w:t>
            </w:r>
            <w:r>
              <w:rPr>
                <w:rStyle w:val="IndexLink"/>
                <w:rtl w:val="true"/>
              </w:rPr>
              <w:t>]</w:t>
              <w:tab/>
            </w:r>
            <w:r>
              <w:rPr>
                <w:rStyle w:val="IndexLink"/>
              </w:rPr>
              <w:t>308</w:t>
            </w:r>
          </w:hyperlink>
        </w:p>
        <w:p>
          <w:pPr>
            <w:pStyle w:val="Contents6"/>
            <w:tabs>
              <w:tab w:val="clear" w:pos="7609"/>
              <w:tab w:val="right" w:pos="9026" w:leader="dot"/>
            </w:tabs>
            <w:rPr/>
          </w:pPr>
          <w:hyperlink w:anchor="__RefHeading___Toc2527484_3224264995">
            <w:r>
              <w:rPr>
                <w:webHidden/>
                <w:rStyle w:val="IndexLink"/>
                <w:rtl w:val="true"/>
              </w:rPr>
              <w:t>[</w:t>
            </w:r>
            <w:r>
              <w:rPr>
                <w:rStyle w:val="IndexLink"/>
                <w:rtl w:val="true"/>
              </w:rPr>
              <w:t>اعتبار عدم کون السامع مسبوقا بالعلم</w:t>
            </w:r>
            <w:r>
              <w:rPr>
                <w:rStyle w:val="IndexLink"/>
                <w:rtl w:val="true"/>
              </w:rPr>
              <w:t>]</w:t>
              <w:tab/>
            </w:r>
            <w:r>
              <w:rPr>
                <w:rStyle w:val="IndexLink"/>
              </w:rPr>
              <w:t>308</w:t>
            </w:r>
          </w:hyperlink>
        </w:p>
        <w:p>
          <w:pPr>
            <w:pStyle w:val="Contents6"/>
            <w:tabs>
              <w:tab w:val="clear" w:pos="7609"/>
              <w:tab w:val="right" w:pos="9026" w:leader="dot"/>
            </w:tabs>
            <w:rPr/>
          </w:pPr>
          <w:hyperlink w:anchor="__RefHeading___Toc2527486_3224264995">
            <w:r>
              <w:rPr>
                <w:webHidden/>
                <w:rStyle w:val="IndexLink"/>
                <w:rtl w:val="true"/>
              </w:rPr>
              <w:t>[</w:t>
            </w:r>
            <w:r>
              <w:rPr>
                <w:rStyle w:val="IndexLink"/>
                <w:rtl w:val="true"/>
              </w:rPr>
              <w:t>اعتبار عدم کون الإخبار عن الظن</w:t>
            </w:r>
            <w:r>
              <w:rPr>
                <w:rStyle w:val="IndexLink"/>
                <w:rtl w:val="true"/>
              </w:rPr>
              <w:t>]</w:t>
              <w:tab/>
            </w:r>
            <w:r>
              <w:rPr>
                <w:rStyle w:val="IndexLink"/>
              </w:rPr>
              <w:t>309</w:t>
            </w:r>
          </w:hyperlink>
        </w:p>
        <w:p>
          <w:pPr>
            <w:pStyle w:val="Contents6"/>
            <w:tabs>
              <w:tab w:val="clear" w:pos="7609"/>
              <w:tab w:val="right" w:pos="9026" w:leader="dot"/>
            </w:tabs>
            <w:rPr/>
          </w:pPr>
          <w:hyperlink w:anchor="__RefHeading___Toc2527488_3224264995">
            <w:r>
              <w:rPr>
                <w:webHidden/>
                <w:rStyle w:val="IndexLink"/>
                <w:rtl w:val="true"/>
              </w:rPr>
              <w:t>[</w:t>
            </w:r>
            <w:r>
              <w:rPr>
                <w:rStyle w:val="IndexLink"/>
                <w:rtl w:val="true"/>
              </w:rPr>
              <w:t>الفرق بین الخبر المتواتر و غیره من حیث الحکم و الأثر</w:t>
            </w:r>
            <w:r>
              <w:rPr>
                <w:rStyle w:val="IndexLink"/>
                <w:rtl w:val="true"/>
              </w:rPr>
              <w:t>]</w:t>
              <w:tab/>
            </w:r>
            <w:r>
              <w:rPr>
                <w:rStyle w:val="IndexLink"/>
              </w:rPr>
              <w:t>310</w:t>
            </w:r>
          </w:hyperlink>
        </w:p>
        <w:p>
          <w:pPr>
            <w:pStyle w:val="Contents6"/>
            <w:tabs>
              <w:tab w:val="clear" w:pos="7609"/>
              <w:tab w:val="right" w:pos="9026" w:leader="dot"/>
            </w:tabs>
            <w:rPr/>
          </w:pPr>
          <w:hyperlink w:anchor="__RefHeading___Toc2527490_3224264995">
            <w:r>
              <w:rPr>
                <w:webHidden/>
                <w:rStyle w:val="IndexLink"/>
                <w:rtl w:val="true"/>
              </w:rPr>
              <w:t>[</w:t>
            </w:r>
            <w:r>
              <w:rPr>
                <w:rStyle w:val="IndexLink"/>
                <w:rtl w:val="true"/>
              </w:rPr>
              <w:t>وجوب العمل بموجب الخبر المتواتر</w:t>
            </w:r>
            <w:r>
              <w:rPr>
                <w:rStyle w:val="IndexLink"/>
                <w:rtl w:val="true"/>
              </w:rPr>
              <w:t>]</w:t>
              <w:tab/>
            </w:r>
            <w:r>
              <w:rPr>
                <w:rStyle w:val="IndexLink"/>
              </w:rPr>
              <w:t>310</w:t>
            </w:r>
          </w:hyperlink>
        </w:p>
        <w:p>
          <w:pPr>
            <w:pStyle w:val="Contents6"/>
            <w:tabs>
              <w:tab w:val="clear" w:pos="7609"/>
              <w:tab w:val="right" w:pos="9026" w:leader="dot"/>
            </w:tabs>
            <w:rPr/>
          </w:pPr>
          <w:hyperlink w:anchor="__RefHeading___Toc2527492_3224264995">
            <w:r>
              <w:rPr>
                <w:webHidden/>
                <w:rStyle w:val="IndexLink"/>
                <w:rtl w:val="true"/>
              </w:rPr>
              <w:t>[</w:t>
            </w:r>
            <w:r>
              <w:rPr>
                <w:rStyle w:val="IndexLink"/>
                <w:rtl w:val="true"/>
              </w:rPr>
              <w:t>ارتداد المنکر لموجب الخبر المتواتر</w:t>
            </w:r>
            <w:r>
              <w:rPr>
                <w:rStyle w:val="IndexLink"/>
                <w:rtl w:val="true"/>
              </w:rPr>
              <w:t>]</w:t>
              <w:tab/>
            </w:r>
            <w:r>
              <w:rPr>
                <w:rStyle w:val="IndexLink"/>
              </w:rPr>
              <w:t>310</w:t>
            </w:r>
          </w:hyperlink>
        </w:p>
        <w:p>
          <w:pPr>
            <w:pStyle w:val="Contents6"/>
            <w:tabs>
              <w:tab w:val="clear" w:pos="7609"/>
              <w:tab w:val="right" w:pos="9026" w:leader="dot"/>
            </w:tabs>
            <w:rPr/>
          </w:pPr>
          <w:hyperlink w:anchor="__RefHeading___Toc2527494_3224264995">
            <w:r>
              <w:rPr>
                <w:webHidden/>
                <w:rStyle w:val="IndexLink"/>
                <w:rtl w:val="true"/>
              </w:rPr>
              <w:t>[</w:t>
            </w:r>
            <w:r>
              <w:rPr>
                <w:rStyle w:val="IndexLink"/>
                <w:rtl w:val="true"/>
              </w:rPr>
              <w:t>العلم الضروری و العلم النظری</w:t>
            </w:r>
            <w:r>
              <w:rPr>
                <w:rStyle w:val="IndexLink"/>
                <w:rtl w:val="true"/>
              </w:rPr>
              <w:t>]</w:t>
              <w:tab/>
            </w:r>
            <w:r>
              <w:rPr>
                <w:rStyle w:val="IndexLink"/>
              </w:rPr>
              <w:t>310</w:t>
            </w:r>
          </w:hyperlink>
        </w:p>
        <w:p>
          <w:pPr>
            <w:pStyle w:val="Contents6"/>
            <w:tabs>
              <w:tab w:val="clear" w:pos="7609"/>
              <w:tab w:val="right" w:pos="9026" w:leader="dot"/>
            </w:tabs>
            <w:rPr/>
          </w:pPr>
          <w:hyperlink w:anchor="__RefHeading___Toc2527496_3224264995">
            <w:r>
              <w:rPr>
                <w:webHidden/>
                <w:rStyle w:val="IndexLink"/>
                <w:rtl w:val="true"/>
              </w:rPr>
              <w:t>[</w:t>
            </w:r>
            <w:r>
              <w:rPr>
                <w:rStyle w:val="IndexLink"/>
                <w:rtl w:val="true"/>
              </w:rPr>
              <w:t>الخلاف فی کیفیة العلم الحاصل من التواتر المعلوم</w:t>
            </w:r>
            <w:r>
              <w:rPr>
                <w:rStyle w:val="IndexLink"/>
                <w:rtl w:val="true"/>
              </w:rPr>
              <w:t>]</w:t>
              <w:tab/>
            </w:r>
            <w:r>
              <w:rPr>
                <w:rStyle w:val="IndexLink"/>
              </w:rPr>
              <w:t>311</w:t>
            </w:r>
          </w:hyperlink>
        </w:p>
        <w:p>
          <w:pPr>
            <w:pStyle w:val="Contents4"/>
            <w:tabs>
              <w:tab w:val="clear" w:pos="8176"/>
              <w:tab w:val="right" w:pos="9026" w:leader="dot"/>
            </w:tabs>
            <w:rPr/>
          </w:pPr>
          <w:hyperlink w:anchor="__RefHeading___Toc2527498_3224264995">
            <w:r>
              <w:rPr>
                <w:webHidden/>
                <w:rStyle w:val="IndexLink"/>
                <w:rtl w:val="true"/>
              </w:rPr>
              <w:t>[</w:t>
            </w:r>
            <w:r>
              <w:rPr>
                <w:rStyle w:val="IndexLink"/>
                <w:rtl w:val="true"/>
              </w:rPr>
              <w:t>و منها خبر الواحد اجمالا</w:t>
            </w:r>
            <w:r>
              <w:rPr>
                <w:rStyle w:val="IndexLink"/>
                <w:rtl w:val="true"/>
              </w:rPr>
              <w:t>]</w:t>
              <w:tab/>
            </w:r>
            <w:r>
              <w:rPr>
                <w:rStyle w:val="IndexLink"/>
              </w:rPr>
              <w:t>313</w:t>
            </w:r>
          </w:hyperlink>
        </w:p>
        <w:p>
          <w:pPr>
            <w:pStyle w:val="Contents5"/>
            <w:tabs>
              <w:tab w:val="clear" w:pos="7892"/>
              <w:tab w:val="right" w:pos="9026" w:leader="dot"/>
            </w:tabs>
            <w:rPr/>
          </w:pPr>
          <w:hyperlink w:anchor="__RefHeading___Toc2527500_3224264995">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2527502_3224264995">
            <w:r>
              <w:rPr>
                <w:webHidden/>
                <w:rStyle w:val="IndexLink"/>
                <w:rtl w:val="true"/>
              </w:rPr>
              <w:t>[</w:t>
            </w:r>
            <w:r>
              <w:rPr>
                <w:rStyle w:val="IndexLink"/>
                <w:rtl w:val="true"/>
              </w:rPr>
              <w:t>تعریف الخبر الواحد</w:t>
            </w:r>
            <w:r>
              <w:rPr>
                <w:rStyle w:val="IndexLink"/>
                <w:rtl w:val="true"/>
              </w:rPr>
              <w:t>]</w:t>
              <w:tab/>
            </w:r>
            <w:r>
              <w:rPr>
                <w:rStyle w:val="IndexLink"/>
              </w:rPr>
              <w:t>313</w:t>
            </w:r>
          </w:hyperlink>
        </w:p>
        <w:p>
          <w:pPr>
            <w:pStyle w:val="Contents5"/>
            <w:tabs>
              <w:tab w:val="clear" w:pos="7892"/>
              <w:tab w:val="right" w:pos="9026" w:leader="dot"/>
            </w:tabs>
            <w:rPr/>
          </w:pPr>
          <w:hyperlink w:anchor="__RefHeading___Toc2527504_3224264995">
            <w:r>
              <w:rPr>
                <w:webHidden/>
                <w:rStyle w:val="IndexLink"/>
                <w:rtl w:val="true"/>
              </w:rPr>
              <w:t>[</w:t>
            </w:r>
            <w:r>
              <w:rPr>
                <w:rStyle w:val="IndexLink"/>
                <w:rtl w:val="true"/>
              </w:rPr>
              <w:t>المراد من الاستفاضة</w:t>
            </w:r>
            <w:r>
              <w:rPr>
                <w:rStyle w:val="IndexLink"/>
                <w:rtl w:val="true"/>
              </w:rPr>
              <w:t>]</w:t>
              <w:tab/>
            </w:r>
            <w:r>
              <w:rPr>
                <w:rStyle w:val="IndexLink"/>
              </w:rPr>
              <w:t>313</w:t>
            </w:r>
          </w:hyperlink>
        </w:p>
        <w:p>
          <w:pPr>
            <w:pStyle w:val="Contents5"/>
            <w:tabs>
              <w:tab w:val="clear" w:pos="7892"/>
              <w:tab w:val="right" w:pos="9026" w:leader="dot"/>
            </w:tabs>
            <w:rPr/>
          </w:pPr>
          <w:hyperlink w:anchor="__RefHeading___Toc2527506_3224264995">
            <w:r>
              <w:rPr>
                <w:webHidden/>
                <w:rStyle w:val="IndexLink"/>
                <w:rtl w:val="true"/>
              </w:rPr>
              <w:t>[</w:t>
            </w:r>
            <w:r>
              <w:rPr>
                <w:rStyle w:val="IndexLink"/>
                <w:rtl w:val="true"/>
              </w:rPr>
              <w:t>امکان استفادة العلم من الآحاد</w:t>
            </w:r>
            <w:r>
              <w:rPr>
                <w:rStyle w:val="IndexLink"/>
                <w:rtl w:val="true"/>
              </w:rPr>
              <w:t>]</w:t>
              <w:tab/>
            </w:r>
            <w:r>
              <w:rPr>
                <w:rStyle w:val="IndexLink"/>
              </w:rPr>
              <w:t>314</w:t>
            </w:r>
          </w:hyperlink>
        </w:p>
        <w:p>
          <w:pPr>
            <w:pStyle w:val="Contents5"/>
            <w:tabs>
              <w:tab w:val="clear" w:pos="7892"/>
              <w:tab w:val="right" w:pos="9026" w:leader="dot"/>
            </w:tabs>
            <w:rPr/>
          </w:pPr>
          <w:hyperlink w:anchor="__RefHeading___Toc2527508_3224264995">
            <w:r>
              <w:rPr>
                <w:webHidden/>
                <w:rStyle w:val="IndexLink"/>
                <w:rtl w:val="true"/>
              </w:rPr>
              <w:t>[</w:t>
            </w:r>
            <w:r>
              <w:rPr>
                <w:rStyle w:val="IndexLink"/>
                <w:rtl w:val="true"/>
              </w:rPr>
              <w:t>الخبر الواحد المحفوف بالقرائن العلمیة حجة بلا اشکال</w:t>
            </w:r>
            <w:r>
              <w:rPr>
                <w:rStyle w:val="IndexLink"/>
                <w:rtl w:val="true"/>
              </w:rPr>
              <w:t>]</w:t>
              <w:tab/>
            </w:r>
            <w:r>
              <w:rPr>
                <w:rStyle w:val="IndexLink"/>
              </w:rPr>
              <w:t>314</w:t>
            </w:r>
          </w:hyperlink>
        </w:p>
        <w:p>
          <w:pPr>
            <w:pStyle w:val="Contents5"/>
            <w:tabs>
              <w:tab w:val="clear" w:pos="7892"/>
              <w:tab w:val="right" w:pos="9026" w:leader="dot"/>
            </w:tabs>
            <w:rPr/>
          </w:pPr>
          <w:hyperlink w:anchor="__RefHeading___Toc2527510_3224264995">
            <w:r>
              <w:rPr>
                <w:webHidden/>
                <w:rStyle w:val="IndexLink"/>
                <w:rtl w:val="true"/>
              </w:rPr>
              <w:t>[</w:t>
            </w:r>
            <w:r>
              <w:rPr>
                <w:rStyle w:val="IndexLink"/>
                <w:rtl w:val="true"/>
              </w:rPr>
              <w:t>ما یعتبر لاثبات الحکم الشرعی بالأخبار</w:t>
            </w:r>
            <w:r>
              <w:rPr>
                <w:rStyle w:val="IndexLink"/>
                <w:rtl w:val="true"/>
              </w:rPr>
              <w:t>]</w:t>
              <w:tab/>
            </w:r>
            <w:r>
              <w:rPr>
                <w:rStyle w:val="IndexLink"/>
              </w:rPr>
              <w:t>314</w:t>
            </w:r>
          </w:hyperlink>
        </w:p>
        <w:p>
          <w:pPr>
            <w:pStyle w:val="Contents5"/>
            <w:tabs>
              <w:tab w:val="clear" w:pos="7892"/>
              <w:tab w:val="right" w:pos="9026" w:leader="dot"/>
            </w:tabs>
            <w:rPr/>
          </w:pPr>
          <w:hyperlink w:anchor="__RefHeading___Toc2527512_3224264995">
            <w:r>
              <w:rPr>
                <w:webHidden/>
                <w:rStyle w:val="IndexLink"/>
                <w:rtl w:val="true"/>
              </w:rPr>
              <w:t>[</w:t>
            </w:r>
            <w:r>
              <w:rPr>
                <w:rStyle w:val="IndexLink"/>
                <w:rtl w:val="true"/>
              </w:rPr>
              <w:t xml:space="preserve">هل البحث عن حجّیة الخبر بحث من مباحث علم الاصول؟ </w:t>
            </w:r>
            <w:r>
              <w:rPr>
                <w:rStyle w:val="IndexLink"/>
              </w:rPr>
              <w:t>305</w:t>
            </w:r>
            <w:r>
              <w:rPr>
                <w:rStyle w:val="IndexLink"/>
                <w:rtl w:val="true"/>
              </w:rPr>
              <w:t>]</w:t>
              <w:tab/>
            </w:r>
            <w:r>
              <w:rPr>
                <w:rStyle w:val="IndexLink"/>
              </w:rPr>
              <w:t>315</w:t>
            </w:r>
          </w:hyperlink>
        </w:p>
        <w:p>
          <w:pPr>
            <w:pStyle w:val="Contents5"/>
            <w:tabs>
              <w:tab w:val="clear" w:pos="7892"/>
              <w:tab w:val="right" w:pos="9026" w:leader="dot"/>
            </w:tabs>
            <w:rPr/>
          </w:pPr>
          <w:hyperlink w:anchor="__RefHeading___Toc2527514_3224264995">
            <w:r>
              <w:rPr>
                <w:webHidden/>
                <w:rStyle w:val="IndexLink"/>
                <w:rtl w:val="true"/>
              </w:rPr>
              <w:t>[</w:t>
            </w:r>
            <w:r>
              <w:rPr>
                <w:rStyle w:val="IndexLink"/>
                <w:rtl w:val="true"/>
              </w:rPr>
              <w:t>إباء أخبار العرض عن الکتاب و السنّة عن التخصیص</w:t>
            </w:r>
            <w:r>
              <w:rPr>
                <w:rStyle w:val="IndexLink"/>
                <w:rtl w:val="true"/>
              </w:rPr>
              <w:t>]</w:t>
              <w:tab/>
            </w:r>
            <w:r>
              <w:rPr>
                <w:rStyle w:val="IndexLink"/>
              </w:rPr>
              <w:t>317</w:t>
            </w:r>
          </w:hyperlink>
        </w:p>
        <w:p>
          <w:pPr>
            <w:pStyle w:val="Contents5"/>
            <w:tabs>
              <w:tab w:val="clear" w:pos="7892"/>
              <w:tab w:val="right" w:pos="9026" w:leader="dot"/>
            </w:tabs>
            <w:rPr/>
          </w:pPr>
          <w:hyperlink w:anchor="__RefHeading___Toc2527516_3224264995">
            <w:r>
              <w:rPr>
                <w:webHidden/>
                <w:rStyle w:val="IndexLink"/>
                <w:rtl w:val="true"/>
              </w:rPr>
              <w:t>[</w:t>
            </w:r>
            <w:r>
              <w:rPr>
                <w:rStyle w:val="IndexLink"/>
                <w:rtl w:val="true"/>
              </w:rPr>
              <w:t>هناک دلالات لبعض الآیات ینحصر فهمها منها بالمعصومین علیهم السلام</w:t>
            </w:r>
            <w:r>
              <w:rPr>
                <w:rStyle w:val="IndexLink"/>
                <w:rtl w:val="true"/>
              </w:rPr>
              <w:t>]</w:t>
              <w:tab/>
            </w:r>
            <w:r>
              <w:rPr>
                <w:rStyle w:val="IndexLink"/>
              </w:rPr>
              <w:t>317</w:t>
            </w:r>
          </w:hyperlink>
        </w:p>
        <w:p>
          <w:pPr>
            <w:pStyle w:val="Contents5"/>
            <w:tabs>
              <w:tab w:val="clear" w:pos="7892"/>
              <w:tab w:val="right" w:pos="9026" w:leader="dot"/>
            </w:tabs>
            <w:rPr/>
          </w:pPr>
          <w:hyperlink w:anchor="__RefHeading___Toc2527518_3224264995">
            <w:r>
              <w:rPr>
                <w:webHidden/>
                <w:rStyle w:val="IndexLink"/>
                <w:rtl w:val="true"/>
              </w:rPr>
              <w:t>[</w:t>
            </w:r>
            <w:r>
              <w:rPr>
                <w:rStyle w:val="IndexLink"/>
                <w:rtl w:val="true"/>
              </w:rPr>
              <w:t>وجوه الاستدلال بآیة النبأ</w:t>
            </w:r>
            <w:r>
              <w:rPr>
                <w:rStyle w:val="IndexLink"/>
                <w:rtl w:val="true"/>
              </w:rPr>
              <w:t>]</w:t>
              <w:tab/>
            </w:r>
            <w:r>
              <w:rPr>
                <w:rStyle w:val="IndexLink"/>
              </w:rPr>
              <w:t>318</w:t>
            </w:r>
          </w:hyperlink>
        </w:p>
        <w:p>
          <w:pPr>
            <w:pStyle w:val="Contents5"/>
            <w:tabs>
              <w:tab w:val="clear" w:pos="7892"/>
              <w:tab w:val="right" w:pos="9026" w:leader="dot"/>
            </w:tabs>
            <w:rPr/>
          </w:pPr>
          <w:hyperlink w:anchor="__RefHeading___Toc2527520_3224264995">
            <w:r>
              <w:rPr>
                <w:webHidden/>
                <w:rStyle w:val="IndexLink"/>
                <w:rtl w:val="true"/>
              </w:rPr>
              <w:t>[</w:t>
            </w:r>
            <w:r>
              <w:rPr>
                <w:rStyle w:val="IndexLink"/>
                <w:rtl w:val="true"/>
              </w:rPr>
              <w:t>شواهد علی قوة التوجیه الثالث فی دلالة آیة النبأ علی حجّیة الخبر</w:t>
            </w:r>
            <w:r>
              <w:rPr>
                <w:rStyle w:val="IndexLink"/>
                <w:rtl w:val="true"/>
              </w:rPr>
              <w:t>]</w:t>
              <w:tab/>
            </w:r>
            <w:r>
              <w:rPr>
                <w:rStyle w:val="IndexLink"/>
              </w:rPr>
              <w:t>321</w:t>
            </w:r>
          </w:hyperlink>
        </w:p>
        <w:p>
          <w:pPr>
            <w:pStyle w:val="Contents5"/>
            <w:tabs>
              <w:tab w:val="clear" w:pos="7892"/>
              <w:tab w:val="right" w:pos="9026" w:leader="dot"/>
            </w:tabs>
            <w:rPr/>
          </w:pPr>
          <w:hyperlink w:anchor="__RefHeading___Toc2527522_3224264995">
            <w:r>
              <w:rPr>
                <w:webHidden/>
                <w:rStyle w:val="IndexLink"/>
                <w:rtl w:val="true"/>
              </w:rPr>
              <w:t>[</w:t>
            </w:r>
            <w:r>
              <w:rPr>
                <w:rStyle w:val="IndexLink"/>
                <w:rtl w:val="true"/>
              </w:rPr>
              <w:t>عدم انحصار الاستدلال بآیة النبأ فی الشرط أو الوصف</w:t>
            </w:r>
            <w:r>
              <w:rPr>
                <w:rStyle w:val="IndexLink"/>
                <w:rtl w:val="true"/>
              </w:rPr>
              <w:t>]</w:t>
              <w:tab/>
            </w:r>
            <w:r>
              <w:rPr>
                <w:rStyle w:val="IndexLink"/>
              </w:rPr>
              <w:t>325</w:t>
            </w:r>
          </w:hyperlink>
        </w:p>
        <w:p>
          <w:pPr>
            <w:pStyle w:val="Contents5"/>
            <w:tabs>
              <w:tab w:val="clear" w:pos="7892"/>
              <w:tab w:val="right" w:pos="9026" w:leader="dot"/>
            </w:tabs>
            <w:rPr/>
          </w:pPr>
          <w:hyperlink w:anchor="__RefHeading___Toc2527524_3224264995">
            <w:r>
              <w:rPr>
                <w:webHidden/>
                <w:rStyle w:val="IndexLink"/>
                <w:rtl w:val="true"/>
              </w:rPr>
              <w:t>[</w:t>
            </w:r>
            <w:r>
              <w:rPr>
                <w:rStyle w:val="IndexLink"/>
                <w:rtl w:val="true"/>
              </w:rPr>
              <w:t>التحقیق فی ذبّ الاشکالات عن الاستدلال بآیة النبأ</w:t>
            </w:r>
            <w:r>
              <w:rPr>
                <w:rStyle w:val="IndexLink"/>
                <w:rtl w:val="true"/>
              </w:rPr>
              <w:t>]</w:t>
              <w:tab/>
            </w:r>
            <w:r>
              <w:rPr>
                <w:rStyle w:val="IndexLink"/>
              </w:rPr>
              <w:t>326</w:t>
            </w:r>
          </w:hyperlink>
        </w:p>
        <w:p>
          <w:pPr>
            <w:pStyle w:val="Contents5"/>
            <w:tabs>
              <w:tab w:val="clear" w:pos="7892"/>
              <w:tab w:val="right" w:pos="9026" w:leader="dot"/>
            </w:tabs>
            <w:rPr/>
          </w:pPr>
          <w:hyperlink w:anchor="__RefHeading___Toc2527526_3224264995">
            <w:r>
              <w:rPr>
                <w:webHidden/>
                <w:rStyle w:val="IndexLink"/>
                <w:rtl w:val="true"/>
              </w:rPr>
              <w:t>[</w:t>
            </w:r>
            <w:r>
              <w:rPr>
                <w:rStyle w:val="IndexLink"/>
                <w:rtl w:val="true"/>
              </w:rPr>
              <w:t>معارضة خبر السید و سائر الأخبار فی الحجّیة</w:t>
            </w:r>
            <w:r>
              <w:rPr>
                <w:rStyle w:val="IndexLink"/>
                <w:rtl w:val="true"/>
              </w:rPr>
              <w:t>]</w:t>
              <w:tab/>
            </w:r>
            <w:r>
              <w:rPr>
                <w:rStyle w:val="IndexLink"/>
              </w:rPr>
              <w:t>336</w:t>
            </w:r>
          </w:hyperlink>
        </w:p>
        <w:p>
          <w:pPr>
            <w:pStyle w:val="Contents5"/>
            <w:tabs>
              <w:tab w:val="clear" w:pos="7892"/>
              <w:tab w:val="right" w:pos="9026" w:leader="dot"/>
            </w:tabs>
            <w:rPr/>
          </w:pPr>
          <w:hyperlink w:anchor="__RefHeading___Toc2527528_3224264995">
            <w:r>
              <w:rPr>
                <w:webHidden/>
                <w:rStyle w:val="IndexLink"/>
                <w:rtl w:val="true"/>
              </w:rPr>
              <w:t>[</w:t>
            </w:r>
            <w:r>
              <w:rPr>
                <w:rStyle w:val="IndexLink"/>
                <w:rtl w:val="true"/>
              </w:rPr>
              <w:t>الاشکال العام فی جمیع ذات الوسائط من الأمارات</w:t>
            </w:r>
            <w:r>
              <w:rPr>
                <w:rStyle w:val="IndexLink"/>
                <w:rtl w:val="true"/>
              </w:rPr>
              <w:t>]</w:t>
              <w:tab/>
            </w:r>
            <w:r>
              <w:rPr>
                <w:rStyle w:val="IndexLink"/>
              </w:rPr>
              <w:t>346</w:t>
            </w:r>
          </w:hyperlink>
        </w:p>
        <w:p>
          <w:pPr>
            <w:pStyle w:val="Contents5"/>
            <w:tabs>
              <w:tab w:val="clear" w:pos="7892"/>
              <w:tab w:val="right" w:pos="9026" w:leader="dot"/>
            </w:tabs>
            <w:rPr/>
          </w:pPr>
          <w:hyperlink w:anchor="__RefHeading___Toc2527530_3224264995">
            <w:r>
              <w:rPr>
                <w:webHidden/>
                <w:rStyle w:val="IndexLink"/>
                <w:rtl w:val="true"/>
              </w:rPr>
              <w:t>[</w:t>
            </w:r>
            <w:r>
              <w:rPr>
                <w:rStyle w:val="IndexLink"/>
                <w:rtl w:val="true"/>
              </w:rPr>
              <w:t>ما یعرف بالجذر الأصم</w:t>
            </w:r>
            <w:r>
              <w:rPr>
                <w:rStyle w:val="IndexLink"/>
                <w:rtl w:val="true"/>
              </w:rPr>
              <w:t>]</w:t>
              <w:tab/>
            </w:r>
            <w:r>
              <w:rPr>
                <w:rStyle w:val="IndexLink"/>
              </w:rPr>
              <w:t>348</w:t>
            </w:r>
          </w:hyperlink>
        </w:p>
        <w:p>
          <w:pPr>
            <w:pStyle w:val="Contents5"/>
            <w:tabs>
              <w:tab w:val="clear" w:pos="7892"/>
              <w:tab w:val="right" w:pos="9026" w:leader="dot"/>
            </w:tabs>
            <w:rPr/>
          </w:pPr>
          <w:hyperlink w:anchor="__RefHeading___Toc2527532_3224264995">
            <w:r>
              <w:rPr>
                <w:webHidden/>
                <w:rStyle w:val="IndexLink"/>
                <w:rtl w:val="true"/>
              </w:rPr>
              <w:t>[</w:t>
            </w:r>
            <w:r>
              <w:rPr>
                <w:rStyle w:val="IndexLink"/>
                <w:rtl w:val="true"/>
              </w:rPr>
              <w:t>فی دلالة آیة النفر</w:t>
            </w:r>
            <w:r>
              <w:rPr>
                <w:rStyle w:val="IndexLink"/>
                <w:rtl w:val="true"/>
              </w:rPr>
              <w:t>]</w:t>
              <w:tab/>
            </w:r>
            <w:r>
              <w:rPr>
                <w:rStyle w:val="IndexLink"/>
              </w:rPr>
              <w:t>354</w:t>
            </w:r>
          </w:hyperlink>
        </w:p>
        <w:p>
          <w:pPr>
            <w:pStyle w:val="Contents5"/>
            <w:tabs>
              <w:tab w:val="clear" w:pos="7892"/>
              <w:tab w:val="right" w:pos="9026" w:leader="dot"/>
            </w:tabs>
            <w:rPr/>
          </w:pPr>
          <w:hyperlink w:anchor="__RefHeading___Toc2527534_3224264995">
            <w:r>
              <w:rPr>
                <w:webHidden/>
                <w:rStyle w:val="IndexLink"/>
                <w:rtl w:val="true"/>
              </w:rPr>
              <w:t>[</w:t>
            </w:r>
            <w:r>
              <w:rPr>
                <w:rStyle w:val="IndexLink"/>
                <w:rtl w:val="true"/>
              </w:rPr>
              <w:t>اشارة إلی الاستدلال بآیة النفر علی کون الواجب الکفائی واجبا علی بعض غیر معیّن</w:t>
            </w:r>
            <w:r>
              <w:rPr>
                <w:rStyle w:val="IndexLink"/>
                <w:rtl w:val="true"/>
              </w:rPr>
              <w:t>]</w:t>
              <w:tab/>
            </w:r>
            <w:r>
              <w:rPr>
                <w:rStyle w:val="IndexLink"/>
              </w:rPr>
              <w:t>355</w:t>
            </w:r>
          </w:hyperlink>
        </w:p>
        <w:p>
          <w:pPr>
            <w:pStyle w:val="Contents5"/>
            <w:tabs>
              <w:tab w:val="clear" w:pos="7892"/>
              <w:tab w:val="right" w:pos="9026" w:leader="dot"/>
            </w:tabs>
            <w:rPr/>
          </w:pPr>
          <w:hyperlink w:anchor="__RefHeading___Toc2527536_3224264995">
            <w:r>
              <w:rPr>
                <w:webHidden/>
                <w:rStyle w:val="IndexLink"/>
                <w:rtl w:val="true"/>
              </w:rPr>
              <w:t>[</w:t>
            </w:r>
            <w:r>
              <w:rPr>
                <w:rStyle w:val="IndexLink"/>
                <w:rtl w:val="true"/>
              </w:rPr>
              <w:t>اشارة إلی الاستعارة التبعیة و الأصلیة</w:t>
            </w:r>
            <w:r>
              <w:rPr>
                <w:rStyle w:val="IndexLink"/>
                <w:rtl w:val="true"/>
              </w:rPr>
              <w:t>]</w:t>
              <w:tab/>
            </w:r>
            <w:r>
              <w:rPr>
                <w:rStyle w:val="IndexLink"/>
              </w:rPr>
              <w:t>356</w:t>
            </w:r>
          </w:hyperlink>
        </w:p>
        <w:p>
          <w:pPr>
            <w:pStyle w:val="Contents5"/>
            <w:tabs>
              <w:tab w:val="clear" w:pos="7892"/>
              <w:tab w:val="right" w:pos="9026" w:leader="dot"/>
            </w:tabs>
            <w:rPr/>
          </w:pPr>
          <w:hyperlink w:anchor="__RefHeading___Toc2527538_3224264995">
            <w:r>
              <w:rPr>
                <w:webHidden/>
                <w:rStyle w:val="IndexLink"/>
                <w:rtl w:val="true"/>
              </w:rPr>
              <w:t>[</w:t>
            </w:r>
            <w:r>
              <w:rPr>
                <w:rStyle w:val="IndexLink"/>
                <w:rtl w:val="true"/>
              </w:rPr>
              <w:t>لا معنی لندب الحذر مع قیام المقتضی له</w:t>
            </w:r>
            <w:r>
              <w:rPr>
                <w:rStyle w:val="IndexLink"/>
                <w:rtl w:val="true"/>
              </w:rPr>
              <w:t>]</w:t>
              <w:tab/>
            </w:r>
            <w:r>
              <w:rPr>
                <w:rStyle w:val="IndexLink"/>
              </w:rPr>
              <w:t>357</w:t>
            </w:r>
          </w:hyperlink>
        </w:p>
        <w:p>
          <w:pPr>
            <w:pStyle w:val="Contents5"/>
            <w:tabs>
              <w:tab w:val="clear" w:pos="7892"/>
              <w:tab w:val="right" w:pos="9026" w:leader="dot"/>
            </w:tabs>
            <w:rPr/>
          </w:pPr>
          <w:hyperlink w:anchor="__RefHeading___Toc2527540_3224264995">
            <w:r>
              <w:rPr>
                <w:webHidden/>
                <w:rStyle w:val="IndexLink"/>
                <w:rtl w:val="true"/>
              </w:rPr>
              <w:t>[</w:t>
            </w:r>
            <w:r>
              <w:rPr>
                <w:rStyle w:val="IndexLink"/>
                <w:rtl w:val="true"/>
              </w:rPr>
              <w:t>محاکمة صاحب الفصول فی ردّه علی صاحب القوانین</w:t>
            </w:r>
            <w:r>
              <w:rPr>
                <w:rStyle w:val="IndexLink"/>
                <w:rtl w:val="true"/>
              </w:rPr>
              <w:t>]</w:t>
              <w:tab/>
            </w:r>
            <w:r>
              <w:rPr>
                <w:rStyle w:val="IndexLink"/>
              </w:rPr>
              <w:t>358</w:t>
            </w:r>
          </w:hyperlink>
        </w:p>
        <w:p>
          <w:pPr>
            <w:pStyle w:val="Contents5"/>
            <w:tabs>
              <w:tab w:val="clear" w:pos="7892"/>
              <w:tab w:val="right" w:pos="9026" w:leader="dot"/>
            </w:tabs>
            <w:rPr/>
          </w:pPr>
          <w:hyperlink w:anchor="__RefHeading___Toc2527542_3224264995">
            <w:r>
              <w:rPr>
                <w:webHidden/>
                <w:rStyle w:val="IndexLink"/>
                <w:rtl w:val="true"/>
              </w:rPr>
              <w:t>[</w:t>
            </w:r>
            <w:r>
              <w:rPr>
                <w:rStyle w:val="IndexLink"/>
                <w:rtl w:val="true"/>
              </w:rPr>
              <w:t>الفرق بین الفائدة و الغایة</w:t>
            </w:r>
            <w:r>
              <w:rPr>
                <w:rStyle w:val="IndexLink"/>
                <w:rtl w:val="true"/>
              </w:rPr>
              <w:t>]</w:t>
              <w:tab/>
            </w:r>
            <w:r>
              <w:rPr>
                <w:rStyle w:val="IndexLink"/>
              </w:rPr>
              <w:t>361</w:t>
            </w:r>
          </w:hyperlink>
        </w:p>
        <w:p>
          <w:pPr>
            <w:pStyle w:val="Contents5"/>
            <w:tabs>
              <w:tab w:val="clear" w:pos="7892"/>
              <w:tab w:val="right" w:pos="9026" w:leader="dot"/>
            </w:tabs>
            <w:rPr/>
          </w:pPr>
          <w:hyperlink w:anchor="__RefHeading___Toc2527544_3224264995">
            <w:r>
              <w:rPr>
                <w:webHidden/>
                <w:rStyle w:val="IndexLink"/>
                <w:rtl w:val="true"/>
              </w:rPr>
              <w:t>[</w:t>
            </w:r>
            <w:r>
              <w:rPr>
                <w:rStyle w:val="IndexLink"/>
                <w:rtl w:val="true"/>
              </w:rPr>
              <w:t>تحقیق فی دلالة آیة النفر</w:t>
            </w:r>
            <w:r>
              <w:rPr>
                <w:rStyle w:val="IndexLink"/>
                <w:rtl w:val="true"/>
              </w:rPr>
              <w:t>]</w:t>
              <w:tab/>
            </w:r>
            <w:r>
              <w:rPr>
                <w:rStyle w:val="IndexLink"/>
              </w:rPr>
              <w:t>361</w:t>
            </w:r>
          </w:hyperlink>
        </w:p>
        <w:p>
          <w:pPr>
            <w:pStyle w:val="Contents5"/>
            <w:tabs>
              <w:tab w:val="clear" w:pos="7892"/>
              <w:tab w:val="right" w:pos="9026" w:leader="dot"/>
            </w:tabs>
            <w:rPr/>
          </w:pPr>
          <w:hyperlink w:anchor="__RefHeading___Toc2527546_3224264995">
            <w:r>
              <w:rPr>
                <w:webHidden/>
                <w:rStyle w:val="IndexLink"/>
                <w:rtl w:val="true"/>
              </w:rPr>
              <w:t>[</w:t>
            </w:r>
            <w:r>
              <w:rPr>
                <w:rStyle w:val="IndexLink"/>
                <w:rtl w:val="true"/>
              </w:rPr>
              <w:t>دفع الأوهام عن دلالة آیة النفر</w:t>
            </w:r>
            <w:r>
              <w:rPr>
                <w:rStyle w:val="IndexLink"/>
                <w:rtl w:val="true"/>
              </w:rPr>
              <w:t>]</w:t>
              <w:tab/>
            </w:r>
            <w:r>
              <w:rPr>
                <w:rStyle w:val="IndexLink"/>
              </w:rPr>
              <w:t>362</w:t>
            </w:r>
          </w:hyperlink>
        </w:p>
        <w:p>
          <w:pPr>
            <w:pStyle w:val="Contents5"/>
            <w:tabs>
              <w:tab w:val="clear" w:pos="7892"/>
              <w:tab w:val="right" w:pos="9026" w:leader="dot"/>
            </w:tabs>
            <w:rPr/>
          </w:pPr>
          <w:hyperlink w:anchor="__RefHeading___Toc2527548_3224264995">
            <w:r>
              <w:rPr>
                <w:webHidden/>
                <w:rStyle w:val="IndexLink"/>
                <w:rtl w:val="true"/>
              </w:rPr>
              <w:t>[</w:t>
            </w:r>
            <w:r>
              <w:rPr>
                <w:rStyle w:val="IndexLink"/>
                <w:rtl w:val="true"/>
              </w:rPr>
              <w:t>اشارة إلی الصور المحتملة فی معنی حجّیة الخبر</w:t>
            </w:r>
            <w:r>
              <w:rPr>
                <w:rStyle w:val="IndexLink"/>
                <w:rtl w:val="true"/>
              </w:rPr>
              <w:t>]</w:t>
              <w:tab/>
            </w:r>
            <w:r>
              <w:rPr>
                <w:rStyle w:val="IndexLink"/>
              </w:rPr>
              <w:t>365</w:t>
            </w:r>
          </w:hyperlink>
        </w:p>
        <w:p>
          <w:pPr>
            <w:pStyle w:val="Contents5"/>
            <w:tabs>
              <w:tab w:val="clear" w:pos="7892"/>
              <w:tab w:val="right" w:pos="9026" w:leader="dot"/>
            </w:tabs>
            <w:rPr/>
          </w:pPr>
          <w:hyperlink w:anchor="__RefHeading___Toc2527550_3224264995">
            <w:r>
              <w:rPr>
                <w:webHidden/>
                <w:rStyle w:val="IndexLink"/>
                <w:rtl w:val="true"/>
              </w:rPr>
              <w:t>[</w:t>
            </w:r>
            <w:r>
              <w:rPr>
                <w:rStyle w:val="IndexLink"/>
                <w:rtl w:val="true"/>
              </w:rPr>
              <w:t>الاستدلال بآیة الاذن علی حجّیة خبر الواحد</w:t>
            </w:r>
            <w:r>
              <w:rPr>
                <w:rStyle w:val="IndexLink"/>
                <w:rtl w:val="true"/>
              </w:rPr>
              <w:t>]</w:t>
              <w:tab/>
            </w:r>
            <w:r>
              <w:rPr>
                <w:rStyle w:val="IndexLink"/>
              </w:rPr>
              <w:t>369</w:t>
            </w:r>
          </w:hyperlink>
        </w:p>
        <w:p>
          <w:pPr>
            <w:pStyle w:val="Contents5"/>
            <w:tabs>
              <w:tab w:val="clear" w:pos="7892"/>
              <w:tab w:val="right" w:pos="9026" w:leader="dot"/>
            </w:tabs>
            <w:rPr/>
          </w:pPr>
          <w:hyperlink w:anchor="__RefHeading___Toc2527552_3224264995">
            <w:r>
              <w:rPr>
                <w:webHidden/>
                <w:rStyle w:val="IndexLink"/>
                <w:rtl w:val="true"/>
              </w:rPr>
              <w:t>[</w:t>
            </w:r>
            <w:r>
              <w:rPr>
                <w:rStyle w:val="IndexLink"/>
                <w:rtl w:val="true"/>
              </w:rPr>
              <w:t>جواب عن ایراد الماتن علی الاستدلال بآیة الاذن</w:t>
            </w:r>
            <w:r>
              <w:rPr>
                <w:rStyle w:val="IndexLink"/>
                <w:rtl w:val="true"/>
              </w:rPr>
              <w:t>]</w:t>
              <w:tab/>
            </w:r>
            <w:r>
              <w:rPr>
                <w:rStyle w:val="IndexLink"/>
              </w:rPr>
              <w:t>369</w:t>
            </w:r>
          </w:hyperlink>
        </w:p>
        <w:p>
          <w:pPr>
            <w:pStyle w:val="Contents5"/>
            <w:tabs>
              <w:tab w:val="clear" w:pos="7892"/>
              <w:tab w:val="right" w:pos="9026" w:leader="dot"/>
            </w:tabs>
            <w:rPr/>
          </w:pPr>
          <w:hyperlink w:anchor="__RefHeading___Toc2527554_3224264995">
            <w:r>
              <w:rPr>
                <w:webHidden/>
                <w:rStyle w:val="IndexLink"/>
                <w:rtl w:val="true"/>
              </w:rPr>
              <w:t>[</w:t>
            </w:r>
            <w:r>
              <w:rPr>
                <w:rStyle w:val="IndexLink"/>
                <w:rtl w:val="true"/>
              </w:rPr>
              <w:t>تحقیق فی المراد بآیة الاذن</w:t>
            </w:r>
            <w:r>
              <w:rPr>
                <w:rStyle w:val="IndexLink"/>
                <w:rtl w:val="true"/>
              </w:rPr>
              <w:t>]</w:t>
              <w:tab/>
            </w:r>
            <w:r>
              <w:rPr>
                <w:rStyle w:val="IndexLink"/>
              </w:rPr>
              <w:t>370</w:t>
            </w:r>
          </w:hyperlink>
        </w:p>
        <w:p>
          <w:pPr>
            <w:pStyle w:val="Contents5"/>
            <w:tabs>
              <w:tab w:val="clear" w:pos="7892"/>
              <w:tab w:val="right" w:pos="9026" w:leader="dot"/>
            </w:tabs>
            <w:rPr/>
          </w:pPr>
          <w:hyperlink w:anchor="__RefHeading___Toc2527556_3224264995">
            <w:r>
              <w:rPr>
                <w:webHidden/>
                <w:rStyle w:val="IndexLink"/>
                <w:rtl w:val="true"/>
              </w:rPr>
              <w:t>[</w:t>
            </w:r>
            <w:r>
              <w:rPr>
                <w:rStyle w:val="IndexLink"/>
                <w:rtl w:val="true"/>
              </w:rPr>
              <w:t>ردود علی الماتن فی المراد بالآیة و التحقیق فیه</w:t>
            </w:r>
            <w:r>
              <w:rPr>
                <w:rStyle w:val="IndexLink"/>
                <w:rtl w:val="true"/>
              </w:rPr>
              <w:t>]</w:t>
              <w:tab/>
            </w:r>
            <w:r>
              <w:rPr>
                <w:rStyle w:val="IndexLink"/>
              </w:rPr>
              <w:t>371</w:t>
            </w:r>
          </w:hyperlink>
        </w:p>
        <w:p>
          <w:pPr>
            <w:pStyle w:val="Contents5"/>
            <w:tabs>
              <w:tab w:val="clear" w:pos="7892"/>
              <w:tab w:val="right" w:pos="9026" w:leader="dot"/>
            </w:tabs>
            <w:rPr/>
          </w:pPr>
          <w:hyperlink w:anchor="__RefHeading___Toc2527558_3224264995">
            <w:r>
              <w:rPr>
                <w:webHidden/>
                <w:rStyle w:val="IndexLink"/>
                <w:rtl w:val="true"/>
              </w:rPr>
              <w:t>[</w:t>
            </w:r>
            <w:r>
              <w:rPr>
                <w:rStyle w:val="IndexLink"/>
                <w:rtl w:val="true"/>
              </w:rPr>
              <w:t>أصل الصحة فی فعل المسلم</w:t>
            </w:r>
            <w:r>
              <w:rPr>
                <w:rStyle w:val="IndexLink"/>
                <w:rtl w:val="true"/>
              </w:rPr>
              <w:t>]</w:t>
              <w:tab/>
            </w:r>
            <w:r>
              <w:rPr>
                <w:rStyle w:val="IndexLink"/>
              </w:rPr>
              <w:t>374</w:t>
            </w:r>
          </w:hyperlink>
        </w:p>
        <w:p>
          <w:pPr>
            <w:pStyle w:val="Contents5"/>
            <w:tabs>
              <w:tab w:val="clear" w:pos="7892"/>
              <w:tab w:val="right" w:pos="9026" w:leader="dot"/>
            </w:tabs>
            <w:rPr/>
          </w:pPr>
          <w:hyperlink w:anchor="__RefHeading___Toc2527560_3224264995">
            <w:r>
              <w:rPr>
                <w:webHidden/>
                <w:rStyle w:val="IndexLink"/>
                <w:rtl w:val="true"/>
              </w:rPr>
              <w:t>[</w:t>
            </w:r>
            <w:r>
              <w:rPr>
                <w:rStyle w:val="IndexLink"/>
                <w:rtl w:val="true"/>
              </w:rPr>
              <w:t>ذکر للقسامة</w:t>
            </w:r>
            <w:r>
              <w:rPr>
                <w:rStyle w:val="IndexLink"/>
                <w:rtl w:val="true"/>
              </w:rPr>
              <w:t>]</w:t>
              <w:tab/>
            </w:r>
            <w:r>
              <w:rPr>
                <w:rStyle w:val="IndexLink"/>
              </w:rPr>
              <w:t>375</w:t>
            </w:r>
          </w:hyperlink>
        </w:p>
        <w:p>
          <w:pPr>
            <w:pStyle w:val="Contents5"/>
            <w:tabs>
              <w:tab w:val="clear" w:pos="7892"/>
              <w:tab w:val="right" w:pos="9026" w:leader="dot"/>
            </w:tabs>
            <w:rPr/>
          </w:pPr>
          <w:hyperlink w:anchor="__RefHeading___Toc2527562_3224264995">
            <w:r>
              <w:rPr>
                <w:webHidden/>
                <w:rStyle w:val="IndexLink"/>
                <w:rtl w:val="true"/>
              </w:rPr>
              <w:t>[</w:t>
            </w:r>
            <w:r>
              <w:rPr>
                <w:rStyle w:val="IndexLink"/>
                <w:rtl w:val="true"/>
              </w:rPr>
              <w:t>توجیه الاستدلال بآیة الاذن</w:t>
            </w:r>
            <w:r>
              <w:rPr>
                <w:rStyle w:val="IndexLink"/>
                <w:rtl w:val="true"/>
              </w:rPr>
              <w:t>]</w:t>
              <w:tab/>
            </w:r>
            <w:r>
              <w:rPr>
                <w:rStyle w:val="IndexLink"/>
              </w:rPr>
              <w:t>377</w:t>
            </w:r>
          </w:hyperlink>
        </w:p>
        <w:p>
          <w:pPr>
            <w:pStyle w:val="Contents5"/>
            <w:tabs>
              <w:tab w:val="clear" w:pos="7892"/>
              <w:tab w:val="right" w:pos="9026" w:leader="dot"/>
            </w:tabs>
            <w:rPr/>
          </w:pPr>
          <w:hyperlink w:anchor="__RefHeading___Toc2527564_3224264995">
            <w:r>
              <w:rPr>
                <w:webHidden/>
                <w:rStyle w:val="IndexLink"/>
                <w:rtl w:val="true"/>
              </w:rPr>
              <w:t>[</w:t>
            </w:r>
            <w:r>
              <w:rPr>
                <w:rStyle w:val="IndexLink"/>
                <w:rtl w:val="true"/>
              </w:rPr>
              <w:t>مناقشة مع الماتن فی دعواه انصراف مفهوم آیة النبأ إلی الخبر المفید للظن الاطمینانی</w:t>
            </w:r>
            <w:r>
              <w:rPr>
                <w:rStyle w:val="IndexLink"/>
                <w:rtl w:val="true"/>
              </w:rPr>
              <w:t>]</w:t>
              <w:tab/>
            </w:r>
            <w:r>
              <w:rPr>
                <w:rStyle w:val="IndexLink"/>
              </w:rPr>
              <w:t>378</w:t>
            </w:r>
          </w:hyperlink>
        </w:p>
        <w:p>
          <w:pPr>
            <w:pStyle w:val="Contents5"/>
            <w:tabs>
              <w:tab w:val="clear" w:pos="7892"/>
              <w:tab w:val="right" w:pos="9026" w:leader="dot"/>
            </w:tabs>
            <w:rPr/>
          </w:pPr>
          <w:hyperlink w:anchor="__RefHeading___Toc2527566_3224264995">
            <w:r>
              <w:rPr>
                <w:webHidden/>
                <w:rStyle w:val="IndexLink"/>
                <w:rtl w:val="true"/>
              </w:rPr>
              <w:t>[</w:t>
            </w:r>
            <w:r>
              <w:rPr>
                <w:rStyle w:val="IndexLink"/>
                <w:rtl w:val="true"/>
              </w:rPr>
              <w:t>اشارة إلی حقیقة المطلق</w:t>
            </w:r>
            <w:r>
              <w:rPr>
                <w:rStyle w:val="IndexLink"/>
                <w:rtl w:val="true"/>
              </w:rPr>
              <w:t>]</w:t>
              <w:tab/>
            </w:r>
            <w:r>
              <w:rPr>
                <w:rStyle w:val="IndexLink"/>
              </w:rPr>
              <w:t>378</w:t>
            </w:r>
          </w:hyperlink>
        </w:p>
        <w:p>
          <w:pPr>
            <w:pStyle w:val="Contents5"/>
            <w:tabs>
              <w:tab w:val="clear" w:pos="7892"/>
              <w:tab w:val="right" w:pos="9026" w:leader="dot"/>
            </w:tabs>
            <w:rPr/>
          </w:pPr>
          <w:hyperlink w:anchor="__RefHeading___Toc2527568_3224264995">
            <w:r>
              <w:rPr>
                <w:webHidden/>
                <w:rStyle w:val="IndexLink"/>
                <w:rtl w:val="true"/>
              </w:rPr>
              <w:t>[</w:t>
            </w:r>
            <w:r>
              <w:rPr>
                <w:rStyle w:val="IndexLink"/>
                <w:rtl w:val="true"/>
              </w:rPr>
              <w:t>الأخبار المستدلّ بها علی حجّیة الخبر الواحد</w:t>
            </w:r>
            <w:r>
              <w:rPr>
                <w:rStyle w:val="IndexLink"/>
                <w:rtl w:val="true"/>
              </w:rPr>
              <w:t>]</w:t>
              <w:tab/>
            </w:r>
            <w:r>
              <w:rPr>
                <w:rStyle w:val="IndexLink"/>
              </w:rPr>
              <w:t>379</w:t>
            </w:r>
          </w:hyperlink>
        </w:p>
        <w:p>
          <w:pPr>
            <w:pStyle w:val="Contents5"/>
            <w:tabs>
              <w:tab w:val="clear" w:pos="7892"/>
              <w:tab w:val="right" w:pos="9026" w:leader="dot"/>
            </w:tabs>
            <w:rPr/>
          </w:pPr>
          <w:hyperlink w:anchor="__RefHeading___Toc2527570_3224264995">
            <w:r>
              <w:rPr>
                <w:webHidden/>
                <w:rStyle w:val="IndexLink"/>
                <w:rtl w:val="true"/>
              </w:rPr>
              <w:t>[</w:t>
            </w:r>
            <w:r>
              <w:rPr>
                <w:rStyle w:val="IndexLink"/>
                <w:rtl w:val="true"/>
              </w:rPr>
              <w:t>فی حدّ مدلول الأخبار الدالّة علی حجّیة الخبر و الأقوال فیه</w:t>
            </w:r>
            <w:r>
              <w:rPr>
                <w:rStyle w:val="IndexLink"/>
                <w:rtl w:val="true"/>
              </w:rPr>
              <w:t>]</w:t>
              <w:tab/>
            </w:r>
            <w:r>
              <w:rPr>
                <w:rStyle w:val="IndexLink"/>
              </w:rPr>
              <w:t>380</w:t>
            </w:r>
          </w:hyperlink>
        </w:p>
        <w:p>
          <w:pPr>
            <w:pStyle w:val="Contents5"/>
            <w:tabs>
              <w:tab w:val="clear" w:pos="7892"/>
              <w:tab w:val="right" w:pos="9026" w:leader="dot"/>
            </w:tabs>
            <w:rPr/>
          </w:pPr>
          <w:hyperlink w:anchor="__RefHeading___Toc2527572_3224264995">
            <w:r>
              <w:rPr>
                <w:webHidden/>
                <w:rStyle w:val="IndexLink"/>
                <w:rtl w:val="true"/>
              </w:rPr>
              <w:t>[</w:t>
            </w:r>
            <w:r>
              <w:rPr>
                <w:rStyle w:val="IndexLink"/>
                <w:rtl w:val="true"/>
              </w:rPr>
              <w:t>صاحب العوائد فی مدلول الأخبار</w:t>
            </w:r>
            <w:r>
              <w:rPr>
                <w:rStyle w:val="IndexLink"/>
                <w:rtl w:val="true"/>
              </w:rPr>
              <w:t>]</w:t>
              <w:tab/>
            </w:r>
            <w:r>
              <w:rPr>
                <w:rStyle w:val="IndexLink"/>
              </w:rPr>
              <w:t>382</w:t>
            </w:r>
          </w:hyperlink>
        </w:p>
        <w:p>
          <w:pPr>
            <w:pStyle w:val="Contents5"/>
            <w:tabs>
              <w:tab w:val="clear" w:pos="7892"/>
              <w:tab w:val="right" w:pos="9026" w:leader="dot"/>
            </w:tabs>
            <w:rPr/>
          </w:pPr>
          <w:hyperlink w:anchor="__RefHeading___Toc2527574_3224264995">
            <w:r>
              <w:rPr>
                <w:webHidden/>
                <w:rStyle w:val="IndexLink"/>
                <w:rtl w:val="true"/>
              </w:rPr>
              <w:t>[</w:t>
            </w:r>
            <w:r>
              <w:rPr>
                <w:rStyle w:val="IndexLink"/>
                <w:rtl w:val="true"/>
              </w:rPr>
              <w:t>تقیّد أکثر الأخبار بالوثاقة و نحوها</w:t>
            </w:r>
            <w:r>
              <w:rPr>
                <w:rStyle w:val="IndexLink"/>
                <w:rtl w:val="true"/>
              </w:rPr>
              <w:t>]</w:t>
              <w:tab/>
            </w:r>
            <w:r>
              <w:rPr>
                <w:rStyle w:val="IndexLink"/>
              </w:rPr>
              <w:t>386</w:t>
            </w:r>
          </w:hyperlink>
        </w:p>
        <w:p>
          <w:pPr>
            <w:pStyle w:val="Contents5"/>
            <w:tabs>
              <w:tab w:val="clear" w:pos="7892"/>
              <w:tab w:val="right" w:pos="9026" w:leader="dot"/>
            </w:tabs>
            <w:rPr/>
          </w:pPr>
          <w:hyperlink w:anchor="__RefHeading___Toc2527576_3224264995">
            <w:r>
              <w:rPr>
                <w:webHidden/>
                <w:rStyle w:val="IndexLink"/>
                <w:rtl w:val="true"/>
              </w:rPr>
              <w:t>[</w:t>
            </w:r>
            <w:r>
              <w:rPr>
                <w:rStyle w:val="IndexLink"/>
                <w:rtl w:val="true"/>
              </w:rPr>
              <w:t>الردّ علی دعوی صاحب المعالم فی حجّیة الخبر</w:t>
            </w:r>
            <w:r>
              <w:rPr>
                <w:rStyle w:val="IndexLink"/>
                <w:rtl w:val="true"/>
              </w:rPr>
              <w:t>]</w:t>
              <w:tab/>
            </w:r>
            <w:r>
              <w:rPr>
                <w:rStyle w:val="IndexLink"/>
              </w:rPr>
              <w:t>386</w:t>
            </w:r>
          </w:hyperlink>
        </w:p>
        <w:p>
          <w:pPr>
            <w:pStyle w:val="Contents5"/>
            <w:tabs>
              <w:tab w:val="clear" w:pos="7892"/>
              <w:tab w:val="right" w:pos="9026" w:leader="dot"/>
            </w:tabs>
            <w:rPr/>
          </w:pPr>
          <w:hyperlink w:anchor="__RefHeading___Toc2527578_3224264995">
            <w:r>
              <w:rPr>
                <w:webHidden/>
                <w:rStyle w:val="IndexLink"/>
                <w:rtl w:val="true"/>
              </w:rPr>
              <w:t>[</w:t>
            </w:r>
            <w:r>
              <w:rPr>
                <w:rStyle w:val="IndexLink"/>
                <w:rtl w:val="true"/>
              </w:rPr>
              <w:t>اشارة إلی عدم اعتبار الایمان فی العدالة المعتبرة فی الراوی</w:t>
            </w:r>
            <w:r>
              <w:rPr>
                <w:rStyle w:val="IndexLink"/>
                <w:rtl w:val="true"/>
              </w:rPr>
              <w:t>]</w:t>
              <w:tab/>
            </w:r>
            <w:r>
              <w:rPr>
                <w:rStyle w:val="IndexLink"/>
              </w:rPr>
              <w:t>387</w:t>
            </w:r>
          </w:hyperlink>
        </w:p>
        <w:p>
          <w:pPr>
            <w:pStyle w:val="Contents5"/>
            <w:tabs>
              <w:tab w:val="clear" w:pos="7892"/>
              <w:tab w:val="right" w:pos="9026" w:leader="dot"/>
            </w:tabs>
            <w:rPr/>
          </w:pPr>
          <w:hyperlink w:anchor="__RefHeading___Toc2527580_3224264995">
            <w:r>
              <w:rPr>
                <w:webHidden/>
                <w:rStyle w:val="IndexLink"/>
                <w:rtl w:val="true"/>
              </w:rPr>
              <w:t>[</w:t>
            </w:r>
            <w:r>
              <w:rPr>
                <w:rStyle w:val="IndexLink"/>
                <w:rtl w:val="true"/>
              </w:rPr>
              <w:t>الردّ علی مقالة الماتن فی حدّ مدلول أدلّه الحجّیة</w:t>
            </w:r>
            <w:r>
              <w:rPr>
                <w:rStyle w:val="IndexLink"/>
                <w:rtl w:val="true"/>
              </w:rPr>
              <w:t>]</w:t>
              <w:tab/>
            </w:r>
            <w:r>
              <w:rPr>
                <w:rStyle w:val="IndexLink"/>
              </w:rPr>
              <w:t>389</w:t>
            </w:r>
          </w:hyperlink>
        </w:p>
        <w:p>
          <w:pPr>
            <w:pStyle w:val="Contents5"/>
            <w:tabs>
              <w:tab w:val="clear" w:pos="7892"/>
              <w:tab w:val="right" w:pos="9026" w:leader="dot"/>
            </w:tabs>
            <w:rPr/>
          </w:pPr>
          <w:hyperlink w:anchor="__RefHeading___Toc2527582_3224264995">
            <w:r>
              <w:rPr>
                <w:webHidden/>
                <w:rStyle w:val="IndexLink"/>
                <w:rtl w:val="true"/>
              </w:rPr>
              <w:t>[</w:t>
            </w:r>
            <w:r>
              <w:rPr>
                <w:rStyle w:val="IndexLink"/>
                <w:rtl w:val="true"/>
              </w:rPr>
              <w:t>اشارة إلی رأی السید و تابعیه فی حجّیة الخبر</w:t>
            </w:r>
            <w:r>
              <w:rPr>
                <w:rStyle w:val="IndexLink"/>
                <w:rtl w:val="true"/>
              </w:rPr>
              <w:t>]</w:t>
              <w:tab/>
            </w:r>
            <w:r>
              <w:rPr>
                <w:rStyle w:val="IndexLink"/>
              </w:rPr>
              <w:t>390</w:t>
            </w:r>
          </w:hyperlink>
        </w:p>
        <w:p>
          <w:pPr>
            <w:pStyle w:val="Contents5"/>
            <w:tabs>
              <w:tab w:val="clear" w:pos="7892"/>
              <w:tab w:val="right" w:pos="9026" w:leader="dot"/>
            </w:tabs>
            <w:rPr/>
          </w:pPr>
          <w:hyperlink w:anchor="__RefHeading___Toc2527584_3224264995">
            <w:r>
              <w:rPr>
                <w:webHidden/>
                <w:rStyle w:val="IndexLink"/>
                <w:rtl w:val="true"/>
              </w:rPr>
              <w:t>[</w:t>
            </w:r>
            <w:r>
              <w:rPr>
                <w:rStyle w:val="IndexLink"/>
                <w:rtl w:val="true"/>
              </w:rPr>
              <w:t>الاعتبار بمطلق مظنون الصدور و المظنون من الأخبار</w:t>
            </w:r>
            <w:r>
              <w:rPr>
                <w:rStyle w:val="IndexLink"/>
                <w:rtl w:val="true"/>
              </w:rPr>
              <w:t>]</w:t>
              <w:tab/>
            </w:r>
            <w:r>
              <w:rPr>
                <w:rStyle w:val="IndexLink"/>
              </w:rPr>
              <w:t>391</w:t>
            </w:r>
          </w:hyperlink>
        </w:p>
        <w:p>
          <w:pPr>
            <w:pStyle w:val="Contents5"/>
            <w:tabs>
              <w:tab w:val="clear" w:pos="7892"/>
              <w:tab w:val="right" w:pos="9026" w:leader="dot"/>
            </w:tabs>
            <w:rPr/>
          </w:pPr>
          <w:hyperlink w:anchor="__RefHeading___Toc2527586_3224264995">
            <w:r>
              <w:rPr>
                <w:webHidden/>
                <w:rStyle w:val="IndexLink"/>
                <w:rtl w:val="true"/>
              </w:rPr>
              <w:t>[</w:t>
            </w:r>
            <w:r>
              <w:rPr>
                <w:rStyle w:val="IndexLink"/>
                <w:rtl w:val="true"/>
              </w:rPr>
              <w:t>الشروط التی اعتبرها العلماء فی الخبر الواحد</w:t>
            </w:r>
            <w:r>
              <w:rPr>
                <w:rStyle w:val="IndexLink"/>
                <w:rtl w:val="true"/>
              </w:rPr>
              <w:t>]</w:t>
              <w:tab/>
            </w:r>
            <w:r>
              <w:rPr>
                <w:rStyle w:val="IndexLink"/>
              </w:rPr>
              <w:t>394</w:t>
            </w:r>
          </w:hyperlink>
        </w:p>
        <w:p>
          <w:pPr>
            <w:pStyle w:val="Contents5"/>
            <w:tabs>
              <w:tab w:val="clear" w:pos="7892"/>
              <w:tab w:val="right" w:pos="9026" w:leader="dot"/>
            </w:tabs>
            <w:rPr/>
          </w:pPr>
          <w:hyperlink w:anchor="__RefHeading___Toc2527588_3224264995">
            <w:r>
              <w:rPr>
                <w:webHidden/>
                <w:rStyle w:val="IndexLink"/>
                <w:rtl w:val="true"/>
              </w:rPr>
              <w:t>[</w:t>
            </w:r>
            <w:r>
              <w:rPr>
                <w:rStyle w:val="IndexLink"/>
                <w:rtl w:val="true"/>
              </w:rPr>
              <w:t>خبر مجهول الحال</w:t>
            </w:r>
            <w:r>
              <w:rPr>
                <w:rStyle w:val="IndexLink"/>
                <w:rtl w:val="true"/>
              </w:rPr>
              <w:t>]</w:t>
              <w:tab/>
            </w:r>
            <w:r>
              <w:rPr>
                <w:rStyle w:val="IndexLink"/>
              </w:rPr>
              <w:t>396</w:t>
            </w:r>
          </w:hyperlink>
        </w:p>
        <w:p>
          <w:pPr>
            <w:pStyle w:val="Contents5"/>
            <w:tabs>
              <w:tab w:val="clear" w:pos="7892"/>
              <w:tab w:val="right" w:pos="9026" w:leader="dot"/>
            </w:tabs>
            <w:rPr/>
          </w:pPr>
          <w:hyperlink w:anchor="__RefHeading___Toc2527590_3224264995">
            <w:r>
              <w:rPr>
                <w:webHidden/>
                <w:rStyle w:val="IndexLink"/>
                <w:rtl w:val="true"/>
              </w:rPr>
              <w:t>[</w:t>
            </w:r>
            <w:r>
              <w:rPr>
                <w:rStyle w:val="IndexLink"/>
                <w:rtl w:val="true"/>
              </w:rPr>
              <w:t>خبر مختلف الأحوال</w:t>
            </w:r>
            <w:r>
              <w:rPr>
                <w:rStyle w:val="IndexLink"/>
                <w:rtl w:val="true"/>
              </w:rPr>
              <w:t>]</w:t>
              <w:tab/>
            </w:r>
            <w:r>
              <w:rPr>
                <w:rStyle w:val="IndexLink"/>
              </w:rPr>
              <w:t>397</w:t>
            </w:r>
          </w:hyperlink>
        </w:p>
        <w:p>
          <w:pPr>
            <w:pStyle w:val="Contents5"/>
            <w:tabs>
              <w:tab w:val="clear" w:pos="7892"/>
              <w:tab w:val="right" w:pos="9026" w:leader="dot"/>
            </w:tabs>
            <w:rPr/>
          </w:pPr>
          <w:hyperlink w:anchor="__RefHeading___Toc2527592_3224264995">
            <w:r>
              <w:rPr>
                <w:webHidden/>
                <w:rStyle w:val="IndexLink"/>
                <w:rtl w:val="true"/>
              </w:rPr>
              <w:t>[</w:t>
            </w:r>
            <w:r>
              <w:rPr>
                <w:rStyle w:val="IndexLink"/>
                <w:rtl w:val="true"/>
              </w:rPr>
              <w:t>طریق معرفة العدالة و ما یترتّب علی هذا البحث</w:t>
            </w:r>
            <w:r>
              <w:rPr>
                <w:rStyle w:val="IndexLink"/>
                <w:rtl w:val="true"/>
              </w:rPr>
              <w:t>]</w:t>
              <w:tab/>
            </w:r>
            <w:r>
              <w:rPr>
                <w:rStyle w:val="IndexLink"/>
              </w:rPr>
              <w:t>398</w:t>
            </w:r>
          </w:hyperlink>
        </w:p>
        <w:p>
          <w:pPr>
            <w:pStyle w:val="Contents5"/>
            <w:tabs>
              <w:tab w:val="clear" w:pos="7892"/>
              <w:tab w:val="right" w:pos="9026" w:leader="dot"/>
            </w:tabs>
            <w:rPr/>
          </w:pPr>
          <w:hyperlink w:anchor="__RefHeading___Toc2527594_3224264995">
            <w:r>
              <w:rPr>
                <w:webHidden/>
                <w:rStyle w:val="IndexLink"/>
                <w:rtl w:val="true"/>
              </w:rPr>
              <w:t>[</w:t>
            </w:r>
            <w:r>
              <w:rPr>
                <w:rStyle w:val="IndexLink"/>
                <w:rtl w:val="true"/>
              </w:rPr>
              <w:t>زیادة الشرط علی مشروطه</w:t>
            </w:r>
            <w:r>
              <w:rPr>
                <w:rStyle w:val="IndexLink"/>
                <w:rtl w:val="true"/>
              </w:rPr>
              <w:t>]</w:t>
              <w:tab/>
            </w:r>
            <w:r>
              <w:rPr>
                <w:rStyle w:val="IndexLink"/>
              </w:rPr>
              <w:t>405</w:t>
            </w:r>
          </w:hyperlink>
        </w:p>
        <w:p>
          <w:pPr>
            <w:pStyle w:val="Contents5"/>
            <w:tabs>
              <w:tab w:val="clear" w:pos="7892"/>
              <w:tab w:val="right" w:pos="9026" w:leader="dot"/>
            </w:tabs>
            <w:rPr/>
          </w:pPr>
          <w:hyperlink w:anchor="__RefHeading___Toc2527596_3224264995">
            <w:r>
              <w:rPr>
                <w:webHidden/>
                <w:rStyle w:val="IndexLink"/>
                <w:rtl w:val="true"/>
              </w:rPr>
              <w:t xml:space="preserve">فصل </w:t>
            </w:r>
            <w:r>
              <w:rPr>
                <w:rStyle w:val="IndexLink"/>
                <w:rtl w:val="true"/>
              </w:rPr>
              <w:t>[</w:t>
            </w:r>
            <w:r>
              <w:rPr>
                <w:rStyle w:val="IndexLink"/>
                <w:rtl w:val="true"/>
              </w:rPr>
              <w:t>الجرح و التعدیل المجرّدان عن ذکر السبب</w:t>
            </w:r>
            <w:r>
              <w:rPr>
                <w:rStyle w:val="IndexLink"/>
                <w:rtl w:val="true"/>
              </w:rPr>
              <w:t>]</w:t>
              <w:tab/>
            </w:r>
            <w:r>
              <w:rPr>
                <w:rStyle w:val="IndexLink"/>
              </w:rPr>
              <w:t>411</w:t>
            </w:r>
          </w:hyperlink>
        </w:p>
        <w:p>
          <w:pPr>
            <w:pStyle w:val="Contents5"/>
            <w:tabs>
              <w:tab w:val="clear" w:pos="7892"/>
              <w:tab w:val="right" w:pos="9026" w:leader="dot"/>
            </w:tabs>
            <w:rPr/>
          </w:pPr>
          <w:hyperlink w:anchor="__RefHeading___Toc2527598_3224264995">
            <w:r>
              <w:rPr>
                <w:webHidden/>
                <w:rStyle w:val="IndexLink"/>
                <w:rtl w:val="true"/>
              </w:rPr>
              <w:t>[</w:t>
            </w:r>
            <w:r>
              <w:rPr>
                <w:rStyle w:val="IndexLink"/>
                <w:rtl w:val="true"/>
              </w:rPr>
              <w:t>تفصیل آخر فی المسألة</w:t>
            </w:r>
            <w:r>
              <w:rPr>
                <w:rStyle w:val="IndexLink"/>
                <w:rtl w:val="true"/>
              </w:rPr>
              <w:t>]</w:t>
              <w:tab/>
            </w:r>
            <w:r>
              <w:rPr>
                <w:rStyle w:val="IndexLink"/>
              </w:rPr>
              <w:t>414</w:t>
            </w:r>
          </w:hyperlink>
        </w:p>
        <w:p>
          <w:pPr>
            <w:pStyle w:val="Contents5"/>
            <w:tabs>
              <w:tab w:val="clear" w:pos="7892"/>
              <w:tab w:val="right" w:pos="9026" w:leader="dot"/>
            </w:tabs>
            <w:rPr/>
          </w:pPr>
          <w:hyperlink w:anchor="__RefHeading___Toc2527600_3224264995">
            <w:r>
              <w:rPr>
                <w:webHidden/>
                <w:rStyle w:val="IndexLink"/>
                <w:rtl w:val="true"/>
              </w:rPr>
              <w:t>[</w:t>
            </w:r>
            <w:r>
              <w:rPr>
                <w:rStyle w:val="IndexLink"/>
                <w:rtl w:val="true"/>
              </w:rPr>
              <w:t>فصل تعارض الجرح و التعدیل</w:t>
            </w:r>
            <w:r>
              <w:rPr>
                <w:rStyle w:val="IndexLink"/>
                <w:rtl w:val="true"/>
              </w:rPr>
              <w:t>]</w:t>
              <w:tab/>
            </w:r>
            <w:r>
              <w:rPr>
                <w:rStyle w:val="IndexLink"/>
              </w:rPr>
              <w:t>418</w:t>
            </w:r>
          </w:hyperlink>
        </w:p>
        <w:p>
          <w:pPr>
            <w:pStyle w:val="Contents5"/>
            <w:tabs>
              <w:tab w:val="clear" w:pos="7892"/>
              <w:tab w:val="right" w:pos="9026" w:leader="dot"/>
            </w:tabs>
            <w:rPr/>
          </w:pPr>
          <w:hyperlink w:anchor="__RefHeading___Toc2527602_3224264995">
            <w:r>
              <w:rPr>
                <w:webHidden/>
                <w:rStyle w:val="IndexLink"/>
                <w:rtl w:val="true"/>
              </w:rPr>
              <w:t xml:space="preserve">فصل </w:t>
            </w:r>
            <w:r>
              <w:rPr>
                <w:rStyle w:val="IndexLink"/>
                <w:rtl w:val="true"/>
              </w:rPr>
              <w:t>[</w:t>
            </w:r>
            <w:r>
              <w:rPr>
                <w:rStyle w:val="IndexLink"/>
                <w:rtl w:val="true"/>
              </w:rPr>
              <w:t>أنحاء تحمّل الحدیث</w:t>
            </w:r>
            <w:r>
              <w:rPr>
                <w:rStyle w:val="IndexLink"/>
                <w:rtl w:val="true"/>
              </w:rPr>
              <w:t>]</w:t>
              <w:tab/>
            </w:r>
            <w:r>
              <w:rPr>
                <w:rStyle w:val="IndexLink"/>
              </w:rPr>
              <w:t>422</w:t>
            </w:r>
          </w:hyperlink>
        </w:p>
        <w:p>
          <w:pPr>
            <w:pStyle w:val="Contents5"/>
            <w:tabs>
              <w:tab w:val="clear" w:pos="7892"/>
              <w:tab w:val="right" w:pos="9026" w:leader="dot"/>
            </w:tabs>
            <w:rPr/>
          </w:pPr>
          <w:hyperlink w:anchor="__RefHeading___Toc2527604_3224264995">
            <w:r>
              <w:rPr>
                <w:webHidden/>
                <w:rStyle w:val="IndexLink"/>
                <w:rtl w:val="true"/>
              </w:rPr>
              <w:t>[</w:t>
            </w:r>
            <w:r>
              <w:rPr>
                <w:rStyle w:val="IndexLink"/>
                <w:rtl w:val="true"/>
              </w:rPr>
              <w:t>الدلیل الرابع من أدلّة حجّیة الخبر</w:t>
            </w:r>
            <w:r>
              <w:rPr>
                <w:rStyle w:val="IndexLink"/>
                <w:rtl w:val="true"/>
              </w:rPr>
              <w:t>]</w:t>
              <w:tab/>
            </w:r>
            <w:r>
              <w:rPr>
                <w:rStyle w:val="IndexLink"/>
              </w:rPr>
              <w:t>423</w:t>
            </w:r>
          </w:hyperlink>
        </w:p>
        <w:p>
          <w:pPr>
            <w:pStyle w:val="Contents5"/>
            <w:tabs>
              <w:tab w:val="clear" w:pos="7892"/>
              <w:tab w:val="right" w:pos="9026" w:leader="dot"/>
            </w:tabs>
            <w:rPr/>
          </w:pPr>
          <w:hyperlink w:anchor="__RefHeading___Toc2527606_3224264995">
            <w:r>
              <w:rPr>
                <w:webHidden/>
                <w:rStyle w:val="IndexLink"/>
                <w:rtl w:val="true"/>
              </w:rPr>
              <w:t>[</w:t>
            </w:r>
            <w:r>
              <w:rPr>
                <w:rStyle w:val="IndexLink"/>
                <w:rtl w:val="true"/>
              </w:rPr>
              <w:t>دلیل الانسداد علی حجّیة الخبر الواحد</w:t>
            </w:r>
            <w:r>
              <w:rPr>
                <w:rStyle w:val="IndexLink"/>
                <w:rtl w:val="true"/>
              </w:rPr>
              <w:t>]</w:t>
              <w:tab/>
            </w:r>
            <w:r>
              <w:rPr>
                <w:rStyle w:val="IndexLink"/>
              </w:rPr>
              <w:t>423</w:t>
            </w:r>
          </w:hyperlink>
        </w:p>
        <w:p>
          <w:pPr>
            <w:pStyle w:val="Contents5"/>
            <w:tabs>
              <w:tab w:val="clear" w:pos="7892"/>
              <w:tab w:val="right" w:pos="9026" w:leader="dot"/>
            </w:tabs>
            <w:rPr/>
          </w:pPr>
          <w:hyperlink w:anchor="__RefHeading___Toc2527608_3224264995">
            <w:r>
              <w:rPr>
                <w:webHidden/>
                <w:rStyle w:val="IndexLink"/>
                <w:rtl w:val="true"/>
              </w:rPr>
              <w:t>[</w:t>
            </w:r>
            <w:r>
              <w:rPr>
                <w:rStyle w:val="IndexLink"/>
                <w:rtl w:val="true"/>
              </w:rPr>
              <w:t>دلیل الانسداد فی کلّ ما انسدّ فیه باب العلم</w:t>
            </w:r>
            <w:r>
              <w:rPr>
                <w:rStyle w:val="IndexLink"/>
                <w:rtl w:val="true"/>
              </w:rPr>
              <w:t>]</w:t>
              <w:tab/>
            </w:r>
            <w:r>
              <w:rPr>
                <w:rStyle w:val="IndexLink"/>
              </w:rPr>
              <w:t>424</w:t>
            </w:r>
          </w:hyperlink>
        </w:p>
        <w:p>
          <w:pPr>
            <w:pStyle w:val="Contents5"/>
            <w:tabs>
              <w:tab w:val="clear" w:pos="7892"/>
              <w:tab w:val="right" w:pos="9026" w:leader="dot"/>
            </w:tabs>
            <w:rPr/>
          </w:pPr>
          <w:hyperlink w:anchor="__RefHeading___Toc2527610_3224264995">
            <w:r>
              <w:rPr>
                <w:webHidden/>
                <w:rStyle w:val="IndexLink"/>
                <w:rtl w:val="true"/>
              </w:rPr>
              <w:t>[</w:t>
            </w:r>
            <w:r>
              <w:rPr>
                <w:rStyle w:val="IndexLink"/>
                <w:rtl w:val="true"/>
              </w:rPr>
              <w:t>دراسة مقدّمات دلیل الانسداد</w:t>
            </w:r>
            <w:r>
              <w:rPr>
                <w:rStyle w:val="IndexLink"/>
                <w:rtl w:val="true"/>
              </w:rPr>
              <w:t>]</w:t>
              <w:tab/>
            </w:r>
            <w:r>
              <w:rPr>
                <w:rStyle w:val="IndexLink"/>
              </w:rPr>
              <w:t>425</w:t>
            </w:r>
          </w:hyperlink>
        </w:p>
        <w:p>
          <w:pPr>
            <w:pStyle w:val="Contents5"/>
            <w:tabs>
              <w:tab w:val="clear" w:pos="7892"/>
              <w:tab w:val="right" w:pos="9026" w:leader="dot"/>
            </w:tabs>
            <w:rPr/>
          </w:pPr>
          <w:hyperlink w:anchor="__RefHeading___Toc2527612_3224264995">
            <w:r>
              <w:rPr>
                <w:webHidden/>
                <w:rStyle w:val="IndexLink"/>
                <w:rtl w:val="true"/>
              </w:rPr>
              <w:t>[</w:t>
            </w:r>
            <w:r>
              <w:rPr>
                <w:rStyle w:val="IndexLink"/>
                <w:rtl w:val="true"/>
              </w:rPr>
              <w:t>اشارة إلی فساد موضوعیة العمل بالأخبار</w:t>
            </w:r>
            <w:r>
              <w:rPr>
                <w:rStyle w:val="IndexLink"/>
                <w:rtl w:val="true"/>
              </w:rPr>
              <w:t>]</w:t>
              <w:tab/>
            </w:r>
            <w:r>
              <w:rPr>
                <w:rStyle w:val="IndexLink"/>
              </w:rPr>
              <w:t>429</w:t>
            </w:r>
          </w:hyperlink>
        </w:p>
        <w:p>
          <w:pPr>
            <w:pStyle w:val="Contents5"/>
            <w:tabs>
              <w:tab w:val="clear" w:pos="7892"/>
              <w:tab w:val="right" w:pos="9026" w:leader="dot"/>
            </w:tabs>
            <w:rPr/>
          </w:pPr>
          <w:hyperlink w:anchor="__RefHeading___Toc2527614_3224264995">
            <w:r>
              <w:rPr>
                <w:webHidden/>
                <w:rStyle w:val="IndexLink"/>
                <w:rtl w:val="true"/>
              </w:rPr>
              <w:t>[</w:t>
            </w:r>
            <w:r>
              <w:rPr>
                <w:rStyle w:val="IndexLink"/>
                <w:rtl w:val="true"/>
              </w:rPr>
              <w:t>اناطة مجری دلیل الانسداد بالعلم بمطلوبیة المنسدّ فیه باب العلم</w:t>
            </w:r>
            <w:r>
              <w:rPr>
                <w:rStyle w:val="IndexLink"/>
                <w:rtl w:val="true"/>
              </w:rPr>
              <w:t>]</w:t>
              <w:tab/>
            </w:r>
            <w:r>
              <w:rPr>
                <w:rStyle w:val="IndexLink"/>
              </w:rPr>
              <w:t>430</w:t>
            </w:r>
          </w:hyperlink>
        </w:p>
        <w:p>
          <w:pPr>
            <w:pStyle w:val="Contents5"/>
            <w:tabs>
              <w:tab w:val="clear" w:pos="7892"/>
              <w:tab w:val="right" w:pos="9026" w:leader="dot"/>
            </w:tabs>
            <w:rPr/>
          </w:pPr>
          <w:hyperlink w:anchor="__RefHeading___Toc2527616_3224264995">
            <w:r>
              <w:rPr>
                <w:webHidden/>
                <w:rStyle w:val="IndexLink"/>
                <w:rtl w:val="true"/>
              </w:rPr>
              <w:t>[</w:t>
            </w:r>
            <w:r>
              <w:rPr>
                <w:rStyle w:val="IndexLink"/>
                <w:rtl w:val="true"/>
              </w:rPr>
              <w:t>حکم العقل فی ما انسدّ باب العلم</w:t>
            </w:r>
            <w:r>
              <w:rPr>
                <w:rStyle w:val="IndexLink"/>
                <w:rtl w:val="true"/>
              </w:rPr>
              <w:t>]</w:t>
              <w:tab/>
            </w:r>
            <w:r>
              <w:rPr>
                <w:rStyle w:val="IndexLink"/>
              </w:rPr>
              <w:t>431</w:t>
            </w:r>
          </w:hyperlink>
        </w:p>
        <w:p>
          <w:pPr>
            <w:pStyle w:val="Contents5"/>
            <w:tabs>
              <w:tab w:val="clear" w:pos="7892"/>
              <w:tab w:val="right" w:pos="9026" w:leader="dot"/>
            </w:tabs>
            <w:rPr/>
          </w:pPr>
          <w:hyperlink w:anchor="__RefHeading___Toc2527618_3224264995">
            <w:r>
              <w:rPr>
                <w:webHidden/>
                <w:rStyle w:val="IndexLink"/>
                <w:rtl w:val="true"/>
              </w:rPr>
              <w:t>[</w:t>
            </w:r>
            <w:r>
              <w:rPr>
                <w:rStyle w:val="IndexLink"/>
                <w:rtl w:val="true"/>
              </w:rPr>
              <w:t>تطبیق حکم العقل فی مسألة العمل بالأخبار</w:t>
            </w:r>
            <w:r>
              <w:rPr>
                <w:rStyle w:val="IndexLink"/>
                <w:rtl w:val="true"/>
              </w:rPr>
              <w:t>]</w:t>
              <w:tab/>
            </w:r>
            <w:r>
              <w:rPr>
                <w:rStyle w:val="IndexLink"/>
              </w:rPr>
              <w:t>432</w:t>
            </w:r>
          </w:hyperlink>
        </w:p>
        <w:p>
          <w:pPr>
            <w:pStyle w:val="Contents5"/>
            <w:tabs>
              <w:tab w:val="clear" w:pos="7892"/>
              <w:tab w:val="right" w:pos="9026" w:leader="dot"/>
            </w:tabs>
            <w:rPr/>
          </w:pPr>
          <w:hyperlink w:anchor="__RefHeading___Toc2527620_3224264995">
            <w:r>
              <w:rPr>
                <w:webHidden/>
                <w:rStyle w:val="IndexLink"/>
                <w:rtl w:val="true"/>
              </w:rPr>
              <w:t>[</w:t>
            </w:r>
            <w:r>
              <w:rPr>
                <w:rStyle w:val="IndexLink"/>
                <w:rtl w:val="true"/>
              </w:rPr>
              <w:t>مجمل الایراد علی دلیل الانسداد فی حجّیة الاخبار</w:t>
            </w:r>
            <w:r>
              <w:rPr>
                <w:rStyle w:val="IndexLink"/>
                <w:rtl w:val="true"/>
              </w:rPr>
              <w:t>]</w:t>
              <w:tab/>
            </w:r>
            <w:r>
              <w:rPr>
                <w:rStyle w:val="IndexLink"/>
              </w:rPr>
              <w:t>432</w:t>
            </w:r>
          </w:hyperlink>
        </w:p>
        <w:p>
          <w:pPr>
            <w:pStyle w:val="Contents5"/>
            <w:tabs>
              <w:tab w:val="clear" w:pos="7892"/>
              <w:tab w:val="right" w:pos="9026" w:leader="dot"/>
            </w:tabs>
            <w:rPr/>
          </w:pPr>
          <w:hyperlink w:anchor="__RefHeading___Toc2527622_3224264995">
            <w:r>
              <w:rPr>
                <w:webHidden/>
                <w:rStyle w:val="IndexLink"/>
                <w:rtl w:val="true"/>
              </w:rPr>
              <w:t>[</w:t>
            </w:r>
            <w:r>
              <w:rPr>
                <w:rStyle w:val="IndexLink"/>
                <w:rtl w:val="true"/>
              </w:rPr>
              <w:t>الردّ علی ما أورد علی دلیل الانسداد</w:t>
            </w:r>
            <w:r>
              <w:rPr>
                <w:rStyle w:val="IndexLink"/>
                <w:rtl w:val="true"/>
              </w:rPr>
              <w:t>]</w:t>
              <w:tab/>
            </w:r>
            <w:r>
              <w:rPr>
                <w:rStyle w:val="IndexLink"/>
              </w:rPr>
              <w:t>433</w:t>
            </w:r>
          </w:hyperlink>
        </w:p>
        <w:p>
          <w:pPr>
            <w:pStyle w:val="Contents5"/>
            <w:tabs>
              <w:tab w:val="clear" w:pos="7892"/>
              <w:tab w:val="right" w:pos="9026" w:leader="dot"/>
            </w:tabs>
            <w:rPr/>
          </w:pPr>
          <w:hyperlink w:anchor="__RefHeading___Toc2527624_3224264995">
            <w:r>
              <w:rPr>
                <w:webHidden/>
                <w:rStyle w:val="IndexLink"/>
                <w:rtl w:val="true"/>
              </w:rPr>
              <w:t>[</w:t>
            </w:r>
            <w:r>
              <w:rPr>
                <w:rStyle w:val="IndexLink"/>
                <w:rtl w:val="true"/>
              </w:rPr>
              <w:t>اشارة إلی کشف الشهرة عن مدرک من الأخبار و الآثار</w:t>
            </w:r>
            <w:r>
              <w:rPr>
                <w:rStyle w:val="IndexLink"/>
                <w:rtl w:val="true"/>
              </w:rPr>
              <w:t>]</w:t>
              <w:tab/>
            </w:r>
            <w:r>
              <w:rPr>
                <w:rStyle w:val="IndexLink"/>
              </w:rPr>
              <w:t>436</w:t>
            </w:r>
          </w:hyperlink>
        </w:p>
        <w:p>
          <w:pPr>
            <w:pStyle w:val="Contents5"/>
            <w:tabs>
              <w:tab w:val="clear" w:pos="7892"/>
              <w:tab w:val="right" w:pos="9026" w:leader="dot"/>
            </w:tabs>
            <w:rPr/>
          </w:pPr>
          <w:hyperlink w:anchor="__RefHeading___Toc2527626_3224264995">
            <w:r>
              <w:rPr>
                <w:webHidden/>
                <w:rStyle w:val="IndexLink"/>
                <w:rtl w:val="true"/>
              </w:rPr>
              <w:t>[</w:t>
            </w:r>
            <w:r>
              <w:rPr>
                <w:rStyle w:val="IndexLink"/>
                <w:rtl w:val="true"/>
              </w:rPr>
              <w:t>ایراد آخر أورده الماتن علی الوجوه العقلیة علی حجّیة الخبر</w:t>
            </w:r>
            <w:r>
              <w:rPr>
                <w:rStyle w:val="IndexLink"/>
                <w:rtl w:val="true"/>
              </w:rPr>
              <w:t>]</w:t>
              <w:tab/>
            </w:r>
            <w:r>
              <w:rPr>
                <w:rStyle w:val="IndexLink"/>
              </w:rPr>
              <w:t>439</w:t>
            </w:r>
          </w:hyperlink>
        </w:p>
        <w:p>
          <w:pPr>
            <w:pStyle w:val="Contents5"/>
            <w:tabs>
              <w:tab w:val="clear" w:pos="7892"/>
              <w:tab w:val="right" w:pos="9026" w:leader="dot"/>
            </w:tabs>
            <w:rPr/>
          </w:pPr>
          <w:hyperlink w:anchor="__RefHeading___Toc2527628_3224264995">
            <w:r>
              <w:rPr>
                <w:webHidden/>
                <w:rStyle w:val="IndexLink"/>
                <w:rtl w:val="true"/>
              </w:rPr>
              <w:t>[</w:t>
            </w:r>
            <w:r>
              <w:rPr>
                <w:rStyle w:val="IndexLink"/>
                <w:rtl w:val="true"/>
              </w:rPr>
              <w:t>دفع ایراد الماتن</w:t>
            </w:r>
            <w:r>
              <w:rPr>
                <w:rStyle w:val="IndexLink"/>
                <w:rtl w:val="true"/>
              </w:rPr>
              <w:t>]</w:t>
              <w:tab/>
            </w:r>
            <w:r>
              <w:rPr>
                <w:rStyle w:val="IndexLink"/>
              </w:rPr>
              <w:t>440</w:t>
            </w:r>
          </w:hyperlink>
        </w:p>
        <w:p>
          <w:pPr>
            <w:pStyle w:val="Contents5"/>
            <w:tabs>
              <w:tab w:val="clear" w:pos="7892"/>
              <w:tab w:val="right" w:pos="9026" w:leader="dot"/>
            </w:tabs>
            <w:rPr/>
          </w:pPr>
          <w:hyperlink w:anchor="__RefHeading___Toc2527630_3224264995">
            <w:r>
              <w:rPr>
                <w:webHidden/>
                <w:rStyle w:val="IndexLink"/>
                <w:rtl w:val="true"/>
              </w:rPr>
              <w:t>[</w:t>
            </w:r>
            <w:r>
              <w:rPr>
                <w:rStyle w:val="IndexLink"/>
                <w:rtl w:val="true"/>
              </w:rPr>
              <w:t>المقصود من دلیل الانسداد و نحوه تمییز الطریق المجعول شرعا</w:t>
            </w:r>
            <w:r>
              <w:rPr>
                <w:rStyle w:val="IndexLink"/>
                <w:rtl w:val="true"/>
              </w:rPr>
              <w:t>]</w:t>
              <w:tab/>
            </w:r>
            <w:r>
              <w:rPr>
                <w:rStyle w:val="IndexLink"/>
              </w:rPr>
              <w:t>440</w:t>
            </w:r>
          </w:hyperlink>
        </w:p>
        <w:p>
          <w:pPr>
            <w:pStyle w:val="Contents5"/>
            <w:tabs>
              <w:tab w:val="clear" w:pos="7892"/>
              <w:tab w:val="right" w:pos="9026" w:leader="dot"/>
            </w:tabs>
            <w:rPr/>
          </w:pPr>
          <w:hyperlink w:anchor="__RefHeading___Toc2527632_3224264995">
            <w:r>
              <w:rPr>
                <w:webHidden/>
                <w:rStyle w:val="IndexLink"/>
                <w:rtl w:val="true"/>
              </w:rPr>
              <w:t>[</w:t>
            </w:r>
            <w:r>
              <w:rPr>
                <w:rStyle w:val="IndexLink"/>
                <w:rtl w:val="true"/>
              </w:rPr>
              <w:t>دعوی الماتن ان للشارع طریق خاص مجعول إلی أحکامه الواقعیة</w:t>
            </w:r>
            <w:r>
              <w:rPr>
                <w:rStyle w:val="IndexLink"/>
                <w:rtl w:val="true"/>
              </w:rPr>
              <w:t>]</w:t>
              <w:tab/>
            </w:r>
            <w:r>
              <w:rPr>
                <w:rStyle w:val="IndexLink"/>
              </w:rPr>
              <w:t>441</w:t>
            </w:r>
          </w:hyperlink>
        </w:p>
        <w:p>
          <w:pPr>
            <w:pStyle w:val="Contents5"/>
            <w:tabs>
              <w:tab w:val="clear" w:pos="7892"/>
              <w:tab w:val="right" w:pos="9026" w:leader="dot"/>
            </w:tabs>
            <w:rPr/>
          </w:pPr>
          <w:hyperlink w:anchor="__RefHeading___Toc2527634_3224264995">
            <w:r>
              <w:rPr>
                <w:webHidden/>
                <w:rStyle w:val="IndexLink"/>
                <w:rtl w:val="true"/>
              </w:rPr>
              <w:t>[</w:t>
            </w:r>
            <w:r>
              <w:rPr>
                <w:rStyle w:val="IndexLink"/>
                <w:rtl w:val="true"/>
              </w:rPr>
              <w:t>ردّ دعوی الماتن</w:t>
            </w:r>
            <w:r>
              <w:rPr>
                <w:rStyle w:val="IndexLink"/>
                <w:rtl w:val="true"/>
              </w:rPr>
              <w:t>]</w:t>
              <w:tab/>
            </w:r>
            <w:r>
              <w:rPr>
                <w:rStyle w:val="IndexLink"/>
              </w:rPr>
              <w:t>442</w:t>
            </w:r>
          </w:hyperlink>
        </w:p>
        <w:p>
          <w:pPr>
            <w:pStyle w:val="Contents5"/>
            <w:tabs>
              <w:tab w:val="clear" w:pos="7892"/>
              <w:tab w:val="right" w:pos="9026" w:leader="dot"/>
            </w:tabs>
            <w:rPr/>
          </w:pPr>
          <w:hyperlink w:anchor="__RefHeading___Toc2527636_3224264995">
            <w:r>
              <w:rPr>
                <w:webHidden/>
                <w:rStyle w:val="IndexLink"/>
                <w:rtl w:val="true"/>
              </w:rPr>
              <w:t>[</w:t>
            </w:r>
            <w:r>
              <w:rPr>
                <w:rStyle w:val="IndexLink"/>
                <w:rtl w:val="true"/>
              </w:rPr>
              <w:t>التقریر الثانی من وجوه العقل و مقایسته مع الاول</w:t>
            </w:r>
            <w:r>
              <w:rPr>
                <w:rStyle w:val="IndexLink"/>
                <w:rtl w:val="true"/>
              </w:rPr>
              <w:t>]</w:t>
              <w:tab/>
            </w:r>
            <w:r>
              <w:rPr>
                <w:rStyle w:val="IndexLink"/>
              </w:rPr>
              <w:t>443</w:t>
            </w:r>
          </w:hyperlink>
        </w:p>
        <w:p>
          <w:pPr>
            <w:pStyle w:val="Contents5"/>
            <w:tabs>
              <w:tab w:val="clear" w:pos="7892"/>
              <w:tab w:val="right" w:pos="9026" w:leader="dot"/>
            </w:tabs>
            <w:rPr/>
          </w:pPr>
          <w:hyperlink w:anchor="__RefHeading___Toc2527638_3224264995">
            <w:r>
              <w:rPr>
                <w:webHidden/>
                <w:rStyle w:val="IndexLink"/>
                <w:rtl w:val="true"/>
              </w:rPr>
              <w:t>[</w:t>
            </w:r>
            <w:r>
              <w:rPr>
                <w:rStyle w:val="IndexLink"/>
                <w:rtl w:val="true"/>
              </w:rPr>
              <w:t>مقتضی الدلیل الثالث العقلی</w:t>
            </w:r>
            <w:r>
              <w:rPr>
                <w:rStyle w:val="IndexLink"/>
                <w:rtl w:val="true"/>
              </w:rPr>
              <w:t>]</w:t>
              <w:tab/>
            </w:r>
            <w:r>
              <w:rPr>
                <w:rStyle w:val="IndexLink"/>
              </w:rPr>
              <w:t>444</w:t>
            </w:r>
          </w:hyperlink>
        </w:p>
        <w:p>
          <w:pPr>
            <w:pStyle w:val="Contents5"/>
            <w:tabs>
              <w:tab w:val="clear" w:pos="7892"/>
              <w:tab w:val="right" w:pos="9026" w:leader="dot"/>
            </w:tabs>
            <w:rPr/>
          </w:pPr>
          <w:hyperlink w:anchor="__RefHeading___Toc2527640_3224264995">
            <w:r>
              <w:rPr>
                <w:webHidden/>
                <w:rStyle w:val="IndexLink"/>
                <w:rtl w:val="true"/>
              </w:rPr>
              <w:t>[</w:t>
            </w:r>
            <w:r>
              <w:rPr>
                <w:rStyle w:val="IndexLink"/>
                <w:rtl w:val="true"/>
              </w:rPr>
              <w:t>العلم العادی بصدور حکم المسائل العامة البلوی من الائمة و ندرة عدم صدور حکم واقعی عن الأئمة علیهم السلام</w:t>
            </w:r>
            <w:r>
              <w:rPr>
                <w:rStyle w:val="IndexLink"/>
                <w:rtl w:val="true"/>
              </w:rPr>
              <w:t>]</w:t>
              <w:tab/>
            </w:r>
            <w:r>
              <w:rPr>
                <w:rStyle w:val="IndexLink"/>
              </w:rPr>
              <w:t>445</w:t>
            </w:r>
          </w:hyperlink>
        </w:p>
        <w:p>
          <w:pPr>
            <w:pStyle w:val="Contents5"/>
            <w:tabs>
              <w:tab w:val="clear" w:pos="7892"/>
              <w:tab w:val="right" w:pos="9026" w:leader="dot"/>
            </w:tabs>
            <w:rPr/>
          </w:pPr>
          <w:hyperlink w:anchor="__RefHeading___Toc2527642_3224264995">
            <w:r>
              <w:rPr>
                <w:webHidden/>
                <w:rStyle w:val="IndexLink"/>
                <w:rtl w:val="true"/>
              </w:rPr>
              <w:t>[</w:t>
            </w:r>
            <w:r>
              <w:rPr>
                <w:rStyle w:val="IndexLink"/>
                <w:rtl w:val="true"/>
              </w:rPr>
              <w:t>تمامیة دلالة کل واحد من الأدلة الأربعة علی حجّیة الأخبار</w:t>
            </w:r>
            <w:r>
              <w:rPr>
                <w:rStyle w:val="IndexLink"/>
                <w:rtl w:val="true"/>
              </w:rPr>
              <w:t>]</w:t>
              <w:tab/>
            </w:r>
            <w:r>
              <w:rPr>
                <w:rStyle w:val="IndexLink"/>
              </w:rPr>
              <w:t>447</w:t>
            </w:r>
          </w:hyperlink>
        </w:p>
        <w:p>
          <w:pPr>
            <w:pStyle w:val="Contents5"/>
            <w:tabs>
              <w:tab w:val="clear" w:pos="7892"/>
              <w:tab w:val="right" w:pos="9026" w:leader="dot"/>
            </w:tabs>
            <w:rPr/>
          </w:pPr>
          <w:hyperlink w:anchor="__RefHeading___Toc2527644_3224264995">
            <w:r>
              <w:rPr>
                <w:webHidden/>
                <w:rStyle w:val="IndexLink"/>
                <w:rtl w:val="true"/>
              </w:rPr>
              <w:t>[</w:t>
            </w:r>
            <w:r>
              <w:rPr>
                <w:rStyle w:val="IndexLink"/>
                <w:rtl w:val="true"/>
              </w:rPr>
              <w:t>الاستدلال علی حجّیة الظن</w:t>
            </w:r>
            <w:r>
              <w:rPr>
                <w:rStyle w:val="IndexLink"/>
                <w:rtl w:val="true"/>
              </w:rPr>
              <w:t>]</w:t>
              <w:tab/>
            </w:r>
            <w:r>
              <w:rPr>
                <w:rStyle w:val="IndexLink"/>
              </w:rPr>
              <w:t>447</w:t>
            </w:r>
          </w:hyperlink>
        </w:p>
        <w:p>
          <w:pPr>
            <w:pStyle w:val="Contents5"/>
            <w:tabs>
              <w:tab w:val="clear" w:pos="7892"/>
              <w:tab w:val="right" w:pos="9026" w:leader="dot"/>
            </w:tabs>
            <w:rPr/>
          </w:pPr>
          <w:hyperlink w:anchor="__RefHeading___Toc2527646_3224264995">
            <w:r>
              <w:rPr>
                <w:webHidden/>
                <w:rStyle w:val="IndexLink"/>
                <w:rtl w:val="true"/>
              </w:rPr>
              <w:t>[</w:t>
            </w:r>
            <w:r>
              <w:rPr>
                <w:rStyle w:val="IndexLink"/>
                <w:rtl w:val="true"/>
              </w:rPr>
              <w:t>محلّ النزاع فی حجّیة مطلق الظنّ و الاستدلال علی حجّیته</w:t>
            </w:r>
            <w:r>
              <w:rPr>
                <w:rStyle w:val="IndexLink"/>
                <w:rtl w:val="true"/>
              </w:rPr>
              <w:t>]</w:t>
              <w:tab/>
            </w:r>
            <w:r>
              <w:rPr>
                <w:rStyle w:val="IndexLink"/>
              </w:rPr>
              <w:t>447</w:t>
            </w:r>
          </w:hyperlink>
        </w:p>
        <w:p>
          <w:pPr>
            <w:pStyle w:val="Contents5"/>
            <w:tabs>
              <w:tab w:val="clear" w:pos="7892"/>
              <w:tab w:val="right" w:pos="9026" w:leader="dot"/>
            </w:tabs>
            <w:rPr/>
          </w:pPr>
          <w:hyperlink w:anchor="__RefHeading___Toc2527648_3224264995">
            <w:r>
              <w:rPr>
                <w:webHidden/>
                <w:rStyle w:val="IndexLink"/>
                <w:rtl w:val="true"/>
              </w:rPr>
              <w:t>[</w:t>
            </w:r>
            <w:r>
              <w:rPr>
                <w:rStyle w:val="IndexLink"/>
                <w:rtl w:val="true"/>
              </w:rPr>
              <w:t>المراد من حجّیة الظن عند القائلین بها</w:t>
            </w:r>
            <w:r>
              <w:rPr>
                <w:rStyle w:val="IndexLink"/>
                <w:rtl w:val="true"/>
              </w:rPr>
              <w:t>]</w:t>
              <w:tab/>
            </w:r>
            <w:r>
              <w:rPr>
                <w:rStyle w:val="IndexLink"/>
              </w:rPr>
              <w:t>448</w:t>
            </w:r>
          </w:hyperlink>
        </w:p>
        <w:p>
          <w:pPr>
            <w:pStyle w:val="Contents5"/>
            <w:tabs>
              <w:tab w:val="clear" w:pos="7892"/>
              <w:tab w:val="right" w:pos="9026" w:leader="dot"/>
            </w:tabs>
            <w:rPr/>
          </w:pPr>
          <w:hyperlink w:anchor="__RefHeading___Toc2527650_3224264995">
            <w:r>
              <w:rPr>
                <w:webHidden/>
                <w:rStyle w:val="IndexLink"/>
                <w:rtl w:val="true"/>
              </w:rPr>
              <w:t>[</w:t>
            </w:r>
            <w:r>
              <w:rPr>
                <w:rStyle w:val="IndexLink"/>
                <w:rtl w:val="true"/>
              </w:rPr>
              <w:t>مناقشة بعض ایرادات الماتن</w:t>
            </w:r>
            <w:r>
              <w:rPr>
                <w:rStyle w:val="IndexLink"/>
                <w:rtl w:val="true"/>
              </w:rPr>
              <w:t>]</w:t>
              <w:tab/>
            </w:r>
            <w:r>
              <w:rPr>
                <w:rStyle w:val="IndexLink"/>
              </w:rPr>
              <w:t>448</w:t>
            </w:r>
          </w:hyperlink>
        </w:p>
        <w:p>
          <w:pPr>
            <w:pStyle w:val="Contents5"/>
            <w:tabs>
              <w:tab w:val="clear" w:pos="7892"/>
              <w:tab w:val="right" w:pos="9026" w:leader="dot"/>
            </w:tabs>
            <w:rPr/>
          </w:pPr>
          <w:hyperlink w:anchor="__RefHeading___Toc2527652_3224264995">
            <w:r>
              <w:rPr>
                <w:webHidden/>
                <w:rStyle w:val="IndexLink"/>
                <w:rtl w:val="true"/>
              </w:rPr>
              <w:t>[</w:t>
            </w:r>
            <w:r>
              <w:rPr>
                <w:rStyle w:val="IndexLink"/>
                <w:rtl w:val="true"/>
              </w:rPr>
              <w:t>انقسام الأدلّة المستدلّ بها علی حجّیة الظن إلی نقلیة و عقلیة</w:t>
            </w:r>
            <w:r>
              <w:rPr>
                <w:rStyle w:val="IndexLink"/>
                <w:rtl w:val="true"/>
              </w:rPr>
              <w:t>]</w:t>
              <w:tab/>
            </w:r>
            <w:r>
              <w:rPr>
                <w:rStyle w:val="IndexLink"/>
              </w:rPr>
              <w:t>449</w:t>
            </w:r>
          </w:hyperlink>
        </w:p>
        <w:p>
          <w:pPr>
            <w:pStyle w:val="Contents5"/>
            <w:tabs>
              <w:tab w:val="clear" w:pos="7892"/>
              <w:tab w:val="right" w:pos="9026" w:leader="dot"/>
            </w:tabs>
            <w:rPr/>
          </w:pPr>
          <w:hyperlink w:anchor="__RefHeading___Toc2527654_3224264995">
            <w:r>
              <w:rPr>
                <w:webHidden/>
                <w:rStyle w:val="IndexLink"/>
                <w:rtl w:val="true"/>
              </w:rPr>
              <w:t>[</w:t>
            </w:r>
            <w:r>
              <w:rPr>
                <w:rStyle w:val="IndexLink"/>
                <w:rtl w:val="true"/>
              </w:rPr>
              <w:t>دراسة الوجوه العقلیة علی حجّیة الظن</w:t>
            </w:r>
            <w:r>
              <w:rPr>
                <w:rStyle w:val="IndexLink"/>
                <w:rtl w:val="true"/>
              </w:rPr>
              <w:t>]</w:t>
              <w:tab/>
            </w:r>
            <w:r>
              <w:rPr>
                <w:rStyle w:val="IndexLink"/>
              </w:rPr>
              <w:t>449</w:t>
            </w:r>
          </w:hyperlink>
        </w:p>
        <w:p>
          <w:pPr>
            <w:pStyle w:val="Contents5"/>
            <w:tabs>
              <w:tab w:val="clear" w:pos="7892"/>
              <w:tab w:val="right" w:pos="9026" w:leader="dot"/>
            </w:tabs>
            <w:rPr/>
          </w:pPr>
          <w:hyperlink w:anchor="__RefHeading___Toc2527656_3224264995">
            <w:r>
              <w:rPr>
                <w:webHidden/>
                <w:rStyle w:val="IndexLink"/>
                <w:rtl w:val="true"/>
              </w:rPr>
              <w:t>[</w:t>
            </w:r>
            <w:r>
              <w:rPr>
                <w:rStyle w:val="IndexLink"/>
                <w:rtl w:val="true"/>
              </w:rPr>
              <w:t>وجوه لزوم دفع الضرر المظنون</w:t>
            </w:r>
            <w:r>
              <w:rPr>
                <w:rStyle w:val="IndexLink"/>
                <w:rtl w:val="true"/>
              </w:rPr>
              <w:t>]</w:t>
              <w:tab/>
            </w:r>
            <w:r>
              <w:rPr>
                <w:rStyle w:val="IndexLink"/>
              </w:rPr>
              <w:t>450</w:t>
            </w:r>
          </w:hyperlink>
        </w:p>
        <w:p>
          <w:pPr>
            <w:pStyle w:val="Contents5"/>
            <w:tabs>
              <w:tab w:val="clear" w:pos="7892"/>
              <w:tab w:val="right" w:pos="9026" w:leader="dot"/>
            </w:tabs>
            <w:rPr/>
          </w:pPr>
          <w:hyperlink w:anchor="__RefHeading___Toc2527658_3224264995">
            <w:r>
              <w:rPr>
                <w:webHidden/>
                <w:rStyle w:val="IndexLink"/>
                <w:rtl w:val="true"/>
              </w:rPr>
              <w:t>[</w:t>
            </w:r>
            <w:r>
              <w:rPr>
                <w:rStyle w:val="IndexLink"/>
                <w:rtl w:val="true"/>
              </w:rPr>
              <w:t>انحصار الملزم للمکلّف بالنظر فی المعجزة فی العقل</w:t>
            </w:r>
            <w:r>
              <w:rPr>
                <w:rStyle w:val="IndexLink"/>
                <w:rtl w:val="true"/>
              </w:rPr>
              <w:t>]</w:t>
              <w:tab/>
            </w:r>
            <w:r>
              <w:rPr>
                <w:rStyle w:val="IndexLink"/>
              </w:rPr>
              <w:t>451</w:t>
            </w:r>
          </w:hyperlink>
        </w:p>
        <w:p>
          <w:pPr>
            <w:pStyle w:val="Contents5"/>
            <w:tabs>
              <w:tab w:val="clear" w:pos="7892"/>
              <w:tab w:val="right" w:pos="9026" w:leader="dot"/>
            </w:tabs>
            <w:rPr/>
          </w:pPr>
          <w:hyperlink w:anchor="__RefHeading___Toc2527660_3224264995">
            <w:r>
              <w:rPr>
                <w:webHidden/>
                <w:rStyle w:val="IndexLink"/>
                <w:rtl w:val="true"/>
              </w:rPr>
              <w:t>[</w:t>
            </w:r>
            <w:r>
              <w:rPr>
                <w:rStyle w:val="IndexLink"/>
                <w:rtl w:val="true"/>
              </w:rPr>
              <w:t>تحقیق فی أدلّة حرمة القیاس</w:t>
            </w:r>
            <w:r>
              <w:rPr>
                <w:rStyle w:val="IndexLink"/>
                <w:rtl w:val="true"/>
              </w:rPr>
              <w:t>]</w:t>
              <w:tab/>
            </w:r>
            <w:r>
              <w:rPr>
                <w:rStyle w:val="IndexLink"/>
              </w:rPr>
              <w:t>452</w:t>
            </w:r>
          </w:hyperlink>
        </w:p>
        <w:p>
          <w:pPr>
            <w:pStyle w:val="Contents5"/>
            <w:tabs>
              <w:tab w:val="clear" w:pos="7892"/>
              <w:tab w:val="right" w:pos="9026" w:leader="dot"/>
            </w:tabs>
            <w:rPr/>
          </w:pPr>
          <w:hyperlink w:anchor="__RefHeading___Toc2527662_3224264995">
            <w:r>
              <w:rPr>
                <w:webHidden/>
                <w:rStyle w:val="IndexLink"/>
                <w:rtl w:val="true"/>
              </w:rPr>
              <w:t>[</w:t>
            </w:r>
            <w:r>
              <w:rPr>
                <w:rStyle w:val="IndexLink"/>
                <w:rtl w:val="true"/>
              </w:rPr>
              <w:t>حجّیة مطلق الظنّ</w:t>
            </w:r>
            <w:r>
              <w:rPr>
                <w:rStyle w:val="IndexLink"/>
                <w:rtl w:val="true"/>
              </w:rPr>
              <w:t>]</w:t>
              <w:tab/>
            </w:r>
            <w:r>
              <w:rPr>
                <w:rStyle w:val="IndexLink"/>
              </w:rPr>
              <w:t>457</w:t>
            </w:r>
          </w:hyperlink>
        </w:p>
        <w:p>
          <w:pPr>
            <w:pStyle w:val="Contents5"/>
            <w:tabs>
              <w:tab w:val="clear" w:pos="7892"/>
              <w:tab w:val="right" w:pos="9026" w:leader="dot"/>
            </w:tabs>
            <w:rPr/>
          </w:pPr>
          <w:hyperlink w:anchor="__RefHeading___Toc2527664_3224264995">
            <w:r>
              <w:rPr>
                <w:webHidden/>
                <w:rStyle w:val="IndexLink"/>
                <w:rtl w:val="true"/>
              </w:rPr>
              <w:t>[</w:t>
            </w:r>
            <w:r>
              <w:rPr>
                <w:rStyle w:val="IndexLink"/>
                <w:rtl w:val="true"/>
              </w:rPr>
              <w:t>وجوه خروج القیاس عن حجّیة مطلق الظن</w:t>
            </w:r>
            <w:r>
              <w:rPr>
                <w:rStyle w:val="IndexLink"/>
                <w:rtl w:val="true"/>
              </w:rPr>
              <w:t>]</w:t>
              <w:tab/>
            </w:r>
            <w:r>
              <w:rPr>
                <w:rStyle w:val="IndexLink"/>
              </w:rPr>
              <w:t>457</w:t>
            </w:r>
          </w:hyperlink>
        </w:p>
        <w:p>
          <w:pPr>
            <w:pStyle w:val="Contents5"/>
            <w:tabs>
              <w:tab w:val="clear" w:pos="7892"/>
              <w:tab w:val="right" w:pos="9026" w:leader="dot"/>
            </w:tabs>
            <w:rPr/>
          </w:pPr>
          <w:hyperlink w:anchor="__RefHeading___Toc2527666_3224264995">
            <w:r>
              <w:rPr>
                <w:webHidden/>
                <w:rStyle w:val="IndexLink"/>
                <w:rtl w:val="true"/>
              </w:rPr>
              <w:t>[</w:t>
            </w:r>
            <w:r>
              <w:rPr>
                <w:rStyle w:val="IndexLink"/>
                <w:rtl w:val="true"/>
              </w:rPr>
              <w:t>النسبة بین قاعدتی قبح العقاب و دفع الضرر المظنون</w:t>
            </w:r>
            <w:r>
              <w:rPr>
                <w:rStyle w:val="IndexLink"/>
                <w:rtl w:val="true"/>
              </w:rPr>
              <w:t>]</w:t>
              <w:tab/>
            </w:r>
            <w:r>
              <w:rPr>
                <w:rStyle w:val="IndexLink"/>
              </w:rPr>
              <w:t>461</w:t>
            </w:r>
          </w:hyperlink>
        </w:p>
        <w:p>
          <w:pPr>
            <w:pStyle w:val="Contents5"/>
            <w:tabs>
              <w:tab w:val="clear" w:pos="7892"/>
              <w:tab w:val="right" w:pos="9026" w:leader="dot"/>
            </w:tabs>
            <w:rPr/>
          </w:pPr>
          <w:hyperlink w:anchor="__RefHeading___Toc2527668_3224264995">
            <w:r>
              <w:rPr>
                <w:webHidden/>
                <w:rStyle w:val="IndexLink"/>
                <w:rtl w:val="true"/>
              </w:rPr>
              <w:t>[</w:t>
            </w:r>
            <w:r>
              <w:rPr>
                <w:rStyle w:val="IndexLink"/>
                <w:rtl w:val="true"/>
              </w:rPr>
              <w:t>إلزام قاعدة دفع الضرر المحتمل للنظر فی المعجزة و المعرفة</w:t>
            </w:r>
            <w:r>
              <w:rPr>
                <w:rStyle w:val="IndexLink"/>
                <w:rtl w:val="true"/>
              </w:rPr>
              <w:t>]</w:t>
              <w:tab/>
            </w:r>
            <w:r>
              <w:rPr>
                <w:rStyle w:val="IndexLink"/>
              </w:rPr>
              <w:t>464</w:t>
            </w:r>
          </w:hyperlink>
        </w:p>
        <w:p>
          <w:pPr>
            <w:pStyle w:val="Contents5"/>
            <w:tabs>
              <w:tab w:val="clear" w:pos="7892"/>
              <w:tab w:val="right" w:pos="9026" w:leader="dot"/>
            </w:tabs>
            <w:rPr/>
          </w:pPr>
          <w:hyperlink w:anchor="__RefHeading___Toc2527670_3224264995">
            <w:r>
              <w:rPr>
                <w:webHidden/>
                <w:rStyle w:val="IndexLink"/>
                <w:rtl w:val="true"/>
              </w:rPr>
              <w:t>[</w:t>
            </w:r>
            <w:r>
              <w:rPr>
                <w:rStyle w:val="IndexLink"/>
                <w:rtl w:val="true"/>
              </w:rPr>
              <w:t>وجه التنجیز فی الشبهات المحصورة</w:t>
            </w:r>
            <w:r>
              <w:rPr>
                <w:rStyle w:val="IndexLink"/>
                <w:rtl w:val="true"/>
              </w:rPr>
              <w:t>]</w:t>
              <w:tab/>
            </w:r>
            <w:r>
              <w:rPr>
                <w:rStyle w:val="IndexLink"/>
              </w:rPr>
              <w:t>465</w:t>
            </w:r>
          </w:hyperlink>
        </w:p>
        <w:p>
          <w:pPr>
            <w:pStyle w:val="Contents5"/>
            <w:tabs>
              <w:tab w:val="clear" w:pos="7892"/>
              <w:tab w:val="right" w:pos="9026" w:leader="dot"/>
            </w:tabs>
            <w:rPr/>
          </w:pPr>
          <w:hyperlink w:anchor="__RefHeading___Toc2527672_3224264995">
            <w:r>
              <w:rPr>
                <w:webHidden/>
                <w:rStyle w:val="IndexLink"/>
                <w:rtl w:val="true"/>
              </w:rPr>
              <w:t>[</w:t>
            </w:r>
            <w:r>
              <w:rPr>
                <w:rStyle w:val="IndexLink"/>
                <w:rtl w:val="true"/>
              </w:rPr>
              <w:t>عقاب الجاهل المقصّر و کذا الکافر</w:t>
            </w:r>
            <w:r>
              <w:rPr>
                <w:rStyle w:val="IndexLink"/>
                <w:rtl w:val="true"/>
              </w:rPr>
              <w:t>]</w:t>
              <w:tab/>
            </w:r>
            <w:r>
              <w:rPr>
                <w:rStyle w:val="IndexLink"/>
              </w:rPr>
              <w:t>465</w:t>
            </w:r>
          </w:hyperlink>
        </w:p>
        <w:p>
          <w:pPr>
            <w:pStyle w:val="Contents5"/>
            <w:tabs>
              <w:tab w:val="clear" w:pos="7892"/>
              <w:tab w:val="right" w:pos="9026" w:leader="dot"/>
            </w:tabs>
            <w:rPr/>
          </w:pPr>
          <w:hyperlink w:anchor="__RefHeading___Toc2527674_3224264995">
            <w:r>
              <w:rPr>
                <w:webHidden/>
                <w:rStyle w:val="IndexLink"/>
                <w:rtl w:val="true"/>
              </w:rPr>
              <w:t>[</w:t>
            </w:r>
            <w:r>
              <w:rPr>
                <w:rStyle w:val="IndexLink"/>
                <w:rtl w:val="true"/>
              </w:rPr>
              <w:t>مآل قاعدة قبح العقاب ان استندت إلی العقل</w:t>
            </w:r>
            <w:r>
              <w:rPr>
                <w:rStyle w:val="IndexLink"/>
                <w:rtl w:val="true"/>
              </w:rPr>
              <w:t>]</w:t>
              <w:tab/>
            </w:r>
            <w:r>
              <w:rPr>
                <w:rStyle w:val="IndexLink"/>
              </w:rPr>
              <w:t>466</w:t>
            </w:r>
          </w:hyperlink>
        </w:p>
        <w:p>
          <w:pPr>
            <w:pStyle w:val="Contents5"/>
            <w:tabs>
              <w:tab w:val="clear" w:pos="7892"/>
              <w:tab w:val="right" w:pos="9026" w:leader="dot"/>
            </w:tabs>
            <w:rPr/>
          </w:pPr>
          <w:hyperlink w:anchor="__RefHeading___Toc2527676_3224264995">
            <w:r>
              <w:rPr>
                <w:webHidden/>
                <w:rStyle w:val="IndexLink"/>
                <w:rtl w:val="true"/>
              </w:rPr>
              <w:t>[</w:t>
            </w:r>
            <w:r>
              <w:rPr>
                <w:rStyle w:val="IndexLink"/>
                <w:rtl w:val="true"/>
              </w:rPr>
              <w:t>حدّ قاعدة القبح ان استندت إلی الشرع</w:t>
            </w:r>
            <w:r>
              <w:rPr>
                <w:rStyle w:val="IndexLink"/>
                <w:rtl w:val="true"/>
              </w:rPr>
              <w:t>]</w:t>
              <w:tab/>
            </w:r>
            <w:r>
              <w:rPr>
                <w:rStyle w:val="IndexLink"/>
              </w:rPr>
              <w:t>466</w:t>
            </w:r>
          </w:hyperlink>
        </w:p>
        <w:p>
          <w:pPr>
            <w:pStyle w:val="Contents3"/>
            <w:tabs>
              <w:tab w:val="clear" w:pos="8459"/>
              <w:tab w:val="right" w:pos="9026" w:leader="dot"/>
            </w:tabs>
            <w:rPr/>
          </w:pPr>
          <w:hyperlink w:anchor="__RefHeading___Toc2527678_3224264995">
            <w:r>
              <w:rPr>
                <w:webHidden/>
                <w:rStyle w:val="IndexLink"/>
                <w:rtl w:val="true"/>
              </w:rPr>
              <w:t>فهرس الموضوعات</w:t>
            </w:r>
            <w:r>
              <w:rPr>
                <w:rStyle w:val="IndexLink"/>
                <w:rtl w:val="true"/>
              </w:rPr>
              <w:tab/>
            </w:r>
            <w:r>
              <w:rPr>
                <w:rStyle w:val="IndexLink"/>
              </w:rPr>
              <w:t>471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50_121071"/>
      <w:bookmarkStart w:id="1" w:name="pg12850_121071"/>
      <w:bookmarkEnd w:id="1"/>
    </w:p>
    <w:p>
      <w:pPr>
        <w:pStyle w:val="Heading2"/>
        <w:numPr>
          <w:ilvl w:val="1"/>
          <w:numId w:val="1"/>
        </w:numPr>
        <w:rPr/>
      </w:pPr>
      <w:bookmarkStart w:id="2" w:name="pg12850_121071"/>
      <w:bookmarkStart w:id="3" w:name="__RefHeading___Toc2527002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لاری، عبدالحسین،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۱۲۶۴</w:t>
      </w:r>
      <w:r>
        <w:rPr>
          <w:rFonts w:ascii="IRNazanin" w:hAnsi="IRNazanin" w:eastAsia="IRNazanin"/>
          <w:color w:val="111111"/>
          <w:sz w:val="28"/>
          <w:sz w:val="28"/>
          <w:szCs w:val="28"/>
          <w:rtl w:val="true"/>
          <w:lang w:bidi="fa-IR"/>
        </w:rPr>
        <w:t>؟ق، شارح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التعلیقه علی 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عبدالحسین اللاری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موتمر احیاآ ذکری آیه‌الله المجاهد السید عبدالحسین اللاری، اللجنه العلمیه للموتمر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الاسلامیه،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موتمر احیاآ ذکری آیه‌الله المجاهد السید عبدالحسین اللاری</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انصاری به‌مناسبت کنگره بزرگداشت آیت‌الله سید عبدالحسین لاری،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 و جهرم</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 مرتضی‌بن محمدامین،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 مرتضی‌بن محمدامین،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بزرگداشت آیت‌الله سید عبدالحسین اللاری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هیات علمی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کنگره بزرگداشت آیت‌الله سید عبدالحسین لاری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لار و جهرم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‌۴۰۲۱۷۵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۵۸۹۷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27004_322426499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850_121075"/>
      <w:bookmarkStart w:id="8" w:name="pg12850_121075"/>
      <w:bookmarkEnd w:id="8"/>
    </w:p>
    <w:p>
      <w:pPr>
        <w:pStyle w:val="Heading2"/>
        <w:numPr>
          <w:ilvl w:val="1"/>
          <w:numId w:val="1"/>
        </w:numPr>
        <w:rPr/>
      </w:pPr>
      <w:bookmarkStart w:id="9" w:name="pg12850_121075"/>
      <w:bookmarkStart w:id="10" w:name="__RefHeading___Toc2527006_3224264995"/>
      <w:bookmarkStart w:id="11" w:name="_Toc3"/>
      <w:bookmarkEnd w:id="9"/>
      <w:bookmarkEnd w:id="10"/>
      <w:r>
        <w:rPr>
          <w:rtl w:val="true"/>
        </w:rPr>
        <w:t>مقدّمة التحقیق</w:t>
      </w:r>
      <w:bookmarkEnd w:id="11"/>
    </w:p>
    <w:p>
      <w:pPr>
        <w:pStyle w:val="Heading3"/>
        <w:numPr>
          <w:ilvl w:val="2"/>
          <w:numId w:val="1"/>
        </w:numPr>
        <w:rPr/>
      </w:pPr>
      <w:bookmarkStart w:id="12" w:name="__RefHeading___Toc2527008_3224264995"/>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خیر خلقه محمد و آله الطاهرین 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من أعظم نعم اللّه تعالی علی العباد أن لم یکتف بما ارسل إلیهم من کتب السماء و رسالات الوحی، حیث علّمهم طرق الوصول إلیه، بل بعث من بینهم من یکون اسوة لهم و مثالا یحتذون حذوه و یقتدون به و یهتدون بهداه فبدأ بالأنبیاء و اتبعهم بالأوصیاء و کلّهم أئمة للخلق یهدون بأمر اللّه، و لما اقتضت حکمته تعالی ان یحرم الخلق من نعمة الوحی و الرسالة بعث من بینهم علماء ابرارا یحاولون بجهودهم بلوغ تلک القمّة المعصومة و هم بقدر ما یؤتون من توفیق لنیل هذه الکرامة أئمة للخلق أیضا یقتدی بهم و هم حجج للائمة علیهم السلام کما ورد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الأئمة بدورهم حجج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فمن واجب هذه الامة أن تستعید ذکریات هذه الصفوة من الناس و تحیی أمرها لتکون حیاتهم امثولة لمن یبتغی سلوک سبیل الحقّ و الهدایة، و من دواعی السرور وفّق اللّه ثلّة من المؤمنین لاستعادة ذکری أحد هؤلاء المصطفین الأخیار و نشر علومه و بثّ معارفه و احیاء أمره و هو القدوة فی العلم و الجهاد و التقوی آیة اللّه المجاهد السید عبد الحسین اللاری قدس اللّه روحه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عثر علیه من الآثار القیمة التی ترکها ذلک العالم الجلیل تعلیقته </w:t>
      </w:r>
      <w:bookmarkStart w:id="14" w:name="pg12850_121076"/>
    </w:p>
    <w:p>
      <w:pPr>
        <w:pStyle w:val="BookText"/>
        <w:rPr/>
      </w:pPr>
      <w:bookmarkEnd w:id="14"/>
      <w:r>
        <w:rPr>
          <w:rFonts w:ascii="IRNazanin" w:hAnsi="IRNazanin" w:eastAsia="IRNazanin"/>
          <w:color w:val="111111"/>
          <w:sz w:val="28"/>
          <w:sz w:val="28"/>
          <w:szCs w:val="28"/>
          <w:rtl w:val="true"/>
          <w:lang w:bidi="fa-IR"/>
        </w:rPr>
        <w:t xml:space="preserve">الشریفة علی کتاب فرائد الاصول للشیخ الأعظم الأنصاری قدّس سرّه، فهو مکمّل للدورة الاصولیة التی أرادها السیّد العلّامة رحمه اللّه بعد أن ألّف فی تقریراته مباحث الألفاظ و ما یتبعها من الأوامر و النواهی و العام و الخاص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قرّر فیه نظریات بعض مشایخه و اتبعه بآرائه، فعلّق علی مباحث القطع و الظن و ما یتبعها من الشهرة و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النسخة المخطوطة تقع فی مجلّدین یحتوی الأول علی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و الثانی علی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حیث اتحفنا حفید السید سماحة آیة اللّه السید عبد العلی آیةاللهی بنسخة مصوّرة من المجلد الثانی، و أمدّنا فضیلة حجة الاسلام و المسلمین السید عبد الحسین بن السید علی أکبر آیةاللهی بکلا الجزءین و کانتا مخطوطتین بخط مؤلّفها رحمه اللّه</w:t>
      </w:r>
      <w:r>
        <w:rPr>
          <w:rFonts w:eastAsia="IRNazanin" w:cs="IRNazanin"/>
          <w:color w:val="111111"/>
          <w:sz w:val="28"/>
          <w:szCs w:val="28"/>
          <w:rtl w:val="true"/>
          <w:lang w:bidi="fa-IR"/>
        </w:rPr>
        <w:t>.</w:t>
      </w:r>
    </w:p>
    <w:p>
      <w:pPr>
        <w:pStyle w:val="Heading3"/>
        <w:numPr>
          <w:ilvl w:val="2"/>
          <w:numId w:val="1"/>
        </w:numPr>
        <w:rPr/>
      </w:pPr>
      <w:bookmarkStart w:id="15" w:name="__RefHeading___Toc2527010_3224264995"/>
      <w:bookmarkStart w:id="16" w:name="_Toc5"/>
      <w:bookmarkEnd w:id="15"/>
      <w:r>
        <w:rPr>
          <w:rtl w:val="true"/>
        </w:rPr>
        <w:t>عملیة التحقیق</w:t>
      </w:r>
      <w:bookmarkEnd w:id="16"/>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استنساخ النسخة الخطّیة و استخراج الآیات القرآنیة و الروایات و الأقوال حسب الوسع و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شوهد فی اصل الکتاب انّ بعض المطالب وقع فیها التقدیم و التأخیر فبادرنا إلی ترتیبها و تنظیمها حسب ترتیب المواضیع فی فرائد الاصول للشیخ الأنصاری قدّس سرّه</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لاحظنا اثناء التحقیق بعض الحواشی فی النسخة الأصلیة فکان بعضها مؤشّرا إلی موضع ما فارجعناها إلی موضعها و أمّا بعض الحواشی لم یشر إلی موضعها فقمنا بادراجها فی المتن مراعین فی ذلک سیاق العبارة و الموضوع و جعلناها بین معقوفتین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شوهد انّ بعض الفقرات بحاجة إلی اضافة کلمة واحدة لیتمّ المطلب حسب سیاق العبارة فاضفناها و جعلناها بین المعقوفتین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یجدر أن نقدم الشکر إلی الاخوة الذین قاموا بتحقیق و اخراج الکتاب بهذه الحلّة المناسبة و نرجوا من اللّه العلی القدیر أن یمنّ علینا و علیهم بمزید من فضله و توفیقاته انّه ذو فضل عمیم و انه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تقدیرا للخدمات الجلیلة التی قام بها السادة المحقّقون، نری لزاما علینا أن نذکر اسماءهم و عمل کل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آغا اوغلو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یحیی کمالی البحرانی، محمد آغا اوغلو، أبو علی الحکّاک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المصادر و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 أبو رعد، السیّد طالب الموسوی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حسّون کریم، أبو علی التمیمی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تنضید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رحیمی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التصحیح النهائی و الاخراج الفنی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البدری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المراجعة و الاشراف علی العمل حجة الاسلام السید صالح المدرسی حیث دقّق فی متن الکتاب و بالغ فی تصحیحه و تنقیحه فله نقدّم شکرنا و تقدیرنا متمنین له التوفیق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اللجنة العلمیة للمؤتمر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الاولی من النسخة الخطّیة من المجلّد الأوّل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الاخیرة من النسخة الخطّیة من المجلّد الأوّل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الاولی من النسخة الخطّیة من المجلّد الثانی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النسخة الخطّیة من المجلّد الثانی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2850_121083"/>
      <w:bookmarkStart w:id="18" w:name="pg12850_121083"/>
      <w:bookmarkEnd w:id="18"/>
    </w:p>
    <w:p>
      <w:pPr>
        <w:pStyle w:val="BookText"/>
        <w:rPr/>
      </w:pPr>
      <w:bookmarkStart w:id="19" w:name="pg12850_121083"/>
      <w:bookmarkEnd w:id="19"/>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و الحمد للّه ربّ العالمین و صلّی اللّه علی محمّد و آله الطیّبین الطاهرین، و لعنة اللّه علی أعدائهم أجمعین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فهذه تعلیقات شریفة و تشریحات ظریفة رشیقة علی فرائد اصول استاذ أساتیذنا الأعلام، من جملة ما حصّلناه بمرور اللیالی و الأیّام، عن استاذنا الربانیّ و أبینا الروحانیّ جعلنی اللّه فداه، و أدام علی المحصّلین إفاداته و بقاه، و وفّق المشتغلین لاقتباس قریحات علاه</w:t>
      </w:r>
      <w:r>
        <w:rPr>
          <w:rFonts w:eastAsia="IRNazanin" w:cs="IRNazanin"/>
          <w:color w:val="111111"/>
          <w:sz w:val="28"/>
          <w:szCs w:val="28"/>
          <w:rtl w:val="true"/>
          <w:lang w:bidi="fa-IR"/>
        </w:rPr>
        <w:t>.</w:t>
      </w:r>
    </w:p>
    <w:p>
      <w:pPr>
        <w:pStyle w:val="Heading2"/>
        <w:numPr>
          <w:ilvl w:val="1"/>
          <w:numId w:val="1"/>
        </w:numPr>
        <w:rPr/>
      </w:pPr>
      <w:bookmarkStart w:id="20" w:name="__RefHeading___Toc2527012_3224264995"/>
      <w:bookmarkStart w:id="21" w:name="_Toc6"/>
      <w:bookmarkEnd w:id="20"/>
      <w:r>
        <w:rPr>
          <w:rtl w:val="true"/>
        </w:rPr>
        <w:t>[</w:t>
      </w:r>
      <w:r>
        <w:rPr>
          <w:rtl w:val="true"/>
        </w:rPr>
        <w:t>المدخل</w:t>
      </w:r>
      <w:r>
        <w:rPr>
          <w:rtl w:val="true"/>
        </w:rPr>
        <w:t>]</w:t>
      </w:r>
      <w:bookmarkEnd w:id="21"/>
    </w:p>
    <w:p>
      <w:pPr>
        <w:pStyle w:val="Heading3"/>
        <w:numPr>
          <w:ilvl w:val="2"/>
          <w:numId w:val="1"/>
        </w:numPr>
        <w:rPr/>
      </w:pPr>
      <w:bookmarkStart w:id="22" w:name="__RefHeading___Toc2527014_3224264995"/>
      <w:bookmarkStart w:id="23" w:name="_Toc7"/>
      <w:bookmarkEnd w:id="22"/>
      <w:r>
        <w:rPr>
          <w:rtl w:val="true"/>
        </w:rPr>
        <w:t>[</w:t>
      </w:r>
      <w:r>
        <w:rPr>
          <w:rtl w:val="true"/>
        </w:rPr>
        <w:t>أحوال المکلّف اذا التفت الی الحکم الشرعی</w:t>
      </w:r>
      <w:r>
        <w:rPr>
          <w:rtl w:val="true"/>
        </w:rPr>
        <w:t>]</w:t>
      </w:r>
      <w:bookmarkEnd w:id="23"/>
    </w:p>
    <w:p>
      <w:pPr>
        <w:pStyle w:val="BookText"/>
        <w:rPr/>
      </w:pP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 أنّ المکلّف إذا التفت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ذلک أنّ المکلف إمّا غافل عن حکمه الشرعی، أو ملتفت إلیه، أمّا الغافل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قاصرا بحتا فهو علی تقدیر وجوده معذور بحکم الأدلّة الأربعة من غیر خلاف، إلّا من الجبریة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خذلهم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مقصّرا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فی بعض مقدّمات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غیر معذور فی ما عدا مسألتی الجهر و الإخفات، و القصر و الإتمام بحکم الأدلّة الأربعة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فروعه عدم معذوریة المقصّر من الأخباریة و لو فی بعض مقدّمات القطع بصدور الکتب الأربعة، و جواز العمل بالعامّ قبل الفحص، و جواز تأخیر البیان عن وقت الحاجة، و عدم حجیّة الکتاب و العقل و الإجماع، و غیرها من متفرداتهم الباطلة</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عدم معذوریّة المقصّر من الحکمیة و الفلاسفة و لو فی بعض مقدّمات </w:t>
      </w:r>
    </w:p>
    <w:p>
      <w:pPr>
        <w:pStyle w:val="BookText"/>
        <w:rPr/>
      </w:pPr>
      <w:r>
        <w:rPr>
          <w:rFonts w:ascii="IRNazanin" w:hAnsi="IRNazanin" w:eastAsia="IRNazanin"/>
          <w:color w:val="111111"/>
          <w:sz w:val="28"/>
          <w:sz w:val="28"/>
          <w:szCs w:val="28"/>
          <w:rtl w:val="true"/>
          <w:lang w:bidi="fa-IR"/>
        </w:rPr>
        <w:t>قطعهم باستحالة المعاد الجسمانیّ، و الخرق و الالتئام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غیرهم من أصناف الغافلین المقصّرین غیر معذورین، بل هم مکلّفون و معاقبون لأنّ ما فی الاختیار لا ینافی الاختیار، بل الظاهر أنّ تکلیف الغافل المقصّر خطابا و عقابا قول واحد و إن اختلفوا فی تکلیف سائر المضطرّین بسوء الاختیار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الملتفت إلی حکم شرعی فقد أشار إلیه المصنّف و إلی أقسامه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حصل له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الأولی تقدیم القطع و الظنّ علی الشکّ لیتأخّر أقسام الشکّ، و المرجع فی کلّ منها إجمالا إلی محلّه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اختصار أقسام الشکّ و انحصارها، و سهولة ضبطها الإجمالی قاض بمبادرة الطبع و تسابقه إلی تقدیم أقسام الشکّ، و بیان المرجع فی کلّ منها علی وجه الإجمال و إن کان محلّ التفصیلی محلّ آخر متأخّر وضعا و طبعا، أو أنّ تقدیم هذا المقدار الإجمالی من أقسامها هنا لأجل توقّف بعض تفاصیل العلم الإجمالی و التفصیلی علی معرفته و ارتباطه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هی منحصرة فی أربعة لأن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الاستدلال علی حصر الاصول فی أربعة بحصر مجاریها و مواردها فی الأربعة عقلا لا یتمّ إلّا بعد فرض الملازمة من الخارج بین الأصول و مجاریها، کما أشار إلیه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ذکرنا هو المختار</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فحصر الاصول فی أربعة لیس عقلیّا، لعدم دورانه بین النفی و الإثبات، المستحیل عقلا ثبوت الواسطة بینهما، و لا استقرائیا لاعتبار الإباحة و غیره فی بعض موارد الشکّ شرعا علی مختاره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الثالث مجری البراءة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ینحصر الثالث فی مجری البراءة، إذ قد یکون مجری القرعة، أو أصالة الصحّة، أو الطهارة، أو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المصنّف بقرینة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التفت إلی حکم شرعی</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صریح فی الأحکام، و مجری ما ذکر من القرعة أو الصحّة أو الطهارة إنّما هو فی الموضوعات، مضافا إلی أنّ الصحّة و الطهارة من الأحکام المنجعلة المنتزعة عن الأحکام المجعولة عندنا، لا أنّها أحکام مجعولة بالاستقلال حتی یتکلّم فیها بالأصالة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أصالة الإباحة فهی و إن کانت من الأحکام المجعولة لا المنجعلة، و کان مجراها فی الشکّ فی الحکم لا الشکّ فی الموضوع فقط، إلّا أنّ وجه عدم عدّها من الاصول لعلّه من جهة أنّها من الأدلّة الاجتهادیة الناظرة إلی الواقع و الرافعة لموضوع الشکّ، لا من الاصول الجاریة فی حال الشکّ، فالحاصل منها إذن هو أحد أخوی الشکّ من القطع أو الظنّ دون الشک، لوضوح أنّ حکم العقل بإباحة الأشیاء النافعة الخالیة عن أمارة المضرّة إنّما هو من جهة النظر إلی عدم المضرّة العقلیة واقعا و ارتفاع موضوع الشکّ فی المضرّة عقلا بعد فرض خلوّ الواقعة عن أمارة المضرّة لخروج الشکّ مع هذا الفرض عن الشکّ العقلائی، و إلحاقه بالجنون السوداویة، لا من جهة ارتفاع العقاب بقبح العقاب بلا بیان مع بقاء الشکّ فی المضرّة و إن صادف المضرّة الواقعیة، کما هو مستند أصل البراءة، بل قد صرّح غیر واحد من الفحول بأنّ إباحة الأشیاء النافعة الخالیة عن أمارة المضرّة من مستقلّات العقل التی لا تحتاج إلی واسطة خطاب الشرع، کقبح الظلم، و حسن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عدّها الفقهاء من غیر المستقلّات حیث حصروا </w:t>
      </w:r>
    </w:p>
    <w:p>
      <w:pPr>
        <w:pStyle w:val="BookText"/>
        <w:rPr/>
      </w:pPr>
      <w:r>
        <w:rPr>
          <w:rFonts w:ascii="IRNazanin" w:hAnsi="IRNazanin" w:eastAsia="IRNazanin"/>
          <w:color w:val="111111"/>
          <w:sz w:val="28"/>
          <w:sz w:val="28"/>
          <w:szCs w:val="28"/>
          <w:rtl w:val="true"/>
          <w:lang w:bidi="fa-IR"/>
        </w:rPr>
        <w:t>المستقلّات فی مثل قبح الظلم، و حسن الإحسان فلعلّه من جهة اقتصار نظرهم إلی جزئیّات عنوانه الکلّی التی لا یستقلّ بها العقل، کشمّ الورد و أکل الفاکهة و غیرها من جزئیّاته التی لا یستقلّ العقل بإباحتها من حیث الخصوص، و إلّا فإباحة عنوانها الکلّی و هو الشی‌ء النافع الخالی عن أمارة المضرّة ممّا یستقلّ بإباحته العقل من غیر وساطة خطاب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لک الوجه فی نزاع الفقهاء فی وجوب جزئیّات مقدّمة الواجب مع أنّ وجوب عنوانها الکلّی من مستقلّات العقل التی لا یتوقّف علی واسطة خطاب الشرع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فرض أصالة الإباحة من مستقلّات العقل، أو من الأدلّة الاجتهادیة التی أمضاها الشارع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زِینَةَ اللَّهِ الَّتِی أَخْرَجَ لِعِبادِهِ وَ الطَّیِّباتِ مِنَ الرِّزْقِ</w:t>
      </w:r>
      <w:r>
        <w:rPr>
          <w:rStyle w:val="FootnoteAnchor"/>
          <w:rtl w:val="true"/>
        </w:rPr>
        <w:footnoteReference w:id="4"/>
      </w:r>
      <w:r>
        <w:rPr>
          <w:rFonts w:ascii="IRNazanin" w:hAnsi="IRNazanin" w:eastAsia="IRNazanin"/>
          <w:color w:val="111111"/>
          <w:sz w:val="28"/>
          <w:sz w:val="28"/>
          <w:szCs w:val="28"/>
          <w:rtl w:val="true"/>
          <w:lang w:bidi="fa-IR"/>
        </w:rPr>
        <w:t>إنّما یتأتّی فی الإباحة العقلیة المخصوص موردها بالأشیاء النافعة الخالیة عن أمارة المضرّة، و أمّا الإباحة الشرعیة التی یعمّ موردها الأشیاء النافعة کشمّ الطیب، و الغیر النافعة کشرب التتن بعموم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 حتی تعلم الحرام بعینه</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مخلص عن لزوم ذکرها فی عداد الاصول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اعتذار للمصنّف عن إهمالها، ضرورة عدم ناظریتها إلی الواقع حتی یخرج عن تحت مجری الاصول، و عدم رجوعها إلی البراءة حتی یکتفی بذکر البراءة عنها، ضرورة أنّ مضمون أدلّة البراءة من قبح العقاب بلا بیان،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عن </w:t>
      </w:r>
      <w:bookmarkStart w:id="24" w:name="pg12850_121087"/>
    </w:p>
    <w:p>
      <w:pPr>
        <w:pStyle w:val="BookText"/>
        <w:rPr/>
      </w:pPr>
      <w:bookmarkEnd w:id="24"/>
      <w:r>
        <w:rPr>
          <w:rFonts w:ascii="IRNazanin" w:hAnsi="IRNazanin" w:eastAsia="IRNazanin"/>
          <w:color w:val="111111"/>
          <w:sz w:val="28"/>
          <w:sz w:val="28"/>
          <w:szCs w:val="28"/>
          <w:rtl w:val="true"/>
          <w:lang w:bidi="fa-IR"/>
        </w:rPr>
        <w:t>أمّتی ما لا یعلمون</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حجب اللّه علمه عنه فهو موضوع</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و نحوها هو رفع العقاب دون إنشاء الحکم، بخلاف مضمون أدلّة الإباحة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یکون مراد المصنّف من البراءة المعنی الأعمّ منها و من الإباحة الشرعیة من باب عموم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کما تری لا جامع قریب بینهما إلّا بتکلّف، کما لا یخفی</w:t>
      </w:r>
      <w:r>
        <w:rPr>
          <w:rFonts w:eastAsia="IRNazanin" w:cs="IRNazanin"/>
          <w:color w:val="111111"/>
          <w:sz w:val="28"/>
          <w:szCs w:val="28"/>
          <w:rtl w:val="true"/>
          <w:lang w:bidi="fa-IR"/>
        </w:rPr>
        <w:t>.</w:t>
      </w:r>
    </w:p>
    <w:p>
      <w:pPr>
        <w:pStyle w:val="Heading2"/>
        <w:numPr>
          <w:ilvl w:val="1"/>
          <w:numId w:val="1"/>
        </w:numPr>
        <w:rPr/>
      </w:pPr>
      <w:bookmarkStart w:id="25" w:name="__RefHeading___Toc2527016_3224264995"/>
      <w:bookmarkStart w:id="26" w:name="_Toc8"/>
      <w:bookmarkEnd w:id="25"/>
      <w:r>
        <w:rPr>
          <w:rtl w:val="true"/>
        </w:rPr>
        <w:t>[</w:t>
      </w:r>
      <w:r>
        <w:rPr>
          <w:rtl w:val="true"/>
        </w:rPr>
        <w:t>مباحث القطع</w:t>
      </w:r>
      <w:r>
        <w:rPr>
          <w:rtl w:val="true"/>
        </w:rPr>
        <w:t>]</w:t>
      </w:r>
      <w:bookmarkEnd w:id="26"/>
    </w:p>
    <w:p>
      <w:pPr>
        <w:pStyle w:val="Heading3"/>
        <w:numPr>
          <w:ilvl w:val="2"/>
          <w:numId w:val="1"/>
        </w:numPr>
        <w:rPr/>
      </w:pPr>
      <w:bookmarkStart w:id="27" w:name="__RefHeading___Toc2527018_3224264995"/>
      <w:bookmarkStart w:id="28" w:name="_Toc9"/>
      <w:bookmarkEnd w:id="27"/>
      <w:r>
        <w:rPr>
          <w:rtl w:val="true"/>
        </w:rPr>
        <w:t>[</w:t>
      </w:r>
      <w:r>
        <w:rPr>
          <w:rtl w:val="true"/>
        </w:rPr>
        <w:t>حجّیة القطع ذاتیة</w:t>
      </w:r>
      <w:r>
        <w:rPr>
          <w:rtl w:val="true"/>
        </w:rPr>
        <w:t>]</w:t>
      </w:r>
      <w:bookmarkEnd w:id="2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إشکال فی العمل علیه ما دام موجودا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المطالب المبحوث عنها فی هذا المقصد و ما یتعلّق به الغرض الأصلی بالذات هو هذا المطلب، أعنی حجّیة القطع و اعتباره، و الدلیل علی حجّیّته و اعتباره، هو بداهة عدم الإشکال فی اعتبار العمل علیه ما دام موجودا، و وجهه ما أشار إلیه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بنفسه طریق إلی الواقع</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أی لا بواسطة جعل الشارع کما فی سائر الأمارات و الأدلّة الثابت حجّیّتها بواسطته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عبارة عن نفس الاعتقاد الجازم المطابق للواقع و انکشاف المعلوم عند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وصف المطابقة للمطابق و الکاشفیة للکاشف من اللوازم القهریة الغیر المنفکّة عنه عقلا بالوجدان و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الوجدان فواضح علی من راجع وجدانه و أنصف</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البرهان فلأنّ ثبوت الجعل و الحجّة فی ما عدا العلم من سائر الأدلّة و الأمارات إنّما یتوقّف علی طریقیّة العلم، فلو توقّف طریقیّة العلم أیضا علی </w:t>
      </w:r>
      <w:bookmarkStart w:id="29" w:name="pg12850_121088"/>
    </w:p>
    <w:p>
      <w:pPr>
        <w:pStyle w:val="BookText"/>
        <w:rPr/>
      </w:pPr>
      <w:bookmarkEnd w:id="29"/>
      <w:r>
        <w:rPr>
          <w:rFonts w:ascii="IRNazanin" w:hAnsi="IRNazanin" w:eastAsia="IRNazanin"/>
          <w:color w:val="111111"/>
          <w:sz w:val="28"/>
          <w:sz w:val="28"/>
          <w:szCs w:val="28"/>
          <w:rtl w:val="true"/>
          <w:lang w:bidi="fa-IR"/>
        </w:rPr>
        <w:t>جعل الحجّیة و الطریقیة فیه لزم الدور، أو التسلسل، فثبت أنّ طریقیّة العلم للمعلوم غیر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لجعل الجاعل لا إثباتا و لا نفیا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معقولیّة الجعل فیه إثباتا فلاستلزامه تحصیل الحاصل، و أمّا عدمه نفیا فلاستلزامه التناقض، حسبما أشار إلیه المصنّف</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فتبیّن مما ذکر أنّ عمل العالم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حصول صفة العلم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محتاج إلی ما یحتاج إلیه عمل الظانّ بظنّه، من توسّطه شی‌ء آخر وراء حصول صفة الظنّ له، بل العمل بالعلم من جبلّیّات العالم المجبول علیها طبعه قهرا، فلا یحتاج إلی توسّط جعل وراء حصول صفة العلم له، بخلاف عمل الظانّ بظنّه، و هذا معنی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حجّة بنفسه لا بجعل 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یعنون به أنّ الفرق بین حجّیة العلم و حجّیة الظنّ کالفرق بین دسومة الدهن و دسومة الماء به، و ملوحة الملح و ملوحة الماء به، و حرارة النار و حرارة الماء به، فی الذاتیّة و العرضیّة و النفسیّة و الغیریّة</w:t>
      </w:r>
      <w:r>
        <w:rPr>
          <w:rFonts w:eastAsia="IRNazanin" w:cs="IRNazanin"/>
          <w:color w:val="111111"/>
          <w:sz w:val="28"/>
          <w:szCs w:val="28"/>
          <w:rtl w:val="true"/>
          <w:lang w:bidi="fa-IR"/>
        </w:rPr>
        <w:t>.</w:t>
      </w:r>
    </w:p>
    <w:p>
      <w:pPr>
        <w:pStyle w:val="Heading3"/>
        <w:numPr>
          <w:ilvl w:val="2"/>
          <w:numId w:val="1"/>
        </w:numPr>
        <w:rPr/>
      </w:pPr>
      <w:bookmarkStart w:id="30" w:name="__RefHeading___Toc2527020_3224264995"/>
      <w:bookmarkStart w:id="31" w:name="_Toc10"/>
      <w:bookmarkEnd w:id="30"/>
      <w:r>
        <w:rPr>
          <w:rtl w:val="true"/>
        </w:rPr>
        <w:t>[</w:t>
      </w:r>
      <w:r>
        <w:rPr>
          <w:rtl w:val="true"/>
        </w:rPr>
        <w:t>نظائر القطع فی عدم معقولیة تعلّق الجعل به</w:t>
      </w:r>
      <w:r>
        <w:rPr>
          <w:rtl w:val="true"/>
        </w:rPr>
        <w:t>]</w:t>
      </w:r>
      <w:bookmarkEnd w:id="31"/>
    </w:p>
    <w:p>
      <w:pPr>
        <w:pStyle w:val="BookText"/>
        <w:rPr/>
      </w:pPr>
      <w:r>
        <w:rPr>
          <w:rFonts w:ascii="IRNazanin" w:hAnsi="IRNazanin" w:eastAsia="IRNazanin"/>
          <w:color w:val="111111"/>
          <w:sz w:val="28"/>
          <w:sz w:val="28"/>
          <w:szCs w:val="28"/>
          <w:rtl w:val="true"/>
          <w:lang w:bidi="fa-IR"/>
        </w:rPr>
        <w:t>ثم إنّ للعلم فی عدم معقولیة تعلّق الجعل به أشباه و نظائر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الماهیات من حیث هی، فإنّ حیثیّة التجرّد و العراء حتی عن قید التعریة أمر غیر مجعول فیها، بل هو من لوازم عدم تطرّق الجعل و الوجود علیها</w:t>
      </w:r>
      <w:r>
        <w:rPr>
          <w:rFonts w:eastAsia="IRNazanin" w:cs="IRNazanin"/>
          <w:color w:val="111111"/>
          <w:sz w:val="28"/>
          <w:szCs w:val="28"/>
          <w:rtl w:val="true"/>
          <w:lang w:bidi="fa-IR"/>
        </w:rPr>
        <w:t>.</w:t>
      </w:r>
    </w:p>
    <w:p>
      <w:pPr>
        <w:pStyle w:val="Heading3"/>
        <w:numPr>
          <w:ilvl w:val="2"/>
          <w:numId w:val="1"/>
        </w:numPr>
        <w:rPr/>
      </w:pPr>
      <w:bookmarkStart w:id="32" w:name="__RefHeading___Toc2527022_3224264995"/>
      <w:bookmarkStart w:id="33" w:name="_Toc11"/>
      <w:bookmarkEnd w:id="32"/>
      <w:r>
        <w:rPr>
          <w:rtl w:val="true"/>
        </w:rPr>
        <w:t>الماهیّة و لوازمها</w:t>
      </w:r>
      <w:bookmarkEnd w:id="33"/>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الماهیة کالزوجیّة للأربعة، فإنّها أیضا غیر قابلة للجعل، لا نفیا و لا إثباتا، و لوازم الوجود، کالإحراق للنار، فإنّ وصفیّة الإحراق للنار المجعول أمر منجعل، لا مجعول بجعل علی حدة وراء جعل النار نارا و خلقها</w:t>
      </w:r>
      <w:r>
        <w:rPr>
          <w:rFonts w:eastAsia="IRNazanin" w:cs="IRNazanin"/>
          <w:color w:val="111111"/>
          <w:sz w:val="28"/>
          <w:szCs w:val="28"/>
          <w:rtl w:val="true"/>
          <w:lang w:bidi="fa-IR"/>
        </w:rPr>
        <w:t>.</w:t>
      </w:r>
    </w:p>
    <w:p>
      <w:pPr>
        <w:pStyle w:val="Heading3"/>
        <w:numPr>
          <w:ilvl w:val="2"/>
          <w:numId w:val="1"/>
        </w:numPr>
        <w:rPr/>
      </w:pPr>
      <w:bookmarkStart w:id="34" w:name="__RefHeading___Toc2527024_3224264995"/>
      <w:bookmarkStart w:id="35" w:name="_Toc12"/>
      <w:bookmarkEnd w:id="34"/>
      <w:r>
        <w:rPr>
          <w:rtl w:val="true"/>
        </w:rPr>
        <w:t>[</w:t>
      </w:r>
      <w:r>
        <w:rPr>
          <w:rtl w:val="true"/>
        </w:rPr>
        <w:t>وجوب المقدّمة و لابدّیتها</w:t>
      </w:r>
      <w:r>
        <w:rPr>
          <w:rtl w:val="true"/>
        </w:rPr>
        <w:t>]</w:t>
      </w:r>
      <w:bookmarkEnd w:id="35"/>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المقدّمة بمعنی اللابدّیة، فإنّه أیضا منجعل لا مجعول بجعل وراء الجعل المتعلّق بذیها، سواء کانت المقدّمة من المقدّمات العقلیّة أو الشرعیة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لا تری أنّ توقّف الصلاة علی الطهارة له عقلیّ منجعل لا مجعول بجعل علی حدة </w:t>
      </w:r>
    </w:p>
    <w:p>
      <w:pPr>
        <w:pStyle w:val="BookText"/>
        <w:rPr/>
      </w:pPr>
      <w:r>
        <w:rPr>
          <w:rFonts w:ascii="IRNazanin" w:hAnsi="IRNazanin" w:eastAsia="IRNazanin"/>
          <w:color w:val="111111"/>
          <w:sz w:val="28"/>
          <w:sz w:val="28"/>
          <w:szCs w:val="28"/>
          <w:rtl w:val="true"/>
          <w:lang w:bidi="fa-IR"/>
        </w:rPr>
        <w:t>وراء جعل الحکم المتعلّق بالصلاة المقیّدة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معنی ما فی القوانین من أنّ توقف الشی‌ء علی ترک ضدّه، عقلی و إن کان الضدّ شرعیا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یظهر الوجه فی عدّ بعض الأفاضل ملازمة القصر للإفطار، و بالعکس عقلیا، لازما لملاحظة الشارع کلّا منهما قیدا للآخر عند تعلّق الجعل به، لا جعلیّا مستقلّا وراء الجعل المتعلّق بالملزوم، کما توهّمه بعض من فصّل بین المقدّمات العقلیة و الشرعیة فی الجعل و الانجعال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العلم الاجمالی بوجوب مردّد بین شیئین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العلم الإجمالی بوجوب شی‌ء مردّد بین شیئین فصاعدا، کوجوب الصلاة المردّدة بین الظهر و الجمعة فی یوم الجمعة، و حرمة الاجتناب عن النجس المشتبه بین شیئین فصاعدا، فإنّ العقل بعد ملاحظة خطاب الشرع و تعلّق طلبه بالموضوع الواقعی یحکم بوجوب الإطاعة و الموافقة القطعیّة بإتیان جمیع ما یحتمل کونه المطلوب و ترک جمیع ما یحتمل کونه المبغوض من باب المقدّمة من غیر مدخلیّة جعل الشارع، فإنّ وجوب تلک الإطاعة أیضا حکم عقلیّ مجبول علیه الطبع و لو کان بواسطة ملاحظة خطاب الشرع غیر قابل للجعل لا إثباتا و لا نفیا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عدم قابلیّته للجعل إثباتا فلأنه تحصیل للحاصل، و أمّا عدم قابلیّته للجعل نفیا فلأنّه مناقض لخطاب الشرع المفروض، حتی أنّه لو فرض ترخیص الشارع بترک بعض ما یحتمل کونه المطلوب، أو ارتکاب بعض ما یحتمل الحرمة من باب العسر و الحرج أو الاضطرار إلیه کان حکم العقل فی سائر الأبعاض باقیا علی ما کان، لأنّ غایة ما فی ذلک الترخیص هو رفع الید عن المطلوب الواقعی لو اتّفق مصادفته للفرد المضطرّ إلیه، و أمّا لو صادف الفرد الغیر المضطر إلیه فلم یرفع الید عنه، فحکم العقل بملاحظته باق علی ما کان</w:t>
      </w:r>
      <w:r>
        <w:rPr>
          <w:rFonts w:eastAsia="IRNazanin" w:cs="IRNazanin"/>
          <w:color w:val="111111"/>
          <w:sz w:val="28"/>
          <w:szCs w:val="28"/>
          <w:rtl w:val="true"/>
          <w:lang w:bidi="fa-IR"/>
        </w:rPr>
        <w:t xml:space="preserve">. </w:t>
      </w:r>
      <w:bookmarkStart w:id="36" w:name="pg12850_121090"/>
    </w:p>
    <w:p>
      <w:pPr>
        <w:pStyle w:val="BookText"/>
        <w:rPr/>
      </w:pPr>
      <w:bookmarkEnd w:id="36"/>
      <w:r>
        <w:rPr>
          <w:rFonts w:ascii="IRNazanin" w:hAnsi="IRNazanin" w:eastAsia="IRNazanin"/>
          <w:color w:val="111111"/>
          <w:sz w:val="28"/>
          <w:sz w:val="28"/>
          <w:szCs w:val="28"/>
          <w:rtl w:val="true"/>
          <w:lang w:bidi="fa-IR"/>
        </w:rPr>
        <w:t>و أمّا القول بعدم اعتبار العلم الإجمالی، و عدم وجوب الموافقة القطعیّة، و جواز ارتکاب الشبهة المحصورة فهو غیر مناف لما ذکرنا من حکم العقل باعتباره، لأنّ المقصود من حکم العقل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به بواسطة خطاب الشرع به، لا بالاستقلال، و مقصود القائل بعدم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بقاء خطاب الشارع عند تطرّق الإجمال علیه، فالمنافاة موضوعیة بین ما ذکرنا من حکم العقل بتنجّز العلم الإجمالی و بین القول بعدم تنجّزه، لابتناء الأوّل علی بقاء خطاب الشارع و مطلوبه بعد تطرّق الإجمال، و ابتناء الثانی علی ارتفاعه بعد الإجمال</w:t>
      </w:r>
      <w:r>
        <w:rPr>
          <w:rFonts w:eastAsia="IRNazanin" w:cs="IRNazanin"/>
          <w:color w:val="111111"/>
          <w:sz w:val="28"/>
          <w:szCs w:val="28"/>
          <w:rtl w:val="true"/>
          <w:lang w:bidi="fa-IR"/>
        </w:rPr>
        <w:t>.</w:t>
      </w:r>
    </w:p>
    <w:p>
      <w:pPr>
        <w:pStyle w:val="Heading3"/>
        <w:numPr>
          <w:ilvl w:val="2"/>
          <w:numId w:val="1"/>
        </w:numPr>
        <w:rPr/>
      </w:pPr>
      <w:bookmarkStart w:id="37" w:name="__RefHeading___Toc2527026_3224264995"/>
      <w:bookmarkStart w:id="38" w:name="_Toc13"/>
      <w:bookmarkEnd w:id="37"/>
      <w:r>
        <w:rPr>
          <w:rtl w:val="true"/>
        </w:rPr>
        <w:t>[</w:t>
      </w:r>
      <w:r>
        <w:rPr>
          <w:rtl w:val="true"/>
        </w:rPr>
        <w:t>اعتبار الظن عند انسداد باب العلم</w:t>
      </w:r>
      <w:r>
        <w:rPr>
          <w:rtl w:val="true"/>
        </w:rPr>
        <w:t>]</w:t>
      </w:r>
      <w:bookmarkEnd w:id="38"/>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العمل بالظنّ عند انسداد باب العلم، و بقاء التکلیف، و عدم إمکان الاحتیاط، فإنّه أیضا حکم عقلیّ غیر قابل لجعل الشارع یحکم به العقل بالقهر و جبلّة الطبع و إن کان حکمه بواسطة بقاء خطابه تعالی بعد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قابلیّته للجعل إثباتا فلاستلزامه تحصیل الحاصل، و أمّا عدم قابلیّته له نفیا فلاستلزامه التناقض، لفرض بقاء خطاب الشرع و مطلوبه</w:t>
      </w:r>
      <w:r>
        <w:rPr>
          <w:rFonts w:eastAsia="IRNazanin" w:cs="IRNazanin"/>
          <w:color w:val="111111"/>
          <w:sz w:val="28"/>
          <w:szCs w:val="28"/>
          <w:rtl w:val="true"/>
          <w:lang w:bidi="fa-IR"/>
        </w:rPr>
        <w:t>.</w:t>
      </w:r>
    </w:p>
    <w:p>
      <w:pPr>
        <w:pStyle w:val="Heading3"/>
        <w:numPr>
          <w:ilvl w:val="2"/>
          <w:numId w:val="1"/>
        </w:numPr>
        <w:rPr/>
      </w:pPr>
      <w:bookmarkStart w:id="39" w:name="__RefHeading___Toc2527028_3224264995"/>
      <w:bookmarkStart w:id="40" w:name="_Toc14"/>
      <w:bookmarkEnd w:id="39"/>
      <w:r>
        <w:rPr>
          <w:rtl w:val="true"/>
        </w:rPr>
        <w:t>[</w:t>
      </w:r>
      <w:r>
        <w:rPr>
          <w:rtl w:val="true"/>
        </w:rPr>
        <w:t>اعتبار الاستصحاب و الید و السوق</w:t>
      </w:r>
      <w:r>
        <w:rPr>
          <w:rtl w:val="true"/>
        </w:rPr>
        <w:t>]</w:t>
      </w:r>
      <w:bookmarkEnd w:id="40"/>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الاستصحاب، و الید، و السوق علی القول بأنّ اعتبارها الشارع لیس من باب الجعل و التنزیل، بل إنّما هو من باب البیان لحکم العقل باعتبارها من جهة أنّ قوام نظم العالم و أساس عیش بنی آدم علیه، فإنّ هذا النوع من الظنّ أیضا من الجبلّیّات المقهور علیها الطبع، غیر قابل للجعل لا إثباتا و لا نفیا، لما مرّ غیر مرّة، و تبیّن توقّف اعتبار الظنّ من باب الجعل علی انفتاح باب العلم، و علی کون المصلحة الباعثة للجعل لیست ممّا یکتفی به العقل فی اعتباره، و إلّا کان اعتباره من باب الانجعال لا الجعل</w:t>
      </w:r>
      <w:r>
        <w:rPr>
          <w:rFonts w:eastAsia="IRNazanin" w:cs="IRNazanin"/>
          <w:color w:val="111111"/>
          <w:sz w:val="28"/>
          <w:szCs w:val="28"/>
          <w:rtl w:val="true"/>
          <w:lang w:bidi="fa-IR"/>
        </w:rPr>
        <w:t>.</w:t>
      </w:r>
    </w:p>
    <w:p>
      <w:pPr>
        <w:pStyle w:val="Heading3"/>
        <w:numPr>
          <w:ilvl w:val="2"/>
          <w:numId w:val="1"/>
        </w:numPr>
        <w:rPr/>
      </w:pPr>
      <w:bookmarkStart w:id="41" w:name="__RefHeading___Toc2527030_3224264995"/>
      <w:bookmarkStart w:id="42" w:name="_Toc15"/>
      <w:bookmarkEnd w:id="41"/>
      <w:r>
        <w:rPr>
          <w:rtl w:val="true"/>
        </w:rPr>
        <w:t>[</w:t>
      </w:r>
      <w:r>
        <w:rPr>
          <w:rtl w:val="true"/>
        </w:rPr>
        <w:t>الأحکام الوضعیة</w:t>
      </w:r>
      <w:r>
        <w:rPr>
          <w:rtl w:val="true"/>
        </w:rPr>
        <w:t>]</w:t>
      </w:r>
      <w:bookmarkEnd w:id="4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الأحکام الوضعیّة کالشرطیّة و الجزئیّة و المانعیّة و الصحّة و الفساد و الملکیّة و السببیّة و الزوجیّة و الحجّیة و التنزیل و الوضع و النصب، إلی غیر ذلک ممّا قیل بعدم انحصارها و إحصائها، من الأحکام الوضعیّة المنجعلة و المنتزعة عن </w:t>
      </w:r>
      <w:bookmarkStart w:id="43" w:name="pg12850_121091"/>
    </w:p>
    <w:p>
      <w:pPr>
        <w:pStyle w:val="BookText"/>
        <w:rPr/>
      </w:pPr>
      <w:bookmarkEnd w:id="43"/>
      <w:r>
        <w:rPr>
          <w:rFonts w:ascii="IRNazanin" w:hAnsi="IRNazanin" w:eastAsia="IRNazanin"/>
          <w:color w:val="111111"/>
          <w:sz w:val="28"/>
          <w:sz w:val="28"/>
          <w:szCs w:val="28"/>
          <w:rtl w:val="true"/>
          <w:lang w:bidi="fa-IR"/>
        </w:rPr>
        <w:t>الأحکام الشرعیة المجعولة علی ما هو التحقیق الذی سیأتی الکلام فیه مفصّلا إن شاء اللّه تعالی</w:t>
      </w:r>
      <w:r>
        <w:rPr>
          <w:rFonts w:eastAsia="IRNazanin" w:cs="IRNazanin"/>
          <w:color w:val="111111"/>
          <w:sz w:val="28"/>
          <w:szCs w:val="28"/>
          <w:rtl w:val="true"/>
          <w:lang w:bidi="fa-IR"/>
        </w:rPr>
        <w:t>.</w:t>
      </w:r>
    </w:p>
    <w:p>
      <w:pPr>
        <w:pStyle w:val="Heading3"/>
        <w:numPr>
          <w:ilvl w:val="2"/>
          <w:numId w:val="1"/>
        </w:numPr>
        <w:rPr/>
      </w:pPr>
      <w:bookmarkStart w:id="44" w:name="__RefHeading___Toc2527032_3224264995"/>
      <w:bookmarkStart w:id="45" w:name="_Toc16"/>
      <w:bookmarkEnd w:id="44"/>
      <w:r>
        <w:rPr>
          <w:rtl w:val="true"/>
        </w:rPr>
        <w:t>[</w:t>
      </w:r>
      <w:r>
        <w:rPr>
          <w:rtl w:val="true"/>
        </w:rPr>
        <w:t>طریقیة الطریق المنجعل موضوعیة الطریق الجعلی</w:t>
      </w:r>
      <w:r>
        <w:rPr>
          <w:rtl w:val="true"/>
        </w:rPr>
        <w:t>]</w:t>
      </w:r>
      <w:bookmarkEnd w:id="45"/>
    </w:p>
    <w:p>
      <w:pPr>
        <w:pStyle w:val="BookText"/>
        <w:rPr/>
      </w:pPr>
      <w:r>
        <w:rPr>
          <w:rFonts w:ascii="IRNazanin" w:hAnsi="IRNazanin" w:eastAsia="IRNazanin"/>
          <w:color w:val="111111"/>
          <w:sz w:val="28"/>
          <w:sz w:val="28"/>
          <w:szCs w:val="28"/>
          <w:rtl w:val="true"/>
          <w:lang w:bidi="fa-IR"/>
        </w:rPr>
        <w:t>ثمّ إنّ من جملة فروق الطریق المنجعل عن الطریق الجعلی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منهما و إن کان طریقا بالنسبة إلی نفس متعلّقه و آثار نفس المتعلّق کالسکریة للخمر، و الإسهال للسقمونیا، إلّا أنّ الطریق الجعلی موضوع بالنسبة إلی الأحکام التی رتّبها الجاعل علی متعلّقه، و الطریق المنجعل طریق بالنسبة إلی نفس متعلّقه و بالنسبة إلی الأحکام الّتی رتّبها الجاعل علی متعلّقه من الوجوب 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الثمرة فی صورة انکشاف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أنّ من أحکام الخمر وجوب الأخذ من شاربه عشرة دراهم فاخذ من شاربه ذلک المبلغ، ثم انکشف عدم مصادفته شربه الخمر، فإذا کان الشارب عالما بخمریّة ما شربه استرجع المبلغ المأخوذ منه؛ لکون العلم کما هو طریق بالنسبة إلی متعلّقه کذلک هو طریق بالنسبة إلی حکم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الشارب ظانّا بخمریّة المشروب لم یسترجع المبلغ المأخوذ منه؛ لأنّ معنی حجّیّة الظنّ و کونه طریقا مجعولا لا منجعلا هو کونه موضوعا بالنسبة إلی الأحکام الّتی رتّبها الجاعل علی متعلّقه من وجوب الحدّ علیه و نحوه، لا طریقا کالعلم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فروق الجعل و الانجعال المطویّة فی کلام المصنّف، لا یفوتنّک الالتفات إلیها</w:t>
      </w:r>
      <w:r>
        <w:rPr>
          <w:rFonts w:eastAsia="IRNazanin" w:cs="IRNazanin"/>
          <w:color w:val="111111"/>
          <w:sz w:val="28"/>
          <w:szCs w:val="28"/>
          <w:rtl w:val="true"/>
          <w:lang w:bidi="fa-IR"/>
        </w:rPr>
        <w:t>.</w:t>
      </w:r>
    </w:p>
    <w:p>
      <w:pPr>
        <w:pStyle w:val="Heading3"/>
        <w:numPr>
          <w:ilvl w:val="2"/>
          <w:numId w:val="1"/>
        </w:numPr>
        <w:rPr/>
      </w:pPr>
      <w:bookmarkStart w:id="46" w:name="__RefHeading___Toc2527034_3224264995"/>
      <w:bookmarkStart w:id="47" w:name="_Toc17"/>
      <w:bookmarkEnd w:id="46"/>
      <w:r>
        <w:rPr>
          <w:rtl w:val="true"/>
        </w:rPr>
        <w:t>[</w:t>
      </w:r>
      <w:r>
        <w:rPr>
          <w:rtl w:val="true"/>
        </w:rPr>
        <w:t>اختلاف اطلاق الحجّة علی القطع عن اطلاقها علی سائر الأمارات</w:t>
      </w:r>
      <w:r>
        <w:rPr>
          <w:rtl w:val="true"/>
        </w:rPr>
        <w:t>]</w:t>
      </w:r>
      <w:bookmarkEnd w:id="4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هنا یعلم أنّ إطلاق الحجّة علیه لیس کإطلاق الحجّة علی الأمارات المعتبرة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تشخیص حجّیّة القطع و کیفیّة 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فی تشخیص کیفیّة إطلاق الحجّة علیه، هل هو من باب الحقیقة أو </w:t>
      </w:r>
    </w:p>
    <w:p>
      <w:pPr>
        <w:pStyle w:val="BookText"/>
        <w:rPr/>
      </w:pPr>
      <w:r>
        <w:rPr>
          <w:rFonts w:ascii="IRNazanin" w:hAnsi="IRNazanin" w:eastAsia="IRNazanin"/>
          <w:color w:val="111111"/>
          <w:sz w:val="28"/>
          <w:sz w:val="28"/>
          <w:szCs w:val="28"/>
          <w:rtl w:val="true"/>
          <w:lang w:bidi="fa-IR"/>
        </w:rPr>
        <w:t>التسامح؟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الحجّة علیه لیس کإطلاقه علی الأمارات مستدلّا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بانجعال القطع و مجعولیّة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وقوع القطع وسطا یحتجّ به علی ثبوت الأکبر للأصغر، کوقوع التغیّر وسطا لإثبات حدوث العالم الذی هو لازم کلّ أمارة و دلیل 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الحجّة ما یوجب القطع بالمطلوب فلا یتعلّق بنفس القطع، و إلّا لزم اتّحاد الموجب و الموجب و السبب و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یناقش علی الأوّل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مجرّد تفرقة القطع عن الأمارات بالجعل و الانجعال لا یوجب تفرقة إطلاق الحجّة علی المجعول من باب الحقیقة، و علی المنجعل من باب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القطع أیضا صالح لأن یقع وسطا لإثبات أحکام متعلّقه، کما یقع وسطا لإثبات أحکام نفسه، إذ کما یقع الظنّ وسطا لإثبات حکم نفسه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ظنّ، و کلّ ظنّ یجب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القطع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قطع، و کلّ قطع یجب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یقع الظنّ وسطا لإثبات أحکام متعلّقه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مظنون الخمریّة، و کلّ مظنون الخمریة یجب 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العلم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معلوم الخمریّة، و کلّ معلوم الخمریة یجب الاجتناب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لکن الدلیل و الحجّة الاصطلاحیة لا ینحصر فی إطلاقه علی الوسط الذی یحتجّ به علی إثبات حکم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یطلق أیضا علی الوسط الذی یحتجّ به علی حکم نفسه، و یشهد علیه تمثیله للحجّة بالتغیّر المحتجّ به لإثبات الأکبر و هو الحدوث علی الأصغر، و هو العالم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متغیّر، و 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أنّه وسط لإثبات حکم نفسه لجزئیّاته لا لإثبات حکم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معلوم التغیّر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مجرّد کون الحجّة ما یوجب القطع بالمطلوب لا یقتضی </w:t>
      </w:r>
    </w:p>
    <w:p>
      <w:pPr>
        <w:pStyle w:val="BookText"/>
        <w:rPr/>
      </w:pPr>
      <w:r>
        <w:rPr>
          <w:rFonts w:ascii="IRNazanin" w:hAnsi="IRNazanin" w:eastAsia="IRNazanin"/>
          <w:color w:val="111111"/>
          <w:sz w:val="28"/>
          <w:sz w:val="28"/>
          <w:szCs w:val="28"/>
          <w:rtl w:val="true"/>
          <w:lang w:bidi="fa-IR"/>
        </w:rPr>
        <w:t>عدم تعلّقه بنفس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 فی توجیهه من لزوم اتّحاد الموجب و الموجب، و السبب و المسبب ان ارید منه لزوم اتّحادهما فی التعبیر عن کلّ منهما بلفظ واحد فالملازمة مسلّمة، و بطلان اللازم ممنوع، إذ قد یشترک اللفظ بین الضدّین، کاشتراک القرء بین الطهر و الحیض، و الجون بین الأسود و الأبیض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منه لزوم اتّحادهما فی المرتبة المستلزم للدّور فالملازمة ممنوعة،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تندفع المناقشة عن کلّ من وجوه تفرقة القطع عن الأمارات فی کیفیّة إطلاق الحجّیة علیه بأنّ مقصود المصنّف بکلّ من تلک الوجوه لیس تفرقة إطلاق الحجّة علی القطع عن إطلاقه علی الأمارات بالحقیقة و المجاز، بل مقصوده مجرّد تفرقة الإطلاقین فی المعنی، حیث إنّ إطلاقه علی القطع فی معنی الانجعال، و علی الأمارات فی معنی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لم یصرّح بکون الفارق هو مجازیّة إطلاق الحجّة علی القطع، بل اکتفی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إطلاق الحجّة علی القطع لیس کإطلاقه علی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المراد من الحجّة فی باب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أدلّة الفقه کالکتاب و السنّة و الإجماع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وسطا لثبوت أحکام متعلّقه شرعا لا لحکم نفسه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نوقش من أنّ القطع أیضا صالح لأن یقع وسطا لأحکام متعلّقه بالمثال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معلوم الخمریة، و کلّ معلوم الخمریة یجب 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المصنّف لم ینکر صلوح وقوعه، و إنما أنکر وقوعه، بقرینة تعلیله بأنّ أحکام الخمر إنّما ثبتت للخمر لا لما علم أنّه خمر</w:t>
      </w:r>
      <w:r>
        <w:rPr>
          <w:rStyle w:val="FootnoteAnchor"/>
          <w:rtl w:val="true"/>
        </w:rPr>
        <w:footnoteReference w:id="12"/>
      </w:r>
      <w:r>
        <w:rPr>
          <w:rFonts w:ascii="IRNazanin" w:hAnsi="IRNazanin" w:eastAsia="IRNazanin"/>
          <w:color w:val="111111"/>
          <w:sz w:val="28"/>
          <w:sz w:val="28"/>
          <w:szCs w:val="28"/>
          <w:rtl w:val="true"/>
          <w:lang w:bidi="fa-IR"/>
        </w:rPr>
        <w:t xml:space="preserve">، نظرا إلی التحقیق الذی علیه المحقّقون من وضع الألفاظ للمعانی الواقعیّة لا للمعلوم منها، و إلّا سیصرّح آنفا </w:t>
      </w:r>
    </w:p>
    <w:p>
      <w:pPr>
        <w:pStyle w:val="BookText"/>
        <w:rPr/>
      </w:pPr>
      <w:r>
        <w:rPr>
          <w:rFonts w:ascii="IRNazanin" w:hAnsi="IRNazanin" w:eastAsia="IRNazanin"/>
          <w:color w:val="111111"/>
          <w:sz w:val="28"/>
          <w:sz w:val="28"/>
          <w:szCs w:val="28"/>
          <w:rtl w:val="true"/>
          <w:lang w:bidi="fa-IR"/>
        </w:rPr>
        <w:t>بوقوعه أیضا علی مذهب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نوقش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سلّمنا لکن الدلیل و الحجّة فی الاصطلاح لا ینحصر فی إطلاقه علی الوسط الذی یحتجّ به علی ثبوت حکم متعلّقة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المصنّف لم یقل بانحصار الدلیل و الحجّة الاصطلاحیة فی ما ذکر حتّی تمنعه بالنقض المذکور، و إنّما قال بأنّ المراد من الدلیل و الحجّة فی باب الأدلة ما ذکر، فلا منع فیه و لا نقض، سیما إذا أراد من الأدلّة الأدلّة المجعولة لا المنجعلة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فتلخّص ممّا ذکرنا اندفاع جمیع المناقشات، و أنّه لا مسرح لشی‌ء منها فی کلام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کلامه أعلی اللّه مقامه فی غایة المتانة و الإحکام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الحجّة عبارة عن الوسط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مفردا کما هو اصطلاح الاصولیین حیث عرّفوه بما یمکن التوصّل بصحیح النظر فیه إلی مطلوب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صرّحوا بأنّ المراد من الأدلّة الفقهیة الکتاب و السنّة و نحوهما، أو مرکّبا بأحد الأشکال الأربعة، کما هو اصطلاح المنطقیین، حیث عرّفوا الدلیل و الحجّة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مؤلّف من قضایا یستلزم لذاته قولا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اصطلاح الاصولیین فی الدلیل یعمّ کلا القسمین، کما استقربه أستاذنا العلّامة، وفاقا لتصریح صاحب القوانین به فی حاشیته منه</w:t>
      </w:r>
      <w:r>
        <w:rPr>
          <w:rStyle w:val="FootnoteAnchor"/>
          <w:rtl w:val="true"/>
        </w:rPr>
        <w:footnoteReference w:id="13"/>
      </w:r>
      <w:r>
        <w:rPr>
          <w:rFonts w:ascii="IRNazanin" w:hAnsi="IRNazanin" w:eastAsia="IRNazanin"/>
          <w:color w:val="111111"/>
          <w:sz w:val="28"/>
          <w:sz w:val="28"/>
          <w:szCs w:val="28"/>
          <w:rtl w:val="true"/>
          <w:lang w:bidi="fa-IR"/>
        </w:rPr>
        <w:t>، لا أنّه خاصّ بالمفرد لیخرج الوسط عن الدلیل الاصولی إذا ترکّب من صغری و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فقید الإمکان لإدخال الدلیل الذی غفل عنه، فلا یشترط فعلیّة التوصّل فی إطلاق الدلیل علیه، و قید الخبری لإخراج الحدّ و المعرّف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بالوسط یحتج علی ثبوت الأکبر للأصغر، و یصیر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bookmarkStart w:id="48" w:name="pg12850_121095"/>
    </w:p>
    <w:p>
      <w:pPr>
        <w:pStyle w:val="BookText"/>
        <w:rPr/>
      </w:pPr>
      <w:bookmarkEnd w:id="48"/>
      <w:r>
        <w:rPr>
          <w:rFonts w:ascii="IRNazanin" w:hAnsi="IRNazanin" w:eastAsia="IRNazanin"/>
          <w:color w:val="111111"/>
          <w:sz w:val="28"/>
          <w:sz w:val="28"/>
          <w:szCs w:val="28"/>
          <w:rtl w:val="true"/>
          <w:lang w:bidi="fa-IR"/>
        </w:rPr>
        <w:t>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واسطة للقطع بثبوت الأکبر للأصغر، و هذا الوصف یحصل للوسط بما اشترطه المنطقیّون فی إنتاج الشکل الأوّل من کلّیة الکبری، ضرورة أنّ کلّ کلّی یصحّ الاحتجاج بصدقه علی جزئیّات نفسه، و یکون واسطة للقطع بثبوت ما له من الأوصاف علی جزئیّاته، کما لا یخفی</w:t>
      </w:r>
      <w:r>
        <w:rPr>
          <w:rFonts w:eastAsia="IRNazanin" w:cs="IRNazanin"/>
          <w:color w:val="111111"/>
          <w:sz w:val="28"/>
          <w:szCs w:val="28"/>
          <w:rtl w:val="true"/>
          <w:lang w:bidi="fa-IR"/>
        </w:rPr>
        <w:t>.</w:t>
      </w:r>
    </w:p>
    <w:p>
      <w:pPr>
        <w:pStyle w:val="Heading3"/>
        <w:numPr>
          <w:ilvl w:val="2"/>
          <w:numId w:val="1"/>
        </w:numPr>
        <w:rPr/>
      </w:pPr>
      <w:bookmarkStart w:id="49" w:name="__RefHeading___Toc2527036_3224264995"/>
      <w:bookmarkStart w:id="50" w:name="_Toc18"/>
      <w:bookmarkEnd w:id="49"/>
      <w:r>
        <w:rPr>
          <w:rtl w:val="true"/>
        </w:rPr>
        <w:t>[</w:t>
      </w:r>
      <w:r>
        <w:rPr>
          <w:rtl w:val="true"/>
        </w:rPr>
        <w:t>الواسطة فی الثبوت و الواسطة فی الاثبات</w:t>
      </w:r>
      <w:r>
        <w:rPr>
          <w:rtl w:val="true"/>
        </w:rPr>
        <w:t>]</w:t>
      </w:r>
      <w:bookmarkEnd w:id="50"/>
    </w:p>
    <w:p>
      <w:pPr>
        <w:pStyle w:val="BookText"/>
        <w:rPr/>
      </w:pPr>
      <w:r>
        <w:rPr>
          <w:rFonts w:ascii="IRNazanin" w:hAnsi="IRNazanin" w:eastAsia="IRNazanin"/>
          <w:color w:val="111111"/>
          <w:sz w:val="28"/>
          <w:sz w:val="28"/>
          <w:szCs w:val="28"/>
          <w:rtl w:val="true"/>
          <w:lang w:bidi="fa-IR"/>
        </w:rPr>
        <w:t>ثمّ الوسط إمّا واسطة فی ثبوت الشی‌ء، کوساطة الشمس فی بیاض ثوب القصّار و سواد وجهه، أو واسطة فی العروض، کوساطة السفینة لتحریک من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بینهما أنّ أثر الواسطة فی الثبوت ثابت لغیر الواسطة بالأصالة، و فی العروض ثابت لنفس الواسطة بالأصالة و لغیره بالعرض، فالنسبة بین موردیهما تباین، کالنسبة بین مفهومیهما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الواسطة فی الإثبات فهی الموجبة للعلم بالثبوت، أو العروض، کقولک فی مثال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الثوب مشمّس، و کلّ ثوب مشمّس أبیض فهذا الثوب 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المثال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السفینة متحرّکة، و کلّما کانت السفینة متحرّکة کان من فیها متحرّک فمن فیها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فالنسبة بین واسطة الإثبات و غیره من الثبوت أو العروض عموم من وجه لتصادقهما علی الانتقال من العلّة إلی المعلول، کالانتقال من وجود النار إلی وجود الحرارة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افتراق واسطة الإثبات عن غیره فی الانتقال من المعلول إلی العلّة، کالانتقال من وجود الدّخان إلی وجود النار، حیث إنّ وجود الدخان واسطة إثبات النار لا واسطة ثبوته، ضرورة أنّ النار واسطة ثبوت الدخان، فلو کان الدخان أیضا واسطة ثبوت النار لزم الدّور، و کذا الانتقال من معلول إلی معلول آخر ملازم له، کالانتقال من وجود الضّوء إلی وجود النهار المعلولین لعلّة ثالثة، و هی وجود الشمس</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تفارق واسطة الثبوت عن الإثبات فی الواسطة التی غفل عن الانتقال منها </w:t>
      </w:r>
      <w:bookmarkStart w:id="51" w:name="pg12850_121096"/>
    </w:p>
    <w:p>
      <w:pPr>
        <w:pStyle w:val="BookText"/>
        <w:rPr/>
      </w:pPr>
      <w:bookmarkEnd w:id="51"/>
      <w:r>
        <w:rPr>
          <w:rFonts w:ascii="IRNazanin" w:hAnsi="IRNazanin" w:eastAsia="IRNazanin"/>
          <w:color w:val="111111"/>
          <w:sz w:val="28"/>
          <w:sz w:val="28"/>
          <w:szCs w:val="28"/>
          <w:rtl w:val="true"/>
          <w:lang w:bidi="fa-IR"/>
        </w:rPr>
        <w:t>إلی معلولها</w:t>
      </w:r>
      <w:r>
        <w:rPr>
          <w:rFonts w:eastAsia="IRNazanin" w:cs="IRNazanin"/>
          <w:color w:val="111111"/>
          <w:sz w:val="28"/>
          <w:szCs w:val="28"/>
          <w:rtl w:val="true"/>
          <w:lang w:bidi="fa-IR"/>
        </w:rPr>
        <w:t>.</w:t>
      </w:r>
    </w:p>
    <w:p>
      <w:pPr>
        <w:pStyle w:val="Heading3"/>
        <w:numPr>
          <w:ilvl w:val="2"/>
          <w:numId w:val="1"/>
        </w:numPr>
        <w:rPr/>
      </w:pPr>
      <w:bookmarkStart w:id="52" w:name="__RefHeading___Toc2527038_3224264995"/>
      <w:bookmarkStart w:id="53" w:name="_Toc19"/>
      <w:bookmarkEnd w:id="52"/>
      <w:r>
        <w:rPr>
          <w:rtl w:val="true"/>
        </w:rPr>
        <w:t>[</w:t>
      </w:r>
      <w:r>
        <w:rPr>
          <w:rtl w:val="true"/>
        </w:rPr>
        <w:t>التصویب فی الموضوعات</w:t>
      </w:r>
      <w:r>
        <w:rPr>
          <w:rtl w:val="true"/>
        </w:rPr>
        <w:t>]</w:t>
      </w:r>
      <w:bookmarkEnd w:id="5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هو قول بعض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به غیر مختصّ بالعامّة، لأنّه تصویب فی الموضوعات لا فی الأحکام حتی یکون باطلا بإجماع الإمامیة و أخبارهم، مضافا إلی الدّور الذی أورده العلّامة</w:t>
      </w:r>
      <w:r>
        <w:rPr>
          <w:rStyle w:val="FootnoteAnchor"/>
          <w:rtl w:val="true"/>
        </w:rPr>
        <w:footnoteReference w:id="14"/>
      </w:r>
      <w:r>
        <w:rPr>
          <w:rFonts w:ascii="IRNazanin" w:hAnsi="IRNazanin" w:eastAsia="IRNazanin"/>
          <w:color w:val="111111"/>
          <w:sz w:val="28"/>
          <w:sz w:val="28"/>
          <w:szCs w:val="28"/>
          <w:rtl w:val="true"/>
          <w:lang w:bidi="fa-IR"/>
        </w:rPr>
        <w:t>علی العامة من أنّ تفویض الأحکام إلی رأی المجتهدین، متوقّف علی ثبوتها فی نفس الأمر، فلو توقّف ثبوتها النفس الأمری علی رأی المجتهدین 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مرادهم من تفویض الأحکام إلی الآراء لیس تفویض الأحکام الواقعیة المسبوقة بالثبوت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انصراف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تفویض ما سبق فی علمه تعالی أنّه سیتجدّد من الآراء إلی الآراء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التصویب فی الموضوعات فالقول به من أصحابنا غیر عزیز؛ لعدم الدلیل علی بطلانه من الإجماع سوی الشهرة، و لا من الأخبار الصّریحة سوی ظهور انصراف الموضوعات إلی الموضوعات الواقعیة، و لا من غیرهما سوی ملازمة التصویب فی الموضوعات للتصویب فی الأحکام، و یسهّل الخطب کون التصویب فی الموضوعات ملازم للتصویب فی الأحکام الجزئیة لا الکلّیة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القائلین بالتصویب فی الموضوعات و إن کان کلامه خاصّ بموضوع الطهارة و النجاسة فقط صاحب الحدائق</w:t>
      </w:r>
      <w:r>
        <w:rPr>
          <w:rStyle w:val="FootnoteAnchor"/>
          <w:rtl w:val="true"/>
        </w:rPr>
        <w:footnoteReference w:id="15"/>
      </w:r>
      <w:r>
        <w:rPr>
          <w:rFonts w:ascii="IRNazanin" w:hAnsi="IRNazanin" w:eastAsia="IRNazanin"/>
          <w:color w:val="111111"/>
          <w:sz w:val="28"/>
          <w:sz w:val="28"/>
          <w:szCs w:val="28"/>
          <w:rtl w:val="true"/>
          <w:lang w:bidi="fa-IR"/>
        </w:rPr>
        <w:t>، و خالی العلّامة ناسبا إیّاه إلی المستفاد من الأخبار و کلام الأصحاب فی الفرق التاسع و السبعون من کتاب فاروقه</w:t>
      </w:r>
      <w:r>
        <w:rPr>
          <w:rStyle w:val="FootnoteAnchor"/>
          <w:rtl w:val="true"/>
        </w:rPr>
        <w:footnoteReference w:id="16"/>
      </w:r>
      <w:r>
        <w:rPr>
          <w:rFonts w:ascii="IRNazanin" w:hAnsi="IRNazanin" w:eastAsia="IRNazanin"/>
          <w:color w:val="111111"/>
          <w:sz w:val="28"/>
          <w:sz w:val="28"/>
          <w:szCs w:val="28"/>
          <w:rtl w:val="true"/>
          <w:lang w:bidi="fa-IR"/>
        </w:rPr>
        <w:t>بین المجتهدین و الأخباریین فی ردّ شبهة المحتاطین فیها بما لا مزید علیه</w:t>
      </w:r>
      <w:r>
        <w:rPr>
          <w:rFonts w:eastAsia="IRNazanin" w:cs="IRNazanin"/>
          <w:color w:val="111111"/>
          <w:sz w:val="28"/>
          <w:szCs w:val="28"/>
          <w:rtl w:val="true"/>
          <w:lang w:bidi="fa-IR"/>
        </w:rPr>
        <w:t xml:space="preserve">. </w:t>
      </w:r>
      <w:bookmarkStart w:id="54" w:name="pg12850_121097"/>
    </w:p>
    <w:p>
      <w:pPr>
        <w:pStyle w:val="BookText"/>
        <w:rPr/>
      </w:pPr>
      <w:bookmarkEnd w:id="54"/>
      <w:r>
        <w:rPr>
          <w:rFonts w:ascii="IRNazanin" w:hAnsi="IRNazanin" w:eastAsia="IRNazanin"/>
          <w:color w:val="111111"/>
          <w:sz w:val="28"/>
          <w:sz w:val="28"/>
          <w:szCs w:val="28"/>
          <w:rtl w:val="true"/>
          <w:lang w:bidi="fa-IR"/>
        </w:rPr>
        <w:t>بل استقوی شیخنا العلّامة، وفاقا للشیخ أسد اللّه قدّس سرّه التصویب فی مطلق الموضوعات و الأمارات الشرعیة، لو لا الشهرة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تعیین القائل بالتصویب من أهل الصواب</w:t>
      </w:r>
      <w:r>
        <w:rPr>
          <w:rFonts w:eastAsia="IRNazanin" w:cs="IRNazanin"/>
          <w:color w:val="111111"/>
          <w:sz w:val="28"/>
          <w:szCs w:val="28"/>
          <w:rtl w:val="true"/>
          <w:lang w:bidi="fa-IR"/>
        </w:rPr>
        <w:t>.</w:t>
      </w:r>
    </w:p>
    <w:p>
      <w:pPr>
        <w:pStyle w:val="Heading3"/>
        <w:numPr>
          <w:ilvl w:val="2"/>
          <w:numId w:val="1"/>
        </w:numPr>
        <w:rPr/>
      </w:pPr>
      <w:bookmarkStart w:id="55" w:name="__RefHeading___Toc2527040_3224264995"/>
      <w:bookmarkStart w:id="56" w:name="_Toc20"/>
      <w:bookmarkEnd w:id="55"/>
      <w:r>
        <w:rPr>
          <w:rtl w:val="true"/>
        </w:rPr>
        <w:t>[</w:t>
      </w:r>
      <w:r>
        <w:rPr>
          <w:rtl w:val="true"/>
        </w:rPr>
        <w:t>تصرّف المعصوم فی الموضوعات</w:t>
      </w:r>
      <w:r>
        <w:rPr>
          <w:rtl w:val="true"/>
        </w:rPr>
        <w:t>]</w:t>
      </w:r>
      <w:bookmarkEnd w:id="56"/>
    </w:p>
    <w:p>
      <w:pPr>
        <w:pStyle w:val="BookText"/>
        <w:rPr/>
      </w:pPr>
      <w:r>
        <w:rPr>
          <w:rFonts w:ascii="IRNazanin" w:hAnsi="IRNazanin" w:eastAsia="IRNazanin"/>
          <w:color w:val="111111"/>
          <w:sz w:val="28"/>
          <w:sz w:val="28"/>
          <w:szCs w:val="28"/>
          <w:rtl w:val="true"/>
          <w:lang w:bidi="fa-IR"/>
        </w:rPr>
        <w:t>و أمّا وجه القول به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إقحام أئمّتنا المعصومین علیهم السّلام فی معاشرة الناس علی العمل بالأمارات الظاهریة و الأصول العملیة فی أحکام الطهارة و النجاسة و غیرها، التی لا ینفکّ العامل بتلک الظواهر و الأصول فی معاشرة الناس سیما قریبی العهد بالإسلام، فی جمیع عمره عن اتّفاق مخالفة الواقع، و عدم مصادفته إیّاه و لو مرّة واحدة، الذی هو منقصة فی رتبة العصمة لو کان لذلک الموضوع الواقعیّ حکم واقعیّ وراء حکمه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تسدیده تعالی المعصوم بتسدیداته الخفیّة، عن اتّفاق مخالفته الواقع من أوّل عمره الشریف إلی آخره و إن کان ممکنا إلّا أنّه بعید جدّا؛ إذ لم یظهر له أثر من أخبارهم و آثارهم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أنّ فی سلوک الطرق الظاهریة وراء المعذوریة مصالح یتدارک بها مفاسد ما یتّفق فی سلوکها من مخالفة الواقع احتمال یتأتّی فی حقّ کلّ من سلک تلک الطرق، و لا اختصاص له بسلوک أهل العصمة، و لم یکن فارقا لرتبتهم عن رتبة من عداهم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فالالتزام باتّفاق مخالفة فعل المعصوم للواقع و لو مرّة واحدة، فی جمیع عمره بواسطة ما یقتضیه السلوک فی الطرق الظاهریة و الأصول العملیة فی الطهارة و النجاسة، و الحلّیة و الحرمة، و غیرها، سیما بالنسبة إلی زمانه القریب بعهد الإسلام أمر شاقّ لا یلتزم به إلّا العاقّ، فلا بدّ للمتفصّی عنه بالتزام التصویب فی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الشأن کلّ الشأن فی انحصار التفصّی بالتزامه، أو التزام التسدید، أو التدارک، أو غیرها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تعلم أنّه قذر</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 حتّی تعرف الحرام بعینه</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ظهورها فی الإرشاد و الإخبار عن الطهارة و الحلّیة الواقعیة لغیر المعلوم نجاسته و طهارته، و أنّه لا واقع لغیر المعلوم نجاسته و حرمته سوی الطهارة و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أورده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حیث سئل علیه السّلام عن الوضوء من کوز</w:t>
      </w:r>
      <w:r>
        <w:rPr>
          <w:rStyle w:val="FootnoteAnchor"/>
          <w:rtl w:val="true"/>
        </w:rPr>
        <w:footnoteReference w:id="20"/>
      </w:r>
      <w:r>
        <w:rPr>
          <w:rFonts w:ascii="IRNazanin" w:hAnsi="IRNazanin" w:eastAsia="IRNazanin"/>
          <w:color w:val="111111"/>
          <w:sz w:val="28"/>
          <w:sz w:val="28"/>
          <w:szCs w:val="28"/>
          <w:rtl w:val="true"/>
          <w:lang w:bidi="fa-IR"/>
        </w:rPr>
        <w:t>مخمّر الرأس أحبّ إلیک أم من فضل وضوء جماعة المسلمین؟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فضل وضوء المسلمین أحبّ إلیّ، لورود الشریعة السهلة السمحة</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نظرا إلی أنّ أحبیّته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مخالفته الواقع قویا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عدم ثبوت واقع، و أثر واقعیّ شرعا فی الموضوعات وراء حکمها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الأخبار المأثورة فی طریق سلوک المعصوم بالظواهر و الأصول، قولا و فعلا، التی یقف المتتبّع علیها فی مظانّها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تعیین القائل بالتصویب فی الموضوعات، و وجوه القول به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ثمرته فهو إجزاء الظواهر الشرعیة و الأصول العملیة بعد کشف الخلاف، فلو انکشف نجاسة ما ظنّه طاهرا، أو حرمة ما ظنّه حلالا، أو فساد ما ظنّه صحیحا فإنّه یترتّب آثار المنکشف من حین الانکشاف علی القول بالتصویب، و تلافی ما فات علی القول بعدمه، و ذلک لصیرورة الظواهر الشرعیة و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بالتصویب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الأمر الواقعی </w:t>
      </w:r>
      <w:bookmarkStart w:id="57" w:name="pg12850_121099"/>
    </w:p>
    <w:p>
      <w:pPr>
        <w:pStyle w:val="BookText"/>
        <w:rPr/>
      </w:pPr>
      <w:bookmarkEnd w:id="57"/>
      <w:r>
        <w:rPr>
          <w:rFonts w:ascii="IRNazanin" w:hAnsi="IRNazanin" w:eastAsia="IRNazanin"/>
          <w:color w:val="111111"/>
          <w:sz w:val="28"/>
          <w:sz w:val="28"/>
          <w:szCs w:val="28"/>
          <w:rtl w:val="true"/>
          <w:lang w:bidi="fa-IR"/>
        </w:rPr>
        <w:t>الاختیاری المجزیّ بعد کشف الخلاف اتّفاقا، و علی القول بعدمه من قبیل الأمر الظاهری الشرعیّ الغیر المجزیّ بعد الکشف عندنا معاشر المشهور</w:t>
      </w:r>
      <w:r>
        <w:rPr>
          <w:rFonts w:eastAsia="IRNazanin" w:cs="IRNazanin"/>
          <w:color w:val="111111"/>
          <w:sz w:val="28"/>
          <w:szCs w:val="28"/>
          <w:rtl w:val="true"/>
          <w:lang w:bidi="fa-IR"/>
        </w:rPr>
        <w:t>.</w:t>
      </w:r>
    </w:p>
    <w:p>
      <w:pPr>
        <w:pStyle w:val="Heading3"/>
        <w:numPr>
          <w:ilvl w:val="2"/>
          <w:numId w:val="1"/>
        </w:numPr>
        <w:rPr/>
      </w:pPr>
      <w:bookmarkStart w:id="58" w:name="__RefHeading___Toc2527042_3224264995"/>
      <w:bookmarkStart w:id="59" w:name="_Toc21"/>
      <w:bookmarkEnd w:id="58"/>
      <w:r>
        <w:rPr>
          <w:rtl w:val="true"/>
        </w:rPr>
        <w:t>[</w:t>
      </w:r>
      <w:r>
        <w:rPr>
          <w:rtl w:val="true"/>
        </w:rPr>
        <w:t>انقسام رأی الأخباریة فی حجّیة مطلق العلم</w:t>
      </w:r>
      <w:r>
        <w:rPr>
          <w:rtl w:val="true"/>
        </w:rPr>
        <w:t>]</w:t>
      </w:r>
      <w:bookmarkEnd w:id="59"/>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ما ذهب إلیه بعض الأخباریین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للأخباریة فی منعهم حجّیة مطلق العلم مذهبان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السیّد صدر الدّین</w:t>
      </w:r>
      <w:r>
        <w:rPr>
          <w:rStyle w:val="FootnoteAnchor"/>
          <w:rtl w:val="true"/>
        </w:rPr>
        <w:footnoteReference w:id="22"/>
      </w:r>
      <w:r>
        <w:rPr>
          <w:rFonts w:ascii="IRNazanin" w:hAnsi="IRNazanin" w:eastAsia="IRNazanin"/>
          <w:color w:val="111111"/>
          <w:sz w:val="28"/>
          <w:sz w:val="28"/>
          <w:szCs w:val="28"/>
          <w:rtl w:val="true"/>
          <w:lang w:bidi="fa-IR"/>
        </w:rPr>
        <w:t>و الفاضل التونی</w:t>
      </w:r>
      <w:r>
        <w:rPr>
          <w:rStyle w:val="FootnoteAnchor"/>
          <w:rtl w:val="true"/>
        </w:rPr>
        <w:footnoteReference w:id="23"/>
      </w:r>
      <w:r>
        <w:rPr>
          <w:rFonts w:ascii="IRNazanin" w:hAnsi="IRNazanin" w:eastAsia="IRNazanin"/>
          <w:color w:val="111111"/>
          <w:sz w:val="28"/>
          <w:sz w:val="28"/>
          <w:szCs w:val="28"/>
          <w:rtl w:val="true"/>
          <w:lang w:bidi="fa-IR"/>
        </w:rPr>
        <w:t>تبعا للزرکشی</w:t>
      </w:r>
      <w:r>
        <w:rPr>
          <w:rStyle w:val="FootnoteAnchor"/>
          <w:rtl w:val="true"/>
        </w:rPr>
        <w:footnoteReference w:id="24"/>
      </w:r>
      <w:r>
        <w:rPr>
          <w:rFonts w:ascii="IRNazanin" w:hAnsi="IRNazanin" w:eastAsia="IRNazanin"/>
          <w:color w:val="111111"/>
          <w:sz w:val="28"/>
          <w:sz w:val="28"/>
          <w:szCs w:val="28"/>
          <w:rtl w:val="true"/>
          <w:lang w:bidi="fa-IR"/>
        </w:rPr>
        <w:t>من منع الملازمة بین حکم العقل و الشرع، لکن لا لما یقوله الأشعریة من إنکار إدراک العقل الحسن و القبح أصلا، بل لزعمهم من أخبار البراءة أنّ العقل و إن أدرک الحسن و القبح إلا أنّ الشارع لم یرتّب علیهما الثواب و العقاب إلّا بعد بیانه بأحد طریقی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المحکیّ عن کلّ الأخباریة من منعهم اعتبار ما عدا الأخبار الوصویة من کلّ ما یحتمل فی سلوک طریقه المخالفة الواقعیة من کلّ علم، و عقل و نقل لم یبلغ طریقیته إلی الضرورة العادیة، المنسدّ عنها الاحتمالات العقلائیة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 هؤلاء و أولئک الأخباریة أنّ هؤلاء یسلّمون الملازمة بین حکم العقل و الشرع، إلا أنّهم یدّعون انحصار المصلحة المتدارک بها مخالفة الواقع المحتمل اتّفاقها فی السلوک بطریقة أخبار الوصویة دون سائر الطرق، بدعوی أنّ الضامن لتدارک ما یتّفق من المخالفة للواقع فی سلوک الطریق لیس إلّا فی سلوک طریق أخبار الأئمة علیهم السّلام لأنّهم إنّما ضمنوا تدارک ذلک لخصوص السالک فی طریق أخبارهم لکونه فی قبال السلوک فی طرق المخالفین، و الرکون إلیهم و إلی طریقتهم الضالّة المضلّة، بخلاف السلوک فی سائر الطرق، فإنّه لا ضامن لتدارک ما یحتمل اتّفاقه فیها</w:t>
      </w:r>
      <w:r>
        <w:rPr>
          <w:rFonts w:eastAsia="IRNazanin" w:cs="IRNazanin"/>
          <w:color w:val="111111"/>
          <w:sz w:val="28"/>
          <w:szCs w:val="28"/>
          <w:rtl w:val="true"/>
          <w:lang w:bidi="fa-IR"/>
        </w:rPr>
        <w:t xml:space="preserve">. </w:t>
      </w:r>
      <w:bookmarkStart w:id="60" w:name="pg12850_121100"/>
    </w:p>
    <w:p>
      <w:pPr>
        <w:pStyle w:val="BookText"/>
        <w:rPr/>
      </w:pPr>
      <w:bookmarkEnd w:id="60"/>
      <w:r>
        <w:rPr>
          <w:rFonts w:ascii="IRNazanin" w:hAnsi="IRNazanin" w:eastAsia="IRNazanin"/>
          <w:color w:val="111111"/>
          <w:sz w:val="28"/>
          <w:sz w:val="28"/>
          <w:szCs w:val="28"/>
          <w:rtl w:val="true"/>
          <w:lang w:bidi="fa-IR"/>
        </w:rPr>
        <w:t>و إذا عرفت کلّا من مذهبی الأخباریة و الفرق بینها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یصلح شاهدا للعلم المعتبر علی وجه الموضوعیة من سبب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مذهب بعضهم، و أنّه عبارة عن عدم اعتبار ما عدا العلم الحاصل من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مذهبهم الأوّل لا الثانی؛ فإنّ الثانی هو مذهب کلّهم لا بعضهم، و أنّه عبارة عن عدم اعتبار ما عدا العلم الحاصل من أخبار الوصویة لا عدم اعتبار ما عدا العلم الحاصل من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اعتبار القطع الحاصل من الکتاب و السنّة عند الأخباریة من باب الطریقیة، لا الموضوعیة حتی یکون مثالا للمصنّف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اعتبار العلم الطریقی لا یعقل اختصاصه بسبب دون سبب، فلا بدّ و أن یکون مراد الأخباریة من تخصیصهم اعتباره بالحاصل من الکتاب و السنّة دون الحاصل من العقل اعتباره علی وجه الموضوعیة لیتأتّی تفصیلهم فیه</w:t>
      </w:r>
      <w:r>
        <w:rPr>
          <w:rFonts w:eastAsia="IRNazanin" w:cs="IRNazanin"/>
          <w:color w:val="111111"/>
          <w:sz w:val="28"/>
          <w:szCs w:val="28"/>
          <w:rtl w:val="true"/>
          <w:lang w:bidi="fa-IR"/>
        </w:rPr>
        <w:t>.</w:t>
      </w:r>
    </w:p>
    <w:p>
      <w:pPr>
        <w:pStyle w:val="Heading3"/>
        <w:numPr>
          <w:ilvl w:val="2"/>
          <w:numId w:val="1"/>
        </w:numPr>
        <w:rPr/>
      </w:pPr>
      <w:bookmarkStart w:id="61" w:name="__RefHeading___Toc2527044_3224264995"/>
      <w:bookmarkStart w:id="62" w:name="_Toc22"/>
      <w:bookmarkEnd w:id="61"/>
      <w:r>
        <w:rPr>
          <w:rtl w:val="true"/>
        </w:rPr>
        <w:t>[</w:t>
      </w:r>
      <w:r>
        <w:rPr>
          <w:rtl w:val="true"/>
        </w:rPr>
        <w:t>وجه رجوع المقلّد إلی الغیر</w:t>
      </w:r>
      <w:r>
        <w:rPr>
          <w:rtl w:val="true"/>
        </w:rPr>
        <w:t>]</w:t>
      </w:r>
      <w:bookmarkEnd w:id="6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کحکم الشارع علی المقلّد بوجوب رجوعه إلی الغیر فی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الأمثلة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هذه الأمثلة لا تخلو من المناقشة، فإنّ حکم الشارع علی المقلّد بوجوب الرجوع إلی الغیر إذا علم به من الطرق الاجتهادیة المعهودة، لا من مثل الرمل و الجفر، لیس بالدلالة الأصلیّة المعتبرة عرفا، و إنّما هو بالدلالة التبعیة القهریة کدلالة الآیتین</w:t>
      </w:r>
      <w:r>
        <w:rPr>
          <w:rStyle w:val="FootnoteAnchor"/>
          <w:rtl w:val="true"/>
        </w:rPr>
        <w:footnoteReference w:id="25"/>
      </w:r>
      <w:r>
        <w:rPr>
          <w:rFonts w:ascii="IRNazanin" w:hAnsi="IRNazanin" w:eastAsia="IRNazanin"/>
          <w:color w:val="111111"/>
          <w:sz w:val="28"/>
          <w:sz w:val="28"/>
          <w:szCs w:val="28"/>
          <w:rtl w:val="true"/>
          <w:lang w:bidi="fa-IR"/>
        </w:rPr>
        <w:t xml:space="preserve">علی أقلّ الحمل، فإنّ ما حکم به الشارع بالأصالة هو رجوع المقلّد إلی الغیر، ثمّ استفید من ضمیمة نهیه عن الرّکون إلی قول الفاسق، و إلی الآخذ علمه من الطرق الغیر الاجتهادیة المعهودة تقیید الرجوع إلی العادل العالم من الطرق الاجتهادیة المعهودة بالدلالة التبعیّة </w:t>
      </w:r>
      <w:bookmarkStart w:id="63" w:name="pg12850_121101"/>
    </w:p>
    <w:p>
      <w:pPr>
        <w:pStyle w:val="BookText"/>
        <w:rPr/>
      </w:pPr>
      <w:bookmarkEnd w:id="63"/>
      <w:r>
        <w:rPr>
          <w:rFonts w:ascii="IRNazanin" w:hAnsi="IRNazanin" w:eastAsia="IRNazanin"/>
          <w:color w:val="111111"/>
          <w:sz w:val="28"/>
          <w:sz w:val="28"/>
          <w:szCs w:val="28"/>
          <w:rtl w:val="true"/>
          <w:lang w:bidi="fa-IR"/>
        </w:rPr>
        <w:t>القهریّة المتروکة فی نظر أرباب الفنّ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انحصار حکم الشارع برجوع المقلّد إلی الغیر العادل العالم المذکور بالدلالة التبعیة القهریة، بل قد حکم علی ما ذکر بالدلالة الأصلیة الصریحة،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من الفقهاء حافظا لدینه مخالفا لهواه مطیعا لأمر مولاه فعلی العوام أن یقلّدوه</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إلی غیر ذلک من الأخبار و الآثار الدالّة علی تقیید الرجوع إلی الغیر بعدالة المرجع، و تقیید علمه بالطرق الاجتهادیة بالدلالة الأصلیة الصریحة لا التبعیة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انحصار حکم الشارع بما ذکر بالدلالة التبعیّة القهریّة، إلا أنّا نمنع متروکیة هذه الدلالة فی نظر أرباب الفنّ بعد قیام قرینة اتفاق العقول علی تنزّه المتکلّم به عن الغفلة و الذهول، فإنّ متروکیّتها إنّما هو بالنظر إلی صدوره عمّن یجوز فی حقّه الغفلة و الذهول، و أمّا بالنظر إلی قرینة صدوره عن الحکیم بالإطلاق الملتفت دائما علی الأنفس و الآفاق فلا مجال لإنکار اعتباره، فتبیّن ارتفاع ما لعلّه یتوهّم من المناقشة فی الأمثلة المذکورة و إن کانت المناقشة فی المثال غیر عزیزة</w:t>
      </w:r>
      <w:r>
        <w:rPr>
          <w:rFonts w:eastAsia="IRNazanin" w:cs="IRNazanin"/>
          <w:color w:val="111111"/>
          <w:sz w:val="28"/>
          <w:szCs w:val="28"/>
          <w:rtl w:val="true"/>
          <w:lang w:bidi="fa-IR"/>
        </w:rPr>
        <w:t>.</w:t>
      </w:r>
    </w:p>
    <w:p>
      <w:pPr>
        <w:pStyle w:val="Heading3"/>
        <w:numPr>
          <w:ilvl w:val="2"/>
          <w:numId w:val="1"/>
        </w:numPr>
        <w:rPr/>
      </w:pPr>
      <w:bookmarkStart w:id="64" w:name="__RefHeading___Toc2527046_3224264995"/>
      <w:bookmarkStart w:id="65" w:name="_Toc23"/>
      <w:bookmarkEnd w:id="64"/>
      <w:r>
        <w:rPr>
          <w:rtl w:val="true"/>
        </w:rPr>
        <w:t>[</w:t>
      </w:r>
      <w:r>
        <w:rPr>
          <w:rtl w:val="true"/>
        </w:rPr>
        <w:t>قیام الأمارات و بعض الاصول العملیة مقام القطع</w:t>
      </w:r>
      <w:r>
        <w:rPr>
          <w:rtl w:val="true"/>
        </w:rPr>
        <w:t>]</w:t>
      </w:r>
      <w:bookmarkEnd w:id="6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خواصّ القطع الذی هو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الأمارات الشرعیة و بعض الأصول العملیة مقامه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وجه قیام الأمارات مقامه فلعدم الفرق بینها و بین القطع فی أصل الطریقیة و الکاشفیة عن الواقع إلّا من حیث الکیفیّة، حیث إنّ القطع بنفسه طریق إلیه، و الأمارات بواسطة جعل الشارع و إمضائه طریقیتها و کاشفیتها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قیام بعض الاصول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 البعض خصوص ما نزّله </w:t>
      </w:r>
      <w:bookmarkStart w:id="66" w:name="pg12850_121102"/>
    </w:p>
    <w:p>
      <w:pPr>
        <w:pStyle w:val="BookText"/>
        <w:rPr/>
      </w:pPr>
      <w:bookmarkEnd w:id="66"/>
      <w:r>
        <w:rPr>
          <w:rFonts w:ascii="IRNazanin" w:hAnsi="IRNazanin" w:eastAsia="IRNazanin"/>
          <w:color w:val="111111"/>
          <w:sz w:val="28"/>
          <w:sz w:val="28"/>
          <w:szCs w:val="28"/>
          <w:rtl w:val="true"/>
          <w:lang w:bidi="fa-IR"/>
        </w:rPr>
        <w:t>الشارع منزلة الواقع و العلم، لمصلحة من المصالح و إن کان نادر المطابقة للواقع، و هو ما عدا البراءة و الاحتیاط من سائر الاصول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لا معنی لتنزیل الأصل منزلة الواقع و العلم به إلّا قیامه مقام الواقع و العلم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اللازم من ذلک هو ترتیب جمیع آثار الواقع علی الأصل کما یترتّب جمیعها علی الأمارة، و الحال أنّ المشهور لم یرتّبوا علی الأصل ما عدا الآثار الشرعیة الثابتة للمعلوم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الأصل و الأمارة أنّ اعتبار الأصل من باب التنزیل منزلة الواقع تعبّدا لأجل مصلحة غیر مصلحة المطابقة للواقع، بخلاف الأمارة فإنّ اعتبارها إنّما هو من أجل مطابقتها للواقع و کاشفیّتها عنه و لو بحسب الغالب، و من المعلوم أنّ ما عدا الآثار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کالآثار العقلیة و العادیة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لوازم واقعیة الشی‌ء المفروض عدم العلم به فی مورد الأصل، لا من لوازم التعبّد به و تنزیله منزلة الواقع فی الآثار الشرعیة، إلّا عند الزاعمین حجّیة الأصل المثبت، بمعنی ترتیب جمیع لوازمه علیه شرعیة کانت أو غیرها</w:t>
      </w:r>
      <w:r>
        <w:rPr>
          <w:rFonts w:eastAsia="IRNazanin" w:cs="IRNazanin"/>
          <w:color w:val="111111"/>
          <w:sz w:val="28"/>
          <w:szCs w:val="28"/>
          <w:rtl w:val="true"/>
          <w:lang w:bidi="fa-IR"/>
        </w:rPr>
        <w:t>.</w:t>
      </w:r>
    </w:p>
    <w:p>
      <w:pPr>
        <w:pStyle w:val="Heading3"/>
        <w:numPr>
          <w:ilvl w:val="2"/>
          <w:numId w:val="1"/>
        </w:numPr>
        <w:rPr/>
      </w:pPr>
      <w:bookmarkStart w:id="67" w:name="__RefHeading___Toc2527048_3224264995"/>
      <w:bookmarkStart w:id="68" w:name="_Toc24"/>
      <w:bookmarkEnd w:id="67"/>
      <w:r>
        <w:rPr>
          <w:rtl w:val="true"/>
        </w:rPr>
        <w:t>[</w:t>
      </w:r>
      <w:r>
        <w:rPr>
          <w:rtl w:val="true"/>
        </w:rPr>
        <w:t>حدّ تنزیل الإمارات و الاصول التنزیلیة منزلة القطع</w:t>
      </w:r>
      <w:r>
        <w:rPr>
          <w:rtl w:val="true"/>
        </w:rPr>
        <w:t>]</w:t>
      </w:r>
      <w:bookmarkEnd w:id="6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یقم مقامه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ما اعتبره الشارع من الأمارات و الاصول التنزیلیة لیس معناه إلّا ترتیب آثار العلم علیه مطلقا، أو خصوص آثاره الشرعیة، لا أنّ معناه قلب ماهیّة غیر العلم بالعلم حتّی یقوم مقام العلم، حتی فی الآثار المنوطة بماهیّة العلم علی وجه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المقصود من أخذ العلم موضوعا فی الحکم لفظا کونه موضوعا قصدا فما وجه اعتباره فیه لفظا؟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طرز العقلاء و أهل العرف جاریة علی أخذ ما لا مدخلیة له فی الحکم قصدا علی وجه الموضوعیة صورة من مقدّمات الأحکام و مقارناته إرشادا </w:t>
      </w:r>
    </w:p>
    <w:p>
      <w:pPr>
        <w:pStyle w:val="BookText"/>
        <w:rPr/>
      </w:pPr>
      <w:r>
        <w:rPr>
          <w:rFonts w:ascii="IRNazanin" w:hAnsi="IRNazanin" w:eastAsia="IRNazanin"/>
          <w:color w:val="111111"/>
          <w:sz w:val="28"/>
          <w:sz w:val="28"/>
          <w:szCs w:val="28"/>
          <w:rtl w:val="true"/>
          <w:lang w:bidi="fa-IR"/>
        </w:rPr>
        <w:t xml:space="preserve">إلی طریق الحکم بوجه المتعارف، أو توضیحا لتسهیل المطلوب، أو تقریبه، أو غیر ذلک من النکات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فتلخّص ممّا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 العلم و الظنّ إمّا طریق إلی الواقع، أو مأخوذ فی الحکم علی وجه الموضوعیة لفظا، و علی الثانی إمّا أن یظهر من دلیل ذلک الحکم اعتبار العلم، أو الظنّ المأخوذ فی الحکم علی وجه الطریقیة، أو علی وجه الموضوعیة، أو لا یظهر من دلیل ذلک الحکم تعیین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خواصّ الطریقیة بأیّ من وجهیها قیام الأمارات و الأصول التنزیلیة مقامه، کما أنّ من خواصّ الموضوعیة عدم قیامها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لا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ما لم یعلم کونه مأخوذا بأیّ من وجهی الموضوعیة و الطریقیة لیلحقه خواصّ ذلک الوجه، فهل یلحق بالطریقیة، أو بالموضوعیة فی الخواصّ، أو یتوقّف؟ وجوه، من أغلبیة کونه طریقا بحسب الإرادة، و من أظهریة کون المأخوذ فی الموضوع موضوعا بحسب الدلالة، فیتعارضان، و المرجع بعده إلی أصالة عدم مدخلیة العلم فی موضوع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 إن عورض بأصالة عدم مدخلیة الموضوع وحده فی الحکم لأنّ الشکّ فی مدخلیة العلم فی الحکم أو استقلال الموضوع فی المدخلیة، شکّ فی الحادث لا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أصالة عدم مدخلیة العلم لمّا کان له أثر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قیام الأمارات و الاصول التنزیلیة مقام العلم و إن کان من الآثار الوضعیة و لم یکن لأصالة عدم استقلال الموضوع فی المدخلیة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الأصل الأوّل علی الثانی، لصیرورته فی حکم الشکّ فی الحدوث بعد اختصاص الأثر به، فتدبّر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قیام بعض الأمارات أو الاصول التنزیلیة مقام ذلک العلم أو الظنّ المشکوک کونه مأخوذا فی الحکم علی وجه الطریقیة أو الموضوعیة فلیس کاشفا بمجرّده عن کونه مأخوذا فیه علی وجه الطریقیة، کما قد یتوهّم، بل هو </w:t>
      </w:r>
      <w:bookmarkStart w:id="69" w:name="pg12850_121104"/>
    </w:p>
    <w:p>
      <w:pPr>
        <w:pStyle w:val="BookText"/>
        <w:rPr/>
      </w:pPr>
      <w:bookmarkEnd w:id="69"/>
      <w:r>
        <w:rPr>
          <w:rFonts w:ascii="IRNazanin" w:hAnsi="IRNazanin" w:eastAsia="IRNazanin"/>
          <w:color w:val="111111"/>
          <w:sz w:val="28"/>
          <w:sz w:val="28"/>
          <w:szCs w:val="28"/>
          <w:rtl w:val="true"/>
          <w:lang w:bidi="fa-IR"/>
        </w:rPr>
        <w:t>تابع لما یستفاد من دلیل قیام القائم مقامه من کون القیام مقامه من قبیل الإلحاق الاسمیّ أو الحکمیّ، کما أنّ إلحاق بعض الأفراد النادرة بالمطلق فی الاستکشاف عن إرادة سائر الأفراد النادرة منه، و عدم استکشافه عنه تابع لتشخیص کون الإلحاق اسمیّا أو حکمیا من دلیل الإلحاق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 من جملة خواصّ الطریق المنجعل، کالعلم الفارق بینه و بین الطریق المجعول کالظنّ هو أنّ کلّا منهما و إن کان طریقا بالنسبة إلی نفس متعلّقه الآثار المنجعلة لمتعلّقه کالسکریة للخمر و الإسهال للسقمونیا، إلّا أنّ الطریق المجعول موضوع بالنسبة إلی الأحکام المجعولة التی رتّبها الجاعل علی متعلّقه، و الطریق المنجعل طریق بالنسبة إلیها و بالنسبة إلی نفس متعلّقه و الآثار المنجعلة اللازمة لمتعلّقه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الثمرة فی صورة انکشاف الخلاف، مثلا إذا کان من أحکام المجعولة للخمر وجوب الأخذ من شاربه عشرة دراهم فأخذ من شاربه ذلک المبلغ، ثمّ انکشف عدم مصادفة 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المعتقد کونه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استرجع المبلغ المأخوذ منه إذا کان الشارب عالما بخمریّة ما شربه لکون العلم کما هو طریق بالنسبة إلی نفس متعلّقه و آثاره المنجعلة کذلک هو طریق بالنسبة إلی الحکم المجعول لمتعلّقه، و لم یسترجع المبلغ المذکور منه إذا کان ظانّا بخمریّة المشروب؛ لأنّ معنی حجّیة الظنّ و کونه طریقا مجعولا لا منجعلا، هو کونه موضوعا بالنسبة إلی الأحکام المجعولة التی رتّبها الجاعل علی متعلّقه، من وجوب الحدّ علیه و نحوه، لا طریقا مطلقا کالعلم</w:t>
      </w:r>
      <w:r>
        <w:rPr>
          <w:rFonts w:eastAsia="IRNazanin" w:cs="IRNazanin"/>
          <w:color w:val="111111"/>
          <w:sz w:val="28"/>
          <w:szCs w:val="28"/>
          <w:rtl w:val="true"/>
          <w:lang w:bidi="fa-IR"/>
        </w:rPr>
        <w:t>.</w:t>
      </w:r>
    </w:p>
    <w:p>
      <w:pPr>
        <w:pStyle w:val="Heading3"/>
        <w:numPr>
          <w:ilvl w:val="2"/>
          <w:numId w:val="1"/>
        </w:numPr>
        <w:rPr/>
      </w:pPr>
      <w:bookmarkStart w:id="70" w:name="__RefHeading___Toc2527050_3224264995"/>
      <w:bookmarkStart w:id="71" w:name="_Toc25"/>
      <w:bookmarkEnd w:id="70"/>
      <w:r>
        <w:rPr>
          <w:rtl w:val="true"/>
        </w:rPr>
        <w:t>[</w:t>
      </w:r>
      <w:r>
        <w:rPr>
          <w:rtl w:val="true"/>
        </w:rPr>
        <w:t>التجرّی</w:t>
      </w:r>
      <w:r>
        <w:rPr>
          <w:rtl w:val="true"/>
        </w:rPr>
        <w:t>]</w:t>
      </w:r>
      <w:bookmarkEnd w:id="71"/>
    </w:p>
    <w:p>
      <w:pPr>
        <w:pStyle w:val="Heading4"/>
        <w:numPr>
          <w:ilvl w:val="3"/>
          <w:numId w:val="1"/>
        </w:numPr>
        <w:rPr/>
      </w:pPr>
      <w:bookmarkStart w:id="72" w:name="__RefHeading___Toc2527052_3224264995"/>
      <w:bookmarkStart w:id="73" w:name="_Toc26"/>
      <w:bookmarkEnd w:id="72"/>
      <w:r>
        <w:rPr>
          <w:rtl w:val="true"/>
        </w:rPr>
        <w:t>اشارة</w:t>
      </w:r>
      <w:bookmarkEnd w:id="7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لکنّ الکلام فی أنّ قطعه هذا هل هو حجّة علیه من الشارع و إن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تشخیص أنّ هذه المسألة المعروفة بمسألة التجرّی، هل هی من </w:t>
      </w:r>
    </w:p>
    <w:p>
      <w:pPr>
        <w:pStyle w:val="BookText"/>
        <w:rPr/>
      </w:pPr>
      <w:r>
        <w:rPr>
          <w:rFonts w:ascii="IRNazanin" w:hAnsi="IRNazanin" w:eastAsia="IRNazanin"/>
          <w:color w:val="111111"/>
          <w:sz w:val="28"/>
          <w:sz w:val="28"/>
          <w:szCs w:val="28"/>
          <w:rtl w:val="true"/>
          <w:lang w:bidi="fa-IR"/>
        </w:rPr>
        <w:t>مسائل الفقه، الذی هو العلم بالأحکام الشرعیة الفرعیة عن أدلّتها التفصیلیة، أم من مسائل الحکمة، الذی هو العلم بحقائق الأشیاء علی حسب الطاقة البشریة، أم من مسائل الکلام، الذی هو العلم بأحوال واجب الوجود ممّا یصحّ و یحسن أو یمتنع و یصحّ علیه؟</w:t>
      </w:r>
    </w:p>
    <w:p>
      <w:p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فیها قابل للشئون الثلاثة، لأنّ سوق الکلام فیها من حیث تشخیص کون التجرّی و شرب مقطوع الخمریة حرّمه الشارع بعنوان تحریمه الخمر، أو التجرّی، أو التجاهر بخبث السریرة، أو معونة الظلم أو غیر ذلک من العناوین المحرّمة شرعا، أو لم یحرّمه بعنوان من عناوین الحرمة کلام فی مسألة فقهیة، و شبهة حکمیة، و من حیث تشخیص کونه فعلا قبیحا کالظلم، أو غیر قبیح کلام فی مسألة عقلیة، و شبهة 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الکلام فیها علی تقدیر کونها مسألة عقلیة کلام فی مسألة کلامیة من حیث تشخیص صحّة إناطة الشارع العقاب به و امتناعه، و کلام فی مسألة حکمیة من حیث تشخیص أنّ حقیقة العصیان منوط بمجرّد التجرّی، و الإطاعة بمجرّد الانقیاد و توطین النفس من غیر مدخلیة المصادفة للواقع فی حقیقتهما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حقیقة العصیان مجرّد مخالفة المطلوب الواقعیّ من غیر مدخلیة التجرّی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کلّا من التجرّی و المصادفة علّة تامّة للعصیان، و کلّا من الانقیاد و المصادفة علّة تامّة للإطاعة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حقیقة العصیان هو المجموع المرکّب من التجرّی مع مصادفته مخالفة المطلوب الواقعی و حقیقة الإطاعة هو المجموع المرکّب من الانقیاد مع مصادفته موافقة المطلوب الواقعی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أنّ حقیقة العصیان أمر ثالث خارج عن کلیهما، و هو مجرّد خبث </w:t>
      </w:r>
      <w:bookmarkStart w:id="74" w:name="pg12850_121106"/>
    </w:p>
    <w:p>
      <w:pPr>
        <w:pStyle w:val="BookText"/>
        <w:rPr/>
      </w:pPr>
      <w:bookmarkEnd w:id="74"/>
      <w:r>
        <w:rPr>
          <w:rFonts w:ascii="IRNazanin" w:hAnsi="IRNazanin" w:eastAsia="IRNazanin"/>
          <w:color w:val="111111"/>
          <w:sz w:val="28"/>
          <w:sz w:val="28"/>
          <w:szCs w:val="28"/>
          <w:rtl w:val="true"/>
          <w:lang w:bidi="fa-IR"/>
        </w:rPr>
        <w:t>السریرة الکاشف عنه التجری، و حقیقة الإطاعة مجرّد صفاء الذات، و حسن السریرة، الکاشف عنه الانقیاد و إن کان طریق العقلاء فی إحسانهم و سیاساتهم جار علی أنّ إناطة الثواب و العقاب بنفس المکشوف عنه من غیر کاشف غیر قاطع للعذر و الاعتذار</w:t>
      </w:r>
      <w:r>
        <w:rPr>
          <w:rFonts w:eastAsia="IRNazanin" w:cs="IRNazanin"/>
          <w:color w:val="111111"/>
          <w:sz w:val="28"/>
          <w:szCs w:val="28"/>
          <w:rtl w:val="true"/>
          <w:lang w:bidi="fa-IR"/>
        </w:rPr>
        <w:t>.</w:t>
      </w:r>
    </w:p>
    <w:p>
      <w:pPr>
        <w:pStyle w:val="Heading4"/>
        <w:numPr>
          <w:ilvl w:val="3"/>
          <w:numId w:val="1"/>
        </w:numPr>
        <w:rPr/>
      </w:pPr>
      <w:bookmarkStart w:id="75" w:name="__RefHeading___Toc2527054_3224264995"/>
      <w:bookmarkStart w:id="76" w:name="_Toc27"/>
      <w:bookmarkEnd w:id="75"/>
      <w:r>
        <w:rPr>
          <w:rtl w:val="true"/>
        </w:rPr>
        <w:t>[</w:t>
      </w:r>
      <w:r>
        <w:rPr>
          <w:rtl w:val="true"/>
        </w:rPr>
        <w:t>بحث التجرّی مسألة فقهیة أو اصولیة أو غیرهما</w:t>
      </w:r>
      <w:r>
        <w:rPr>
          <w:rtl w:val="true"/>
        </w:rPr>
        <w:t>]</w:t>
      </w:r>
      <w:bookmarkEnd w:id="76"/>
    </w:p>
    <w:p>
      <w:pPr>
        <w:pStyle w:val="BookText"/>
        <w:rPr/>
      </w:pPr>
      <w:r>
        <w:rPr>
          <w:rFonts w:ascii="IRNazanin" w:hAnsi="IRNazanin" w:eastAsia="IRNazanin"/>
          <w:color w:val="111111"/>
          <w:sz w:val="28"/>
          <w:sz w:val="28"/>
          <w:szCs w:val="28"/>
          <w:rtl w:val="true"/>
          <w:lang w:bidi="fa-IR"/>
        </w:rPr>
        <w:t>و أمّا احتمال کونها من مسائل أصل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الباحثة عن أحوال الدلیل و القواعد الممهّدة للاستنباط الأحکام الشرعیة الفرعیة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له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إمکان فرضها من مسائل الاصول الملحقة بأدلّتها العقلیة بسوق الکلام فیها فی تشخیص قبح التجرّی و عدم قبحه مدفوع؛ بأنّ المسألة الاصولیة فی الأدلّة العقلیة إنّما هو تشخیص الکبریات، أعنی حجّیة حکم العقل بقبح الظلم و حسن الإحسان، لا تشخیص الصغریات، أعنی کون الظلم قبیحا عقلا أم لا؟</w:t>
      </w:r>
    </w:p>
    <w:p>
      <w:pPr>
        <w:pStyle w:val="BookText"/>
        <w:rPr/>
      </w:pPr>
      <w:r>
        <w:rPr>
          <w:rFonts w:ascii="IRNazanin" w:hAnsi="IRNazanin" w:eastAsia="IRNazanin"/>
          <w:color w:val="111111"/>
          <w:sz w:val="28"/>
          <w:sz w:val="28"/>
          <w:szCs w:val="28"/>
          <w:rtl w:val="true"/>
          <w:lang w:bidi="fa-IR"/>
        </w:rPr>
        <w:t>لیفرض مسألة التجرّی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یبحث الاصولی کغیره من أرباب الفنون عمّا هو خارج عن موضوع فنّه لأجل الاستطراد، أو غرض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فی مسألة التجرّی کلام فی مسألة عقلیة، علی ما سیصرّح به المصنّف فی طیّ کلامه</w:t>
      </w:r>
      <w:r>
        <w:rPr>
          <w:rStyle w:val="FootnoteAnchor"/>
          <w:rtl w:val="true"/>
        </w:rPr>
        <w:footnoteReference w:id="27"/>
      </w:r>
      <w:r>
        <w:rPr>
          <w:rFonts w:ascii="IRNazanin" w:hAnsi="IRNazanin" w:eastAsia="IRNazanin"/>
          <w:color w:val="111111"/>
          <w:sz w:val="28"/>
          <w:sz w:val="28"/>
          <w:szCs w:val="28"/>
          <w:rtl w:val="true"/>
          <w:lang w:bidi="fa-IR"/>
        </w:rPr>
        <w:t>و إن احتمل کونها مسألة فقهیة أیضا</w:t>
      </w:r>
      <w:r>
        <w:rPr>
          <w:rFonts w:eastAsia="IRNazanin" w:cs="IRNazanin"/>
          <w:color w:val="111111"/>
          <w:sz w:val="28"/>
          <w:szCs w:val="28"/>
          <w:rtl w:val="true"/>
          <w:lang w:bidi="fa-IR"/>
        </w:rPr>
        <w:t>.</w:t>
      </w:r>
    </w:p>
    <w:p>
      <w:pPr>
        <w:pStyle w:val="Heading4"/>
        <w:numPr>
          <w:ilvl w:val="3"/>
          <w:numId w:val="1"/>
        </w:numPr>
        <w:rPr/>
      </w:pPr>
      <w:bookmarkStart w:id="77" w:name="__RefHeading___Toc2527056_3224264995"/>
      <w:bookmarkStart w:id="78" w:name="_Toc28"/>
      <w:bookmarkEnd w:id="77"/>
      <w:r>
        <w:rPr>
          <w:rtl w:val="true"/>
        </w:rPr>
        <w:t>[</w:t>
      </w:r>
      <w:r>
        <w:rPr>
          <w:rtl w:val="true"/>
        </w:rPr>
        <w:t>مصبّ النزاع فی حکم التجرّی</w:t>
      </w:r>
      <w:r>
        <w:rPr>
          <w:rtl w:val="true"/>
        </w:rPr>
        <w:t>]</w:t>
      </w:r>
      <w:bookmarkEnd w:id="78"/>
    </w:p>
    <w:p>
      <w:pPr>
        <w:pStyle w:val="BookText"/>
        <w:rPr/>
      </w:pPr>
      <w:r>
        <w:rPr>
          <w:rFonts w:ascii="IRNazanin" w:hAnsi="IRNazanin" w:eastAsia="IRNazanin"/>
          <w:color w:val="111111"/>
          <w:sz w:val="28"/>
          <w:sz w:val="28"/>
          <w:szCs w:val="28"/>
          <w:rtl w:val="true"/>
          <w:lang w:bidi="fa-IR"/>
        </w:rPr>
        <w:t>ثمّ إنّ النزاع فی قبح التجرّی و حرمته لیس فی قبحه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کشفه عن قبح فاعله و خبث سریرته مع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قبح الذات و خبث السریرة ممّا لا خلاف فیه و لا اشکال، کما هو المصرّح به فی غیر موضع من کلام المصنف، و لا فی قبحه و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قبح قصده مخالفة المولی و حرمة عزمه المخالفة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حرمة العزم علی المعصیة ممّا لا خلاف فی بعض أقسامه علی ما ستعرف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الکلام فی قبح الفعل المتجرّی به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قبح الفعل الکاشف عن خبث الفاعل، لا فی قبح </w:t>
      </w:r>
      <w:bookmarkStart w:id="79" w:name="pg12850_121107"/>
    </w:p>
    <w:p>
      <w:pPr>
        <w:pStyle w:val="BookText"/>
        <w:rPr/>
      </w:pPr>
      <w:bookmarkEnd w:id="79"/>
      <w:r>
        <w:rPr>
          <w:rFonts w:ascii="IRNazanin" w:hAnsi="IRNazanin" w:eastAsia="IRNazanin"/>
          <w:color w:val="111111"/>
          <w:sz w:val="28"/>
          <w:sz w:val="28"/>
          <w:szCs w:val="28"/>
          <w:rtl w:val="true"/>
          <w:lang w:bidi="fa-IR"/>
        </w:rPr>
        <w:t>المکشوف عنه، و هو خبث الفاعل و سوء سریرته، و أیضا الکلام فی قبح نفس ذلک الفعل الکاشف المقارن لعزم المخالفة، لا فی قبح العزم المقارن لذلک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 دفع ما لعلّه یتوهّم من المنافاة بین إنکار المصنّف فی أوائل کلامه قبح التجرّی</w:t>
      </w:r>
      <w:r>
        <w:rPr>
          <w:rStyle w:val="FootnoteAnchor"/>
          <w:rtl w:val="true"/>
        </w:rPr>
        <w:footnoteReference w:id="28"/>
      </w:r>
      <w:r>
        <w:rPr>
          <w:rFonts w:ascii="IRNazanin" w:hAnsi="IRNazanin" w:eastAsia="IRNazanin"/>
          <w:color w:val="111111"/>
          <w:sz w:val="28"/>
          <w:sz w:val="28"/>
          <w:szCs w:val="28"/>
          <w:rtl w:val="true"/>
          <w:lang w:bidi="fa-IR"/>
        </w:rPr>
        <w:t>، و بین إصراره علی قبحه</w:t>
      </w:r>
      <w:r>
        <w:rPr>
          <w:rStyle w:val="FootnoteAnchor"/>
          <w:rtl w:val="true"/>
        </w:rPr>
        <w:footnoteReference w:id="29"/>
      </w:r>
      <w:r>
        <w:rPr>
          <w:rFonts w:ascii="IRNazanin" w:hAnsi="IRNazanin" w:eastAsia="IRNazanin"/>
          <w:color w:val="111111"/>
          <w:sz w:val="28"/>
          <w:sz w:val="28"/>
          <w:szCs w:val="28"/>
          <w:rtl w:val="true"/>
          <w:lang w:bidi="fa-IR"/>
        </w:rPr>
        <w:t>فی جواب صاحب الفصول، فإنّ إنکاره ناظر إلی إنکار حرمة الفعل المقارن لعزم المخالفة، و إصراره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إلی أحد القبحین الأخیرین</w:t>
      </w:r>
      <w:r>
        <w:rPr>
          <w:rFonts w:eastAsia="IRNazanin" w:cs="IRNazanin"/>
          <w:color w:val="111111"/>
          <w:sz w:val="28"/>
          <w:szCs w:val="28"/>
          <w:rtl w:val="true"/>
          <w:lang w:bidi="fa-IR"/>
        </w:rPr>
        <w:t>.</w:t>
      </w:r>
    </w:p>
    <w:p>
      <w:pPr>
        <w:pStyle w:val="Heading4"/>
        <w:numPr>
          <w:ilvl w:val="3"/>
          <w:numId w:val="1"/>
        </w:numPr>
        <w:rPr/>
      </w:pPr>
      <w:bookmarkStart w:id="80" w:name="__RefHeading___Toc2527058_3224264995"/>
      <w:bookmarkStart w:id="81" w:name="_Toc29"/>
      <w:bookmarkEnd w:id="80"/>
      <w:r>
        <w:rPr>
          <w:rtl w:val="true"/>
        </w:rPr>
        <w:t>[</w:t>
      </w:r>
      <w:r>
        <w:rPr>
          <w:rtl w:val="true"/>
        </w:rPr>
        <w:t>الأقوال فی حکم مسألة التجرّی</w:t>
      </w:r>
      <w:r>
        <w:rPr>
          <w:rtl w:val="true"/>
        </w:rPr>
        <w:t>]</w:t>
      </w:r>
      <w:bookmarkEnd w:id="81"/>
    </w:p>
    <w:p>
      <w:pPr>
        <w:pStyle w:val="BookText"/>
        <w:rPr/>
      </w:pPr>
      <w:r>
        <w:rPr>
          <w:rFonts w:ascii="IRNazanin" w:hAnsi="IRNazanin" w:eastAsia="IRNazanin"/>
          <w:color w:val="111111"/>
          <w:sz w:val="28"/>
          <w:sz w:val="28"/>
          <w:szCs w:val="28"/>
          <w:rtl w:val="true"/>
          <w:lang w:bidi="fa-IR"/>
        </w:rPr>
        <w:t>و إذ قد عرفت تشخیص المسألة، و تشخیص محلّ النزاع منها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اختلفوا فی حکم المسألة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المصنّف</w:t>
      </w:r>
      <w:r>
        <w:rPr>
          <w:rStyle w:val="FootnoteAnchor"/>
          <w:rtl w:val="true"/>
        </w:rPr>
        <w:footnoteReference w:id="30"/>
      </w:r>
      <w:r>
        <w:rPr>
          <w:rFonts w:ascii="IRNazanin" w:hAnsi="IRNazanin" w:eastAsia="IRNazanin"/>
          <w:color w:val="111111"/>
          <w:sz w:val="28"/>
          <w:sz w:val="28"/>
          <w:szCs w:val="28"/>
          <w:rtl w:val="true"/>
          <w:lang w:bidi="fa-IR"/>
        </w:rPr>
        <w:t>تبعا لغیر واحد من الأعلام من إناطة المعصیة المترتّب علیها الحساب و العقاب بمصادفة الحرام الواقعی، لا بمجرّد التجرّی و إن لم یصادف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بعضهم من إناطتها بالفعل المتجرّی به سواء صادف الحرام واقعا أم لم یصادف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السیّد صدر الدین من إناطتها بالمجموع المرکّب من التجرّی و المصادفة للحرام، أعنی بمجموع الفعل المصادف و المصادف، و هما شرب مقطوع الخمریة مع خمریّته الواقعیة المصادفة له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الفصول و محصّل مرامه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یظهر من کلامه</w:t>
      </w:r>
      <w:r>
        <w:rPr>
          <w:rStyle w:val="FootnoteAnchor"/>
          <w:rtl w:val="true"/>
        </w:rPr>
        <w:footnoteReference w:id="31"/>
      </w:r>
      <w:r>
        <w:rPr>
          <w:rFonts w:ascii="IRNazanin" w:hAnsi="IRNazanin" w:eastAsia="IRNazanin"/>
          <w:color w:val="111111"/>
          <w:sz w:val="28"/>
          <w:sz w:val="28"/>
          <w:szCs w:val="28"/>
          <w:rtl w:val="true"/>
          <w:lang w:bidi="fa-IR"/>
        </w:rPr>
        <w:t>المنقول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کلّا من التجرّی و المصادفة سبب مستقلّ فی العصیان و الحرمة، لکن لا علی وجه السببیة الذاتیة، بل علی وجه تختلف بالوجوه و الاعتبار، فلا بدّ أن یلاحظ الجهة الواقعیة من الحسن و القبح الذاتی، و الجهة الظاهریة الناشئة من </w:t>
      </w:r>
    </w:p>
    <w:p>
      <w:pPr>
        <w:pStyle w:val="BookText"/>
        <w:rPr/>
      </w:pPr>
      <w:r>
        <w:rPr>
          <w:rFonts w:ascii="IRNazanin" w:hAnsi="IRNazanin" w:eastAsia="IRNazanin"/>
          <w:color w:val="111111"/>
          <w:sz w:val="28"/>
          <w:sz w:val="28"/>
          <w:szCs w:val="28"/>
          <w:rtl w:val="true"/>
          <w:lang w:bidi="fa-IR"/>
        </w:rPr>
        <w:t>الانقیاد و التجری، فعند توافقهما یتداخل العقاب المترتّب علی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تعارضهما فإن تکافئا و لم یکن مرجّح تساقطا، و لم یترتّب شی‌ء علی الفعل الموجب للانقیاد أو التجرّی، و إلّا فیترتّب علیه ما یقتضیه الراجح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بلغ الحسن الذاتی فی الفعل علی حدّ الوجوب، و القبح الناشئ عن التجرّی علی حدّ الحرمة، أو بالعکس فیتعارضان و یتساقطان و لا بترتّب شی‌ء علی الفعل المتجرّی به، أو المنقاد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غلبت إحدی الجهتین علی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بلغ الحسن الذاتی علی حدّ الندب و القبح الناشئ عن التجرّی علی حدّ الحرمة أو القبح الذاتی علی حدّ الکراهة و الحسن الناشئ عن الانقیاد علی حدّ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فیترتّب علی الفعل المتجرّی به أو المنقاد به ما زاد عمّا یوازی الذات حسنا و قبحا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التفصیل المتوهّم فی المسألة بین القطع الموضوعیّ فیترتّب علی التجرّی بمخالفته الحرمة و العقاب، و الطریقی فلا یترتّب، فراجع إلی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إناطة الحرمة بمصادفة الواقع لا بمجرّد التجرّی و إن لم یصادف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محلّ النزاع فی المسألة إنّما هو فی مخالفة القطع الطریقی، و أمّا القطع الموضوعی فلا خلاف فی حرمة التجرّی بمخالفته و إن لم یصادف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القول بإناطة المعصیة و الحرمة من حیث الفعل بمصادفة المتجرّی به للحرام الواقعی فهو انصراف موضوع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کالخمر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الموضوع الواقعیّ، دون الأعمّ منه و من المتخیّل کونه هو، فلا یشمل حرمة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ما یشرب بخیال أنّه خمر، لأنّ ما شربه غیر خمر، و ما تخیّله غیر مشروب، فلا وجه لحرمة فعل الشرب من حیث هو شرب، و ترتّب العقاب علیه من تلک الحیثیة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وجه القول بحرمة نفس الفعل المتجرّی و إناطة المعصیة و العقاب به </w:t>
      </w:r>
      <w:bookmarkStart w:id="82" w:name="pg12850_121109"/>
    </w:p>
    <w:p>
      <w:pPr>
        <w:pStyle w:val="BookText"/>
        <w:rPr/>
      </w:pPr>
      <w:bookmarkEnd w:id="82"/>
      <w:r>
        <w:rPr>
          <w:rFonts w:ascii="IRNazanin" w:hAnsi="IRNazanin" w:eastAsia="IRNazanin"/>
          <w:color w:val="111111"/>
          <w:sz w:val="28"/>
          <w:sz w:val="28"/>
          <w:szCs w:val="28"/>
          <w:rtl w:val="true"/>
          <w:lang w:bidi="fa-IR"/>
        </w:rPr>
        <w:t>من غیر مدخلیة المصادفة و عدمها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المقابل للقول الأوّل، و فی طرف الضدّ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فوجوه قد أشار المصنّف إلیها و إلی 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القول بمدخلیّة المجموع المرکّب من التجرّی و مصادفة الفعل المتجرّی به فی تحقّق المعصیة و العقاب و الحرمة فهو عدم کفایة صرف التجرّی فی حرمة الفعل المتجرّی به لما مرّ، و عدم کفایة صرف المصادفة فی حرمته، و إلّا لا کتفی بها حتّی فی صورة ما لو حصلت بالقهر و الجبر، کما یکتفی بها فی التوصّلیات، و المفروض أنّ الکلام لیس فی التوصّلیات التی یکتفی بحصولها أیّ وجه اتّفق، بل إنّما هو راجع إلی حیث الإطاعة و المعصیة، فتعیّن أن یکون المجموع المرکب من التجرّی و المصادفة له مدخلیة فی حرمة الفعل، لأنّ خاصیة التجرّی فی المصادفة فلا یجوز انتقاصه عنها، کما لا یجوز انتقاص شی‌ء من المعاجین المرکّبة من الأدویة عمّا له مدخلیة فی الخاصیة، عند أطبّاء الأبدان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الکلام فی معنی الإطاعة و المعصیة لا فی تشخیص الخاصّیات، فتأمّل</w:t>
      </w:r>
      <w:r>
        <w:rPr>
          <w:rFonts w:eastAsia="IRNazanin" w:cs="IRNazanin"/>
          <w:color w:val="111111"/>
          <w:sz w:val="28"/>
          <w:szCs w:val="28"/>
          <w:rtl w:val="true"/>
          <w:lang w:bidi="fa-IR"/>
        </w:rPr>
        <w:t>.</w:t>
      </w:r>
    </w:p>
    <w:p>
      <w:pPr>
        <w:pStyle w:val="Heading4"/>
        <w:numPr>
          <w:ilvl w:val="3"/>
          <w:numId w:val="1"/>
        </w:numPr>
        <w:rPr/>
      </w:pPr>
      <w:bookmarkStart w:id="83" w:name="__RefHeading___Toc2527060_3224264995"/>
      <w:bookmarkStart w:id="84" w:name="_Toc30"/>
      <w:bookmarkEnd w:id="83"/>
      <w:r>
        <w:rPr>
          <w:rtl w:val="true"/>
        </w:rPr>
        <w:t>[</w:t>
      </w:r>
      <w:r>
        <w:rPr>
          <w:rtl w:val="true"/>
        </w:rPr>
        <w:t>اشارة إلی الاحباط عند الإمامیة</w:t>
      </w:r>
      <w:r>
        <w:rPr>
          <w:rtl w:val="true"/>
        </w:rPr>
        <w:t>]</w:t>
      </w:r>
      <w:bookmarkEnd w:id="84"/>
    </w:p>
    <w:p>
      <w:pPr>
        <w:pStyle w:val="BookText"/>
        <w:rPr/>
      </w:pPr>
      <w:r>
        <w:rPr>
          <w:rFonts w:ascii="IRNazanin" w:hAnsi="IRNazanin" w:eastAsia="IRNazanin"/>
          <w:color w:val="111111"/>
          <w:sz w:val="28"/>
          <w:sz w:val="28"/>
          <w:szCs w:val="28"/>
          <w:rtl w:val="true"/>
          <w:lang w:bidi="fa-IR"/>
        </w:rPr>
        <w:t>و أمّا وجه القول بتفصیل الفصول</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الهامش</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سببیّة کلّ واحد من التجرّی و المصادفة للعقاب مستقلا، و سببیة کلّ من الانقیاد و المصادفة للثواب مستقلّا فلعلّه ما اشتهر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للمصیب أجران و للمخطئ أجر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فی سند الروایة احتمال أن یکون تعدّد الأجر تفضّلیا لا استحقاقیا حتی یقاس علیه تعدّد العقاب، مع احتمال أن یکون المراد من افتراق المصیب عن المخطئ فی اجر آخر هو افتراقه عنه فی نفس الوصول إلی خواصّ المصاب لا فی ازدیاد الثواب، مضافا إلی ما فی أصل مدّعاه من المواقع </w:t>
      </w:r>
    </w:p>
    <w:p>
      <w:pPr>
        <w:pStyle w:val="BookText"/>
        <w:rPr/>
      </w:pPr>
      <w:r>
        <w:rPr>
          <w:rFonts w:ascii="Amiri" w:hAnsi="Amiri" w:eastAsia="Amiri" w:cs="Amiri"/>
          <w:color w:val="111111"/>
          <w:sz w:val="28"/>
          <w:sz w:val="28"/>
          <w:szCs w:val="28"/>
          <w:rtl w:val="true"/>
          <w:lang w:bidi="ar-SA"/>
        </w:rPr>
        <w:t>للنظر التی منها ما یظهر منه، من أنّه عند تعارض الجهتین و تکافؤهما و عدم المرجّح یتساقطان، و لا یترتّب علی الفعل المتجرّی به شی‌ء، و مع عدم التکافؤ یترتّب علی الفعل ما زاد عمّا یوازی الذات حسنا و قبحا فأنّ هذا مبنیّ علی الحبط و التکفیر، و هو ذهاب کلّ من الحسنة و السیئة علی قدر ما لها من المرتبة ضعفا و قوّة للأخری، مع ذهابها علی قدر إذهابه قهرا، و هو باطل بإجماع الإمامیة، و نصّ الکتاب فَمَنْ یَعْمَلْ مِثْقالَ ذَرَّةٍ خَیْراً یَرَهُ وَ مَنْ یَعْمَلْ مِثْقالَ ذَرَّةٍ شَرًّا یَرَهُ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الکتاب</w:t>
      </w:r>
      <w:r>
        <w:rPr>
          <w:rStyle w:val="FootnoteAnchor"/>
          <w:rtl w:val="true"/>
        </w:rPr>
        <w:footnoteReference w:id="34"/>
      </w:r>
      <w:r>
        <w:rPr>
          <w:rFonts w:ascii="IRNazanin" w:hAnsi="IRNazanin" w:eastAsia="IRNazanin"/>
          <w:color w:val="111111"/>
          <w:sz w:val="28"/>
          <w:sz w:val="28"/>
          <w:szCs w:val="28"/>
          <w:rtl w:val="true"/>
          <w:lang w:bidi="fa-IR"/>
        </w:rPr>
        <w:t xml:space="preserve">و السنّة مشحون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 یحبط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الحسد یأکل العمل کما تأکل النار الحطب</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و ما یقرب من هذه المضامین فی ذمّ کثیر من المعاصی و الکبائر</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ممّا ورد فی بعض الفتاوی و النصوص فی ذمّ بعض المعاصی من أنّها تحبط العمل</w:t>
      </w:r>
      <w:r>
        <w:rPr>
          <w:rStyle w:val="FootnoteAnchor"/>
          <w:rtl w:val="true"/>
        </w:rPr>
        <w:footnoteReference w:id="37"/>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الامر و النهی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 لاحظ عقاب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یجمع عقوبات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فی مدح بعض الطاعات من أنّها تحبط الذنوب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إنّما هو الإحباط عند الإمامیّة الراجع إلی تجاوزه تعالی عن ذنوب</w:t>
      </w:r>
    </w:p>
    <w:p>
      <w:pPr>
        <w:pStyle w:val="BookText"/>
        <w:rPr/>
      </w:pPr>
      <w:r>
        <w:rPr>
          <w:rFonts w:ascii="IRNazanin" w:hAnsi="IRNazanin" w:eastAsia="IRNazanin"/>
          <w:color w:val="111111"/>
          <w:sz w:val="28"/>
          <w:sz w:val="28"/>
          <w:szCs w:val="28"/>
          <w:rtl w:val="true"/>
          <w:lang w:bidi="fa-IR"/>
        </w:rPr>
        <w:t>العبد تفضّلا، بسبب إقدامه علی الطاعة من غیر حبط شی‌ء من ثوابه، و ردّه طاعة العبد إعراضا عنه بسبب إقدامه علی المعصیة من غیر حبط شی‌ء من ذنوبه، علی حسب ما هو الدیدن بین العقلاء فی معاملة الموالی مع عبیدهم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أنّ هذا الحبط أمر راجع إلی اختیار المولی بخلاف الحبط و التکفیر الآخر، فإنّه مفروض من خواصّ نفس الطاعة و المعصیة قهرا، من غیر مدخلیة اختیار المولی فیه، کالإحراق الذی هو من خواصّ النار قهرا، و البرودة التی هی من خواصّ الماء قهرا، إلی غیر ذلک ممّا فی کلام صاحب الفصول</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الهامش</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الأنظار التی أشار المصنّف إلی جملة منها،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محصّل ما بدا لنا من الإجمال فی ضبط أقوال المسألة و مدارکها مقدّمة، و لنرجع إلی ما کنّا فیه من التعرّض لکلمات المصنّف و بیانها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تعبیرهم بالظنّ لبیان أدنی فردی الرجحان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التعبیر بالظنّ کما یحتمل أن یکون لبیان أدنی فردی الرجحان الشامل للقطع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بدلالة الفحوی و الطریق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یحتمل أن یکون لبیان ما هو من خصائص الظنّ، من موضوعیّته بالنسبة إلی الأحکام المجعولة لمتعلّقه و إن کان طریقا بالنسبة إلی نفس متعلّقه و لوازمه المنجعلة، کما مرّ</w:t>
      </w:r>
      <w:r>
        <w:rPr>
          <w:rStyle w:val="FootnoteAnchor"/>
          <w:rtl w:val="true"/>
        </w:rPr>
        <w:footnoteReference w:id="39"/>
      </w:r>
      <w:r>
        <w:rPr>
          <w:rFonts w:ascii="IRNazanin" w:hAnsi="IRNazanin" w:eastAsia="IRNazanin"/>
          <w:color w:val="111111"/>
          <w:sz w:val="28"/>
          <w:sz w:val="28"/>
          <w:szCs w:val="28"/>
          <w:rtl w:val="true"/>
          <w:lang w:bidi="fa-IR"/>
        </w:rPr>
        <w:t>تفصیله فی خصائص الطرق المجعولة و المنجعلة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أنّ تعبیرهم بالظنّ لبیان أدنی فردی الرجحان، إلا أنّ ترتیبهم العقاب علی مخالفة الرجحان أعمّ من ترتّبه علی فعل التأخیر المقارن لقصد </w:t>
      </w:r>
    </w:p>
    <w:p>
      <w:pPr>
        <w:pStyle w:val="BookText"/>
        <w:rPr/>
      </w:pPr>
      <w:r>
        <w:rPr>
          <w:rFonts w:ascii="IRNazanin" w:hAnsi="IRNazanin" w:eastAsia="IRNazanin"/>
          <w:color w:val="111111"/>
          <w:sz w:val="28"/>
          <w:sz w:val="28"/>
          <w:szCs w:val="28"/>
          <w:rtl w:val="true"/>
          <w:lang w:bidi="fa-IR"/>
        </w:rPr>
        <w:t>المخالفة الذی هو محلّ الکلام، و من ترتّبه علی القصد المقارن لفعل التأخیر الخارج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بعد انکشاف عدم الضّرر فیه،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احتمال موضوعیّة الظنّ بالنسبة إلی خصوص أحکام الضرر و الخطر و إن کان طریقا بالنسبة إلی نفس الضرر، بل و بالنسبة إلی سائر أحکام متعلّقاته الغیر الضرریة، و ذلک لما فی رفع خصوص الضرر عن العباد من الامتنان المتوقّف رفعه علی التحذّر حتی عن موارد خوفه، فضلا عن ظنّه، کما هو المنصوص</w:t>
      </w:r>
      <w:r>
        <w:rPr>
          <w:rStyle w:val="FootnoteAnchor"/>
          <w:rtl w:val="true"/>
        </w:rPr>
        <w:footnoteReference w:id="40"/>
      </w:r>
      <w:r>
        <w:rPr>
          <w:rFonts w:ascii="IRNazanin" w:hAnsi="IRNazanin" w:eastAsia="IRNazanin"/>
          <w:color w:val="111111"/>
          <w:sz w:val="28"/>
          <w:sz w:val="28"/>
          <w:szCs w:val="28"/>
          <w:rtl w:val="true"/>
          <w:lang w:bidi="fa-IR"/>
        </w:rPr>
        <w:t>أیضا، بل و حتّی بعد انکشاف خلافه کما هو من لوازم موضوعیّته، إذ الضرر الواقعیّ ممّا لا یعلم إلّا بعد الوقوع فیه المنافی للامتنان برفعه فرفعه الموافق للامتنان یتوقّف علی موضوعیّة الظنّ، بل الخوف بالنسبة إلی حکم الضرر من الاجتناب و الحظر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تقرّر دلالة العقل علی ذلک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العقاب إمّا علی فعل المتجرّی به، أو علی مجرّد المصادفة، أو علی المجموع المرکّب من الفعل و المصادفة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إلی الثانی، لعدم رجوع المصادفة إلی الاختیار، و لا إلی الثالث، لأنّ الفعل الغیر الاختیاری کما لا یصحّ أن یکون علّة تامّة للعقاب لم یصح أن یکون علّة ناقصة فیه، کما لا یخفی، فتعیّن أن یکون العقاب علی مجرّد الفعل المتجرّی به، و هو المطلوب و لکن ستقف علی جواب المصنّف عنه بما لا مزید علیه</w:t>
      </w:r>
      <w:r>
        <w:rPr>
          <w:rFonts w:eastAsia="IRNazanin" w:cs="IRNazanin"/>
          <w:color w:val="111111"/>
          <w:sz w:val="28"/>
          <w:szCs w:val="28"/>
          <w:rtl w:val="true"/>
          <w:lang w:bidi="fa-IR"/>
        </w:rPr>
        <w:t xml:space="preserve">. </w:t>
      </w:r>
      <w:bookmarkStart w:id="85" w:name="pg12850_121113"/>
    </w:p>
    <w:p>
      <w:pPr>
        <w:pStyle w:val="Heading4"/>
        <w:numPr>
          <w:ilvl w:val="3"/>
          <w:numId w:val="1"/>
        </w:numPr>
        <w:rPr/>
      </w:pPr>
      <w:bookmarkStart w:id="86" w:name="__RefHeading___Toc2527062_3224264995"/>
      <w:bookmarkStart w:id="87" w:name="_Toc31"/>
      <w:bookmarkEnd w:id="85"/>
      <w:bookmarkEnd w:id="86"/>
      <w:r>
        <w:rPr>
          <w:rtl w:val="true"/>
        </w:rPr>
        <w:t>[</w:t>
      </w:r>
      <w:r>
        <w:rPr>
          <w:rtl w:val="true"/>
        </w:rPr>
        <w:t>دعوی الاجماع علی حکم التجرّی</w:t>
      </w:r>
      <w:r>
        <w:rPr>
          <w:rtl w:val="true"/>
        </w:rPr>
        <w:t>]</w:t>
      </w:r>
      <w:bookmarkEnd w:id="8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المسألة عقلیّة، و المنقول عنه لیس حجّة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 المسألة ذات جهات لا یختصّ الکلام فیها بالجهة العقلیّة إن لم نقل باختصاص الکلام فیها بالجهة الشرعیة، کما هو صریح ما قاله فی أوّل العنوان من أنّ الکلام فی أنّ قطعه هذا هل هو حجّة علیه من قبل الشارع</w:t>
      </w:r>
      <w:r>
        <w:rPr>
          <w:rStyle w:val="FootnoteAnchor"/>
          <w:rtl w:val="true"/>
        </w:rPr>
        <w:footnoteReference w:id="41"/>
      </w:r>
      <w:r>
        <w:rPr>
          <w:rFonts w:ascii="IRNazanin" w:hAnsi="IRNazanin" w:eastAsia="IRNazanin"/>
          <w:color w:val="111111"/>
          <w:sz w:val="28"/>
          <w:sz w:val="28"/>
          <w:szCs w:val="28"/>
          <w:rtl w:val="true"/>
          <w:lang w:bidi="fa-IR"/>
        </w:rPr>
        <w:t>؟ و مع ذلک فأیّ مانع من حجّیة الإجماع المدّعی علی جهتها الشرعیّة،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الفعل المتجرّی به، لا علی جهتها العقلیّة،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قبحه عقلا و عدمه حتی یمنع حجّیة الإجماع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معقد الإجماع المستدلّ به علی حرمة مخالفة القطع إنّما هو حرمة مخالفة الظنّ بضیق الوقت، لا استلزام حرمتها لحرمة مخالفة القطع بالأولویة العقلیة حتّی یمنع حجّیة الإجماع علی الملازمة العقلیة لکونها مسألة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 النزاع فی المسألة متوجّه إلی جهتها العقلیّة لا الشرعیّة، أو أنّ معقد الاجماع المفروض فیها هو الملازمة العقلیّة لا ملزومها، و هو المسألة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أنّا نمنع اختصاص حجّیة الإجماع بالإجماع فی المسائل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تحقّقه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نقضا بالإجماعات المحتجّ بها علی حجّیة خبر الواحد و سائر الأدلّة و الأمارات الظنّیة، المستلزمة لحجّیة القطع الحاصل منها بالأولویة العقلیة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مرجع النزاع فی حجّیة شی‌ء من الأدلّة إلی النزاع فی وجوب العمل به من قبل الشارع، و هو مسألة شرعیة، بخلاف النزاع فی عصیان التجرّی و عدمه</w:t>
      </w:r>
      <w:r>
        <w:rPr>
          <w:rFonts w:eastAsia="IRNazanin" w:cs="IRNazanin"/>
          <w:color w:val="111111"/>
          <w:sz w:val="28"/>
          <w:szCs w:val="28"/>
          <w:rtl w:val="true"/>
          <w:lang w:bidi="fa-IR"/>
        </w:rPr>
        <w:t xml:space="preserve">. </w:t>
      </w:r>
      <w:bookmarkStart w:id="88" w:name="pg12850_121114"/>
    </w:p>
    <w:p>
      <w:pPr>
        <w:pStyle w:val="Heading4"/>
        <w:numPr>
          <w:ilvl w:val="3"/>
          <w:numId w:val="1"/>
        </w:numPr>
        <w:rPr/>
      </w:pPr>
      <w:bookmarkStart w:id="89" w:name="__RefHeading___Toc2527064_3224264995"/>
      <w:bookmarkStart w:id="90" w:name="_Toc32"/>
      <w:bookmarkEnd w:id="88"/>
      <w:bookmarkEnd w:id="89"/>
      <w:r>
        <w:rPr>
          <w:rtl w:val="true"/>
        </w:rPr>
        <w:t>[</w:t>
      </w:r>
      <w:r>
        <w:rPr>
          <w:rtl w:val="true"/>
        </w:rPr>
        <w:t>اشارة إلی حقیقة الحکم الوضعی</w:t>
      </w:r>
      <w:r>
        <w:rPr>
          <w:rtl w:val="true"/>
        </w:rPr>
        <w:t>]</w:t>
      </w:r>
      <w:bookmarkEnd w:id="90"/>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حجّیة الدلیل حکم وضعیّ منتزع عن حکم تکلیفیّ، و هو وجوب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التحقیق فی الأحکام الوضعیّة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عصیان التجرّی حکم وضعیّ منتزع عن حکم تکلیفیّ شرعیّ، و هو حرمة ارتکابه، فمرجعه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ما یستبق ألسنة بعض الطلبة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حجّیة الإجماع فی المسائل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استبعاد تحقّق موضوع الإجماع فیها، لا منع حجّیته علی تقدیر تحقّقه، نظیر ما اشتهر فی ألسنتهم أیضا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حجّیة مفهوم الوصف و اللقب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مریدین به عدم مفهوم له، لا عدم حجّیته علی تقدیر ثبوته، و إلّا فمرجع التفکیک بین حجّیة الإجماع فی المسائل الشرعیة و عدم حجّیته فی المسائل العقلیة إلی التفکیک بین حجّیة قول المعصوم فی الشرعیّات، و عدم 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العقلیّات، مع أنّه سیّد العقلاء و أعقلهم،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وجه لاختصاص المسألة بالمسألة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منافاة اختصاصها بالعقل لصریح أخذه الحجّیة من قبل الشارع فی عنوان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وجه لاختصاص حجّیة الإجماع بالمسائل الشرعیة، و عدم حجّیته فی المسائل العقلیة مع تقدیر تحققه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یرید من منع حجّیته فی العقلیّات منع تحقّق موضوعه فیها، بضرب من التسامح، نظیر تسامحهم فی منع حجّیة مفهوم الوصف و إرادتهم منع تحقّق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منع حجّیة الإجماع فی العقلیّات، بمعنی منع تحقّقه، و إن کان فی محلّه، إلّا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بعد إرادته من هذا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ینحصر منع تحقّقه بفرض المسألة مسألة عقلیّة، بل قد عرفت أنّ لمنع تحقّقه فیها وجوه أخر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ملازمة حرمة مخالفة الظنّ بضیق الوقت، الذی هو معقد </w:t>
      </w:r>
      <w:bookmarkStart w:id="91" w:name="pg12850_121115"/>
    </w:p>
    <w:p>
      <w:pPr>
        <w:pStyle w:val="BookText"/>
        <w:rPr/>
      </w:pPr>
      <w:bookmarkEnd w:id="91"/>
      <w:r>
        <w:rPr>
          <w:rFonts w:ascii="IRNazanin" w:hAnsi="IRNazanin" w:eastAsia="IRNazanin"/>
          <w:color w:val="111111"/>
          <w:sz w:val="28"/>
          <w:sz w:val="28"/>
          <w:szCs w:val="28"/>
          <w:rtl w:val="true"/>
          <w:lang w:bidi="fa-IR"/>
        </w:rPr>
        <w:t>الإجماع المدعی لحرمة مخالفة القطع الذی هو محلّ الکلام لما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کون معقد الإجماع هو حرمة مخالفة المعتقد من حیث الفعل، بل هو أعمّ منه و من حرمته من حیث القصد المقارن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المخالف للإجماع فی المسألة ممّن یمنع مخالفتهم من استکشاف الإجماع عن رضا المعصوم علیه السّلام کشفا قطعیّا، المنوط به حجّیة الإجماع</w:t>
      </w:r>
      <w:r>
        <w:rPr>
          <w:rFonts w:eastAsia="IRNazanin" w:cs="IRNazanin"/>
          <w:color w:val="111111"/>
          <w:sz w:val="28"/>
          <w:szCs w:val="28"/>
          <w:rtl w:val="true"/>
          <w:lang w:bidi="fa-IR"/>
        </w:rPr>
        <w:t>.</w:t>
      </w:r>
    </w:p>
    <w:p>
      <w:pPr>
        <w:pStyle w:val="Heading4"/>
        <w:numPr>
          <w:ilvl w:val="3"/>
          <w:numId w:val="1"/>
        </w:numPr>
        <w:rPr/>
      </w:pPr>
      <w:bookmarkStart w:id="92" w:name="__RefHeading___Toc2527066_3224264995"/>
      <w:bookmarkStart w:id="93" w:name="_Toc33"/>
      <w:bookmarkEnd w:id="92"/>
      <w:r>
        <w:rPr>
          <w:rtl w:val="true"/>
        </w:rPr>
        <w:t>[</w:t>
      </w:r>
      <w:r>
        <w:rPr>
          <w:rtl w:val="true"/>
        </w:rPr>
        <w:t>دراسة بناء العقلاء فی مسألة التجرّی</w:t>
      </w:r>
      <w:r>
        <w:rPr>
          <w:rtl w:val="true"/>
        </w:rPr>
        <w:t>]</w:t>
      </w:r>
      <w:bookmarkEnd w:id="9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بناء العقلاء فلو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موهم لإنکار بناء العقلاء علی خبث الفاعل المتجرّی و ذمّه، و جریان النزاع فی خبثه و عدم خبثه أیضا، و الحال أنّه لا مجال لإنکار خبث الفاعل و بناء العقلاء علیه، و عدم النزاع فی خبثه، و أنّ النزاع منحصر فی قبح الفعل، کما هو صریح کلماته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و فی ضمن قوله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فالظاهر</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ضمن قوله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فالتحقیق</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فتتبّع</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2527068_3224264995"/>
      <w:bookmarkStart w:id="95" w:name="_Toc34"/>
      <w:bookmarkEnd w:id="94"/>
      <w:r>
        <w:rPr>
          <w:rtl w:val="true"/>
        </w:rPr>
        <w:t>[</w:t>
      </w:r>
      <w:r>
        <w:rPr>
          <w:rtl w:val="true"/>
        </w:rPr>
        <w:t>دراسة حکم العقل باستحقاق الذم عند التجری</w:t>
      </w:r>
      <w:r>
        <w:rPr>
          <w:rtl w:val="true"/>
        </w:rPr>
        <w:t>]</w:t>
      </w:r>
      <w:bookmarkEnd w:id="9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المعلوم أنّ الحکم العقلیّ باستحقاق الذمّ إنما یلازم استحقاق العقاب شرعا إذا تعلّق بالفعل لا بالفاعل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اختصاص العقاب الشرعیّ عقلا بما إذا تعلّق الذمّ بالفعل لا بالفاعل مبنیّ علی فرض اختصاص نواهی الشرع بفعل المذموم، لا بقلع مادّة الذمّ عن نفس الفاعل الّتی هی منشأ صدور الأفعال المذمومة عنه، و هو ممنوع؛ إذ کما تعلّق نواهی الشرع بالأفعال المذمومة کذلک تعلّق بقلع موادّها عن الفاعل فی عدّة من الآیات و الأخبار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فمن الآیات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تُبْدُوا ما فِی أَنْفُسِکُمْ أَوْ تُخْفُوهُ یُحاسِبْکُمْ بِهِ اللَّهُ</w:t>
      </w:r>
      <w:r>
        <w:rPr>
          <w:rStyle w:val="FootnoteAnchor"/>
          <w:rtl w:val="true"/>
        </w:rPr>
        <w:footnoteReference w:id="45"/>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ذَرُوا ظاهِرَ الْإِثْمِ وَ باطِنَهُ</w:t>
      </w:r>
      <w:r>
        <w:rPr>
          <w:rStyle w:val="FootnoteAnchor"/>
          <w:rtl w:val="true"/>
        </w:rPr>
        <w:footnoteReference w:id="46"/>
      </w:r>
      <w:r>
        <w:rPr>
          <w:rFonts w:ascii="IRNazanin" w:hAnsi="IRNazanin" w:eastAsia="IRNazanin"/>
          <w:color w:val="111111"/>
          <w:sz w:val="28"/>
          <w:sz w:val="28"/>
          <w:szCs w:val="28"/>
          <w:rtl w:val="true"/>
          <w:lang w:bidi="fa-IR"/>
        </w:rPr>
        <w:t>بناء علی ما قیل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عملتم بجوار حکم و ما نویتم منه بقلوبکم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الأخبار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یحشر الناس علی نیّاتهم</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الآیات و الأخبار المتواترة، مضافا إلی أنّ رجوع مصلحة عقاب الشارع إلی إصلاح الذات عن الذّمیمات و تصفیته عن أدناس الخبثیات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صیرورته قابلة للفیوضات، لا لأجل تشفّی النفس عن ألم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أقوی مؤیّد لاستحقاق الفاعل العقاب بمجرّد خبث ذاته و سوء سریرته و إن لم یصدر منه الفعل المذموم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استحقّ الفاعل العقاب علی مجرّد خبث ذاته و إن لم یصدر منه الفعل المذموم لاستحقّه قبل کشف التجرّی عنه، عند العالم بالسرائر و الضمائر من غیر کاشف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نمنع الملازمة؛ بأنّ استحقاق الفاعل العقوبة علی مجرّد مذمّته و خبث ذاته لا یلازم ترتّب العقوبة علیه عقلا إلّا بعد قطع سبیل اعتذار المعاقب و إنکار استحقاقه العقاب، فإنّ إمکان الاعتذار مانع عقلائی عن ترتّب العقوبة علی من یستحقّها قبل قطع سبیل الاعتذار و سدّ باب الإنکار، کما لا یخفی علی أولی الأبصار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لهذا جری دیدن أرباب العقول من السلاطین، و الأمراء العدول، علی الاستشهاد بالطرق المألوفة فی إثبات الحقوق حذرا عن شوائب الاتّهام بالجور، و إتماما للحجّة البالغة علی أهل المعاصی و الفجور، و علی طریقة العقلاء أیضا </w:t>
      </w:r>
      <w:bookmarkStart w:id="96" w:name="pg12850_121117"/>
    </w:p>
    <w:p>
      <w:pPr>
        <w:pStyle w:val="BookText"/>
        <w:rPr/>
      </w:pPr>
      <w:bookmarkEnd w:id="96"/>
      <w:r>
        <w:rPr>
          <w:rFonts w:ascii="IRNazanin" w:hAnsi="IRNazanin" w:eastAsia="IRNazanin"/>
          <w:color w:val="111111"/>
          <w:sz w:val="28"/>
          <w:sz w:val="28"/>
          <w:szCs w:val="28"/>
          <w:rtl w:val="true"/>
          <w:lang w:bidi="fa-IR"/>
        </w:rPr>
        <w:t>جری دیدنه تعالی فی نصب الشهود علی أعمالنا من النبیّین، و الوصیّین، و الکرام الکاتبین، و الجوارح، مع أنّه منزّه عن شوائب الغفلة و الجور، و عالم لا یخفی علیه شی‌ء فی السموات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ذلک کلّه یمکن أن یوجّه کلام المصنّف بأنّ مراده من عدم ملازمة ذمّ الفاعل العقاب شرعا، عدم ملازمته العقاب علی الفعل، لا عدم ملازمته مطلقا، لا علی الفعل و لا علی الفاعل، و إن کان هذا التوجیه بعید عن ظاهر کلامه</w:t>
      </w:r>
      <w:r>
        <w:rPr>
          <w:rFonts w:eastAsia="IRNazanin" w:cs="IRNazanin"/>
          <w:color w:val="111111"/>
          <w:sz w:val="28"/>
          <w:szCs w:val="28"/>
          <w:rtl w:val="true"/>
          <w:lang w:bidi="fa-IR"/>
        </w:rPr>
        <w:t>.</w:t>
      </w:r>
    </w:p>
    <w:p>
      <w:pPr>
        <w:pStyle w:val="Heading4"/>
        <w:numPr>
          <w:ilvl w:val="3"/>
          <w:numId w:val="1"/>
        </w:numPr>
        <w:rPr/>
      </w:pPr>
      <w:bookmarkStart w:id="97" w:name="__RefHeading___Toc2527070_3224264995"/>
      <w:bookmarkStart w:id="98" w:name="_Toc35"/>
      <w:bookmarkEnd w:id="97"/>
      <w:r>
        <w:rPr>
          <w:rtl w:val="true"/>
        </w:rPr>
        <w:t>[</w:t>
      </w:r>
      <w:r>
        <w:rPr>
          <w:rtl w:val="true"/>
        </w:rPr>
        <w:t>بحث فی عدم العقاب علی أمر لا یرجع إلی الاختیار</w:t>
      </w:r>
      <w:r>
        <w:rPr>
          <w:rtl w:val="true"/>
        </w:rPr>
        <w:t>]</w:t>
      </w:r>
      <w:bookmarkEnd w:id="9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أنّ عدم العقاب لأمر لا یرجع إلی الاختیار قبحه غیر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ناقش فیه أستاذنا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التفکیک بین فرض المصادفة من الأفعال الراجعة إلی الاختیار، و بین فرض عدمها ممّا لا یرجع إلیه غیر معقول، لأنّ المصادفة إن کانت من مقولة التسبیبات و الأفعال التولیدیة المستندة إلی الاختیار و العلّة الأولی عرفا رجع کلّ من المصادفة و عدمها إلی الاختیار، و استند کلّ منهما عرفا إلی العلّة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کانت المصادفة من 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البخت و الطالع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المستندة إلی القضاء الاتفاقی و التقدیرات السّماویة الخارجة عن الاختیار لم یرجع شی‌ء منهما إلی الاختیار عرفا، فالتفکیک بین استناد المصادفة إلی الاختیار و عدمها إلی عدم الاختیار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یدفعه، 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استشهد به المصنّف</w:t>
      </w:r>
      <w:r>
        <w:rPr>
          <w:rStyle w:val="FootnoteAnchor"/>
          <w:rtl w:val="true"/>
        </w:rPr>
        <w:footnoteReference w:id="48"/>
      </w:r>
      <w:r>
        <w:rPr>
          <w:rFonts w:ascii="IRNazanin" w:hAnsi="IRNazanin" w:eastAsia="IRNazanin"/>
          <w:color w:val="111111"/>
          <w:sz w:val="28"/>
          <w:sz w:val="28"/>
          <w:szCs w:val="28"/>
          <w:rtl w:val="true"/>
          <w:lang w:bidi="fa-IR"/>
        </w:rPr>
        <w:t>من الأخبار الواردة فی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سنّ سنّة سیّئة کان له مثل وزر من عمل بها</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 xml:space="preserve">فإنّ مقتضاها کثرة عقوبة </w:t>
      </w:r>
      <w:bookmarkStart w:id="99" w:name="pg12850_121118"/>
    </w:p>
    <w:p>
      <w:pPr>
        <w:pStyle w:val="BookText"/>
        <w:rPr/>
      </w:pPr>
      <w:bookmarkEnd w:id="99"/>
      <w:r>
        <w:rPr>
          <w:rFonts w:ascii="IRNazanin" w:hAnsi="IRNazanin" w:eastAsia="IRNazanin"/>
          <w:color w:val="111111"/>
          <w:sz w:val="28"/>
          <w:sz w:val="28"/>
          <w:szCs w:val="28"/>
          <w:rtl w:val="true"/>
          <w:lang w:bidi="fa-IR"/>
        </w:rPr>
        <w:t>من سنّ سنّة سیّئة إذا صادفت کثرة العامل بها، و قلّة عقوبته إذا لم یصادف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المصادفة الغیر المنفکّة حکمها عن المصادفة فی الرجوع إلی الاختیار إنّما هو العدم المستند إلی عدم إیجاد مقدّماته الاختیاریة، و أمّا العدم المستند إلی الاتّفاقات الخارجیة مع إیجاد مقدّمات وجوده الاختیاریة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موضوع التجرّی الغیر المصادف للحرام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استناده إلی البخت و الطالع، و عدم رجوعه إلی الاختیار، کما لا إشکال فی رجوع المصادفة الغیر المستندة إلی إیجاد مقدّماته الاختیاریة إلی البخت و الطالع دون الاختیار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کلّ شی‌ء إنّما یتبع وجوده فی الاستناد إلی الاختیار و عدم الاختیار إذا وافق وجوده، فالعدم المستند إلی عدم إیجاد مقدّماته الاختیاریة، کالوجود المستند إلی إیجاد مقدّماته الاختیاریة فی الرجوع إلی الاختیار، و صحّة إناطة الثواب و العقاب به، و العدم المستند إلی غیر عدم إیجاد مقدّماته، کالوجود المستند إلی غیر إیجاد مقدّماته الاختیاریة، فی عدم الرجوع إلی الاختیار و عدم صحّة إناطة الثواب و العقاب به</w:t>
      </w:r>
      <w:r>
        <w:rPr>
          <w:rFonts w:eastAsia="IRNazanin" w:cs="IRNazanin"/>
          <w:color w:val="111111"/>
          <w:sz w:val="28"/>
          <w:szCs w:val="28"/>
          <w:rtl w:val="true"/>
          <w:lang w:bidi="fa-IR"/>
        </w:rPr>
        <w:t>.</w:t>
      </w:r>
    </w:p>
    <w:p>
      <w:pPr>
        <w:pStyle w:val="Heading4"/>
        <w:numPr>
          <w:ilvl w:val="3"/>
          <w:numId w:val="1"/>
        </w:numPr>
        <w:rPr/>
      </w:pPr>
      <w:bookmarkStart w:id="100" w:name="__RefHeading___Toc2527072_3224264995"/>
      <w:bookmarkStart w:id="101" w:name="_Toc36"/>
      <w:bookmarkEnd w:id="100"/>
      <w:r>
        <w:rPr>
          <w:rtl w:val="true"/>
        </w:rPr>
        <w:t>[</w:t>
      </w:r>
      <w:r>
        <w:rPr>
          <w:rtl w:val="true"/>
        </w:rPr>
        <w:t>امکان التفاوت فی حق الحکیم بین صورة مصادفة التجرّی و بین عدمها</w:t>
      </w:r>
      <w:r>
        <w:rPr>
          <w:rtl w:val="true"/>
        </w:rPr>
        <w:t>]</w:t>
      </w:r>
      <w:bookmarkEnd w:id="10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المستحیل فی حقّ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إمکان وجود التفاوت فی حقّ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بتأکّد الذمّ فی صورة المصادفة، و عدمه فی عدمها، أو إلی منع استناد تفاوت ذمّ المصادف لذمّ غیره إلی تفاوت المذموم علیه، و هو نفس الفعل فی المصادف، و الفاعل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مدّعی المصنف</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إمکان استناده إلی تفاوت حرمة التجرّی علی القول به لحرمة الفعل المتجرّی به المصادف للواقع</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تحرّر فی محلّ النزاع فی حرمة التجرّی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حرمة شرب الماء </w:t>
      </w:r>
    </w:p>
    <w:p>
      <w:pPr>
        <w:pStyle w:val="BookText"/>
        <w:rPr/>
      </w:pPr>
      <w:r>
        <w:rPr>
          <w:rFonts w:ascii="IRNazanin" w:hAnsi="IRNazanin" w:eastAsia="IRNazanin"/>
          <w:color w:val="111111"/>
          <w:sz w:val="28"/>
          <w:sz w:val="28"/>
          <w:szCs w:val="28"/>
          <w:rtl w:val="true"/>
          <w:lang w:bidi="fa-IR"/>
        </w:rPr>
        <w:t>المقطوع خمریّته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حرمة شرب الخمر الواقعیّ، فالتفاوت المذکور علی تقدیر وجوده فی حقّ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تفاوت المذموم علیه و محلّ الذمّ، و هو نفس الفعل فی المصادف و الفاعل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زعمه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لعلّه من جهة تفاوت حرمة التجرّی بما لا یصادف الواقع لحرمة ما صادفه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مدفوعة، مضافا إلی الفرق بین ما نحن فیه، و بین ما تقدّم من الدلیل العقلیّ، کما لا یخفی علی المتأمّل، بأنّ العقل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نهایة الفرق المضاف إلیه بین ما نحن فیه و بین ما تقدّم، هو عین المضاف و العلاوة التی مضمونها کون المقصود فی ما تقدّم تأثیر عدم المصادفة فی دفع العقاب الغیر المحقّق، و المقصود هاهنا تأثیره فی رفع العقاب المحقّق الذی لا یتمّ إلّا علی القول بالحبط و التکفیر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مقصود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الجواب عن نقض المدّعی للقول بعدم مدخلیّة عدم المصادفة فی رفع العقاب هاهنا بعدم مدخلیّته 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بیان الفرق بین المقامین لدفع ما لعلّه توهّم المدّعی اتّحادهما فی الموضوع، و من المضاف و العلاوة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کون الفارق فارقا حکمیّا، لدفع ما لعلّه یتوهّم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اتحادهما فی الحکم، و کون الفرق غیر مجد، فیقیس أحدهما بالآخر فی الحکم، فکأنّ مقصود المصنّف فی ردّ نقض المدّعی من المضاف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بیان الفرق بین المقامین إجمالا فی مقابل توهّم اتّحاد المقامین فی الموضوع، و من المضاف و العلاوة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الفارق تفصیلا، و کونه مجدیا، فی مقابل توهّم کونه غیر مجد و صحّة المقایسة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 المضاف و العلاوة فی الجواب بهذا التقریب غیر الجواب الأوّل المضاف إلیه و إن آل إلی الإجمال و التفصیل الراجعین إلی الاتحاد بالأخرة</w:t>
      </w:r>
      <w:r>
        <w:rPr>
          <w:rFonts w:eastAsia="IRNazanin" w:cs="IRNazanin"/>
          <w:color w:val="111111"/>
          <w:sz w:val="28"/>
          <w:szCs w:val="28"/>
          <w:rtl w:val="true"/>
          <w:lang w:bidi="fa-IR"/>
        </w:rPr>
        <w:t xml:space="preserve">. </w:t>
      </w:r>
      <w:bookmarkStart w:id="102" w:name="pg12850_121120"/>
    </w:p>
    <w:p>
      <w:pPr>
        <w:pStyle w:val="Heading4"/>
        <w:numPr>
          <w:ilvl w:val="3"/>
          <w:numId w:val="1"/>
        </w:numPr>
        <w:rPr/>
      </w:pPr>
      <w:bookmarkStart w:id="103" w:name="__RefHeading___Toc2527074_3224264995"/>
      <w:bookmarkStart w:id="104" w:name="_Toc37"/>
      <w:bookmarkEnd w:id="102"/>
      <w:bookmarkEnd w:id="103"/>
      <w:r>
        <w:rPr>
          <w:rtl w:val="true"/>
        </w:rPr>
        <w:t>[</w:t>
      </w:r>
      <w:r>
        <w:rPr>
          <w:rtl w:val="true"/>
        </w:rPr>
        <w:t>النسبة بین قبح التجرّی من حیث النیّة و قبحه من حیث المنوی</w:t>
      </w:r>
      <w:r>
        <w:rPr>
          <w:rtl w:val="true"/>
        </w:rPr>
        <w:t>]</w:t>
      </w:r>
      <w:bookmarkEnd w:id="10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قصد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أنّ وجه ظهور دلالة قبح التجرّی من حیث النیّة، فی قبحه من حیث الناوی، هو اشتراکهما و اجتماعهما فی ما هو من مقولة الباطن لا الظاهر، و المنکشف لا الکاشف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إشارة إلی أظهریّته فی العکس، أعنی أظهریّة دلالة قبح التجرّی من حیث النیّة فی قبحه من حیث المنویّ، لا الناوی لما بین النیّة و المنویّ من الاشتراک و الاجتماع فی مقولة الفعل، لا الذات الذی هو المدّعی</w:t>
      </w:r>
      <w:r>
        <w:rPr>
          <w:rFonts w:eastAsia="IRNazanin" w:cs="IRNazanin"/>
          <w:color w:val="111111"/>
          <w:sz w:val="28"/>
          <w:szCs w:val="28"/>
          <w:rtl w:val="true"/>
          <w:lang w:bidi="fa-IR"/>
        </w:rPr>
        <w:t>.</w:t>
      </w:r>
    </w:p>
    <w:p>
      <w:pPr>
        <w:pStyle w:val="Heading4"/>
        <w:numPr>
          <w:ilvl w:val="3"/>
          <w:numId w:val="1"/>
        </w:numPr>
        <w:rPr/>
      </w:pPr>
      <w:bookmarkStart w:id="105" w:name="__RefHeading___Toc2527076_3224264995"/>
      <w:bookmarkStart w:id="106" w:name="_Toc38"/>
      <w:bookmarkEnd w:id="105"/>
      <w:r>
        <w:rPr>
          <w:rtl w:val="true"/>
        </w:rPr>
        <w:t>[</w:t>
      </w:r>
      <w:r>
        <w:rPr>
          <w:rtl w:val="true"/>
        </w:rPr>
        <w:t>دراسة ظهور حرمة الأکل علی الزاعم طلوع الفجر فی حرمة الفعل المتجرّی به</w:t>
      </w:r>
      <w:r>
        <w:rPr>
          <w:rtl w:val="true"/>
        </w:rPr>
        <w:t>]</w:t>
      </w:r>
      <w:bookmarkEnd w:id="10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الخیط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إمکان المنع من ظهور حرمة الأکل علی من زعم طلوع الفجر، فی حرمة الفعل المتجرّی به الذی هو المدّعی، لإمکان خروج مورد الروایة</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حرمة الأکل علی من رأی 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محلّ النزاع فی حرمة الفعل المتجرّی به، من جهات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النزاع فی حرمته بعد کشف الخلاف، لا قبله کما هو مورد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حرمته مع عدم المصادفة للواقع، لا مع المصادفة له الظاهرة تلک المصادفة من أغلبیّة مصادفة الرؤیة للواقع من مصادفة عدمها لعدمه، کما هو مورد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النزاع فی حرمة مخالفة القطع الطریقیّ، لا الموضوعیّ المحتمل فی موضوع الرؤیة و الروایة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یؤیّده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الدَّارُ الْآخِرَةُ</w:t>
      </w:r>
      <w:r>
        <w:rPr>
          <w:rStyle w:val="FootnoteAnchor"/>
          <w:rtl w:val="true"/>
        </w:rPr>
        <w:footnoteReference w:id="54"/>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bookmarkStart w:id="107" w:name="pg12850_121121"/>
    </w:p>
    <w:p>
      <w:pPr>
        <w:pStyle w:val="BookText"/>
        <w:rPr/>
      </w:pPr>
      <w:bookmarkEnd w:id="107"/>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کونها مؤیّدا لا دلیلا احتمال حرمة حبّ الدنیا و حبّ الفاحشة بنفسه من باب الموضوعیّة، لا الطریقیة و الموصلیة إلی ما یترتّب علیه من المفاسد الخارجیة الّتی هی محلّ النزاع، و کذلک حرمة إخفاء ما فی أنفسکم لعلّه خصوص ما یحرم بنفسه من باب الموضوعیة لا الطریقیة و التوصّلیة، کإبطان الکفر و النفاق، لا مطلق قصد الحرام</w:t>
      </w:r>
      <w:r>
        <w:rPr>
          <w:rFonts w:eastAsia="IRNazanin" w:cs="IRNazanin"/>
          <w:color w:val="111111"/>
          <w:sz w:val="28"/>
          <w:szCs w:val="28"/>
          <w:rtl w:val="true"/>
          <w:lang w:bidi="fa-IR"/>
        </w:rPr>
        <w:t>.</w:t>
      </w:r>
    </w:p>
    <w:p>
      <w:pPr>
        <w:pStyle w:val="Heading4"/>
        <w:numPr>
          <w:ilvl w:val="3"/>
          <w:numId w:val="1"/>
        </w:numPr>
        <w:rPr/>
      </w:pPr>
      <w:bookmarkStart w:id="108" w:name="__RefHeading___Toc2527078_3224264995"/>
      <w:bookmarkStart w:id="109" w:name="_Toc39"/>
      <w:bookmarkEnd w:id="108"/>
      <w:r>
        <w:rPr>
          <w:rtl w:val="true"/>
        </w:rPr>
        <w:t>[</w:t>
      </w:r>
      <w:r>
        <w:rPr>
          <w:rtl w:val="true"/>
        </w:rPr>
        <w:t>استدلال آخر بالکتاب و السنّة علی حرمة التجرّی</w:t>
      </w:r>
      <w:r>
        <w:rPr>
          <w:rtl w:val="true"/>
        </w:rPr>
        <w:t>]</w:t>
      </w:r>
      <w:bookmarkEnd w:id="10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یدلّ علی حرمة التجرّی من الکتاب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إلی الإجماع و العقل المستقلّ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یُسْرِفْ فِی الْقَتْلِ إِنَّهُ کانَ مَنْصُوراً</w:t>
      </w:r>
      <w:r>
        <w:rPr>
          <w:rStyle w:val="FootnoteAnchor"/>
          <w:rtl w:val="true"/>
        </w:rPr>
        <w:footnoteReference w:id="55"/>
      </w:r>
      <w:r>
        <w:rPr>
          <w:rFonts w:ascii="IRNazanin" w:hAnsi="IRNazanin" w:eastAsia="IRNazanin"/>
          <w:color w:val="111111"/>
          <w:sz w:val="28"/>
          <w:sz w:val="28"/>
          <w:szCs w:val="28"/>
          <w:rtl w:val="true"/>
          <w:lang w:bidi="fa-IR"/>
        </w:rPr>
        <w:t>أنّ الحجّة إذا ظهر یقتل ذراری قتلة الحسین علیه السلام معللا ذلک برضائهم بفعل آبائهم</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تعلیلهم علیهم السّلام إهلاک قوم صالح مع أنّ عاقر ناقته علیه السّلام رجل واحد بقوله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إنّما یجمع الناس الرضا و السخط</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 فی الاعتراف بالتقصیر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کان یستحقّ فی أوّل ما همّ بعصیانک کلّ ما أعددت لجمیع خلقک من عقوبتک</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تعزیر علی علیه السّلام أخاه عقیل بالحدیدة المحماة علی مجرّد استدعائه صاعا من شعیر</w:t>
      </w:r>
      <w:r>
        <w:rPr>
          <w:rStyle w:val="FootnoteAnchor"/>
          <w:rtl w:val="true"/>
        </w:rPr>
        <w:footnoteReference w:id="59"/>
      </w:r>
      <w:r>
        <w:rPr>
          <w:rFonts w:ascii="IRNazanin" w:hAnsi="IRNazanin" w:eastAsia="IRNazanin"/>
          <w:color w:val="111111"/>
          <w:sz w:val="28"/>
          <w:sz w:val="28"/>
          <w:szCs w:val="28"/>
          <w:rtl w:val="true"/>
          <w:lang w:bidi="fa-IR"/>
        </w:rPr>
        <w:t>علی غیر وجه التعدیل و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ممّا لا یحصی عددا و دلالة علی المدّعی بالصراحة و الفحوی و الأولویّة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یمکن حمل الأخبار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bookmarkStart w:id="110" w:name="pg12850_121122"/>
    </w:p>
    <w:p>
      <w:pPr>
        <w:pStyle w:val="BookText"/>
        <w:rPr/>
      </w:pPr>
      <w:bookmarkEnd w:id="110"/>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حمل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حمل أخبار العفو علی تعقّب نیّة السوء بالتوبة، أو علی العفو تفضّلا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خصوص الأمّة المرحومة، کما هو صریح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نیّة السوء لا تکتب علی هذه الأمّة تفضلا</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یشترط فی صدق التجرّی فی الثلاثة الأخیرة عدم کون الجهل عذرا عقلیا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موارد البراءة المستندة إلی قبح العقاب بلا بیان فی الشبهات الموضوعیة بالوفاق، و الحکمیة عند من عدا الأخباریة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شرعیّا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موارد الإباحة و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نوقش علی قوله</w:t>
      </w:r>
      <w:r>
        <w:rPr>
          <w:rFonts w:eastAsia="IRNazanin" w:cs="IRNazanin"/>
          <w:color w:val="111111"/>
          <w:sz w:val="28"/>
          <w:szCs w:val="28"/>
          <w:rtl w:val="true"/>
          <w:lang w:bidi="fa-IR"/>
        </w:rPr>
        <w:t>:</w:t>
      </w:r>
    </w:p>
    <w:p>
      <w:pPr>
        <w:pStyle w:val="Heading4"/>
        <w:numPr>
          <w:ilvl w:val="3"/>
          <w:numId w:val="1"/>
        </w:numPr>
        <w:rPr/>
      </w:pPr>
      <w:bookmarkStart w:id="111" w:name="__RefHeading___Toc2527080_3224264995"/>
      <w:bookmarkStart w:id="112" w:name="_Toc40"/>
      <w:bookmarkEnd w:id="111"/>
      <w:r>
        <w:rPr>
          <w:rtl w:val="true"/>
        </w:rPr>
        <w:t>[</w:t>
      </w:r>
      <w:r>
        <w:rPr>
          <w:rtl w:val="true"/>
        </w:rPr>
        <w:t>ما یصدق معه التجرّی</w:t>
      </w:r>
      <w:r>
        <w:rPr>
          <w:rtl w:val="true"/>
        </w:rPr>
        <w:t>]</w:t>
      </w:r>
      <w:bookmarkEnd w:id="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یشترط فی صدق التجرّی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المقصود من ذلک إن کان تکثیر الأقسام لتفاوت الأحکام، أو کان تشخیص مصادیق التجرّی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رجوع ما یشکّ فی اندراجه تحت التجرّی و عدمه، إلی الشبهات الموضوعیة التی هی مورد البراءة باتّفاق المجتهدین و الأخباریة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فرع ثبوت حرمة عنوان التجرّی و مصداقه المشخّص شرعا من حیث الکمّیة و الکیفیّة، کما هو المعیار الممیّز بین الشبهات الموضوعیة و الحکمیة، و الحال أنّه لم یثبت أصل حرمة عنوان التجرّی، فضلا عن انحصار أقسامه فی الستّة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ثبوت أصل حرمته فبوفاق من المصنّف</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عدم ثبوت انحصاره فی الستّة المذکورة فلأنّ من جملة أقسامه الغیر المذکورة الرضا بالحرام و حبّه و التشبّه به، کشرب المباح تشبیها بشرب المسکر، و وطء زوجته مشبّها إیّاها بالأجنبیّة، و تشبّه المرأة بالرجل، و بالعکس، کما </w:t>
      </w:r>
    </w:p>
    <w:p>
      <w:pPr>
        <w:pStyle w:val="BookText"/>
        <w:rPr/>
      </w:pPr>
      <w:r>
        <w:rPr>
          <w:rFonts w:ascii="IRNazanin" w:hAnsi="IRNazanin" w:eastAsia="IRNazanin"/>
          <w:color w:val="111111"/>
          <w:sz w:val="28"/>
          <w:sz w:val="28"/>
          <w:szCs w:val="28"/>
          <w:rtl w:val="true"/>
          <w:lang w:bidi="fa-IR"/>
        </w:rPr>
        <w:t>صرّح به بعض الأصحاب، و حاصل المرام أن تکثیره الأقسام من دون حصرها بالتمام و عدم تفاوت الأحکام مناف لبلاغة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دفع المناقشة المذکورة، بأنّ ثبوت حرمة عنوان التجرّی علی وجه التقدیر و الفرض کاف فی وجاهة تشخیص أفراده و مصادیقه و إن لم یقل المصنّف هو به، و أنّ اندراج الرضا و الحبّ و التشبّه بالحرام فی مصداق التجرّی إن کان معلوما فلا یخرج المشکوک اندراجه فی التجرّی، بعد تشخیص مصادیقه المذکورة، عن الشّبهة المصداقیة الّتی هی مورد البراءة بالاتّفاق، و إن کان مشکوکا فغایته رجوع الشکّ فی اندراجه إلی الشبهة الحکمیّة التی هی مورد البراءة عند المجتهدین خاصّة، و هو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کلاهما تحکّم و تخرّص بالغیب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وجه کون الأوّل تحکّما فلأنّه إثبات حکم الفسق فی المتعاطی للتجرّی بلا دلیل بیّن و لا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کون الثانی تخرّصا بالغیب فلعدم الواسطة بین الصغیرة و الکبیرة فی ما یعاقب علیه، إلّا أن یوجّه بأنّ المقصود لیس عقابا متوسّطا بین مطلق الصغیرة و الکبیرة حتی یدفع بنفی الواسطة، بل المقصود کونه عقابا متوسّطا بالنّسبة إلی خصوص عقاب الفعل المتجرّی به، بمعنی أنّ التجری کبیرة بالنسبة إلی الصغائر التی لم یوعد علیها النار، لکونه من الظلم الموعد علیه، و صغیرة بالنسبة إلی عقاب فعل المتجرّی به المصادف للواقع، فحرمة التجرّی الغیر المصادف للحرام الواقعیّ و إن کان کبیرة فی نفسه، إلّا أنّها صغیرة بالنسبة إلی ما لو صادفت الواقع، لما تقدّم فی تحریر محلّ النزاع من أنّ حرمة التجرّی علی القول به لیس کحرمته إذا صادف الواقع، بل هی دونه قطعا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یظهر توجیه الحکم بفسق المتعاطی له أیضا، مضافا إلی توجیهه بعدم </w:t>
      </w:r>
    </w:p>
    <w:p>
      <w:pPr>
        <w:pStyle w:val="BookText"/>
        <w:rPr/>
      </w:pPr>
      <w:r>
        <w:rPr>
          <w:rFonts w:ascii="IRNazanin" w:hAnsi="IRNazanin" w:eastAsia="IRNazanin"/>
          <w:color w:val="111111"/>
          <w:sz w:val="28"/>
          <w:sz w:val="28"/>
          <w:szCs w:val="28"/>
          <w:rtl w:val="true"/>
          <w:lang w:bidi="fa-IR"/>
        </w:rPr>
        <w:t>انحصار المانع من العدالة و الکواشف عن عدم ملکتها فی خصوص ارتکاب الحرام، بل یجتمع فی ارتکاب خلاف المروّات من المباحات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کلّها تحکّم و تخرّص بالغیب</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التجرّی إن کان حراما من حیث الفعل المتجرّی به فکبیریّته و صغیریّته، تابع لکبیریّة مسبّبه الواقعی و صغیریّته، إذ لا دلیل علی حرمة فعل المتجرّی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تسلیم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تعمیم حرمة مسبّبه المفروض عدم مصادفته له، و جعله من أفراد ذلک الحرام الواقعیّ الذی قد یصادفه التجرّی و قد لا یصادفه، بدعوی خروج المصادفة عن الأفعال الاختیاریة و إناطة الحرمة الواقعیة بنفس المتعلّق به الاختیار، و هو التجرّی علی زعم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التجرّی حراما من حیث خبث الفاعل و سوء سریرته فهو راجع إلی عدم حرمة فعله رأسا، لا کبیرة و لا 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التجرّی حراما لا من حیث الفعل و لا من حیث الفاعل، فإن صدر من العادل أمکن استصحاب عدالته لو لا فحوی وجه مانعیّة ارتکاب خلاف المروّة عن العدالة، و هو الکشف العادیّ و الغالبیّ عن عدم المبالاة فی الخلوات عن ارتکاب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أنّ التجرّی مانع عن الوثوق بعدالة مرتکبه علی جمیع التقادیر، أمّا علی تقدیر کونه من الکبائر أو الصغائر المصرّ علیها فلکونه مثبتا للفسق، فضلا عن مانعیة الوثوق بعدالته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تقدیر عدم کونه منها فلأنّه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یثبت فسق فاعله إلّا أنّه بفحوی وجه مانعیّة ارتکاب خلاف 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عن الوثوق بعدالة مرتکبه</w:t>
      </w:r>
      <w:r>
        <w:rPr>
          <w:rFonts w:eastAsia="IRNazanin" w:cs="IRNazanin"/>
          <w:color w:val="111111"/>
          <w:sz w:val="28"/>
          <w:szCs w:val="28"/>
          <w:rtl w:val="true"/>
          <w:lang w:bidi="fa-IR"/>
        </w:rPr>
        <w:t xml:space="preserve">. </w:t>
      </w:r>
      <w:bookmarkStart w:id="113" w:name="pg12850_121125"/>
    </w:p>
    <w:p>
      <w:pPr>
        <w:pStyle w:val="BookText"/>
        <w:rPr/>
      </w:pPr>
      <w:bookmarkEnd w:id="113"/>
      <w:r>
        <w:rPr>
          <w:rFonts w:ascii="IRNazanin" w:hAnsi="IRNazanin" w:eastAsia="IRNazanin"/>
          <w:color w:val="111111"/>
          <w:sz w:val="28"/>
          <w:sz w:val="28"/>
          <w:szCs w:val="28"/>
          <w:rtl w:val="true"/>
          <w:lang w:bidi="fa-IR"/>
        </w:rPr>
        <w:t>ثمّ و علی تقدیر مثبتیّته للفسق، یکون مجرّد التوبة و الندامة رافعا لمانعیّته عن استصحاب الغیر عدالته، بأصالة الصحّة فی إنشائه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تقدیر مانعیّته عن الوثوق بعدالة مرتکبه 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مجرّد الاستغفار و إظهار التوبة رافعا لمانعیّته عن الوثوق بعدالته، و ذلک لأنّ الاستغفار و الندامة إنّما هما علی الذنب، و المفروض أنّ التجرّی علی تقدیر مانعیّته عن العدالة دون مثبتیته الفسق غیر 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التجرّی علی تقدیر کونه معصیة محرّمة و مثبتا للفسق، أیضا مانع عن العدالة بالطریق الأولی، فکما أنّ الاستغفار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کونه 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استصحاب عدالته کذلک الاستغفار عنه علی تقدیر کونه خلاف المروّة مصحّح استصحاب عدالته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أنّه علی تقدیر کونه کبیرة مانع عن إجراء أحکام العدالة علیه تعبّدا، المزیل مانعیّته إظهار الندامة و الاستغفار تعبدا بأصالة الصحّة فی فعل المسلم المصحّح استصحاب عدالته السابقة، بخلاف تقدیر کونه خلاف المروّة؛ فإنّه علی هذا التقدیر کاشف عن عدم وجود ملکة العدالة فیه من أصل، لا طروّ المانع علیه حتی یستصحب وجوده بعد زوال ذلک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غایة توجیه الفرق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کاشفیّة التجرّی عن عدم سبق العدالة إن کان من مقتضیات ذاته فلا وجه لاختصاصها به علی تقدیر عدم حرمته دون تقدیر حرمته، و إن کان من مقتضیات الضمائم الخارجیة فهو تابع لخصوصیات المقامات، لا لخصوص تقدیر عدم حرمته دون تقدیر حرمته</w:t>
      </w:r>
      <w:r>
        <w:rPr>
          <w:rFonts w:eastAsia="IRNazanin" w:cs="IRNazanin"/>
          <w:color w:val="111111"/>
          <w:sz w:val="28"/>
          <w:szCs w:val="28"/>
          <w:rtl w:val="true"/>
          <w:lang w:bidi="fa-IR"/>
        </w:rPr>
        <w:t>.</w:t>
      </w:r>
    </w:p>
    <w:p>
      <w:pPr>
        <w:pStyle w:val="Heading3"/>
        <w:numPr>
          <w:ilvl w:val="2"/>
          <w:numId w:val="1"/>
        </w:numPr>
        <w:rPr/>
      </w:pPr>
      <w:bookmarkStart w:id="114" w:name="__RefHeading___Toc2527082_3224264995"/>
      <w:bookmarkStart w:id="115" w:name="_Toc41"/>
      <w:bookmarkEnd w:id="114"/>
      <w:r>
        <w:rPr>
          <w:rtl w:val="true"/>
        </w:rPr>
        <w:t>[</w:t>
      </w:r>
      <w:r>
        <w:rPr>
          <w:rtl w:val="true"/>
        </w:rPr>
        <w:t>ما نسب إلی أکثر الاخباریة فی مسألة حجّیة ما یحتمل الخطأ</w:t>
      </w:r>
      <w:r>
        <w:rPr>
          <w:rtl w:val="true"/>
        </w:rPr>
        <w:t>]</w:t>
      </w:r>
      <w:bookmarkEnd w:id="11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نسب إلی بعض أصحابنا الأخباریة عدم الاعتماد علی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bookmarkStart w:id="116" w:name="pg12850_121126"/>
    </w:p>
    <w:p>
      <w:pPr>
        <w:pStyle w:val="BookText"/>
        <w:rPr/>
      </w:pPr>
      <w:bookmarkEnd w:id="116"/>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ما یستفاد من مجموع کلماتهم التی تصدّی المصنّف لذکرها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طولها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کبرویّ و صغرویّ، أمّا الکبرویّ فمطلبان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 إلی أکثرهم من عدم حجّیة کلّ ما یحتمل من الطرق الخطأ فی سلوکه و عدم إیصاله إلی الواقع المفروض مطلوبیّته، إلّا أن یضمن الشرع درک مخالفته الواقع، و قناعته بقدر ما یوافقه عن قدر ما یخالفه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ضمن ذلک فی الأدلّة و الأمارات الظنیّة التی اعتبرها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یکون احتمال مخالفته مجرّد فرض لا وقوع له أصلا کالعقل الفطریّ الخالی عن شوائب الأوهام، المثبت لوجود الصانع للمصنوعات، و ذی الظلّ لکلّ ظلّ، أو احتمالا غیر عقلائی، کبدیهیّات العقل و ضروریّاته من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 أعظم من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الضدّان لا یجتمعان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کان الاعتناء باحتمال مخالفته مستلزما للعسر و الحرج، و سدّ أبواب المعاد و المعاش، و الخروج عن ربقة التکالیف الفرعیة و الأصلیة، و سدّ أبواب ثبوت الشرائع و الأدیان، و رسالة الرسل و نبوّة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 ممّا یوجب القطع بعدم رضا العقل و الشرع به و بالاعتناء بما یستلزمه، کاحتمال الخلاف فی المحسوسات العقلیّة، و ما یقرب إلیها فی الرجوع إلی المبادئ الحسّیّة، کمشاهدة المعجزة برأی العین، و سماع الکلام بالمشافهة</w:t>
      </w:r>
      <w:r>
        <w:rPr>
          <w:rFonts w:eastAsia="IRNazanin" w:cs="IRNazanin"/>
          <w:color w:val="111111"/>
          <w:sz w:val="28"/>
          <w:szCs w:val="28"/>
          <w:rtl w:val="true"/>
          <w:lang w:bidi="fa-IR"/>
        </w:rPr>
        <w:t>.</w:t>
      </w:r>
    </w:p>
    <w:p>
      <w:pPr>
        <w:pStyle w:val="Heading3"/>
        <w:numPr>
          <w:ilvl w:val="2"/>
          <w:numId w:val="1"/>
        </w:numPr>
        <w:rPr/>
      </w:pPr>
      <w:bookmarkStart w:id="117" w:name="__RefHeading___Toc2527084_3224264995"/>
      <w:bookmarkStart w:id="118" w:name="_Toc42"/>
      <w:bookmarkEnd w:id="117"/>
      <w:r>
        <w:rPr>
          <w:rtl w:val="true"/>
        </w:rPr>
        <w:t>[</w:t>
      </w:r>
      <w:r>
        <w:rPr>
          <w:rtl w:val="true"/>
        </w:rPr>
        <w:t>ما نسب إلی السید الصدر من ملازمة حکم العقل لحکم الشرع</w:t>
      </w:r>
      <w:r>
        <w:rPr>
          <w:rtl w:val="true"/>
        </w:rPr>
        <w:t>]</w:t>
      </w:r>
      <w:bookmarkEnd w:id="11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 إلی السیّد الصدر فی شرح الوافیة</w:t>
      </w:r>
      <w:r>
        <w:rPr>
          <w:rStyle w:val="FootnoteAnchor"/>
          <w:rtl w:val="true"/>
        </w:rPr>
        <w:footnoteReference w:id="63"/>
      </w:r>
      <w:r>
        <w:rPr>
          <w:rFonts w:ascii="IRNazanin" w:hAnsi="IRNazanin" w:eastAsia="IRNazanin"/>
          <w:color w:val="111111"/>
          <w:sz w:val="28"/>
          <w:sz w:val="28"/>
          <w:szCs w:val="28"/>
          <w:rtl w:val="true"/>
          <w:lang w:bidi="fa-IR"/>
        </w:rPr>
        <w:t>تبعا للزرکشی</w:t>
      </w:r>
      <w:r>
        <w:rPr>
          <w:rStyle w:val="FootnoteAnchor"/>
          <w:rtl w:val="true"/>
        </w:rPr>
        <w:footnoteReference w:id="64"/>
      </w:r>
      <w:r>
        <w:rPr>
          <w:rFonts w:ascii="IRNazanin" w:hAnsi="IRNazanin" w:eastAsia="IRNazanin"/>
          <w:color w:val="111111"/>
          <w:sz w:val="28"/>
          <w:sz w:val="28"/>
          <w:szCs w:val="28"/>
          <w:rtl w:val="true"/>
          <w:lang w:bidi="fa-IR"/>
        </w:rPr>
        <w:t>من منع ملازمة حکم العقل لحکم الشرع، لکن لا لما علیه الأشعریّة من عدم تبعیّة أحکام الشرع للحسن و القبح العقلیین، و أنّ الحسن و القبح العقلیین تابعة لأحکام الشرع، و متفرّعة علیها</w:t>
      </w:r>
      <w:r>
        <w:rPr>
          <w:rStyle w:val="FootnoteAnchor"/>
          <w:rtl w:val="true"/>
        </w:rPr>
        <w:footnoteReference w:id="65"/>
      </w:r>
      <w:r>
        <w:rPr>
          <w:rFonts w:ascii="IRNazanin" w:hAnsi="IRNazanin" w:eastAsia="IRNazanin"/>
          <w:color w:val="111111"/>
          <w:sz w:val="28"/>
          <w:sz w:val="28"/>
          <w:szCs w:val="28"/>
          <w:rtl w:val="true"/>
          <w:lang w:bidi="fa-IR"/>
        </w:rPr>
        <w:t xml:space="preserve">، بل لدعوی أنّ الأحکام الشرعیة و إن کانت تابعة للحسن و القبح العقلیین و أدرک العقل الحسن المنوط به الثواب، و القبح </w:t>
      </w:r>
    </w:p>
    <w:p>
      <w:pPr>
        <w:pStyle w:val="BookText"/>
        <w:rPr/>
      </w:pPr>
      <w:r>
        <w:rPr>
          <w:rFonts w:ascii="IRNazanin" w:hAnsi="IRNazanin" w:eastAsia="IRNazanin"/>
          <w:color w:val="111111"/>
          <w:sz w:val="28"/>
          <w:sz w:val="28"/>
          <w:szCs w:val="28"/>
          <w:rtl w:val="true"/>
          <w:lang w:bidi="fa-IR"/>
        </w:rPr>
        <w:t>المنوط به العقاب، إلّا أنّ من خصائص ألطافه الواجبة علیه تعالی عدم ترتّبه استحقاق الثواب و العقاب علی ما یدرکه العقل العاری من غیر استمداد النقل، و عدم إناطته الثواب و العقاب بمجرّد العلم بحسن شی‌ء أو قبحه واقعا من غیر أن یضیف إلیه تأکید الخطاب بلسان النبیّ صلی اللّه علیه و آله و الأئمّة الأحباب،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کُنَّا مُعَذِّبِینَ حَتَّی نَبْعَثَ رَسُولًا</w:t>
      </w:r>
      <w:r>
        <w:rPr>
          <w:rStyle w:val="FootnoteAnchor"/>
          <w:rtl w:val="true"/>
        </w:rPr>
        <w:footnoteReference w:id="66"/>
      </w:r>
      <w:r>
        <w:rPr>
          <w:rFonts w:ascii="IRNazanin" w:hAnsi="IRNazanin" w:eastAsia="IRNazanin"/>
          <w:color w:val="111111"/>
          <w:sz w:val="28"/>
          <w:sz w:val="28"/>
          <w:szCs w:val="28"/>
          <w:rtl w:val="true"/>
          <w:lang w:bidi="fa-IR"/>
        </w:rPr>
        <w:t>و سائر الأخبار الدالّة علی عدم قبول شی‌ء من الممدوحات العقلیة ما لم یکن بدلالة ولیّ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 الأشاعرة المنکرین للحسن و القبح العقلیین لیس إنکار إدراک العقل الحسن و القبح بمعنی موافقة الطبع و مخالفته، کحسن صفاء اللؤلؤ، و قبح قذارة القذر، و لا إنکار إدراکهما بمعنی موافقة غرض المولی، و مخالفة غرضه، کحسن التصدّی لأغراض المولی، و قبح التعرّض لنقض أغراضه، إذ لا مجال لإنکارهما بهذین المعنیین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مرادهم إنکار إدراکهما بمعنی إنکار إدراک العقل الحسن الملزم لاستحقاق الثواب علیه، و القبح الملزم لاستحقاق العقاب علیه؛ بل إنکارهم هذا المعنی لیس بمعنی السلب بانتفاء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یتوهّم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بمعنی السلب بانتفاء الموضوع، أعنی إنکار أن یکون لأفعال العباد بالذات، أو بالوجوه و الاعتبار حسنا أو قبحا ملزما لاستحقاق الثواب أو العقاب علیها، قبل تعلّق غرض المولی بها فعلا أو ترکا حتی یدرکهما العقل، لا إنکار إدراکهما العقل و تسلیم ثبوتهما فی نفس الأمر قبل عروض غرض المولی بطلبهما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مراد الزرکشی و السیّد الصدر فهو تسلیم ثبوتهما فی نفس الأمر قبل عروض غرض المولی بطلبهما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مراد الزرکشی و السیّد الصدر فهو تسلیم ثبوتهما فی نفس الأمر قبل عروض غرض المولی بهما و تسلیم إدراک العقل إیّاهما، لکن لا مع وصف الملازمة للشرع کما یقوله المجتهدون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الأخباریة یسلّمون إدراک العقل الحسن و القبح الملزمین للثواب و العقاب الشرعیین، إلّا أنّهم ینکرون ملازمة مجرّد إدراک الملزم للثواب الثواب، و إدراک الملزم للعقاب العقاب، من غیر أن ینضمّ إلیه النقل و التبلیغ بلسان الخطاب من النبیّ أو الأئمة الأحباب إمّا من جهة تجویزهم خلوّ الواقعة عن الحکم الشرعیّ رأسا لا موافقا و لا مخالفا لیرجع إلی منعهم الملازمة من طرف العقل للشرع، دون العکس، و إمّا من جهة تجویزهم حکم الشرع بخلاف ما حکم به العقل لیرجع إلی منع الملازمة من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أشار إلیه المصنّف فی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راجع إلی أحد قولی المجتهدین و الأشاعرة، و لیس لمنکری الملازمة قولا ثالثا بین القولین، لأنّهم إن أرادوا من إدراک العقل الحسن و القبح الملزمین للثواب و العقاب الإلزام الفعلیّ الغیر المعلّق علی عروض خطاب الشرع به فهو ما یقوله المجتهدون من ملازمة حکم العقل للشرع،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أرادوا منه الإلزام الشأنی المعلّق علی ذلک فهو عین ما قاله الأشاعرة من تبعیّة الحسن و القبح العقلیین للأحکام، لا تبعیّة الأحکام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أورد علیهم أستاذنا العلّامة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لهم أن یجیبوا بأنّ مرادنا من إدراک العقل الحسن و القبح الملزمین للثواب و العقاب الإلزام الشأنی، لکن لا الشأنیّ المتوقّف فعلیّته علی دلالة النقل علیه و عروضه له علی وجه تکون دلالة النقل و عروضها علیه هی العلّة التامّة فی فعلیّة الإلزام حتی یرجع إلی قول الأشاعرة، بل الشأنی المتوقّف فعلیّته علی دلالة النقل، و عروضه علی وجه یکون النقل جزء أخیرا من العلّة، لا علّة تامّة، فتدبّر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فمفاد کلّ من مطلبی الأخباریة و إن کان اعتبار النقل، دون </w:t>
      </w:r>
    </w:p>
    <w:p>
      <w:pPr>
        <w:pStyle w:val="BookText"/>
        <w:rPr/>
      </w:pPr>
      <w:r>
        <w:rPr>
          <w:rFonts w:ascii="IRNazanin" w:hAnsi="IRNazanin" w:eastAsia="IRNazanin"/>
          <w:color w:val="111111"/>
          <w:sz w:val="28"/>
          <w:sz w:val="28"/>
          <w:szCs w:val="28"/>
          <w:rtl w:val="true"/>
          <w:lang w:bidi="fa-IR"/>
        </w:rPr>
        <w:t>العقل، إلّا أنّ مقتضی مطلبهم الثانی هو مدخلیّة النقل فی اعتبار العقل علی وجه یکون جزء لموضوع العلم الحاصل منهما فی إناطة الثواب و العقاب فینتفی بانتفائه، بخلاف مطلبهم الأوّل فإنّه و إن اقتضی اختصاص طرق الواقع بالنقل، لکن لا لمدخلیّة النقل فی موضوع الحکم، بل لمأمونیّته عن تخلّف الواقع، أو عن العقاب علی صورة اتّفاق تخلّفه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بیان مطلبی الأخباریّة فی کلامهم الکبرویّ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کلامهم الصغروی فهو إحدی دعویین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دعوی أنّ القطع الحاصل من المقدّمات العقلیّة النظریّة، غیر مأمون من احتمال الخلاف، و لا من درک ما یترتّب علی ذلک الخلاف من المفاسد و العقوبة بکفالة المعصوم و ضمانته درکه، بخلاف ما یحصل من أخبار الکتب الأربعة، بل مطلق الأصول الأربعمائة، فإنّ احتمال الخلاف فیها عند أکثرهم ملحق بالاحتمالات الغیر العقلائیّة للوجوه الّتی أقاموها علی ذلک من کثرة الوثوق برواتها، و جامعیها، و شدّة تورّعهم فی الاحتیاط و التقی، و حرصهم علی إتقان ضبطها، و غیر ذلک ممّا ادّعوا قضاء العادة من ملاحظته القطع بصدور جمیع ما فی الکتب الأربعة و صحّتها، و نفی احتمال الخلاف فیها، و خروجه عن الاحتمالات العقلائیّة، کخروج احتمال عدم إصابة السماع و الحسّ فیها عن الاحتمالات العقلائیّة لو سمعت مشافهة من غیر واسطة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دعوی أنّ احتمال الخلاف فیها و إن لم یلحق بالاحتمال الغیر العقلائیّ إلا أنّ المعصومین علیهم السّلام ضمنوا لدرک ما یترتّب علی الخلاف المتّفق من سلوک طرق أخبارهم و آثارهم بواسطة الإعراض عن سلوک طرق أعدائهم، و الرکون إلی مفاسد آرائهم الأقیسة، و مستحسنات الأوهام، لتنصیصهم فی عدّة من الأخبار بمثل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دان اللّه بغیر سماع من صادق فهو کذا و کذا</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و ما </w:t>
      </w:r>
    </w:p>
    <w:p>
      <w:pPr>
        <w:pStyle w:val="BookText"/>
        <w:rPr/>
      </w:pPr>
      <w:r>
        <w:rPr>
          <w:rFonts w:ascii="IRNazanin" w:hAnsi="IRNazanin" w:eastAsia="IRNazanin"/>
          <w:color w:val="111111"/>
          <w:sz w:val="28"/>
          <w:sz w:val="28"/>
          <w:szCs w:val="28"/>
          <w:rtl w:val="true"/>
          <w:lang w:bidi="fa-IR"/>
        </w:rPr>
        <w:t>یقرب من هذا المضمون</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محصّل کلامهم و مرامهم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المطلب الأوّل من کلامهم الکبرویّ فممّا لا کلام فیه بیننا و بینهم، و لیس لنا فی قباله کلام ینافیه بوجه من الوجوه، و إنّما للعامّة فی قباله ما ینافیه من القول بالتصویب</w:t>
      </w:r>
      <w:r>
        <w:rPr>
          <w:rStyle w:val="FootnoteAnchor"/>
          <w:rtl w:val="true"/>
        </w:rPr>
        <w:footnoteReference w:id="70"/>
      </w:r>
      <w:r>
        <w:rPr>
          <w:rFonts w:ascii="IRNazanin" w:hAnsi="IRNazanin" w:eastAsia="IRNazanin"/>
          <w:color w:val="111111"/>
          <w:sz w:val="28"/>
          <w:sz w:val="28"/>
          <w:szCs w:val="28"/>
          <w:rtl w:val="true"/>
          <w:lang w:bidi="fa-IR"/>
        </w:rPr>
        <w:t>، و تبعیة الأحکام الواقعیة لظنّیات العقل و مستحسنات أوهامهم الفاسدة، و عدم إثبات واقع لها سوی ما تحدثه آراؤهم الباطلة، فکلامهم الکبروی إذن کلام ینبغی أن یکون فی قبال المصوّبة من العامّة، لا فی قبالنا معاشر المخطّئة من أهل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المطلب الثانی من کلامهم الکبروی المبتنی علی إناطة الثواب بالنقل علی وجه یکون جزء لموضوع العلم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الراجع إلی منعهم الملازمة بین العقل و الشرع من طرف العقل، أو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فمردود 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بحجّیة الإجماع عند بعضهم، و الحال أنّه دلیل لبّی لا نقلی، و بحجّیة العقل الفطریّ و البدیهیّ و الحسّی عند کلّهم، و الحال أنّها لیست نقلیّة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أشار إلی تفصیله الفصول فی فصل بیان الملازمة بین العقل و الشرع</w:t>
      </w:r>
      <w:r>
        <w:rPr>
          <w:rStyle w:val="FootnoteAnchor"/>
          <w:rtl w:val="true"/>
        </w:rPr>
        <w:footnoteReference w:id="71"/>
      </w:r>
      <w:r>
        <w:rPr>
          <w:rFonts w:ascii="IRNazanin" w:hAnsi="IRNazanin" w:eastAsia="IRNazanin"/>
          <w:color w:val="111111"/>
          <w:sz w:val="28"/>
          <w:sz w:val="28"/>
          <w:szCs w:val="28"/>
          <w:rtl w:val="true"/>
          <w:lang w:bidi="fa-IR"/>
        </w:rPr>
        <w:t>و من شاء فلیراجع، و إلی إجماله المصنّف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مدخلیّة توسّط تبلیغ الحجّة</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دعوی أنّ تأکید العقل بالنقل فی إناطة الثواب و العقاب من الألطاف الخاصّة به تعالی مدفوعة بأنّه إن أرید کونه من الألطاف اللازمة التی یکون فی ترکها قبح و خلاف غرض فالصغری أعنی کونه لطفا ممنوعة و إن أرید کونه من </w:t>
      </w:r>
      <w:bookmarkStart w:id="119" w:name="pg12850_121131"/>
    </w:p>
    <w:p>
      <w:pPr>
        <w:pStyle w:val="BookText"/>
        <w:rPr/>
      </w:pPr>
      <w:bookmarkEnd w:id="119"/>
      <w:r>
        <w:rPr>
          <w:rFonts w:ascii="IRNazanin" w:hAnsi="IRNazanin" w:eastAsia="IRNazanin"/>
          <w:color w:val="111111"/>
          <w:sz w:val="28"/>
          <w:sz w:val="28"/>
          <w:szCs w:val="28"/>
          <w:rtl w:val="true"/>
          <w:lang w:bidi="fa-IR"/>
        </w:rPr>
        <w:t>الألطاف المندوبة التی فعلها أولی من ترکها فکلیّة الکبری و هو وجوب کلّ لطف ممنوعة</w:t>
      </w:r>
      <w:r>
        <w:rPr>
          <w:rFonts w:eastAsia="IRNazanin" w:cs="IRNazanin"/>
          <w:color w:val="111111"/>
          <w:sz w:val="28"/>
          <w:szCs w:val="28"/>
          <w:rtl w:val="true"/>
          <w:lang w:bidi="fa-IR"/>
        </w:rPr>
        <w:t>.</w:t>
      </w:r>
    </w:p>
    <w:p>
      <w:pPr>
        <w:pStyle w:val="Heading3"/>
        <w:numPr>
          <w:ilvl w:val="2"/>
          <w:numId w:val="1"/>
        </w:numPr>
        <w:rPr/>
      </w:pPr>
      <w:bookmarkStart w:id="120" w:name="__RefHeading___Toc2527086_3224264995"/>
      <w:bookmarkStart w:id="121" w:name="_Toc43"/>
      <w:bookmarkEnd w:id="120"/>
      <w:r>
        <w:rPr>
          <w:rtl w:val="true"/>
        </w:rPr>
        <w:t>[</w:t>
      </w:r>
      <w:r>
        <w:rPr>
          <w:rtl w:val="true"/>
        </w:rPr>
        <w:t>المناقشة فی دعوی الفرق بین قطعیات العقل النظری و بین قطعیات النقل الوصوی</w:t>
      </w:r>
      <w:r>
        <w:rPr>
          <w:rtl w:val="true"/>
        </w:rPr>
        <w:t>]</w:t>
      </w:r>
      <w:bookmarkEnd w:id="121"/>
    </w:p>
    <w:p>
      <w:pPr>
        <w:pStyle w:val="BookText"/>
        <w:rPr/>
      </w:pPr>
      <w:r>
        <w:rPr>
          <w:rFonts w:ascii="IRNazanin" w:hAnsi="IRNazanin" w:eastAsia="IRNazanin"/>
          <w:color w:val="111111"/>
          <w:sz w:val="28"/>
          <w:sz w:val="28"/>
          <w:szCs w:val="28"/>
          <w:rtl w:val="true"/>
          <w:lang w:bidi="fa-IR"/>
        </w:rPr>
        <w:t>و أمّا کلامهم الصغروی المبتنی علی دعوی الفرق بین قطعیّات العقل النظریّ فی حکمهم بعدم حجّیتها لمحض احتمال مخالفتها الواقع و عدم إیصالها إلیه، و بین قطعیّات النقل الوصویّ فی حکمهم بحجّیتها استنادا إلی إلحاق احتمال مخالفتها الواقع بالاحتمالات الغیر العقلائیّة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مستند 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إلی دعوی اختصاص الضمانة و کفالة المعصوم بها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الفرق باختصاص النقل دون العقل بإلحاق احتمال مخالفة الواقع بالاحتمال الغیر العقلائیّ، أو اختصاص النقل دون العقل أیضا بالضمانة و کفایة ما لا یصادف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منع الفرق الأوّل فلضرورة أنّ دعوی عدم احتمال مخالفة النقلیّات الواقع احتمالا عقلائیا لیس بأولی من دعوی عدم احتمال مخالفة العقلیّات الواقع احتمالا عقلائیا، إن لم یکن العکس أولی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وجه منع الفرق الثانی فلأنّ ضمان درک المخالفة للواقع فی النقلیات إن حصل بعموم أدلّة حجّیة النقلیّات فلیحصل أیضا ذلک الضمان بعموم أدلّة حجّیة العقل،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ما عبد به الرحمن و اکتسب به الجنان</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و بعموم قوله علیه السّلام فی حجّة الوداع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ما من شی‌ء یقرّبکم إلی الجنّة و یباعدکم عن النّار إلّا امرتکم به، و ما من شی‌ء یقرّبکم إلی النار و یباعدکم عن الجنّة إلا و قد نهیتکم عنه</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و إن حصل ذلک الضمان بما یختصّ بالنقلیّات فلا </w:t>
      </w:r>
      <w:bookmarkStart w:id="122" w:name="pg12850_121132"/>
    </w:p>
    <w:p>
      <w:pPr>
        <w:pStyle w:val="BookText"/>
        <w:rPr/>
      </w:pPr>
      <w:bookmarkEnd w:id="122"/>
      <w:r>
        <w:rPr>
          <w:rFonts w:ascii="IRNazanin" w:hAnsi="IRNazanin" w:eastAsia="IRNazanin"/>
          <w:color w:val="111111"/>
          <w:sz w:val="28"/>
          <w:sz w:val="28"/>
          <w:szCs w:val="28"/>
          <w:rtl w:val="true"/>
          <w:lang w:bidi="fa-IR"/>
        </w:rPr>
        <w:t>نتعقّله، فضلا عن تعقّل اختصاصه بالنقلیّات، و عدم الوجدان دلیل العدم فی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نتعقّل الفرق بین العقلیّات و النقلیّات فی الطریقیّة إلی الواقع غالبا، و لا فی احتمال الخطأ و عدم الوصول إلیه أحیانا، و لا فی عموم أدلّة حجّیتها المضمّن لدرک المخالفة الأحیانیّة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فرغنا عن محصّل أدلّة الأخباریة و جوابها فلنرجع إلی شرح بعض کلمات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لکثرة وقوع الاشتباه و الغلط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مرادهم من الکثرة هو کثرته الموجبة لإخراج احتماله عن الاحتمال الغیر العقلائی و لو حصلت بالندور الذی یعدّ احتماله من الاحتمال العقلائی، لا خصوص الکثرة المقابلة للندور، لما عرفت من أنّ مستندهم علی عدم حجّیة العقل، بعدم المؤمّن من احتمال مخالفته الواقع لا یختصّ بکثرة المخالفة، بل هو منوط بمجرّد احتماله العقلائی و لو کان نادر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الشأن فی ثبوت کثرة الخطأ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لأنّه إن أرید من الخوض الممنوع عنه الخوض فی ما یؤدّی إلی القطع بما یکون خلافه ضروریا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کاستحالة إیجاد المعدوم فی المعاد الجسمانیّ، و امتناع الخرق و الالتئام فی المعراج الروحانی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فمتّجه، إلّا أنّ هذا خروج عن مفروض البحث الذی هو فی ما لا یکون خلافه ضروریا، و إن کان فی ما یؤدّی إلی القطع بما لا یکون خلافه ضروریا فمعارض بمثله فی النقلیّات</w:t>
      </w:r>
      <w:r>
        <w:rPr>
          <w:rFonts w:eastAsia="IRNazanin" w:cs="IRNazanin"/>
          <w:color w:val="111111"/>
          <w:sz w:val="28"/>
          <w:szCs w:val="28"/>
          <w:rtl w:val="true"/>
          <w:lang w:bidi="fa-IR"/>
        </w:rPr>
        <w:t>.</w:t>
      </w:r>
    </w:p>
    <w:p>
      <w:pPr>
        <w:pStyle w:val="Heading3"/>
        <w:numPr>
          <w:ilvl w:val="2"/>
          <w:numId w:val="1"/>
        </w:numPr>
        <w:rPr/>
      </w:pPr>
      <w:bookmarkStart w:id="123" w:name="__RefHeading___Toc2527088_3224264995"/>
      <w:bookmarkStart w:id="124" w:name="_Toc44"/>
      <w:bookmarkEnd w:id="123"/>
      <w:r>
        <w:rPr>
          <w:rtl w:val="true"/>
        </w:rPr>
        <w:t>[</w:t>
      </w:r>
      <w:r>
        <w:rPr>
          <w:rtl w:val="true"/>
        </w:rPr>
        <w:t>فائدة القواعد المنطقیة</w:t>
      </w:r>
      <w:r>
        <w:rPr>
          <w:rtl w:val="true"/>
        </w:rPr>
        <w:t>]</w:t>
      </w:r>
      <w:bookmarkEnd w:id="12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القواعد المنطقیّة إنّما هی عاصمة من الخطأ من جهة الصورة، لا من جهة المادّة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 ترتیب القیاس بشکل من أشکاله الأربعة بشروطها </w:t>
      </w:r>
      <w:bookmarkStart w:id="125" w:name="pg12850_121133"/>
    </w:p>
    <w:p>
      <w:pPr>
        <w:pStyle w:val="BookText"/>
        <w:rPr/>
      </w:pPr>
      <w:bookmarkEnd w:id="125"/>
      <w:r>
        <w:rPr>
          <w:rFonts w:ascii="IRNazanin" w:hAnsi="IRNazanin" w:eastAsia="IRNazanin"/>
          <w:color w:val="111111"/>
          <w:sz w:val="28"/>
          <w:sz w:val="28"/>
          <w:szCs w:val="28"/>
          <w:rtl w:val="true"/>
          <w:lang w:bidi="fa-IR"/>
        </w:rPr>
        <w:t>المعتبرة موکول إلی المنطق الذی دوّن للعصمة عن الخطأ فی تأدیة المراد هیئة، و أمّا تحصیل هذه اللوازم و الملزومات المعبّر عنها بموادّ الأقیسة و مقدّماته الصغرویّة و الکبرویّة فالمنطق عن ذلک غریب، و لیس لها من قاعدة منضبطة تندرج تحتها، بل أمرها موکول إلی نظر المعتبر علی حسبما ینتهی نظره فیها، فلو انتهی إلی الحسّ أو القریب الیه فمعتبر، لعدم تطرّق الخطأ فی الامور المحسوسة أو ما یقربها، و إلا فلا؛ فإنّ الاعتقاد لا یلازم الواقع فقد یطابقه و قد لا یطابقه، فیمکن قیام الاعتقاد علی ما یخالف الواقع و یترتّب القیاس علی النحو المقرّر فینتج ما یخالف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استقرّ دیدن المنکرین علی المستدلّین فی منع موادّ الأقیسة من الصغری، أو الکبری دون منع هیئاتها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المعلوم امتناع أن یوضع لذلک 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ذلک إنّما هو بحسب العادة، و إلّا فلا یمتنع عقلا علی القادر المطلق العالم بالغیب وضع ما یعلم به صدق القضایا و کذبها و صحّتها و سقمها من حیث المادّة بنحو إلهام، أو تسدید، أو تحدیث، أو تعلیم ما لا یعلم به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الذی لا یظهر علی غیبه أحد إلّا من ارتضی من رسول</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أو بنحو قرعة، أو استخارة، أو بقوّة عاصمة کما فی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عدم جریان عادة اللّه فی وضع تلک القوّة العاصمة فی غیر خلفائه فحکمته مصالح إحواجهم الی الوسائط و دفع مفاسد استغنائهم عن الأوصیاء</w:t>
      </w:r>
      <w:r>
        <w:rPr>
          <w:rFonts w:eastAsia="IRNazanin" w:cs="IRNazanin"/>
          <w:color w:val="111111"/>
          <w:sz w:val="28"/>
          <w:szCs w:val="28"/>
          <w:rtl w:val="true"/>
          <w:lang w:bidi="fa-IR"/>
        </w:rPr>
        <w:t>.</w:t>
      </w:r>
    </w:p>
    <w:p>
      <w:pPr>
        <w:pStyle w:val="Heading3"/>
        <w:numPr>
          <w:ilvl w:val="2"/>
          <w:numId w:val="1"/>
        </w:numPr>
        <w:rPr/>
      </w:pPr>
      <w:bookmarkStart w:id="126" w:name="__RefHeading___Toc2527090_3224264995"/>
      <w:bookmarkStart w:id="127" w:name="_Toc45"/>
      <w:bookmarkEnd w:id="126"/>
      <w:r>
        <w:rPr>
          <w:rtl w:val="true"/>
        </w:rPr>
        <w:t>[</w:t>
      </w:r>
      <w:r>
        <w:rPr>
          <w:rtl w:val="true"/>
        </w:rPr>
        <w:t>منشأ الخلافات فی الفروع الفقهیة</w:t>
      </w:r>
      <w:r>
        <w:rPr>
          <w:rtl w:val="true"/>
        </w:rPr>
        <w:t>]</w:t>
      </w:r>
      <w:bookmarkEnd w:id="12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نشأ ذلک من ضمّ مقدّمة عقلیّة باطلة بالمقدّمة النقلیّة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أیّ مسألة من خلافیّات فروع کتاب الطهارة إلی الدیات بین الإمامیة نشأ الخلاف و الخطأ فیها من ضمّ مقدّمة عقلیّة إلی المقدّمة النقلیّة، بل المستند فیها غالبا إنّما هو عموم دلیل، أو قاعدة شرعیّة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p>
    <w:p>
      <w:pPr>
        <w:pStyle w:val="BookText"/>
        <w:rPr/>
      </w:pPr>
      <w:r>
        <w:rPr>
          <w:rFonts w:ascii="IRNazanin" w:hAnsi="IRNazanin" w:eastAsia="IRNazanin"/>
          <w:color w:val="111111"/>
          <w:sz w:val="28"/>
          <w:sz w:val="28"/>
          <w:szCs w:val="28"/>
          <w:rtl w:val="true"/>
          <w:lang w:bidi="fa-IR"/>
        </w:rPr>
        <w:t>خلافیّات العامّة فی فروع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کأصولهم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مستندها القیاس، و الاستحسان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من خصائص العامّة، کیف یتّهم بها الخاصّة المبرّءون و المتبرّءون منهم و من طریقتهم المخالفة للرشد المطلوب المنصوص المخصوص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یحضرنی شرح التهذیب حتی الاحظ ما فرّع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فروعه ما نقل من متشابهات الکتاب و السنّة من أخبار الجبر و التفویض، و التجسّم، و الرؤیة علی اللّه، و الجهل، و السهو، و النسیان و الخطأ علی الانبیاء، من النقص المستحیل عقلا و نقلا فی محکمات الکتاب و السنّة المقتضیة لطرح معارضها إن أمکن، و إلّا فتأویلها بإضمار، أو مجاز، مثل جاءَ رَبُّکَ</w:t>
      </w:r>
      <w:r>
        <w:rPr>
          <w:rStyle w:val="FootnoteAnchor"/>
          <w:rtl w:val="true"/>
        </w:rPr>
        <w:footnoteReference w:id="76"/>
      </w:r>
      <w:r>
        <w:rPr>
          <w:rFonts w:ascii="Amiri" w:hAnsi="Amiri" w:eastAsia="Amiri" w:cs="Amiri"/>
          <w:color w:val="111111"/>
          <w:sz w:val="28"/>
          <w:sz w:val="28"/>
          <w:szCs w:val="28"/>
          <w:rtl w:val="true"/>
          <w:lang w:bidi="ar-SA"/>
        </w:rPr>
        <w:t>أی أمر ربّک، وَ عَصی آدَمُ</w:t>
      </w:r>
      <w:r>
        <w:rPr>
          <w:rStyle w:val="FootnoteAnchor"/>
          <w:rtl w:val="true"/>
        </w:rPr>
        <w:footnoteReference w:id="77"/>
      </w:r>
      <w:r>
        <w:rPr>
          <w:rFonts w:ascii="Amiri" w:hAnsi="Amiri" w:eastAsia="Amiri" w:cs="Amiri"/>
          <w:color w:val="111111"/>
          <w:sz w:val="28"/>
          <w:sz w:val="28"/>
          <w:szCs w:val="28"/>
          <w:rtl w:val="true"/>
          <w:lang w:bidi="ar-SA"/>
        </w:rPr>
        <w:t>أی بنو آدم فَنَسِیَ وَ لَمْ نَجِدْ لَهُ عَزْماً</w:t>
      </w:r>
      <w:r>
        <w:rPr>
          <w:rStyle w:val="FootnoteAnchor"/>
          <w:rtl w:val="true"/>
        </w:rPr>
        <w:footnoteReference w:id="78"/>
      </w:r>
      <w:r>
        <w:rPr>
          <w:rFonts w:ascii="Amiri" w:hAnsi="Amiri" w:eastAsia="Amiri" w:cs="Amiri"/>
          <w:color w:val="111111"/>
          <w:sz w:val="28"/>
          <w:sz w:val="28"/>
          <w:szCs w:val="28"/>
          <w:rtl w:val="true"/>
          <w:lang w:bidi="ar-SA"/>
        </w:rPr>
        <w:t>أی بنو آدم، أو حمل النسیان علی الترک العمدی مثل نَسُوا اللَّهَ فَنَسِیَهُمْ</w:t>
      </w:r>
      <w:r>
        <w:rPr>
          <w:rStyle w:val="FootnoteAnchor"/>
          <w:rtl w:val="true"/>
        </w:rPr>
        <w:footnoteReference w:id="79"/>
      </w:r>
      <w:r>
        <w:rPr>
          <w:rFonts w:ascii="Amiri" w:hAnsi="Amiri" w:eastAsia="Amiri" w:cs="Amiri"/>
          <w:color w:val="111111"/>
          <w:sz w:val="28"/>
          <w:sz w:val="28"/>
          <w:szCs w:val="28"/>
          <w:rtl w:val="true"/>
          <w:lang w:bidi="ar-SA"/>
        </w:rPr>
        <w:t>وَ ما أَنْسانِیهُ إِلَّا الشَّیْطانُ</w:t>
      </w:r>
      <w:r>
        <w:rPr>
          <w:rStyle w:val="FootnoteAnchor"/>
          <w:rtl w:val="true"/>
        </w:rPr>
        <w:footnoteReference w:id="80"/>
      </w:r>
      <w:r>
        <w:rPr>
          <w:rFonts w:ascii="IRNazanin" w:hAnsi="IRNazanin" w:eastAsia="IRNazanin"/>
          <w:color w:val="111111"/>
          <w:sz w:val="28"/>
          <w:sz w:val="28"/>
          <w:szCs w:val="28"/>
          <w:rtl w:val="true"/>
          <w:lang w:bidi="fa-IR"/>
        </w:rPr>
        <w:t>أی مجاهدة الشیطان، إلی غیر ذلک من متشابهات الکتاب و السنّة المعارضة لمحکمات العقل و النقل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فروعه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موهمات استحالة تخلّف الأثر عن المؤثّر فی الموجب، الموهم لقدم العالم و عدم الحدوث الزمانیّ، و استحالة الخرق و الالتئام الموهم لنفی المعراج الجسمانیّ، و استحالة إعادة المعدوم و قلب الماهیّة الموهم لنفی المعاد الجسمانیّ، الی غیر ذلک من موهمات العقل المعارضة لضروریّات الدین و عین الیقین، فهی کالقیاس و الاستحسان خارج عن البرهان، و موضوع العقل و محلّ النزاع من باب السالبة بانتفاء الموضوع، لأنّ الوهمیّات المصادمة </w:t>
      </w:r>
      <w:bookmarkStart w:id="128" w:name="pg12850_121135"/>
    </w:p>
    <w:p>
      <w:pPr>
        <w:pStyle w:val="BookText"/>
        <w:rPr/>
      </w:pPr>
      <w:bookmarkEnd w:id="128"/>
      <w:r>
        <w:rPr>
          <w:rFonts w:ascii="IRNazanin" w:hAnsi="IRNazanin" w:eastAsia="IRNazanin"/>
          <w:color w:val="111111"/>
          <w:sz w:val="28"/>
          <w:sz w:val="28"/>
          <w:szCs w:val="28"/>
          <w:rtl w:val="true"/>
          <w:lang w:bidi="fa-IR"/>
        </w:rPr>
        <w:t>للضرورة من عین الجهل لا العقل کالمغالطات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سری الوهم إلی أصحابنا الأخباریة فی إنکار حجیّة العقل مع أنّه حجّة منجعلة لا یقبل الجعل نفیا و لا إثباتا</w:t>
      </w:r>
      <w:r>
        <w:rPr>
          <w:rFonts w:eastAsia="IRNazanin" w:cs="IRNazanin"/>
          <w:color w:val="111111"/>
          <w:sz w:val="28"/>
          <w:szCs w:val="28"/>
          <w:rtl w:val="true"/>
          <w:lang w:bidi="fa-IR"/>
        </w:rPr>
        <w:t>.</w:t>
      </w:r>
    </w:p>
    <w:p>
      <w:pPr>
        <w:pStyle w:val="Heading3"/>
        <w:numPr>
          <w:ilvl w:val="2"/>
          <w:numId w:val="1"/>
        </w:numPr>
        <w:rPr/>
      </w:pPr>
      <w:bookmarkStart w:id="129" w:name="__RefHeading___Toc2527092_3224264995"/>
      <w:bookmarkStart w:id="130" w:name="_Toc46"/>
      <w:bookmarkEnd w:id="129"/>
      <w:r>
        <w:rPr>
          <w:rtl w:val="true"/>
        </w:rPr>
        <w:t>[</w:t>
      </w:r>
      <w:r>
        <w:rPr>
          <w:rtl w:val="true"/>
        </w:rPr>
        <w:t>هل یتصوّر التعارض بین القطعین</w:t>
      </w:r>
      <w:r>
        <w:rPr>
          <w:rtl w:val="true"/>
        </w:rPr>
        <w:t>]</w:t>
      </w:r>
      <w:bookmarkEnd w:id="13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یتصوّر الترجیح فی القطعیین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لأنّه کیف یتصوّر التعارض بینهما حتی یتصوّر الترجیح فیهما، و لکن یمکن التوجیه، بأنّ مرادهم بیان حکم تعارضهما علی فرض التعارض و لو محالا، و فرض المحال غیر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أبیت من حمل کلامهم علی بیان حکم الأمر الفرضی البحت، فیمکن توجیه آخر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مرادهم من التعارض تعارض القطعیین المستحیل، بأن یکون مرادهم تعارض القطعیّین،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شأنه القطع لو لا المعارض لا نفس القطع، و هو غیر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حکی عن أحد المعلّمین تصویر تعارض البرهانیّین، مع کون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اصطلاحهم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یفید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علی غیر ذلک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الإنفاق ریاء، أو سمعة، أو إسرافا، أو تبذیرا فی غیر محلّه أو من غیر حلّه، أو علی غیر القربة، أو لأجل الأغراض الفاسدة کالصدّ عن سبیل اللّه،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یُنْفِقُونَ أَمْوالَهُمْ لِیَصُدُّوا عَنْ سَبِیلِ اللَّهِ فَسَیُنْفِقُونَها ثُمَّ تَکُونُ عَلَیْهِمْ حَسْرَةً</w:t>
      </w:r>
      <w:r>
        <w:rPr>
          <w:rStyle w:val="FootnoteAnchor"/>
          <w:rtl w:val="true"/>
        </w:rPr>
        <w:footnoteReference w:id="81"/>
      </w:r>
      <w:r>
        <w:rPr>
          <w:rFonts w:ascii="Amiri" w:hAnsi="Amiri" w:eastAsia="Amiri" w:cs="Amiri"/>
          <w:color w:val="111111"/>
          <w:sz w:val="28"/>
          <w:sz w:val="28"/>
          <w:szCs w:val="28"/>
          <w:rtl w:val="true"/>
          <w:lang w:bidi="ar-SA"/>
        </w:rPr>
        <w:t>أو علی غیر ذلک ممّا لا یجامع اجتماع الشرائط، أو خلوّ الموانع للصحّة، أو القبول، کمعرفة ولیّ اللّه، أو التقوی، و الورع من محارم اللّه، کما هو مفاد حصر إِنَّما یَتَقَبَّلُ اللَّهُ مِنَ الْمُتَّقِینَ</w:t>
      </w:r>
      <w:r>
        <w:rPr>
          <w:rStyle w:val="FootnoteAnchor"/>
          <w:rtl w:val="true"/>
        </w:rPr>
        <w:footnoteReference w:id="8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قَدِمْنا إِلی ما عَمِلُوا مِنْ عَمَلٍ فَجَعَلْناهُ هَباءً مَنْثُوراً</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أوضح من ذلک کلّه روایة أبان بن تغلب</w:t>
      </w:r>
      <w:r>
        <w:rPr>
          <w:rStyle w:val="FootnoteAnchor"/>
          <w:rtl w:val="true"/>
        </w:rPr>
        <w:footnoteReference w:id="84"/>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الاعضاء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الظاهر أنّ قوله علیه السّلام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أنّ أبان قد استنبط من عقله أنّ المناط فی الدّیة قلّة و کثرة قلّة الجرح و کثرته، و أنّ کلّما زاد الجرح زادت الدیة، فقطع أنّ قطع الثلاثة لو أوجب الثلاثین فالأربع یوجب الأربعین، و فهم من عقله أنّه لا معنی لإیجاب الزائد أنقص من إیجاب الناقص، فأردعه الإمام علیه السّلام و نهاه عن العلّة المستنبطة من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و لو ضعیفا أنّ نهیه علیه السّلام کان لأجل ما وقع عنه فی حضوره من سوء الأدب، و المسابقة فی الحکم علی المعصوم، و عدم الانتظار فی صدوره منه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لأجل ما صدر عنه من ردّ الخبر بمجرّد عدم اطمئنان النفس به المنافی للاحترام و التسلیم الواجب فی أخبارهم علیهم السّلام المقتضی لحمل ما لم یفهموا معناه علی البطون التی تقصر أفهامنا عنها، و إحالة فهمه إلیهم علیهم السّلام لا ردّه و نسبته إلی الکذب، فإنّه مناف للتسلیم الواجب فی أخبارهم و أقوالهم، کما فی الکافی عن أبی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قوما عبدوا اللّه وحده لا شریک له، فأقاموا الصّلاة، و آتوا الزّکاة، و حجّوا البیت، و صاموا شهر رمضان، ثمّ قالوا لشی‌ء صنعه اللّه أو صنعه رسول اللّه صلی اللّه علیه و آله ألّا صنع خلاف الذی صنع، أو وجدوا ذلک فی قلوبهم لکانوا بذلک 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الآیة فَلا وَ رَبِّکَ لا یُؤْمِنُونَ حَتَّی یُحَکِّمُوکَ فِیما شَجَرَ بَیْنَهُمْ ثُمَّ لا یَجِدُوا فِی أَنْفُسِهِمْ حَرَجاً مِمَّا قَضَیْتَ وَ یُسَلِّمُوا تَسْلِیماً</w:t>
      </w:r>
      <w:r>
        <w:rPr>
          <w:rStyle w:val="FootnoteAnchor"/>
          <w:rtl w:val="true"/>
        </w:rPr>
        <w:footnoteReference w:id="85"/>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بالتسلیم</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منیة الشهید</w:t>
      </w:r>
      <w:r>
        <w:rPr>
          <w:rStyle w:val="FootnoteAnchor"/>
          <w:rtl w:val="true"/>
        </w:rPr>
        <w:footnoteReference w:id="87"/>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خصّ عباده بآیتین من کتابه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لا یقولوا حتّی یعلموا، و لا یردّوا ما لم یعلموا،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یُؤْخَذْ عَلَیْهِمْ مِیثاقُ الْکِتابِ أَنْ لا یَقُولُوا عَلَی اللَّهِ إِلَّا الْحَقَ</w:t>
      </w:r>
      <w:r>
        <w:rPr>
          <w:rStyle w:val="FootnoteAnchor"/>
          <w:rtl w:val="true"/>
        </w:rPr>
        <w:footnoteReference w:id="8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کَذَّبُوا بِما لَمْ یُحِیطُوا بِعِلْمِهِ وَ لَمَّا یَأْتِهِمْ تَأْوِیلُهُ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الکافی أیضا عن زید الشحّام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رجلا یقال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یجی‌ء عنکم شی‌ء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أسلّم فسمّیناه کلیب تسلیم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فترحّم علیه،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ما التسلیم؟ فسکتنا،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الإخبات،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عَمِلُوا الصَّالِحاتِ وَ أَخْبَتُوا إِلی رَبِّهِمْ</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الإخبات إلی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اطمئنان القلب، و سکون النفس إلیه و الخضوع و الخشوع</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الکافی أیضا، عن یحیی بن زکریا الأنصاری،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یستکمل الإیمان کلّه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منّی فی جمیع الأشیاء قول آل محمد، فی ما أسرّوا و ما أعلنوا، و فی ما بلغنی عنهم و فی ما لم یبلغنی</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أخبار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بوّب لها باب فی الکافی</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عدم جواز ردّ الخبر و إن کان مما ینکر ظاهره، حتی إذا قال للنهار أنّه لیل، و للّیل أنّه نهار، معلّلا ذلک بأنّه یمکن أن یکون له محمل لم یتفطّن السامع إلیه فینکره </w:t>
      </w:r>
      <w:bookmarkStart w:id="131" w:name="pg12850_121138"/>
    </w:p>
    <w:p>
      <w:pPr>
        <w:pStyle w:val="BookText"/>
        <w:rPr/>
      </w:pPr>
      <w:bookmarkEnd w:id="131"/>
      <w:r>
        <w:rPr>
          <w:rFonts w:ascii="IRNazanin" w:hAnsi="IRNazanin" w:eastAsia="IRNazanin"/>
          <w:color w:val="111111"/>
          <w:sz w:val="28"/>
          <w:sz w:val="28"/>
          <w:szCs w:val="28"/>
          <w:rtl w:val="true"/>
          <w:lang w:bidi="fa-IR"/>
        </w:rPr>
        <w:t>فیکفر من حیث لا یشعر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الصدوق فی علل الشرائع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تکذّبوا حدیثا أتی به مرجئ و لا خارجیّ و لا قدریّ فنسبه إلینا، فإنّکم لا تدرون لعلّه شی‌ء من الحقّ فتکذّبوا اللّه</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2527094_3224264995"/>
      <w:bookmarkStart w:id="133" w:name="_Toc47"/>
      <w:bookmarkEnd w:id="132"/>
      <w:r>
        <w:rPr>
          <w:rtl w:val="true"/>
        </w:rPr>
        <w:t>[</w:t>
      </w:r>
      <w:r>
        <w:rPr>
          <w:rtl w:val="true"/>
        </w:rPr>
        <w:t>تفصیل فی اعتبار الأحکام العقلیة بین الإنّی و اللمّی</w:t>
      </w:r>
      <w:r>
        <w:rPr>
          <w:rtl w:val="true"/>
        </w:rPr>
        <w:t>]</w:t>
      </w:r>
      <w:bookmarkEnd w:id="13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الانتقال منه إلیه علی طریق اللمّ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 حکم العقل تارة یکون مرآة و کاشفا عن حکم الشرع فی الواقع، و یکون حکم العقل معلولا لحکم الشرع فیستکشف به عنه الحکومة، کالأحکام العقلیّة المستفادة من فحاوی الخطابات الشرعیة المعبّر عنها بالعقل الغیر المستقلّ المتوقّف علی توسّط خطاب الشرع، کالمفاهیم، و الالتزامات، کوجوب المقدّمة بوجوب ذیها، و النهی عن الضدّ بالأمر بالشی‌ء، و کحرمة ضرب الوالدین المستفادة من النهی عن التأفیف</w:t>
      </w:r>
      <w:r>
        <w:rPr>
          <w:rStyle w:val="FootnoteAnchor"/>
          <w:rtl w:val="true"/>
        </w:rPr>
        <w:footnoteReference w:id="95"/>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اخری علی طریق السلطنة و الحکومة و أنّ العقل لمّا حکم بحکم، فعلی الشارع أن یحکم علی طبقه، فیکون حکم الشرع حینئذ معلولا لحکم العقل المستقلّ الغیر المتوقّف علی خطاب الشرع، کظاهر المحکیّ عن فخر المحقّقین من إناطة ولایة الأب بعدالته معلّلا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الولایة استئمان، و هو لا یجامع الفسق</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فالتوصّل من حکم العقل إلی حکم الشرع علی الأوّل المعبّر عنه بطریق الإنّ جائز و مقبول، و منه إلیه علی الثانی المعبّر عنه بطریق اللمّ ممتنع و غیر معقول، و السرّ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استعلام مادّة القیاس علی الثانی بحکم العقل الغیر المصون عن الخطأ فی فهم الأحکام التوقیفیة من الشرع، و علی الأوّل بحکم الشرع الغیر </w:t>
      </w:r>
      <w:bookmarkStart w:id="134" w:name="pg12850_121139"/>
    </w:p>
    <w:p>
      <w:pPr>
        <w:pStyle w:val="BookText"/>
        <w:rPr/>
      </w:pPr>
      <w:bookmarkEnd w:id="134"/>
      <w:r>
        <w:rPr>
          <w:rFonts w:ascii="IRNazanin" w:hAnsi="IRNazanin" w:eastAsia="IRNazanin"/>
          <w:color w:val="111111"/>
          <w:sz w:val="28"/>
          <w:sz w:val="28"/>
          <w:szCs w:val="28"/>
          <w:rtl w:val="true"/>
          <w:lang w:bidi="fa-IR"/>
        </w:rPr>
        <w:t>المحتمل فیه الخطأ، فالأخبار الناهیة عن العمل بالعقل محمولة علی الوجه الثانی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التفصیل فی حجّیة العقل راجع إلی إنکار حجّیته رأسا؛ لخروج العقل الغیر المستقلّ المشخّص لکیفیّة الحکم الشرعی من عمومه و خصوصه بواسطة خطاب الشرع عن محلّ النزاع، و انحصار النزاع فی ما أنکره مطلقا من العقل المستقلّ بلسان التفصیل بینه و بین ما هو خارج عن محلّ النزاع، و هو من لطائف مهارته و قریحته التی یغلب بها العقول و الأبصار، کالسحر و الأسحار</w:t>
      </w:r>
      <w:r>
        <w:rPr>
          <w:rFonts w:eastAsia="IRNazanin" w:cs="IRNazanin"/>
          <w:color w:val="111111"/>
          <w:sz w:val="28"/>
          <w:szCs w:val="28"/>
          <w:rtl w:val="true"/>
          <w:lang w:bidi="fa-IR"/>
        </w:rPr>
        <w:t>.</w:t>
      </w:r>
    </w:p>
    <w:p>
      <w:pPr>
        <w:pStyle w:val="Heading3"/>
        <w:numPr>
          <w:ilvl w:val="2"/>
          <w:numId w:val="1"/>
        </w:numPr>
        <w:rPr/>
      </w:pPr>
      <w:bookmarkStart w:id="135" w:name="__RefHeading___Toc2527096_3224264995"/>
      <w:bookmarkStart w:id="136" w:name="_Toc48"/>
      <w:bookmarkEnd w:id="135"/>
      <w:r>
        <w:rPr>
          <w:rtl w:val="true"/>
        </w:rPr>
        <w:t>[</w:t>
      </w:r>
      <w:r>
        <w:rPr>
          <w:rtl w:val="true"/>
        </w:rPr>
        <w:t>المراد من ذمّ العقول فی الروایات</w:t>
      </w:r>
      <w:r>
        <w:rPr>
          <w:rtl w:val="true"/>
        </w:rPr>
        <w:t>]</w:t>
      </w:r>
      <w:bookmarkEnd w:id="13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انس الذهن بها یوجب عدم حصول الوثوق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هذا الاعتبار کدلالة ما تقدّم من الأخبار إنّما یدلّ علی المنع من حجّیة ما کان متداولا فی زمان صدورها و محلّا لابتلاء العمل به، من الأقیسة و الآراء و الاستحسان و المصالح المرسلة، التی هی فی مقابل نصوص الإمام أوهن الظنون و الأوهام، و تسمیتها بالعقول و عقول الناس کإطلاق الآلهة و الأرباب علی الأصنام و الأزلام، فلا تصحّ المغالطة علی الأوهام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یشهد علی ذلک أنّ هذه الأخبار إنّما صدرت فی زمان انتشار العمل بتلک العقول الوهمیّة فی مقابل النصوص الوصویّة، دون ما قبله من أزمنة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یشهد علیه أیضا أنّ العمل بالعقل المستقلّ الذی هو محلّ النزاع فی غایة الندرة، فلا ینبغی الاهتمام به فی هذه الأخبار الکثیرة؛ لمنافاته البلاغة الذی هو مطابقة الکلام لمقتضی الحال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جملة شواهد حمل نصوص ذمّ العقول علی خصوص ما هو خارج عن موضوع العقل و منصرف إطلاقاته، من الأقیسة و الآراء المستبدّة، أنّه لو لم تحمل علی ذلک لزم إمّا طرح نصوص حجّیة العقل و اعتباره رأسا، کما هو لازم </w:t>
      </w:r>
    </w:p>
    <w:p>
      <w:pPr>
        <w:pStyle w:val="BookText"/>
        <w:rPr/>
      </w:pPr>
      <w:r>
        <w:rPr>
          <w:rFonts w:ascii="IRNazanin" w:hAnsi="IRNazanin" w:eastAsia="IRNazanin"/>
          <w:color w:val="111111"/>
          <w:sz w:val="28"/>
          <w:sz w:val="28"/>
          <w:szCs w:val="28"/>
          <w:rtl w:val="true"/>
          <w:lang w:bidi="fa-IR"/>
        </w:rPr>
        <w:t>بعض الأخباریة، أو تخصیصها بخصوص العقل البدیهیّ، أو هو مع الفطریّ کما هو ظاهر بعضهم، أو هما مع العقل الغیر المستقلّ دون المستقل، کما هو صریح تفصیل المصنّف</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المقرّر أنّ الجمع مهما أمکن أولی من الطرح، و أنّ التخصّص و الإخراج الموضوعی أولی من التخصیص فی الحکم عند الدوران، مضافا إلی أنّ حجّیة العقل عقلیّ آب من التخصیص، خصوصا من التخصیص بالنقلیّ الظنّی، و هو عقلیّ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أنّ نصوص حجّیته و اعتباره نقلا أیضا فی الکثرة و الصراحة و الصحّة و الاعتضاد بالشهرة بمثابة تأبی عن التخصیص أیضا، خصوصا من التخصیص النقلیّ الظنّی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النصوص الصحیحة الصریحة من الکتاب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یَعْقِلُها إِلَّا الْعالِمُونَ</w:t>
      </w:r>
      <w:r>
        <w:rPr>
          <w:rStyle w:val="FootnoteAnchor"/>
          <w:rtl w:val="true"/>
        </w:rPr>
        <w:footnoteReference w:id="98"/>
      </w:r>
      <w:r>
        <w:rPr>
          <w:rFonts w:ascii="Amiri" w:hAnsi="Amiri" w:eastAsia="Amiri" w:cs="Amiri"/>
          <w:color w:val="111111"/>
          <w:sz w:val="28"/>
          <w:sz w:val="28"/>
          <w:szCs w:val="28"/>
          <w:rtl w:val="true"/>
          <w:lang w:bidi="ar-SA"/>
        </w:rPr>
        <w:t>، وَ مَنْ نُعَمِّرْهُ نُنَکِّسْهُ فِی الْخَلْقِ أَ فَلا یَعْقِلُونَ</w:t>
      </w:r>
      <w:r>
        <w:rPr>
          <w:rStyle w:val="FootnoteAnchor"/>
          <w:rtl w:val="true"/>
        </w:rPr>
        <w:footnoteReference w:id="99"/>
      </w:r>
      <w:r>
        <w:rPr>
          <w:rFonts w:ascii="Amiri" w:hAnsi="Amiri" w:eastAsia="Amiri" w:cs="Amiri"/>
          <w:color w:val="111111"/>
          <w:sz w:val="28"/>
          <w:sz w:val="28"/>
          <w:szCs w:val="28"/>
          <w:rtl w:val="true"/>
          <w:lang w:bidi="ar-SA"/>
        </w:rPr>
        <w:t>، أَ فَلا یَتَدَبَّرُونَ الْقُرْآنَ</w:t>
      </w:r>
      <w:r>
        <w:rPr>
          <w:rStyle w:val="FootnoteAnchor"/>
          <w:rtl w:val="true"/>
        </w:rPr>
        <w:footnoteReference w:id="100"/>
      </w:r>
      <w:r>
        <w:rPr>
          <w:rFonts w:ascii="Amiri" w:hAnsi="Amiri" w:eastAsia="Amiri" w:cs="Amiri"/>
          <w:color w:val="111111"/>
          <w:sz w:val="28"/>
          <w:sz w:val="28"/>
          <w:szCs w:val="28"/>
          <w:rtl w:val="true"/>
          <w:lang w:bidi="ar-SA"/>
        </w:rPr>
        <w:t>، فَهُمْ لا یَعْقِلُونَ</w:t>
      </w:r>
      <w:r>
        <w:rPr>
          <w:rStyle w:val="FootnoteAnchor"/>
          <w:rtl w:val="true"/>
        </w:rPr>
        <w:footnoteReference w:id="101"/>
      </w:r>
      <w:r>
        <w:rPr>
          <w:rFonts w:ascii="Amiri" w:hAnsi="Amiri" w:eastAsia="Amiri" w:cs="Amiri"/>
          <w:color w:val="111111"/>
          <w:sz w:val="28"/>
          <w:sz w:val="28"/>
          <w:szCs w:val="28"/>
          <w:rtl w:val="true"/>
          <w:lang w:bidi="ar-SA"/>
        </w:rPr>
        <w:t>، فَاعْتَبِرُوا یا أُولِی الْأَبْصارِ</w:t>
      </w:r>
      <w:r>
        <w:rPr>
          <w:rStyle w:val="FootnoteAnchor"/>
          <w:rtl w:val="true"/>
        </w:rPr>
        <w:footnoteReference w:id="102"/>
      </w:r>
      <w:r>
        <w:rPr>
          <w:rFonts w:ascii="Amiri" w:hAnsi="Amiri" w:eastAsia="Amiri" w:cs="Amiri"/>
          <w:color w:val="111111"/>
          <w:sz w:val="28"/>
          <w:sz w:val="28"/>
          <w:szCs w:val="28"/>
          <w:rtl w:val="true"/>
          <w:lang w:bidi="ar-SA"/>
        </w:rPr>
        <w:t>، فَإِنَّها لا تَعْمَی الْأَبْصارُ وَ لکِنْ تَعْمَی الْقُلُوبُ</w:t>
      </w:r>
      <w:r>
        <w:rPr>
          <w:rStyle w:val="FootnoteAnchor"/>
          <w:rtl w:val="true"/>
        </w:rPr>
        <w:footnoteReference w:id="103"/>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لِیُنْذِرَ مَنْ کانَ حَیًّا</w:t>
      </w:r>
      <w:r>
        <w:rPr>
          <w:rStyle w:val="FootnoteAnchor"/>
          <w:rtl w:val="true"/>
        </w:rPr>
        <w:footnoteReference w:id="104"/>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من کان عاقلا</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137" w:name="pg12850_121141"/>
    </w:p>
    <w:p>
      <w:pPr>
        <w:pStyle w:val="BookText"/>
        <w:rPr/>
      </w:pPr>
      <w:bookmarkEnd w:id="137"/>
      <w:r>
        <w:rPr>
          <w:rFonts w:ascii="IRNazanin" w:hAnsi="IRNazanin" w:eastAsia="IRNazanin"/>
          <w:color w:val="111111"/>
          <w:sz w:val="28"/>
          <w:sz w:val="28"/>
          <w:szCs w:val="28"/>
          <w:rtl w:val="true"/>
          <w:lang w:bidi="fa-IR"/>
        </w:rPr>
        <w:t>و من السنّة یکفی قول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شرع من داخل، و الشرع عقل من خارج</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ما عبد به الرحمن و اکتسب به الجنان</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عزتی و جلالی ما خلقت خلقا أحبّ إلیّ منک و أحسن منک و لا أطوع لی منک و لا أرفع و لا أشرف و لا أعزّ علیّ منک، بک اوحد، و بک أعبد، و بک أثیب و بک أعاقب </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العقل، من نور مخزون</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نور فی القلب یفرق به بین الحقّ و الباطل</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وصفوا رجلا بحسن عبادته،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إلی عقله فإنّما یجزی اللّه العباد یوم القیامة علی قدر عقولهم</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لکن المصنّف اعتمد النقل بالمعنی فی ألفاظ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للاستزادة راجع الوسائل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Heading3"/>
        <w:numPr>
          <w:ilvl w:val="2"/>
          <w:numId w:val="1"/>
        </w:numPr>
        <w:rPr/>
      </w:pPr>
      <w:bookmarkStart w:id="138" w:name="__RefHeading___Toc2527098_3224264995"/>
      <w:bookmarkStart w:id="139" w:name="_Toc49"/>
      <w:bookmarkEnd w:id="138"/>
      <w:r>
        <w:rPr>
          <w:rtl w:val="true"/>
        </w:rPr>
        <w:t>[</w:t>
      </w:r>
      <w:r>
        <w:rPr>
          <w:rtl w:val="true"/>
        </w:rPr>
        <w:t>قطع القطاع</w:t>
      </w:r>
      <w:r>
        <w:rPr>
          <w:rtl w:val="true"/>
        </w:rPr>
        <w:t>]</w:t>
      </w:r>
      <w:bookmarkEnd w:id="13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اشتهر فی ألسنة المعاصرین أنّ قطع القطّاع لا عبرة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قطع القطّاع مرحلة فی تشخیص معناه و موضوعه، </w:t>
      </w:r>
    </w:p>
    <w:p>
      <w:pPr>
        <w:pStyle w:val="BookText"/>
        <w:rPr/>
      </w:pPr>
      <w:r>
        <w:rPr>
          <w:rFonts w:ascii="IRNazanin" w:hAnsi="IRNazanin" w:eastAsia="IRNazanin"/>
          <w:color w:val="111111"/>
          <w:sz w:val="28"/>
          <w:sz w:val="28"/>
          <w:szCs w:val="28"/>
          <w:rtl w:val="true"/>
          <w:lang w:bidi="fa-IR"/>
        </w:rPr>
        <w:t>و اخری فی تشخیص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المرحلة الأولی فمعنی قطع القطّاع لیس خصوص قطع کثیر القطع و سریع القطع، کما یوهمه ظاهر التعبیر بصیغة المبالغة بل 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قطع من حصل قطعه من الأسباب الغیر العادیّة المفیدة للقطع عادة و لو کان القاطع بطی‌ء القطع فی الغایة، و قلیل الاعتقاد بالنهایة، بل و لو کان حصول ذلک القطع له غیر مسبوق بمثله، و علی ذلک فوجه تسمیته بقطع القطّاع مع عدم إناطة حصوله من کثیر القطع و سریعه هو غلبة حصوله منهما، لا دوام حصوله منهما، و مجرّد غلبة انطباق الإسم علی المسمّی کاف فی صحّة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تفسیر الشکّاک بکثیر الشکّ علی ما یقتضیه العرف، فإنّما هو من جهة کونه من الموضوعات المستنبطة بالنسبة إلی حکم خاصّ، مضافا إلی أنّ تفسیره بذلک إنّما هو فی الأخبار</w:t>
      </w:r>
      <w:r>
        <w:rPr>
          <w:rStyle w:val="FootnoteAnchor"/>
          <w:rtl w:val="true"/>
        </w:rPr>
        <w:footnoteReference w:id="112"/>
      </w:r>
      <w:r>
        <w:rPr>
          <w:rFonts w:ascii="IRNazanin" w:hAnsi="IRNazanin" w:eastAsia="IRNazanin"/>
          <w:color w:val="111111"/>
          <w:sz w:val="28"/>
          <w:sz w:val="28"/>
          <w:szCs w:val="28"/>
          <w:rtl w:val="true"/>
          <w:lang w:bidi="fa-IR"/>
        </w:rPr>
        <w:t>، بخلاف القطّاع فإنّه فی المقام من الموضوعات المصطلح علیها فی عرف متأخّر المتأخرین بالنسبة إلی حکم یقتضیه دلیل ذلک الحکم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قطع القطاع بالمعنی المذکور مما کثر ابتلاء العوام بل الخواصّ به، و من أمثلته دعوی الأخباریة قطعیّة صدور جمیع ما فی الکتب الأربعة</w:t>
      </w:r>
      <w:r>
        <w:rPr>
          <w:rStyle w:val="FootnoteAnchor"/>
          <w:rtl w:val="true"/>
        </w:rPr>
        <w:footnoteReference w:id="113"/>
      </w:r>
      <w:r>
        <w:rPr>
          <w:rFonts w:ascii="IRNazanin" w:hAnsi="IRNazanin" w:eastAsia="IRNazanin"/>
          <w:color w:val="111111"/>
          <w:sz w:val="28"/>
          <w:sz w:val="28"/>
          <w:szCs w:val="28"/>
          <w:rtl w:val="true"/>
          <w:lang w:bidi="fa-IR"/>
        </w:rPr>
        <w:t xml:space="preserve">و صحّة جمیع ما فیها، و إنکار الفلاسفة المعراج الجسمانی و المعاد الجسمانی، و قطع بعض العوام بصحّة کلّ ما یراه فی المنام و إن کان خلاف قول الإمام علیه السّلام، و قطع أکثر الجهّال بحکم شی‌ء، أو دخول الهلال بمجرّد قول المنجّم و الفوّال، أو سائر أصناف الدراویش من أهل الضلال، إلی غیر ذلک ممّن حصل قطعه من الأسباب التی لا تفید لمعتدلی السلیقة و مستقیم الطبع من متعارف الناس سوی الظنّ أو </w:t>
      </w:r>
    </w:p>
    <w:p>
      <w:pPr>
        <w:pStyle w:val="BookText"/>
        <w:rPr/>
      </w:pPr>
      <w:r>
        <w:rPr>
          <w:rFonts w:ascii="IRNazanin" w:hAnsi="IRNazanin" w:eastAsia="IRNazanin"/>
          <w:color w:val="111111"/>
          <w:sz w:val="28"/>
          <w:sz w:val="28"/>
          <w:szCs w:val="28"/>
          <w:rtl w:val="true"/>
          <w:lang w:bidi="fa-IR"/>
        </w:rPr>
        <w:t>الشکّ أو الوهم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قطع بعض من نراه یدّعی الاجتهاد بل و أعلمیة نفسه من جمیع أهل عصره، و الحال أنّ اعوجاج سلیقته بالنسبة لمتعارف الناس بمثابة لم یوثق بحسّیاته فضلا عن حدسیاته، و ما هو إلّا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أعاذنا 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مرض البابیة و الصوفیة و الکشفیة و الشیخیة و العرفانیة و الدرویشیة، ممّن أدّت أمراضهم الدنیّة الدنیویّة إلی دعوی الکشف و الکفش و العرفان و الزربان، قاتلهم اللّه أنّی یؤفکون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قطع القطّاع قطع جمیع أهل الملل و النحل الباطلة، بأباطیلهم الحاصلة ممّا لا یفید بنفسه القطع العادیّ لمتعارف الناس و معتدلی السلیقة، من مثل القیاس و الاستحسان و المصالح المرسلة، و المغالطات و الشبهات، و أدیان الآباء و الامّهات، و الظنون و الخیالات و الأوهام المجسّمة، و المتشابهات فی مقابل المحکمات و البدیهیات و المتواترات من شواهد الحقّ، و صدق الأنبیاء و الأوصیاء و خلفائهم من لدن مقایسة الشیطان إلی آخر طاغیة الزمان، ممّن تبعه فی البطلان و العصیان و ادّعی القطع علی دعواه فی إیثار هواه علی أمر مولاه، و ترجیح نفسه علی من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لا عدم حجّیة قطع القطّاع مطلقا و عدم اعتباره رأسا بالبدیهة و الضرورة من باب السالبة بانتفاء الموضوع لا المحمول و من باب التخصّص لا التخصیص بالأدلّة الأربعة لانسدّ باب الذمّ و العقاب و العتاب و الحساب، و الحدود و القصاص و التعزیرات، و المؤاخذة و العقوبات علی أحد من الکفرة و الفجرة و الوسواس و لو قتل جمیع الناس، بل لزم تصویب کلّ قطّاع و معذوریة کلّ مدّع وداع، و انسداد باب البعث و الإرشاد لإصلاح حال العباد و حسم مادّة الفساد، و تصحیح المواد بالتعدیل و الاقتصاد فی امور المعاش و المعاد، و هو موجب </w:t>
      </w:r>
    </w:p>
    <w:p>
      <w:pPr>
        <w:pStyle w:val="BookText"/>
        <w:rPr/>
      </w:pPr>
      <w:r>
        <w:rPr>
          <w:rFonts w:ascii="IRNazanin" w:hAnsi="IRNazanin" w:eastAsia="IRNazanin"/>
          <w:color w:val="111111"/>
          <w:sz w:val="28"/>
          <w:sz w:val="28"/>
          <w:szCs w:val="28"/>
          <w:rtl w:val="true"/>
          <w:lang w:bidi="fa-IR"/>
        </w:rPr>
        <w:t>للفساد و مناف للّطف و الحکمة</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المرحلة الثانیة فحکم قطع القطّاع بالمعنی المذکور هو عدم العبرة به و عدم ترتیب آثار القطع علیه، لکن لا بمعنی السلب بانتفاء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یوهمه ظاهر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یستلزم التفصیل فی أسباب القطع علی القول بطریقیته، و ینافی ما قدّمناه من عدم التفصیل فی أسبابه علی الطریقیة، بل بمعنی السلب بانتفاء الموضوع لیکون نفی الحکم عنه مستندا إلی نفی الموضوع و إلی کون قطع القطّاع خیال قطع، و صورة قطع، لا قطع واقعیّ حتی یشمله أحکام الموضوع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عدم العبرة بقطع القطّاع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القطع الحاصل من الأسباب الغیر العادیّة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کونه قطعا فی الواقع و إن تخیّله القطّاع قطعا؛ نظرا إلی أنّ الألفاظ موضوعة للمعانی الواقعیة لا الزعمیة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کونه قطعا و أنّ معنی عدم حجّیته، السالبة بانتفاء المحمول، فمعنی عدم حجّیته هو عدم طریقیته و کاشفیّته و موصلیته إلی الواقع، و عدم ترتیب شی‌ء من أحکامه الشرعیة علیه، لیرجع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إلی أحکامه العقلیة من البراءة أو الاشتغال فی ذلک المقطوع به، و إمّا إلی حکم ما یقتضیه السبب المحصّل له فی طباع متعارف الناس</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حصل قطعه الخارج عن العادة، من الأسباب المفیدة لمتعارف الناس الوهم، فحکمه حکم الوهم، أو الشکّ فحکمه حکم الشکّ، أو الظنّ فحکمه حکم الظنّ؛ و ذلک لأنّ الأحکام المجعولة فی حقّ القاطع مترتبة بحکم ما تقرّر فی مباحث الألفاظ من وضعها للمعانی الواقعیة علی الموضوع الواقعیّ، الغیر الشامل </w:t>
      </w:r>
    </w:p>
    <w:p>
      <w:pPr>
        <w:pStyle w:val="BookText"/>
        <w:rPr/>
      </w:pPr>
      <w:r>
        <w:rPr>
          <w:rFonts w:ascii="IRNazanin" w:hAnsi="IRNazanin" w:eastAsia="IRNazanin"/>
          <w:color w:val="111111"/>
          <w:sz w:val="28"/>
          <w:sz w:val="28"/>
          <w:szCs w:val="28"/>
          <w:rtl w:val="true"/>
          <w:lang w:bidi="fa-IR"/>
        </w:rPr>
        <w:t>لما یتخیّل کونه قطعا و الحال أنّه وهم أو شکّ أو ظنّ فی طباع متعارف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عدم حجّیة قطع القطّاع، أمّا علی تقدیر کونه بمعنی السالبة بانتفاء الموضوع، فوجهه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التقدیر الآخر، فلأنّ الطریقیة و الکاشفیة و الموصلیة إلی الواقع التی هی معنی الحجّیة العقلیة المنجعلة إنّما هی من آثار قطع غیر القطّاع، أعنی القطع الحاصل من الأسباب العادیّة، و أمّا قطع القطّاع الحاصل من الأسباب الغیر العادیّة فلیس فیه شی‌ء من آثار الطریقیة و الکاشفیة و الموصلیة إلی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قطع القطّاع بالمعنی المذکور لا عبرة به، لا فی حقّ نفسه، و لا فی حق غیره و إن کان قد یسقط فی حقّه بدلیل العقل، عقوبة ترتیبه الأحکام علی قطعه الخارج عن العادة، لو فرض کونه جاهلا فی الحکم و قاصرا عن تحصیله؛ کما قد یسقط فی حقّ الغیر وجوب ردعه من باب الإرشاد، لو فرض کونه جاهلا فی الموضوع و غافلا عن خروج قطعه عن العادة، بعد علمه بحکم الخروج، و عدم تقصیره فی مقدّمات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اعتباره فی حقّ الغیر مطلقا و فی حقّ نفسه بالنسبة إلی الأحکام التی یکون القطع موضوعا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کقبول شهادته و فتواه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لکن لا لما فی المتن من أنّ أدلّة اعتبار القطع فی هذه المقامات لا یشمل هذا قطعا</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لانصرافها إلی غیره، بل لما عرفت من انتفاء موضوع القطع الواقعیّ فیه فضلا عن انتفاء حکمه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عدم اعتباره فی حقّ نفسه بالنسبة إلی الأحکام التی یکون القطع طریقا إلیها فلأنّه و إن کان من قبیل التکلیف بما لا یطاق، ضرورة أنّ القاطع ما دام قاطعا یری مقطوعه نفس الواقع و ما عداه خلاف الواقع، و مع ذلک کیف یحکم </w:t>
      </w:r>
      <w:bookmarkStart w:id="140" w:name="pg12850_121146"/>
    </w:p>
    <w:p>
      <w:pPr>
        <w:pStyle w:val="BookText"/>
        <w:rPr/>
      </w:pPr>
      <w:bookmarkEnd w:id="140"/>
      <w:r>
        <w:rPr>
          <w:rFonts w:ascii="IRNazanin" w:hAnsi="IRNazanin" w:eastAsia="IRNazanin"/>
          <w:color w:val="111111"/>
          <w:sz w:val="28"/>
          <w:sz w:val="28"/>
          <w:szCs w:val="28"/>
          <w:rtl w:val="true"/>
          <w:lang w:bidi="fa-IR"/>
        </w:rPr>
        <w:t>علیه بالرجوع إلی ما دلّ علی عدم الوجوب عند عدم العلم؟ إلّا أنّک خبیر بأنّ سقوط تکلیفه الشارع بنفی الآثار المترتبة علی قطعه ما دام قاطعا من جهة الملازمة العقلیة الثابتة بینهما، لا یوجب اعتبار الشارع قطعه و إمضاء ما یترتب علی 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غایة ما یوجب هو أنّه معذور فی ترتیب أحکام القطع علی قطعه الغیر المتزلزل بردع الرادع و إرشاد المرشد، إذا لم یکن مقصّرا فی مقدّمات تحصیله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عبرة بقطع القطّاع سواء کان قطعه بسیطا، بأن کان عالما بالموضوع أعنی بخروج قطعه عن العادة، و بالحکم أعنی بعدم حجّیة ما خرج عن العادة، أم کان مرکّبا، بأن لم یعلم بشی‌ء منهما، أو علم بالموضوع دون الحکم، أو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ما فی الباب أنّه معذور عند الترکیب فتسقط عنه عقوبة ترتیبه الأحکام علی قطعه الخارج عن العادة لو فرض کونه جاهلا فی الحکم و قاصرا عن تحصیله، کما یسقط عن الغیر وجوب ردعه من باب الإرشاد لو فرض کونه جاهلا فی الموضوع و غافلا عن خروج قطعه عن العادة، بعد علمه بحکم الخارج، و عدم تقصیره فی مقدّمات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للمصنّف فی اعتباره قطع القطّاع مطلقا</w:t>
      </w:r>
      <w:r>
        <w:rPr>
          <w:rStyle w:val="FootnoteAnchor"/>
          <w:rtl w:val="true"/>
        </w:rPr>
        <w:footnoteReference w:id="116"/>
      </w:r>
      <w:r>
        <w:rPr>
          <w:rFonts w:ascii="IRNazanin" w:hAnsi="IRNazanin" w:eastAsia="IRNazanin"/>
          <w:color w:val="111111"/>
          <w:sz w:val="28"/>
          <w:sz w:val="28"/>
          <w:szCs w:val="28"/>
          <w:rtl w:val="true"/>
          <w:lang w:bidi="fa-IR"/>
        </w:rPr>
        <w:t>، و للفصول فی تفصیله بین قطعه المرکّب فیعتبر، و البسیط فلا یعتبر</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ستقف علیهما و علی جوابهما</w:t>
      </w:r>
      <w:r>
        <w:rPr>
          <w:rFonts w:eastAsia="IRNazanin" w:cs="IRNazanin"/>
          <w:color w:val="111111"/>
          <w:sz w:val="28"/>
          <w:szCs w:val="28"/>
          <w:rtl w:val="true"/>
          <w:lang w:bidi="fa-IR"/>
        </w:rPr>
        <w:t>.</w:t>
      </w:r>
    </w:p>
    <w:p>
      <w:pPr>
        <w:pStyle w:val="Heading3"/>
        <w:numPr>
          <w:ilvl w:val="2"/>
          <w:numId w:val="1"/>
        </w:numPr>
        <w:rPr/>
      </w:pPr>
      <w:bookmarkStart w:id="141" w:name="__RefHeading___Toc2527100_3224264995"/>
      <w:bookmarkStart w:id="142" w:name="_Toc50"/>
      <w:bookmarkEnd w:id="141"/>
      <w:r>
        <w:rPr>
          <w:rtl w:val="true"/>
        </w:rPr>
        <w:t>[</w:t>
      </w:r>
      <w:r>
        <w:rPr>
          <w:rtl w:val="true"/>
        </w:rPr>
        <w:t>ظنّ الظنّان و شکّ الشکّاک</w:t>
      </w:r>
      <w:r>
        <w:rPr>
          <w:rtl w:val="true"/>
        </w:rPr>
        <w:t>]</w:t>
      </w:r>
      <w:bookmarkEnd w:id="14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ظنّ الظنّان و شکّ الشکّاک، بالمعنی المذکور فی قطع القطّاع، حکمه حکم قطع القطّاع فی عدم العبرة به، لا فی حقّ نفسه و لا فی حقّ غیره، حرفا بحرف، و الدلیل الدلیل و الوجه الوجه، بل الباعث علی معذوریة القطّاع فی ترتیبه </w:t>
      </w:r>
      <w:bookmarkStart w:id="143" w:name="pg12850_121147"/>
    </w:p>
    <w:p>
      <w:pPr>
        <w:pStyle w:val="BookText"/>
        <w:rPr/>
      </w:pPr>
      <w:bookmarkEnd w:id="143"/>
      <w:r>
        <w:rPr>
          <w:rFonts w:ascii="IRNazanin" w:hAnsi="IRNazanin" w:eastAsia="IRNazanin"/>
          <w:color w:val="111111"/>
          <w:sz w:val="28"/>
          <w:sz w:val="28"/>
          <w:szCs w:val="28"/>
          <w:rtl w:val="true"/>
          <w:lang w:bidi="fa-IR"/>
        </w:rPr>
        <w:t>آثار القطع علی قطعه إذا لم یکن مقصّرا فی مقدّمات قطعه، تفصّیا عن التکلیف بما لا یطاق، لا ینهض علی معذوریة الظنّان و الشکّاک، فلا عبرة بظنّ الظنّان و لا بشکّ الشکّاک بجمیع معانیه، لا بمعنی المعذوریة و لا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لم یناقش المصنّف فی عدم اعتبار ظنّ الظنّان مع مناقشته فی عدم اعتبار قطع القطّاع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لشکّ الشکّاک معنی آخر یعبّر عنه بکثیر الشکّ لا عبرة به أیضا، و إن حصل من الأسباب العادیة، إلّا أنّ خروجه عن تحت أدلّة اعتبار الشکّ خروج حکمیّ من قبیل السالبة بانتفاء المحمول، لا خروج اسمی من قبیل السالبة بانتفاء الموضوع، کما کان یقتضیه المعنی السابق</w:t>
      </w:r>
      <w:r>
        <w:rPr>
          <w:rFonts w:eastAsia="IRNazanin" w:cs="IRNazanin"/>
          <w:color w:val="111111"/>
          <w:sz w:val="28"/>
          <w:szCs w:val="28"/>
          <w:rtl w:val="true"/>
          <w:lang w:bidi="fa-IR"/>
        </w:rPr>
        <w:t>.</w:t>
      </w:r>
    </w:p>
    <w:p>
      <w:pPr>
        <w:pStyle w:val="Heading3"/>
        <w:numPr>
          <w:ilvl w:val="2"/>
          <w:numId w:val="1"/>
        </w:numPr>
        <w:rPr/>
      </w:pPr>
      <w:bookmarkStart w:id="144" w:name="__RefHeading___Toc2527102_3224264995"/>
      <w:bookmarkStart w:id="145" w:name="_Toc51"/>
      <w:bookmarkEnd w:id="144"/>
      <w:r>
        <w:rPr>
          <w:rtl w:val="true"/>
        </w:rPr>
        <w:t>[</w:t>
      </w:r>
      <w:r>
        <w:rPr>
          <w:rtl w:val="true"/>
        </w:rPr>
        <w:t>تصویر الحکم علی القاطع بالرجوع إلی العمل بخلاف قطعه</w:t>
      </w:r>
      <w:r>
        <w:rPr>
          <w:rtl w:val="true"/>
        </w:rPr>
        <w:t>]</w:t>
      </w:r>
      <w:bookmarkEnd w:id="14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کیف یحکم علی القاطع بالرجوع إلی ما دلّ علی عدم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مجرّد استبعاد، إذ لا مانع من الحکم علیه بالرجوع إلی العمل بخلاف قطعه سوی ما یتخیّل من مجبولیة القاطع بالشی‌ء علی العمل بوفق ذلک الشی‌ء، و هو أعنی مجبولیة القاطع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اختصاصه بما کان القطع طریقا إلیه لا موضوعا، و بما إذا کان القطع مرکّبا بحیث لم یعلم القاطع بخروج قطعه عن العادة أو لم یحتمل أن یکون حجّیة قطعه مشروطة بعدم کونه قطّاعا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یقتضی اعتبار قطعه و حجّیته بل غایة ما یقتضی هو المعذوریة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اقتضاءه المعذوریة أیضا لیس إلّا فیما کان جهله بالحکم مع القصور عن تحصیله، أو جهله بالموضوع مع عدم تقصیره فی مقدّمات حصوله، کما لا یخفی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و لیست المعذوریة أیضا إلّا فی ما تعلق خطاؤه بالفروع، لإجماعهم فی باب الاجتهاد علی أنّ المخطئ فی الاصول غیر معذور، و علیه یبتنی تکفیر المخالفین فی الاصول، و لازم هذا الإجماع، الإجماع علی عدم حجّیة قطع </w:t>
      </w:r>
      <w:bookmarkStart w:id="146" w:name="pg12850_121148"/>
    </w:p>
    <w:p>
      <w:pPr>
        <w:pStyle w:val="BookText"/>
        <w:rPr/>
      </w:pPr>
      <w:bookmarkEnd w:id="146"/>
      <w:r>
        <w:rPr>
          <w:rFonts w:ascii="IRNazanin" w:hAnsi="IRNazanin" w:eastAsia="IRNazanin"/>
          <w:color w:val="111111"/>
          <w:sz w:val="28"/>
          <w:sz w:val="28"/>
          <w:szCs w:val="28"/>
          <w:rtl w:val="true"/>
          <w:lang w:bidi="fa-IR"/>
        </w:rPr>
        <w:t>القطّاع، بل و عدم معذوریته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دلیل علی وجوب الردع فی القطاع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أدلّة وجوب الأمر بالمعروف موضوعها الأحکام المعلومة عند الفاعل معروفیتها، و المفروض جهل القطّاع بواقعیة خلاف قطعه، و أدلّة وجوب الإرشاد إنّما هی فی کلّی الموضوعات، و أمّا فی جزئیاتها فکما أنّ الأصل عدم وجوب الفحص کذلک الأصل عدم وجوب الإرشاد و التنبیه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خرج عن تحت أصالة عدم وجوب الإرشاد فی الموضوعات الخارجیة ما یتعلق بحفظ النفوس و الفروج، بل الأموال فی الجملة یعنی بأموال الیتامی، بل ما یتعلق بحفظ القرآن و احترامه، و احترام الإمام علیه السّلام، بل ما یتعلق بشرب الخمر بناء علی ما عن بعض من أنّ المستفاد من أدلّة حرمة الخمر مبغوضیة تحقّق شربه مطلقا، و مطلوبیة عدم حصول شربه فی الخارج، و أمّا ما عدا ذلک من الموضوعات الخارجیة فباقیة تحت أصالة عدم وجوب إرشاد الجاهل فیها</w:t>
      </w:r>
      <w:r>
        <w:rPr>
          <w:rFonts w:eastAsia="IRNazanin" w:cs="IRNazanin"/>
          <w:color w:val="111111"/>
          <w:sz w:val="28"/>
          <w:szCs w:val="28"/>
          <w:rtl w:val="true"/>
          <w:lang w:bidi="fa-IR"/>
        </w:rPr>
        <w:t>.</w:t>
      </w:r>
    </w:p>
    <w:p>
      <w:pPr>
        <w:pStyle w:val="Heading3"/>
        <w:numPr>
          <w:ilvl w:val="2"/>
          <w:numId w:val="1"/>
        </w:numPr>
        <w:rPr/>
      </w:pPr>
      <w:bookmarkStart w:id="147" w:name="__RefHeading___Toc2527104_3224264995"/>
      <w:bookmarkStart w:id="148" w:name="_Toc52"/>
      <w:bookmarkEnd w:id="147"/>
      <w:r>
        <w:rPr>
          <w:rtl w:val="true"/>
        </w:rPr>
        <w:t>[</w:t>
      </w:r>
      <w:r>
        <w:rPr>
          <w:rtl w:val="true"/>
        </w:rPr>
        <w:t>تفصیل فی قطع القطّاع</w:t>
      </w:r>
      <w:r>
        <w:rPr>
          <w:rtl w:val="true"/>
        </w:rPr>
        <w:t>]</w:t>
      </w:r>
      <w:bookmarkEnd w:id="14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 بعض المعاصرین وجه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فصّل بین أن یکون قطع القطّاع مرکّبا من القطع بالشی‌ء و القطع بکون قطعه حجّة فی حقّه، بحیث لم یحتمل أن یکون حجّیة قطعه مشروطة بعدم کونه قطّاعا، و بین أن یکون بسیطا، بأن علم القطّاع، أو احتمل أن یکون حجّیة قطعه مشروطة بعدم کونه قطّاعا، فذهب إلی اعتبار قطعه الأول بأنّ الطبع مجبول بترتب آثار القطع علی قطعه المرکّب فالحکم علیه بالرجوع الی خلاف قطعه فی ذلک الفرض تکلیف بما لا یطاق، و إلی عدم اعتبار قطعه الثانی المحتمل لمنع الشارع إیّاه بمثل قول المولی لعبده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تعتمد فی معرفة أوامری علی ما تقطع به من قبل عقلک، أو یؤدّی إلیه حدسک، بل اقتصر </w:t>
      </w:r>
    </w:p>
    <w:p>
      <w:pPr>
        <w:pStyle w:val="BookText"/>
        <w:rPr/>
      </w:pPr>
      <w:r>
        <w:rPr>
          <w:rFonts w:ascii="IRNazanin" w:hAnsi="IRNazanin" w:eastAsia="IRNazanin"/>
          <w:color w:val="111111"/>
          <w:sz w:val="28"/>
          <w:sz w:val="28"/>
          <w:szCs w:val="28"/>
          <w:rtl w:val="true"/>
          <w:lang w:bidi="fa-IR"/>
        </w:rPr>
        <w:t>علی ما یصل إلیک منّی بطریق المشافهة و المراسلة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أنّه لا عبرة بقطع من قال له المولی ذلک کذلک لا عبرة بقطع القطّاع إذا کان قطعه بسیطا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118"/>
      </w:r>
      <w:r>
        <w:rPr>
          <w:rFonts w:ascii="IRNazanin" w:hAnsi="IRNazanin" w:eastAsia="IRNazanin"/>
          <w:color w:val="111111"/>
          <w:sz w:val="28"/>
          <w:sz w:val="28"/>
          <w:szCs w:val="28"/>
          <w:rtl w:val="true"/>
          <w:lang w:bidi="fa-IR"/>
        </w:rPr>
        <w:t>محصّل مرامه بعد التوجیه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فی قطع القطّاع بین المرکّب و البسیط فی اعتبار الأوّل و عدم اعتبار البسیط، تفصیل علیل لا یساعده الدلیل؛ فإنّ مجبولیة الطبع علی ترتیب آثار القطع علی قطع القطّاع المرکّب من القطع بالشی‌ء و القطع بحجّیة قطعه لا یقتضی فرقا بین المرکّب و البسیط من حیث الاعتبار و عدم الاعتبار، بل غایة ما یقتضی من الفرق هو معذوریة القطّاع إذا کان قطعه مرکّبا، و عدم معذوریّته إذا کان بسیطا، مع أنّ اقتضاءه معذوریة القطّاع المرکّب قطعه لیس إلّا فی ما کان جهله بالحکم مع القصور عن تحصیله، أو بالموضوع مع عدم تقصیره فی مقدّمات حصوله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و لیس إلّا فی ما تعلق بالفروع لإجماعهم فی باب الاجتهاد علی أن المخطئ فی الاصول غیر معذور، و علیه یبتنی تکفیر جمیع المخالفین فی الاصول، و منه یعلم الإجماع علی عدم حجّیة قطع القطّاع، بل و عدم معذوریته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خبیر بأنّه یکفی فی فساد ذلک عدم تصوّر القطع بشی‌ء، و عدم ترتیب آثار ذلک الشی‌ء علیه، مع فرض کون الآثار آثارا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القطع بعد حصوله معتبر و تعلیق حجّیته علی عدم منع الشارع مخالف لدقیق النظر، فإنّ التعلیق فی حکم العقل باطل، و منع الشارع عن العمل به مجرّد فرض لیس له حاصل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تصوّر القطع بشی‌ء مع عدم ترتب آثار ذلک الشی‌ء علیه إنّما هو فی قطع القطّاع المرکّب، و محلّ کلام المفصّل فی البسیط</w:t>
      </w:r>
      <w:r>
        <w:rPr>
          <w:rFonts w:eastAsia="IRNazanin" w:cs="IRNazanin"/>
          <w:color w:val="111111"/>
          <w:sz w:val="28"/>
          <w:szCs w:val="28"/>
          <w:rtl w:val="true"/>
          <w:lang w:bidi="fa-IR"/>
        </w:rPr>
        <w:t xml:space="preserve">. </w:t>
      </w:r>
      <w:bookmarkStart w:id="149" w:name="pg12850_121150"/>
    </w:p>
    <w:p>
      <w:pPr>
        <w:pStyle w:val="BookText"/>
        <w:rPr/>
      </w:pPr>
      <w:bookmarkEnd w:id="149"/>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 من عدم تصوّر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أقصی ما یقتضی هو معذوریة القطّاع، لا اعتبار قطعه، علی أنّ اقتضاءه المعذوریة لیس إلّا فی ما کان القطّاع جاهلا بالحکم مع قصوره عن تحصیله، أو بالموضوع مع عدم تقصیره فی مقدّمات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العجب أنّ المعاصر مثّل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لتصوّر القطع بشی‌ء مع عدم ترتیب آثار ذلک الشی‌ء علیه، و وجه الاستعجاب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مثّل لتصوّر التفصیل فی اعتبار أسباب القطع الطریقیّ الّذی هو محل الکلام بتصوّر التفصیل فی اعتبار أسباب القطع الموضوعیّ الذی لا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رفع الاستعجاب بحمل تمثیله علی مجرّد التنظیر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فساده یظهر ممّا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استحالة منع القطّاع عن العمل بقطعه و استحالة التفصیل بین أسباب القطع الطریقی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ما أسلفنا فی ردّه، من أنّ استحالة منع القطّاع عن العمل بقطعه لا یقدح فی عدم اعتبار قطعه، لما عرفت من أنّ غایة اقتضائه هو معذوریة القطّاع فی الجملة، لا اعتبار قطعه، و کذا استحالة التفصیل بین أسباب القطع الطریقی لا یقدح فی عدم اعتبار قطع القطّاع لما عرفت من أنّ استحالة التفصیل إنّما هو بین أسبابه العادیة، و أمّا أسبابه الغیر العادیة فلیست أسبابا له فی الحقیقة، و أنّ القطع الحاصل منها لیس قطعا، بل هو خیال قطع فی الحقیقة، فعدم اعتبار قطع القطّاع لا یستلزم تفصیلا بین أسباب القطع الطریقی فی الطریقیة</w:t>
      </w:r>
      <w:r>
        <w:rPr>
          <w:rFonts w:eastAsia="IRNazanin" w:cs="IRNazanin"/>
          <w:color w:val="111111"/>
          <w:sz w:val="28"/>
          <w:szCs w:val="28"/>
          <w:rtl w:val="true"/>
          <w:lang w:bidi="fa-IR"/>
        </w:rPr>
        <w:t>.</w:t>
      </w:r>
    </w:p>
    <w:p>
      <w:pPr>
        <w:pStyle w:val="Heading3"/>
        <w:numPr>
          <w:ilvl w:val="2"/>
          <w:numId w:val="1"/>
        </w:numPr>
        <w:rPr/>
      </w:pPr>
      <w:bookmarkStart w:id="150" w:name="__RefHeading___Toc2527106_3224264995"/>
      <w:bookmarkStart w:id="151" w:name="_Toc53"/>
      <w:bookmarkEnd w:id="150"/>
      <w:r>
        <w:rPr>
          <w:rtl w:val="true"/>
        </w:rPr>
        <w:t>[</w:t>
      </w:r>
      <w:r>
        <w:rPr>
          <w:rtl w:val="true"/>
        </w:rPr>
        <w:t>اتّصاف العلم بالتفصیل و الاجمال انّما هو باعتبار معلومه</w:t>
      </w:r>
      <w:r>
        <w:rPr>
          <w:rtl w:val="true"/>
        </w:rPr>
        <w:t>]</w:t>
      </w:r>
      <w:bookmarkEnd w:id="15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المعلوم إجمالا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اتّصاف العلم بالتفصیل و الإجمال إنّما هو باعتبار متعلّقه، </w:t>
      </w:r>
      <w:bookmarkStart w:id="152" w:name="pg12850_121151"/>
    </w:p>
    <w:p>
      <w:pPr>
        <w:pStyle w:val="BookText"/>
        <w:rPr/>
      </w:pPr>
      <w:bookmarkEnd w:id="152"/>
      <w:r>
        <w:rPr>
          <w:rFonts w:ascii="IRNazanin" w:hAnsi="IRNazanin" w:eastAsia="IRNazanin"/>
          <w:color w:val="111111"/>
          <w:sz w:val="28"/>
          <w:sz w:val="28"/>
          <w:szCs w:val="28"/>
          <w:rtl w:val="true"/>
          <w:lang w:bidi="fa-IR"/>
        </w:rPr>
        <w:t>و هو المعلوم و إلّا فالعلم لا یصلح أن یتّصف بهما بعد کونه عبارة عن الصورة الحاصلة أو حصولها فی الذهن</w:t>
      </w:r>
      <w:r>
        <w:rPr>
          <w:rFonts w:eastAsia="IRNazanin" w:cs="IRNazanin"/>
          <w:color w:val="111111"/>
          <w:sz w:val="28"/>
          <w:szCs w:val="28"/>
          <w:rtl w:val="true"/>
          <w:lang w:bidi="fa-IR"/>
        </w:rPr>
        <w:t>.</w:t>
      </w:r>
    </w:p>
    <w:p>
      <w:pPr>
        <w:pStyle w:val="Heading3"/>
        <w:numPr>
          <w:ilvl w:val="2"/>
          <w:numId w:val="1"/>
        </w:numPr>
        <w:rPr/>
      </w:pPr>
      <w:bookmarkStart w:id="153" w:name="__RefHeading___Toc2527108_3224264995"/>
      <w:bookmarkStart w:id="154" w:name="_Toc54"/>
      <w:bookmarkEnd w:id="153"/>
      <w:r>
        <w:rPr>
          <w:rtl w:val="true"/>
        </w:rPr>
        <w:t>[</w:t>
      </w:r>
      <w:r>
        <w:rPr>
          <w:rtl w:val="true"/>
        </w:rPr>
        <w:t>الامتثال الإجمالی</w:t>
      </w:r>
      <w:r>
        <w:rPr>
          <w:rtl w:val="true"/>
        </w:rPr>
        <w:t>]</w:t>
      </w:r>
      <w:bookmarkEnd w:id="15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الکلام فیه یقع تارة فی اعتباره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شرح المسألة یقع فی مطالب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النسبة بین اعتبار العلم الإجمالی و کفایة الامتثال الإجمالی عموم من وجه، لتصادقهما فی النجاسة المشتبهة بین الإنائین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یجب الاجتناب عنها إجمالا مع کفایة الامتثال الإجمالی بترکهما معا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تفارق اعتبار العلم الإجمالی عن کفایة الامتثال الإجمالی فی مثل موطوءة الإنسان من الشیاه المشتبهة بغیر الموطوءة منها، فإنّه و إن أوجب العلم الإجمالی إحراق الموطوءة إلّا أنّه لا یجوز امتثاله إجمالا بإحراق کلا المشتبهین معا، بل یجب تعیین الموطوءة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تفارق کفایة الامتثال الإجمالی عن اعتبار العلم الإجمالی مثل مسألة واجدی المنی فی الثوب المشترک، فإنّ العلم الإجمالی بجنابة أحدهما لا ینجّز تکلیفا علی أحدهما، مع کفایة الامتثال الإجمالی باغتسال کلّ منهما عن الجنابة احتیاطا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بیان النسبة بین اعتبار العلم الإجمالی، و کفایة الامتثال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نسبة ما بین العلم الإجمالی و الامتثال الإجمالی مع الإغماض عن اعتبار الأوّل و کفایة الثانی فعموم من وجه أیضا، لتصادقهما فی مثل ترک الإنائین المشتبهین بالنجاسة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تفارق الامتثال الاجمالی عن العلم الإجمالی فی مثل ما لو قرأ سورا عدیدة فی الصلاة مع العلم التفصیلی بوجوب واحدة منها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تفارق العلم الإجمالی عن الامتثال الإجمالی فی ما لو تستّر بغیر الحریر </w:t>
      </w:r>
    </w:p>
    <w:p>
      <w:pPr>
        <w:pStyle w:val="BookText"/>
        <w:rPr/>
      </w:pPr>
      <w:r>
        <w:rPr>
          <w:rFonts w:ascii="IRNazanin" w:hAnsi="IRNazanin" w:eastAsia="IRNazanin"/>
          <w:color w:val="111111"/>
          <w:sz w:val="28"/>
          <w:sz w:val="28"/>
          <w:szCs w:val="28"/>
          <w:rtl w:val="true"/>
          <w:lang w:bidi="fa-IR"/>
        </w:rPr>
        <w:t>فی الصلاة عند الشکّ فی مانعیة التستّر بالحریر، حیث إنّ وجوب التستّر بأحدهما معلوم إجمالا و امتثال ذلک المجمل بالتستّر بغیر الحریر معلوم تفصیلا لا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قیل و إن کان للتأمّل فی بعضه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شقوق المسألة و تشخیص محلّ النزاع منها، و هی کثیرة لأنّ الامتثال الإجمالی إمّا أن یکون مع التمکّن من العلم التفصیلی، أو الظنّ الخاص، أو الظنّ المطلق، أو مع عدم التمکّن من شی‌ء منها، و هو صورة الشکّ و یلحق به الظنون الغیر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من هذه الشقوق الأربعة إمّا أن یکون الممتثل به مردّدا بین متباینین فیتوقّف الامتثال الإجمالی علی تکرار العمل، أو بین الأقلّ و الأکثر فلا یتوقّف علی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التردید بین امور محصورة، أو غیر 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منهما إمّا أن یکون المکلّف به من العبادات المحضة،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الشقوق و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النزاع فی کفایة الامتثال الإجمالی إنّما هو فی العبادات المحضة، و أمّا ما عداها من من العقود و الإیقاعات و الواجبات التوصّلیة التی تعلق غرض الشارع علی إیجادها فی الخارج کیفما اتّفق، فلا نزاع لأحد فی کفایة الامتثال الإجمالی فیها، بل هو من الاتّفاقیات التی علیها بناء العقلاء بدیهة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محلّ النزاع فی العبادات إنّما هو فی کفایة الامتثال الإجمالی ممّن اجتهد فی کفایته، أو قلّد المفتی بکفایته، کما هو محلّ النزاع فی سائر مسائل الاجتهاد و التقلید، من تقلید الأعلم و غیر الأعلم، و الحی و المیّت و غیرها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عداهما من العوام الذین لم یجتهدوا فی کفایته، و لم یقلّدوا المفتی بکفایته، فلا نزاع فی عدم کفایته</w:t>
      </w:r>
      <w:r>
        <w:rPr>
          <w:rFonts w:eastAsia="IRNazanin" w:cs="IRNazanin"/>
          <w:color w:val="111111"/>
          <w:sz w:val="28"/>
          <w:szCs w:val="28"/>
          <w:rtl w:val="true"/>
          <w:lang w:bidi="fa-IR"/>
        </w:rPr>
        <w:t xml:space="preserve">. </w:t>
      </w:r>
      <w:bookmarkStart w:id="155" w:name="pg12850_121153"/>
    </w:p>
    <w:p>
      <w:pPr>
        <w:pStyle w:val="BookText"/>
        <w:rPr/>
      </w:pPr>
      <w:bookmarkEnd w:id="155"/>
      <w:r>
        <w:rPr>
          <w:rFonts w:ascii="IRNazanin" w:hAnsi="IRNazanin" w:eastAsia="IRNazanin"/>
          <w:color w:val="111111"/>
          <w:sz w:val="28"/>
          <w:sz w:val="28"/>
          <w:szCs w:val="28"/>
          <w:rtl w:val="true"/>
          <w:lang w:bidi="fa-IR"/>
        </w:rPr>
        <w:t>فالقائل بکفایة الاحتیاط فی حقّ تارک طریقی الاجتهاد و التقلید کما هو الظاهر من قول السیّد أیضا حیث قال فی منظومته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بین المسلکین واسطةیسلکه السالک إلّا الحائطة</w:t>
      </w:r>
    </w:p>
    <w:p>
      <w:pPr>
        <w:pStyle w:val="BookText"/>
        <w:rPr/>
      </w:pPr>
      <w:r>
        <w:rPr>
          <w:rFonts w:ascii="IRNazanin" w:hAnsi="IRNazanin" w:eastAsia="IRNazanin"/>
          <w:color w:val="111111"/>
          <w:sz w:val="28"/>
          <w:sz w:val="28"/>
          <w:szCs w:val="28"/>
          <w:rtl w:val="true"/>
          <w:lang w:bidi="fa-IR"/>
        </w:rPr>
        <w:t>إن أراد کفایته ممّن اجتهد فی کفایته، أو قلّد المفتی بکفایته، فمرجعه فی الحقیقة إلی الأخذ بطریقی الاجتهاد و التقلید، لا إلی ترک طریقیه، و إن أراد کفایته مطلقا و لو مع التردید فی کفایته فممنوع بالاتّفاق</w:t>
      </w:r>
      <w:r>
        <w:rPr>
          <w:rFonts w:eastAsia="IRNazanin" w:cs="IRNazanin"/>
          <w:color w:val="111111"/>
          <w:sz w:val="28"/>
          <w:szCs w:val="28"/>
          <w:rtl w:val="true"/>
          <w:lang w:bidi="fa-IR"/>
        </w:rPr>
        <w:t>.</w:t>
      </w:r>
    </w:p>
    <w:p>
      <w:pPr>
        <w:pStyle w:val="Heading3"/>
        <w:numPr>
          <w:ilvl w:val="2"/>
          <w:numId w:val="1"/>
        </w:numPr>
        <w:rPr/>
      </w:pPr>
      <w:bookmarkStart w:id="156" w:name="__RefHeading___Toc2527110_3224264995"/>
      <w:bookmarkStart w:id="157" w:name="_Toc55"/>
      <w:bookmarkEnd w:id="156"/>
      <w:r>
        <w:rPr>
          <w:rtl w:val="true"/>
        </w:rPr>
        <w:t>[</w:t>
      </w:r>
      <w:r>
        <w:rPr>
          <w:rtl w:val="true"/>
        </w:rPr>
        <w:t>محلّ النزاع فی کفایة الامتثال الإجمالی</w:t>
      </w:r>
      <w:r>
        <w:rPr>
          <w:rtl w:val="true"/>
        </w:rPr>
        <w:t>]</w:t>
      </w:r>
      <w:bookmarkEnd w:id="157"/>
    </w:p>
    <w:p>
      <w:pPr>
        <w:pStyle w:val="BookText"/>
        <w:rPr/>
      </w:pPr>
      <w:r>
        <w:rPr>
          <w:rFonts w:ascii="IRNazanin" w:hAnsi="IRNazanin" w:eastAsia="IRNazanin"/>
          <w:color w:val="111111"/>
          <w:sz w:val="28"/>
          <w:sz w:val="28"/>
          <w:szCs w:val="28"/>
          <w:rtl w:val="true"/>
          <w:lang w:bidi="fa-IR"/>
        </w:rPr>
        <w:t>و أیضا محلّ النزاع فی کفایة الامتثال الإجمالی، إنّما هو فی صورة التمکن من الامتثال التفصیلی بأحد طریقی العلم، أو الظنّ المعتبر، و أمّا مع عدم التمکن منه لا علما و لا ظنّا معتبرا، فلا نزاع لأحد فی حسن الامتثال الإجمالی عقلا، و انحصار الطریق إلی الواقع فیه إن کان هناک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کان کلام فهو فی بقاء الواقع مع انتفاء التمکن التفصیلی منه، أو انتفائه رأسا بانتفاء التمکن التفصیلی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نزاع فی تعیین الطریق إلی الواقع عقلا فی الاحتیاط مع عدم التمکّن من تعیینه بطریق التفصیل، کما لا نزاع فی حسن الاحتیاط عقلا بعد تحصیل الواقع أوّلا بظنّه المعتبر من التقلید أو الاجتهاد، بإعمال الظنون الخاصّة أو المطلقة، و إتیان الواجب بنیّة الوجه، ثمّ الاتیان بالمحتمل الآخر بقصد القربة من جهة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النزاع إنّما هو فی کفایة الاحتیاط مع التمکّن من تعیین الواقع بطریق الاجتهاد أو التقلید، و ترک ذلک الأمر المتمکّن منه</w:t>
      </w:r>
      <w:r>
        <w:rPr>
          <w:rFonts w:eastAsia="IRNazanin" w:cs="IRNazanin"/>
          <w:color w:val="111111"/>
          <w:sz w:val="28"/>
          <w:szCs w:val="28"/>
          <w:rtl w:val="true"/>
          <w:lang w:bidi="fa-IR"/>
        </w:rPr>
        <w:t>.</w:t>
      </w:r>
    </w:p>
    <w:p>
      <w:pPr>
        <w:pStyle w:val="Heading3"/>
        <w:numPr>
          <w:ilvl w:val="2"/>
          <w:numId w:val="1"/>
        </w:numPr>
        <w:rPr/>
      </w:pPr>
      <w:bookmarkStart w:id="158" w:name="__RefHeading___Toc2527112_3224264995"/>
      <w:bookmarkStart w:id="159" w:name="_Toc56"/>
      <w:bookmarkEnd w:id="158"/>
      <w:r>
        <w:rPr>
          <w:rtl w:val="true"/>
        </w:rPr>
        <w:t>[</w:t>
      </w:r>
      <w:r>
        <w:rPr>
          <w:rtl w:val="true"/>
        </w:rPr>
        <w:t>هل المطلوب تحقّق الإطاعة أو یعتبر معها أمر آخر</w:t>
      </w:r>
      <w:r>
        <w:rPr>
          <w:rtl w:val="true"/>
        </w:rPr>
        <w:t>]</w:t>
      </w:r>
      <w:bookmarkEnd w:id="15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النزاع فی المسألة، هل هو فی أصل تحقّق الإطاعة بالامتثال الإجمالی و عدمه عقلا، حتی یکون المرجع للشاک إلی أصالة عدم تحقّقها، أو فی اعتبار الشارع فی المأمور به کیفیّة خاصّة زائدة وراء تحقّق أصل الإطاعة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اعتبار </w:t>
      </w:r>
    </w:p>
    <w:p>
      <w:pPr>
        <w:pStyle w:val="BookText"/>
        <w:rPr/>
      </w:pPr>
      <w:r>
        <w:rPr>
          <w:rFonts w:ascii="IRNazanin" w:hAnsi="IRNazanin" w:eastAsia="IRNazanin"/>
          <w:color w:val="111111"/>
          <w:sz w:val="28"/>
          <w:sz w:val="28"/>
          <w:szCs w:val="28"/>
          <w:rtl w:val="true"/>
          <w:lang w:bidi="fa-IR"/>
        </w:rPr>
        <w:t>التعبّد بخصوص المأمور به متمیّزا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المرجع للشاک فیه إلی أصالة البراءة و الإطلاق عن اعتباره؟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یقتضی الأول من کلام المصنّف هو اعتماده فی منع کفایة الاحتیاط علی الأصل و علی مجرّد الشکّ فی غیر موضع من کلامه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یقتضی الثانی هو اکتفائه فی ثبوت کفایة الاحتیاط بنفی الإشکال، و نفی الشاهد علی اعتبار ما یزید علی الإطاعة بعد تحققها</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یعیّن أن یکون النزاع فی الثانی لا الأول اتفاقهم علی کفایة الامتثال الإجمالی فی صورة عدم التمکن من التفصیل؛ لأنّ الاتفاق علی الاکتفاء به فی صورة عدم التمکن من التفصیل یستلزم الاتفاق علی الاکتفاء به فی صورة التمکن منه أیضا، فیتعیّن النزاع فی الثانی، أعنی فی اعتبار الشارع کیفیة زائدة علی تحقّق أصل الإطاعة، لا فی تحقق أصل الإطاعة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الإطاعة أمر بسیط، إن کان یتحقّق بالامتثال الإجمالی فلیتحقّق فی الصورتین، و إلّا فینبغی أن لا یتحقق فی الصورتین؛ لأنّ التمکن من العلم التفصیلی غیر قابل للمنع من تحقّقه عقلا، فالإطاعة بالامتثال الإجمالی إن کان یتحقّق مع عدم التمکن من التفصیل فلیتحقق مع التمکن منه أیضا، کما أنه إذا لم یتحقّق مع التمکن منه لم یتحقّق مع عدم التمکن منه أیضا؛ بل کان عدم التمکن منه موجبا لارتفاع التکلیف بالعبادة من رأس، لا لارتفاع الکیفیة المقوّمة للعبادة، و هی الإطاعة مع بقاء الباقی؛ لما مرّ من أنّ الإطاعة أمر بسیط عقلیّ غیر قابل للتبعیض فی تحقّقه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فتلخّص ممّا ذکرنا تعیین أنّ النزاع فی المسألة إنّما هو فی اعتبار ما یزید علی الإطاعة فی العبادات من إرادة الآمر خصوص التعبّد بالمأمور به علی وجه </w:t>
      </w:r>
    </w:p>
    <w:p>
      <w:pPr>
        <w:pStyle w:val="BookText"/>
        <w:rPr/>
      </w:pPr>
      <w:r>
        <w:rPr>
          <w:rFonts w:ascii="IRNazanin" w:hAnsi="IRNazanin" w:eastAsia="IRNazanin"/>
          <w:color w:val="111111"/>
          <w:sz w:val="28"/>
          <w:sz w:val="28"/>
          <w:szCs w:val="28"/>
          <w:rtl w:val="true"/>
          <w:lang w:bidi="fa-IR"/>
        </w:rPr>
        <w:t>خاصّ من وجوه الإطاعة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کونه متمیّزا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الوجه و إن کان من وجوه الإطاعة و کیفیاتها إلّا أنّه لیس من کیفیاتها المقوّمة لأصل الإطاعة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مرجعها کمرجع أصل الإطاعة إلی العقل الموجب للحکم بالاشتغال عند الشکّ فی تحقّقها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إنّما هو من کیفیاتها الزائدة علی أصل الإطاعة، فیکون مرجعها إلی اعتبار المعتبر المدفوع اعتباره بأصالة البراءة، و إطلاق الأمر، عند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فالأقوی فی المسألة بملاحظة الأصل و القاعدة، بل و مع ملاحظة الأدلّة الخارجیة هو القول بکفایة الاحتیاط و الامتثال الإجمالی مع التمکن من التفصیل و إن کان الأحوط هو ترک ذلک الاحتیاط لمقدّمتین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استظهرناه ممّا مرّ من أن النزاع فی المسألة إنّما هو فی اعتبار ما یزید علی أصل الإطاعة المقوّمة للعبادة من إرادة الآمر خصوص التعبّد بالمأمور به علی وجه خاصّ من وجوه الإطاعة، أعنی کونه متمیّزا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کبراهما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الوجه و إن کان من وجوه الإطاعة و کیفیاتها إلّا أنّه لیس من وجوهها المقوّمة لأصل الإطاعة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مرجعه کمرجع أصل الإطاعة إلی العقل الحاکم بالاشتغال عند الشکّ فی تحقّقه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إنّما هو من وجوهها الزائدة علی أصل الإطاعة، فیکون مرجعه إلی اعتبار المعتبر المدفوع اعتباره عند الشکّ بأصالة البراءة و الإطلاق</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لم تثبت المقدّمة الصغرویة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کون النزاع فی اعتبار ما یزید علی أصل الإطاعة المقوّمة للعبادة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یثبت الحکم بکفایة الاحتیاط مع التمکن من التفصیل بمجرد أصالة البراءة و الإطلاق، بل توقّف ثبوته علی ثبوت الدلیل الاجتهادی من بناء العقلاء و نحوه علی الکفایة؛ ضرورة أنّ الأصل حینئذ مع المانعین، و ذلک لأنّه لما کان المرجع فی الإطاعة و التقرب إنّما هو العقل، لا </w:t>
      </w:r>
    </w:p>
    <w:p>
      <w:pPr>
        <w:pStyle w:val="BookText"/>
        <w:rPr/>
      </w:pPr>
      <w:r>
        <w:rPr>
          <w:rFonts w:ascii="IRNazanin" w:hAnsi="IRNazanin" w:eastAsia="IRNazanin"/>
          <w:color w:val="111111"/>
          <w:sz w:val="28"/>
          <w:sz w:val="28"/>
          <w:szCs w:val="28"/>
          <w:rtl w:val="true"/>
          <w:lang w:bidi="fa-IR"/>
        </w:rPr>
        <w:t>الشرع حذرا من لزوم التسلسل أو الدور، کان حکم الشکّ فی طریقه أیضا راجع إلی العقل الحاکم بالاحتیاط، بعد ملاحظة أنّ قبح العقاب بلا بیان علی الشارع، و تأخیر البیان عن وقت الحاجة، و عدم البیان فی مقام البیان، و أمثاله مخصوص بما إذا کان البیان من شأنه، و أمّا ما کان بیانه من شأن العقل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کبیان وجوب الإطاعة و طریقها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قبح فی عقابه علیه و لا عذر للمناص عنه و إن لم یبیّنه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حکم العقل بذلک لو تحقّق له الشک، إلّا أنّا نمنع الموضوع بأنّ العقل لا یشکّ فی الامور التی من شأنه إدراکها حتی یحکم فیها بوجوب الإطاعة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مختصّ بالعقول المجرّدة عن طروّ الشبهات و الموانع الخارجیة علیها، أ لا تری أنّ عقولنا قد تتوقف فی قبح الظلم بالنسبة إلی بعض الأشخاص، و بعض الموارد، مع أنّ قبحه نوعا من مستقلّات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ذلک کلّه لو أبیت عن ثبوت کفایة الامتثال الإجمالی مع التمکن من التفصیل بما ذکرنا من تعیین کون النزاع فی ما هو مجری لأصالة البراءة و الإطلاق فلا نأبی عن إثباته بالدلیل الاجتهادی من بناء العقلاء و نحوه علی الکفایة، کما أثبته به المصنّف و استاذنا العلّامة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لبّ الکلام فی المسألة فلنرجع إلی شرح ما لعلّه یحتاج إلی الشرح من سائر کلمات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مقتضی القاعدة جواز الاقتصار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مقتضی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بناء العقلاء و نحوه من الأدلّة الاجتهادیة إن کان النزاع فی المسألة فی تحقّق أصل الإطاعة المقوّمة للعبادة بالاحتیاط و عدم تحقّقها به، و أصالة البراءة و الإطلاق، إن کان النزاع فی اعتبار ما </w:t>
      </w:r>
      <w:bookmarkStart w:id="160" w:name="pg12850_121157"/>
    </w:p>
    <w:p>
      <w:pPr>
        <w:pStyle w:val="BookText"/>
        <w:rPr/>
      </w:pPr>
      <w:bookmarkEnd w:id="160"/>
      <w:r>
        <w:rPr>
          <w:rFonts w:ascii="IRNazanin" w:hAnsi="IRNazanin" w:eastAsia="IRNazanin"/>
          <w:color w:val="111111"/>
          <w:sz w:val="28"/>
          <w:sz w:val="28"/>
          <w:szCs w:val="28"/>
          <w:rtl w:val="true"/>
          <w:lang w:bidi="fa-IR"/>
        </w:rPr>
        <w:t>یزید علی أصل الإطاعة المقوّمة للعبادة من إرادة کیفیة خاصّة</w:t>
      </w:r>
      <w:r>
        <w:rPr>
          <w:rFonts w:eastAsia="IRNazanin" w:cs="IRNazanin"/>
          <w:color w:val="111111"/>
          <w:sz w:val="28"/>
          <w:szCs w:val="28"/>
          <w:rtl w:val="true"/>
          <w:lang w:bidi="fa-IR"/>
        </w:rPr>
        <w:t>.</w:t>
      </w:r>
    </w:p>
    <w:p>
      <w:pPr>
        <w:pStyle w:val="Heading3"/>
        <w:numPr>
          <w:ilvl w:val="2"/>
          <w:numId w:val="1"/>
        </w:numPr>
        <w:rPr/>
      </w:pPr>
      <w:bookmarkStart w:id="161" w:name="__RefHeading___Toc2527114_3224264995"/>
      <w:bookmarkStart w:id="162" w:name="_Toc57"/>
      <w:bookmarkEnd w:id="161"/>
      <w:r>
        <w:rPr>
          <w:rtl w:val="true"/>
        </w:rPr>
        <w:t>[</w:t>
      </w:r>
      <w:r>
        <w:rPr>
          <w:rtl w:val="true"/>
        </w:rPr>
        <w:t>دراسة ما استظهره المصنّف من عدم جواز الاکتفاء بالامتثال الاجمالی فی محلّ النزاع</w:t>
      </w:r>
      <w:r>
        <w:rPr>
          <w:rtl w:val="true"/>
        </w:rPr>
        <w:t>]</w:t>
      </w:r>
      <w:bookmarkEnd w:id="16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المحکی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الاتفاق علی عدم جواز الاکتفاء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معقد اتفاق العلماء و سیرة المتدیّنین اللذین ادّعاهما المصنّف</w:t>
      </w:r>
      <w:r>
        <w:rPr>
          <w:rStyle w:val="FootnoteAnchor"/>
          <w:rtl w:val="true"/>
        </w:rPr>
        <w:footnoteReference w:id="121"/>
      </w:r>
      <w:r>
        <w:rPr>
          <w:rFonts w:ascii="IRNazanin" w:hAnsi="IRNazanin" w:eastAsia="IRNazanin"/>
          <w:color w:val="111111"/>
          <w:sz w:val="28"/>
          <w:sz w:val="28"/>
          <w:szCs w:val="28"/>
          <w:rtl w:val="true"/>
          <w:lang w:bidi="fa-IR"/>
        </w:rPr>
        <w:t>، علی تقدیر تسلیمهما، هو عدم الاحتیاط مع التمکن من الاجتهاد أو التقلید، لا عدم جواز الاحتیاط معه، و شتّان ما بینهما؛ إذ لعلّ عدم احتیاطهم من جهة أسهلیة الأخذ بطریق الاجتهاد و التقلید من الأخذ بالاحتیاط، لا من جهة عدم طریقیة الاحتیاط، و انحصار الطریقیة فی ما عداه من الاجتهاد أو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ظاهر کلام السیّد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أنّ معقد إجماعه المحکیّ علی بطلان صلاة من لا یعلم أحکامها، لإبطاله صلاة الجاهل بعدد رکعاتها کالمردّدة بین القصر و الإتمام</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بطلانها إذا صادفت الواقع من باب الاتفاق الحاصل من فعل بعض أطراف المردّد، لا من باب الاحتیاط الحاصل من فعل مجموع المحتملات، أعنی دعوی أنّ معقد الإجماع علی تقدیر تسلیمه هو عدم الاکتفاء بمجرد مصادفة عمل الجاهل المقصّر فی تحصیل الحکم الواقع من باب الاتفاق بإتیان بعض محتملاته، لا عدم الاکتفاء منه بالواقع الحاصل فی ضمن الإتیان بجمیع محتملاته من باب الاحتیاط، و لا أقلّ من الاحتمال المبطل للاستدلال</w:t>
      </w:r>
      <w:r>
        <w:rPr>
          <w:rFonts w:eastAsia="IRNazanin" w:cs="IRNazanin"/>
          <w:color w:val="111111"/>
          <w:sz w:val="28"/>
          <w:szCs w:val="28"/>
          <w:rtl w:val="true"/>
          <w:lang w:bidi="fa-IR"/>
        </w:rPr>
        <w:t>.</w:t>
      </w:r>
    </w:p>
    <w:p>
      <w:pPr>
        <w:pStyle w:val="Heading3"/>
        <w:numPr>
          <w:ilvl w:val="2"/>
          <w:numId w:val="1"/>
        </w:numPr>
        <w:rPr/>
      </w:pPr>
      <w:bookmarkStart w:id="163" w:name="__RefHeading___Toc2527116_3224264995"/>
      <w:bookmarkStart w:id="164" w:name="_Toc58"/>
      <w:bookmarkEnd w:id="163"/>
      <w:r>
        <w:rPr>
          <w:rtl w:val="true"/>
        </w:rPr>
        <w:t>[</w:t>
      </w:r>
      <w:r>
        <w:rPr>
          <w:rtl w:val="true"/>
        </w:rPr>
        <w:t>جواز ترک تحصیل الظن إلی العمل بالاحتیاط</w:t>
      </w:r>
      <w:r>
        <w:rPr>
          <w:rtl w:val="true"/>
        </w:rPr>
        <w:t>]</w:t>
      </w:r>
      <w:bookmarkEnd w:id="16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إشکال فی جواز ترک تحصیله و الأخذ بالاحتیاط</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 اعتبار الظنّ المطلق موقوف علی نفی وجوب الاحتیاط لنفی العسر و الحرج، لا علی نفی جواز الاحتیاط، فنفی وجوب الاحتیاط للعسر </w:t>
      </w:r>
    </w:p>
    <w:p>
      <w:pPr>
        <w:pStyle w:val="BookText"/>
        <w:rPr/>
      </w:pPr>
      <w:r>
        <w:rPr>
          <w:rFonts w:ascii="IRNazanin" w:hAnsi="IRNazanin" w:eastAsia="IRNazanin"/>
          <w:color w:val="111111"/>
          <w:sz w:val="28"/>
          <w:sz w:val="28"/>
          <w:szCs w:val="28"/>
          <w:rtl w:val="true"/>
          <w:lang w:bidi="fa-IR"/>
        </w:rPr>
        <w:t>و الحرج، الذی هو من مقدّمات دلیل الانسداد المثبت لحجّیة مطلق الظنّ، لا ینافی جواز الاحتیاط بل و لا رجحانه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 خبیر بأنّ عدم مانعیة حجّیة مطلق الظنّ لجواز الاحتیاط فرع ما استظهرناه فی المسألة من إحراز ثبوت المقتضی، و هو تحقّق الإطاعة فیه عقلا، و تعیین کون النزاع فی اعتبار ما یزید علی أصل الإطاعة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فکلام المصنف فی هذا الموضع من جملة کلماته المقتضیة لکون النزاع فی اعتبار ما یزید علی أصل الإطاعة، لا فی أصل الإطاعة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العجب ممّن یعمل بالأمارات من باب الظنّ المطلق ثمّ یذهب إلی عدم صحّة عبادة تارک طریقی الاجتهاد و التقلید، و الأخذ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التعجب مبنیّ علی مذهب المتعجّب هو من زعمه ابتناء حجّیة الظنّ المطلق علی صحّة الأخذ بالاحتیاط، بناء منه علی أنّ المقتضی لحجّیة مطلق الظنّ بعد فرض الانسداد، هو لزوم الاحتیاط بعد فرض بقاء التکلیف بالإجماع، غایته ارتفاع لزوم الاحتیاط فی الموهومات و المشکوکات بوجود المانع، و هو لزوم العسر و الحرج المنفیین عن الشریعة، فتبقی المظنونات لازمة العمل من باب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سیأتی فی محلّه من فساد هذا المبنی عند أکثر الانسدادیین، و أنّ حجّیة الظنّ عندهم مبنیّ علی أن الشارع بعد فرض انسداد باب العلم أقام الظنّ مقامه فی الطریقیّة بالإجماع، و لم یحوّل المکلّفین بعد فرض انسداد باب العلم علیهم إلی الطریق العقلی فی الامتثال، و هو الأخذ بالاحتیاط، کما زعمه الماتن، حسبما سیأتی تفصیل ذلک فی محلّه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المقصود هنا بیان أن تعجب المصنّف من القائل بحجّیة الظنّ المطلق المانع من صحّة الاحتیاط مبنیّ علی مذهبه هو فی حجّیة مطلق الظنّ، لا مذهب </w:t>
      </w:r>
    </w:p>
    <w:p>
      <w:pPr>
        <w:pStyle w:val="BookText"/>
        <w:rPr/>
      </w:pPr>
      <w:r>
        <w:rPr>
          <w:rFonts w:ascii="IRNazanin" w:hAnsi="IRNazanin" w:eastAsia="IRNazanin"/>
          <w:color w:val="111111"/>
          <w:sz w:val="28"/>
          <w:sz w:val="28"/>
          <w:szCs w:val="28"/>
          <w:rtl w:val="true"/>
          <w:lang w:bidi="fa-IR"/>
        </w:rPr>
        <w:t>أکثر الانسدادیین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ما احتمله المتعجب هو من أنّ عدم صحّة الأخذ بالاحتیاط عند القائل بحجّیة مطلق الظنّ لعلّه من جهة اعتباره قصد الوجه، و هو مانع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جواب ثان عن التعجب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یورد علی 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استناد حجّیة مطلق الظنّ بعد الانسداد إلی الإجماع المذکور علی قیام الشارع الظنّ مقام العلم فی الطریقیة دون استناده إلی الاحتیاط یستلزم عدّ الانسداد دلیلا شرعیا، و الحال أنّهم مطبقون علی عدّه من الأدلّة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یورد علی الجواب الثانی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بإمکان الجمع بین اعتبار قصد الوجه و صحّة الاحتیاط، بأن یحصل المکلّف به من أحد طریقی الاجتهاد الظنّی، أو التقلید، و یأتی به مع قصد الوجه ظنّا، و القصد إلیه علی وجه الاعتقاد الظنّی، ثمّ یحتاط فی إتیان سائر المحتملات بقصد القربة، أو بقصد الندب، نظرا إلی کفایة الوجه الظاهریّ فی ما یأتی به لخصوص الاحتیاط، و إلّا لارتفع الاحتیاط رأسا و هو باطل بدیهة من العقل و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بقصد الوجوب نظرا، إلی أنّه إذا وجب الاحتیاط حصل معرفة وجه العبادة و هو الوجوب، فتأتی نیّة الوجوب الظاهریّ کما تأتی فی جمیع الموارد التی یفتی فیها الفقهاء بالوجوب، من باب الاحتیاط و استصحاب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لنا دفع الإیراد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عقلیّة دلیل الانسداد لیس باعتبار استناد حجّیة الظنّ به إلی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إنّما هو باعتبار استناد تعیین الطریق المجعول للشارع بالإجماع بعد فرض الانسداد إلی العقل، و هو ترجیح الظنّ علی ما عداه من سائر الطرق المحتملة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لنا دفع الإیراد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تعجب المتعجب إنّما هو من القول ببطلان </w:t>
      </w:r>
    </w:p>
    <w:p>
      <w:pPr>
        <w:pStyle w:val="BookText"/>
        <w:rPr/>
      </w:pPr>
      <w:r>
        <w:rPr>
          <w:rFonts w:ascii="IRNazanin" w:hAnsi="IRNazanin" w:eastAsia="IRNazanin"/>
          <w:color w:val="111111"/>
          <w:sz w:val="28"/>
          <w:sz w:val="28"/>
          <w:szCs w:val="28"/>
          <w:rtl w:val="true"/>
          <w:lang w:bidi="fa-IR"/>
        </w:rPr>
        <w:t>الاحتیاط لتارک طریقی الاجتهاد و التقلید، و أمّا العامل بأحدهما فی تحصیل المکلّف به، و الاتیان به، فلا کلام لأحد فی حسن احتیاطه بعد ذلک عقلا، بل و لا فی استحبابه شرعا، کما علیه أکثر القائلین بحجّیة الظنّ المطلق، کصاحب القوانین</w:t>
      </w:r>
      <w:r>
        <w:rPr>
          <w:rStyle w:val="FootnoteAnchor"/>
          <w:rtl w:val="true"/>
        </w:rPr>
        <w:footnoteReference w:id="123"/>
      </w:r>
      <w:r>
        <w:rPr>
          <w:rFonts w:ascii="IRNazanin" w:hAnsi="IRNazanin" w:eastAsia="IRNazanin"/>
          <w:color w:val="111111"/>
          <w:sz w:val="28"/>
          <w:sz w:val="28"/>
          <w:szCs w:val="28"/>
          <w:rtl w:val="true"/>
          <w:lang w:bidi="fa-IR"/>
        </w:rPr>
        <w:t>و غیره، بل و لا فی وجوبه بناء علی وجوب الاحتیاط و تقدیم الامتثال العلمیّ و لو کان إجمالا، علی الامتثال الظنّی و لو کان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أنّ اعتبار قصد الوجه کان کالمانع و المعارض لوجوب الاحتیاط فاذا زالت مانعیّته و معارضیته بواسطة العمل أوّلا بأحد طریقی الاجتهاد و التقلید رجع الاحتیاط إلی الوجوب الذی کان علیه بعد زوال مانعة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 السیرة المستمرة بین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استظهار أنّ معقد السیرة و الإجماع اللذین استظهرهما المصنّف رحمه اللّه هو عدم الاحتیاط مع التمکّن من تعیین الواقع من طریق الاجتهاد أو التقلید، لا عدم جواز الاحتیاط و شتّان ما بینهما؛ لأنّ عدم احتیاطهم مع التمکن من طریق الاجتهاد أو التقلید لعلّه من جهة أنّ فی الاحتیاط کلفة لیست فی ما عداه من طریق الاجتهاد أو التقلید،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 أنّ جواز العمل بالظنّ إجماعی، فیکفی فی عدم جواز الاحتیاط بالتکرار احتمال عدم جوازه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احتمال عدم جواز الاحتیاط لا یکفی فی عدم جوازه، إلّا إذا رجع الشکّ فی أصل تحقّق الإطاعة بالاحتیاط عقلا، أو فی کیفیتها المقوّمة لتحقّقها عقلا، و قد عرفت مما تقدّم استظهارنا من غیر موضع من کلمات المصنّف رحمه اللّه تعیین کون النزاع فی اعتبار ما یزید علی أصل تحقّق الإطاعة من القیود المعتبرة شرعا، لا فی تحقّق أصل الإطاعة، و لا فی کیفیاتها المقوّمة لها عقلا، کما </w:t>
      </w:r>
      <w:bookmarkStart w:id="165" w:name="pg12850_121161"/>
    </w:p>
    <w:p>
      <w:pPr>
        <w:pStyle w:val="BookText"/>
        <w:rPr/>
      </w:pPr>
      <w:bookmarkEnd w:id="165"/>
      <w:r>
        <w:rPr>
          <w:rFonts w:ascii="IRNazanin" w:hAnsi="IRNazanin" w:eastAsia="IRNazanin"/>
          <w:color w:val="111111"/>
          <w:sz w:val="28"/>
          <w:sz w:val="28"/>
          <w:szCs w:val="28"/>
          <w:rtl w:val="true"/>
          <w:lang w:bidi="fa-IR"/>
        </w:rPr>
        <w:t xml:space="preserve">یلوح به أیضا ما یقوله فی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یعقل تقدیمه علی الاحتیاط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 استبعاده هو الوجه الذی ذکرناه فی استعجابه المتقدّم من لزوم الدور، و الدفع 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فالأصل عدم سقوط الغرض الداعی إلّا بالثانی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خصوص امتیاز المأمور به عن غیره الذی هو منشأ الشکّ فی سقوط الغرض الداعی من الأمر بدونه، إن کان من الخصوصیات المقوّمة لتحقّق الإطاعة عقلا، فأصالة عدم سقوط الغرض الداعی بدونه مسلّم، إلّا أنّه مناف لما استظهرناه من غیر موضع من کلماته السابقة و غیرها من أنّ مقتضی القاعدة و بناء العقل و العقلاء فی تحقّق الإطاعة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من الخصوصیات الزائدة الدائرة مدار اعتبارها شرعا فأصالة عدم سقوط الغرض الداعی بدونه ممنوع؛ لوضوح حکومة أصالة البراءة، و إطلاق الأمر علی أصالة عدم السقوط</w:t>
      </w:r>
      <w:r>
        <w:rPr>
          <w:rFonts w:eastAsia="IRNazanin" w:cs="IRNazanin"/>
          <w:color w:val="111111"/>
          <w:sz w:val="28"/>
          <w:szCs w:val="28"/>
          <w:rtl w:val="true"/>
          <w:lang w:bidi="fa-IR"/>
        </w:rPr>
        <w:t>.</w:t>
      </w:r>
    </w:p>
    <w:p>
      <w:pPr>
        <w:pStyle w:val="Heading3"/>
        <w:numPr>
          <w:ilvl w:val="2"/>
          <w:numId w:val="1"/>
        </w:numPr>
        <w:rPr/>
      </w:pPr>
      <w:bookmarkStart w:id="166" w:name="__RefHeading___Toc2527118_3224264995"/>
      <w:bookmarkStart w:id="167" w:name="_Toc59"/>
      <w:bookmarkEnd w:id="166"/>
      <w:r>
        <w:rPr>
          <w:rtl w:val="true"/>
        </w:rPr>
        <w:t>[</w:t>
      </w:r>
      <w:r>
        <w:rPr>
          <w:rtl w:val="true"/>
        </w:rPr>
        <w:t>تأثیر العلم الاجمالی فی التنجیز</w:t>
      </w:r>
      <w:r>
        <w:rPr>
          <w:rtl w:val="true"/>
        </w:rPr>
        <w:t>]</w:t>
      </w:r>
      <w:bookmarkEnd w:id="16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أحدها کون العلم التفصیلی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موضوعیة العلم التفصیلی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یجدی رفع اعتبار العلم الإجمالی المتولّد منه التفصیل، 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بالاتّفاق علی حرمة ارتکاب الإنائین المشتبهین بعد اختلاطهما دفعة واحدة، حتی من القائلین بموضوعیة العلم التفصیلی للحکم و جواز ارتکاب کلا المشتبهین تدریجا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موضوعیة العلم التفصیلی للحکم إنّما یجدی رفع اعتبار العلم الإجمالی ما دام باقیا علی الإجمال، لا أنّه یجدی رفعه مطلقا و لو تولّد منه التفصیل بالأخرة</w:t>
      </w:r>
      <w:r>
        <w:rPr>
          <w:rFonts w:eastAsia="IRNazanin" w:cs="IRNazanin"/>
          <w:color w:val="111111"/>
          <w:sz w:val="28"/>
          <w:szCs w:val="28"/>
          <w:rtl w:val="true"/>
          <w:lang w:bidi="fa-IR"/>
        </w:rPr>
        <w:t xml:space="preserve">. </w:t>
      </w:r>
      <w:bookmarkStart w:id="168" w:name="pg12850_121162"/>
    </w:p>
    <w:p>
      <w:pPr>
        <w:pStyle w:val="BookText"/>
        <w:rPr/>
      </w:pPr>
      <w:bookmarkEnd w:id="168"/>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الإجماع المتقدّم علی حرمة ارتکاب الإنائین المشتبهین بعد اختلاطهما دفعة واحدة إلی الإجماع علی اعتبار العلم التفصیلی المنقلب من العلم الإجمالی، لا المتولّد من العلم الإجمالی بالأخرة الذی هو من موارد إشکال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العلم التفصیلی المنقلب من الإجمال فیعتبر، و بین العلم التفصیلی المتولّد من الإجمال فلا یعتبر، راجع إلی التفصیل فی أسباب العلم الطریقی الآبی من التفصیل ما دام طریقا إلی الواقع المطلوب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الإیراد من أوّل الأمر أنّ المراد من موضوعیة العلم التفصیلی إن کان موضوعیته فی حکم کلّ من المشتبهین ففائدته رفع اعتبار العلم الإجمالی فی المشتبهین ما داما باقیین علی الإجمال، لا رفعه مطلقا و لو تولّد منه العلم التفصیلی ببطلان بیع ما اشتری بهما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موضوعیته فی الحکم ببطلان البیع فالمفروض حصول ذلک الموضوع، و هو العلم التفصیلی ببطلان البیع فلا وجه لانفکاکه عن حکمه، و هو حرمة التصرف بالمبیع الباطل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التفصیل فی أسباب العلم الذی هو موضوع الحکم ببطلان البیع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اقتصار المصنّف فی وجهه علی موضوعیة العلم من دون انضمام التفصیل فی أسبابه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وجه الحکم بصحّة ذلک البیع المفروض إلی التفصیل فی أسباب العلم ببطلانه مجرد فرض، لا قائل به أصلا من القائلین بموضوعیة العلم لجواز ارتکاب کلا المشتبهین</w:t>
      </w:r>
      <w:r>
        <w:rPr>
          <w:rFonts w:eastAsia="IRNazanin" w:cs="IRNazanin"/>
          <w:color w:val="111111"/>
          <w:sz w:val="28"/>
          <w:szCs w:val="28"/>
          <w:rtl w:val="true"/>
          <w:lang w:bidi="fa-IR"/>
        </w:rPr>
        <w:t>.</w:t>
      </w:r>
    </w:p>
    <w:p>
      <w:pPr>
        <w:pStyle w:val="Heading3"/>
        <w:numPr>
          <w:ilvl w:val="2"/>
          <w:numId w:val="1"/>
        </w:numPr>
        <w:rPr/>
      </w:pPr>
      <w:bookmarkStart w:id="169" w:name="__RefHeading___Toc2527120_3224264995"/>
      <w:bookmarkStart w:id="170" w:name="_Toc60"/>
      <w:bookmarkEnd w:id="169"/>
      <w:r>
        <w:rPr>
          <w:rtl w:val="true"/>
        </w:rPr>
        <w:t>[</w:t>
      </w:r>
      <w:r>
        <w:rPr>
          <w:rtl w:val="true"/>
        </w:rPr>
        <w:t>المخالفة غیر العملیة للعلم الاجمالی</w:t>
      </w:r>
      <w:r>
        <w:rPr>
          <w:rtl w:val="true"/>
        </w:rPr>
        <w:t>]</w:t>
      </w:r>
      <w:bookmarkEnd w:id="17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المخالفة الغیر العملیة فالظاهر جوازها فی الشبهة الموضوعیة </w:t>
      </w:r>
    </w:p>
    <w:p>
      <w:pPr>
        <w:pStyle w:val="BookText"/>
        <w:rPr/>
      </w:pPr>
      <w:r>
        <w:rPr>
          <w:rFonts w:ascii="IRNazanin" w:hAnsi="IRNazanin" w:eastAsia="IRNazanin"/>
          <w:color w:val="111111"/>
          <w:sz w:val="28"/>
          <w:sz w:val="28"/>
          <w:szCs w:val="28"/>
          <w:rtl w:val="true"/>
          <w:lang w:bidi="fa-IR"/>
        </w:rPr>
        <w:t xml:space="preserve">و الحکمیة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محلّ النزاع فی جواز المخالفة الالتزامیة و عدمه من جهات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إنّما هو مختصّ بالشبهات الحکمیة التی من قبیل الشکّ فی المکلّف به، و أمّا الشبهات الموضوعیة فلا نزاع ظاهرا فی جواز البناء علی إباحة الموضوع المردّد بین الواجب و الحرام، کالمرأة المردّدة بین کونها محلوفة علی وطئها، أو علی ترک وطئها فی لیلة خاصّة، أو ساعة خاصّة، أو الموضوعین المردّدین بین أن یکون أحدهما واجبا و الآخر محرّما، أو بالعکس، کالمرأتین المشتبهتین بین المحلوفة علی وطئها، و المحلوفة علی ترک وطئها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نزاع أیضا فی خروج الشبهات الحکمیة التی من قبیل الشکّ فی التکلیف عن محلّ النزاع فی مسألة العلم الإجمالی سواء علم جنس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کصورة دوران الأمر بین وجوب شی‌ء، أو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لم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أمّا فی خروج الشبهات الحکمیة التی من قبیل الشکّ فی التکلیف، فلاتّفاق الاصولیین علی البراءة فیها و خروجها عن مسألة العلم الإجمالی، فعلی هذا لا وجه لتقسیم المصنّف الإجمال الطارئ إلی ثلاثة أقسام حیث قال فی أول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الإجمال الطارئ تارة یکون فی الموضوع، و اخری فی الحکم، و ثالثة فیهما معا، و مثّل للأوسط بما إذا شکّ فی أنّ هذا الموضوع المعلوم الکلّی أو الجزئیّ تعلّق به الوجوب أو الحرمة</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لما عرفت من أنّ الشکّ فی هذا القسم راجع إلی الشکّ فی التکلیف و لا دخل له بأقسام الشبهة المقرونة بالعلم الإجمالی، کما اعترف المصنّف هو به أیضا فی أول رسالة البراءة</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یوجّه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مقصوده هنا بیان أقسام </w:t>
      </w:r>
    </w:p>
    <w:p>
      <w:pPr>
        <w:pStyle w:val="BookText"/>
        <w:rPr/>
      </w:pPr>
      <w:r>
        <w:rPr>
          <w:rFonts w:ascii="IRNazanin" w:hAnsi="IRNazanin" w:eastAsia="IRNazanin"/>
          <w:color w:val="111111"/>
          <w:sz w:val="28"/>
          <w:sz w:val="28"/>
          <w:szCs w:val="28"/>
          <w:rtl w:val="true"/>
          <w:lang w:bidi="fa-IR"/>
        </w:rPr>
        <w:t>الإجمال الطارئ و لو رجع إلی الشکّ فی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إغماض عن الحکم المتنازع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یعلم اختصاص النزاع فی المسألة بصور دوران الأمر بین 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صور دورانه بین الأقل و الأکثر فهی داخلة فی مورد الشکّ فی التکلیف علی ما هو المحقّق فی محلّه، فیکون خارجا عن الشبهة المقرونة بالعلم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خروج الشبهات الموضوعیة عن محلّ النزاع فلأنّ الأصل فی الشبهات الموضوعیة مخرج لمجراه عن تحت موضوع الحکم الواقعیّ الکلّی، فلا تنافی بین الالتزام بالواقع و العمل بالأصل فی الموضوع المشتبه، بخلاف التمسک بالأصل فی الشبهات الحکمیة، فإنّه بنفسه مناف مع الحکم الواقعیّ المعلوم إجمالا، مثلا یصحّ فی المثال المتقدّم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عدم کون هذه محلوفة علی وطئها، و لا محلوفة علی ترک وطئها، فیکون وطؤها مباحا، و مع ذلک یلتزم بأنّ وطء المرأة المحلوفة علی وطئها واجب، و أن وطء المحلوفة علی ترک وطئها محرّم، لأنّ الالتزام بکلّیة هذه الکبری لا یقتضی أزید من الالتزام بالصغریات التی علم اندراجها تحت تلک الکلّیة، أعنی کلّیة الکبری، و أمّا الأشیاء التی لم یعلم دخولها فی تحت تلک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علم خروجها منها بالأصل، و التمسک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أنّه لا یقتضی الالتزام بها أیضا،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فی جواز المخالفة الالتزامیة و عدمه لا یختصّ بصورة دوران الأمر بین محذورین، و لا بغیرها من موارد العلم الإجمالی بالتکلیف</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إنّما تظهر الثمرة فی صورة دوران الأمر بین المحذورین، لأنّ عدم الالتزام فی غیرها لا ینفکّ عن إمکان المخالفة العملیة، بخلاف ما نحن فیه؛ لأنّ </w:t>
      </w:r>
      <w:bookmarkStart w:id="171" w:name="pg12850_121165"/>
    </w:p>
    <w:p>
      <w:pPr>
        <w:pStyle w:val="BookText"/>
        <w:rPr/>
      </w:pPr>
      <w:bookmarkEnd w:id="171"/>
      <w:r>
        <w:rPr>
          <w:rFonts w:ascii="IRNazanin" w:hAnsi="IRNazanin" w:eastAsia="IRNazanin"/>
          <w:color w:val="111111"/>
          <w:sz w:val="28"/>
          <w:sz w:val="28"/>
          <w:szCs w:val="28"/>
          <w:rtl w:val="true"/>
          <w:lang w:bidi="fa-IR"/>
        </w:rPr>
        <w:t>المکلّف لا یخلو من الفعل الموافق لاحتمال الوجوب، أو الترک الموافق لاحتمال الحرمة، فلا یحصل له علی التقدیرین القطع بالمخالفة حین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أحدهما المعیّن، أو کلّ منهما علی تقدیر ثبوته تعبّدیا یعتبر فیه قصد الامتثال، یصیر إتیان الفعل بلا قصد التعبّد، أو الترک کذلک مخالفة عملیة، فلا یصحّ الحکم فیهما بالإباحة، بل لا بدّ من التخییر و الأخذ بأحدهما تعبّدا لأجل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ینحصر النزاع فی جواز الرجوع إلی الإباحة و طرح کلّ من الاحتمالین بغیر هذین القسمین، و یختصّ بصورة کونهما توصّلیین، أو أحدهما الغیر المعیّن تعبّدیا، حتی لا یلزم من عدم الالتزام بشی‌ء من الوجوب و الحرمة، شی‌ء سوی المخالفة الالتزامیة، و یکون الفتوی بالتخییر و الإباحة من فروع جواز المخالفة الالتزامیة</w:t>
      </w:r>
      <w:r>
        <w:rPr>
          <w:rFonts w:eastAsia="IRNazanin" w:cs="IRNazanin"/>
          <w:color w:val="111111"/>
          <w:sz w:val="28"/>
          <w:szCs w:val="28"/>
          <w:rtl w:val="true"/>
          <w:lang w:bidi="fa-IR"/>
        </w:rPr>
        <w:t>.</w:t>
      </w:r>
    </w:p>
    <w:p>
      <w:pPr>
        <w:pStyle w:val="Heading3"/>
        <w:numPr>
          <w:ilvl w:val="2"/>
          <w:numId w:val="1"/>
        </w:numPr>
        <w:rPr/>
      </w:pPr>
      <w:bookmarkStart w:id="172" w:name="__RefHeading___Toc2527122_3224264995"/>
      <w:bookmarkStart w:id="173" w:name="_Toc61"/>
      <w:bookmarkEnd w:id="172"/>
      <w:r>
        <w:rPr>
          <w:rtl w:val="true"/>
        </w:rPr>
        <w:t>[</w:t>
      </w:r>
      <w:r>
        <w:rPr>
          <w:rtl w:val="true"/>
        </w:rPr>
        <w:t>المراد من وجوب الالتزام بالحکم</w:t>
      </w:r>
      <w:r>
        <w:rPr>
          <w:rtl w:val="true"/>
        </w:rPr>
        <w:t>]</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 من یقول بوجوب الالتزام بالحکم المعیّن فی صورة العلم به معیّنا و بأحد الحکمین فی صورة العلم به مجملا لا یخلو من احتمالات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من وجوب الالتزام هو وجوب الاعتقاد و عقد القلب بصدق الحکم المعلوم، و کونه حکما من اللّه تعالی، فیکون وجوب الالتزام علی هذا التقدیر من المسائل الاعتقادیة المطلوب فیها الاعتقاد بعد حصول العلم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من وجوب الالتزام هو اتیان العمل بداعی التعبّد بأن یقصد المکلّف الامتثال و التعبّد بالحکم فی مقام العمل بأن یکون عمله لداعی التعبّد بحکم الشارع</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من وجوب الالتزام هو مجرّد تطبیق العمل علی طبق حکم الشارع، و عدم الفتوی علی خلافه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خروج الاحتمالین الأوّلین عن محلّ النزاع، لأنّ الالتزام بالمعنی الأول من لوازم الأدیان و التدیّن بالدین، لأنّ الاعتقاد و التصدیق بما جاء به النبیّ صلی اللّه علیه و آله علی ما هو علیه من لوازم التصدیق بنبوّته، فلا یمکن فرض النزاع فیه، و أمّا الالتزام بالمعنی الثانی فهو غیر لازم إجماعا فی الواجبات التوصّلیة التی نزاعهم فی المقام مختصّ بها، و إلّا لا یبقی فرق بینها و بین الواجبات التعبّدیة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فینحصر نزاعهم علی هذا فی وجوب الالتزام بالمعنی الثالث، و لکن لمّا کان مجرّد تطبیق العمل علی مقتضی الحکم المعلوم بالإجمال فی صورة دوران الأمر بین المحذورین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الواجب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مقصد کلماتهم و محلّ نزاعهم، من الامور القهریة، لأنّ المکلّف لا یخلو من الفعل المنطبق لاحتمال الوجوب، و الترک المنطبق لاحتمال الحرمة، فلا یصلح أن یکون نزاعهم فی مجرد تطبیق العمل علی وفق الحکم الإجمالی و إن کان بالوجه المخالف لذلک الحکم الإجمالی، بل لا بدّ و أن یکون نزاعهم فی التطبیق بمعنی آخر، و هذا المعنی الآخر محتمل لمعانی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العمل علی ما هو علیه، بمعنی الإتیان به فی قبال عدم الإتیان به من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العمل علی ما هو علیه فی الواقع، بمعنی إتیانه علی وجهه إن واجبا فبنیّة الوجوب، و إن مستحبّا فبنیّة الاستحباب، فی قبال الإتیان به مع الإغماض عمّا هو علیه من الوجوب أو الاستحباب</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العمل علی ما هو علیه من الحکم فی الواقع تفصیلا إن علم به تفصیلا، و إجمالا إن علم به إجمالا، فی قبال الإتیان به بالوجه المخالف لوجهه </w:t>
      </w:r>
    </w:p>
    <w:p>
      <w:pPr>
        <w:pStyle w:val="BookText"/>
        <w:rPr/>
      </w:pPr>
      <w:r>
        <w:rPr>
          <w:rFonts w:ascii="IRNazanin" w:hAnsi="IRNazanin" w:eastAsia="IRNazanin"/>
          <w:color w:val="111111"/>
          <w:sz w:val="28"/>
          <w:sz w:val="28"/>
          <w:szCs w:val="28"/>
          <w:rtl w:val="true"/>
          <w:lang w:bidi="fa-IR"/>
        </w:rPr>
        <w:t>الواقعی، کدفنه المیّت بوجه الإباحة مثلا، و الحال أنّ حکمه الواقعی المعلوم له هو الوجوب، و ترکه شرب الخمر بوجه الکراهة مثلا، و الحال أنّ حکمه الواقعی المعلوم له هو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الالتزام بالمعنی الأول من معانی التطبیق فلا نزاع فی لزومه؛ لرجوع مخالفته إلی المخالفة العملیة لا الالتزامیة، کما لا نزاع فی عدم لزوم الالتزام بالمعنی الثانی فی التوصلیّات التی یختصّ النزاع فی المسألة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کان نزاع فی اعتباره فإنّما هو فی التعبّدیات المعبّر عنه باعتبار نیّة الوجه فی العبادات و عدمه، لا فی التوصّلیات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اعتباره فی التوصلیّات لیس من جهة استلزام اعتباره فی التوصلیّات، لنفی الفرق بینها و بین التعبّدیات،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یمکن الفرق بینهما فی کیفیة الاعتبار، بأن یفرض اعتباره فی التعبّدیات من باب الارتباط و التبعیة و المقدّمیة التی یتوقّف علیها صحّة العبادة و الخروج عن عهدة التکلیف بها، و فی التوصلیّات من باب الاستقلال و الأصالة التی لا یتوقف علیه سقوط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إنّما هو من جهتین اخریین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اعتباره فی التعبّدیات عند المحقّقین، و مع ذلک کیف یصحّ النزاع فی اعتباره فی التوصّلیات؟</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تمثیلهم للمخالفة الالتزامیة بالالتزام بإباحة المردّد أمره بین الوجوب و التحریم، صریح فی أنّ النزاع لیس فی الالتزام بالمعنی الثانی المذکور، فتعیّن انحصار النزاع فی الالتزام بالمعنی الثالث المذکور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مرجعه إلی النزاع فی أنّه هل یجوز للمجتهد الإفتاء بالحکم المخالف للمعلوم له إجمالا، کالافتاء بإباحة ما تردّد أمره فی الواقع بین الوجوب و الحرمة، </w:t>
      </w:r>
    </w:p>
    <w:p>
      <w:pPr>
        <w:pStyle w:val="BookText"/>
        <w:rPr/>
      </w:pPr>
      <w:r>
        <w:rPr>
          <w:rFonts w:ascii="IRNazanin" w:hAnsi="IRNazanin" w:eastAsia="IRNazanin"/>
          <w:color w:val="111111"/>
          <w:sz w:val="28"/>
          <w:sz w:val="28"/>
          <w:szCs w:val="28"/>
          <w:rtl w:val="true"/>
          <w:lang w:bidi="fa-IR"/>
        </w:rPr>
        <w:t>أخذا بمقتضی الاصول العملیة، و نظرا إلی عدم استلزامه مخالفة عملیة، و للمقلّد الأخذ بتلک الفتوی و استناد عمله إلی تلک الفتوی، أم لا یجوز للمجتهد الافتاء بذلک، و لا للمقلّد الأخذ بذلک، بل لا بدّ للمجتهد من الافتاء بالحکم الواقعی إجمالا فی صورة العلم به إجمالا و إن اقتضت الاصول العملیة خلافه، کما یجب علیه الإفتاء به تفصیلا فی صورة العلم به تفصیلا سواء کان الإجمال ناشئا من تعارض الدلیلین، أو من افتراق الامّة علی قولین، أو غیر ذلک، فتجب الفتوی و العمل علی طبقها و إن کان مجملا و لم یلزم من مخالفته مخالفة فی مقام العمل؟</w:t>
      </w:r>
    </w:p>
    <w:p>
      <w:pPr>
        <w:pStyle w:val="BookText"/>
        <w:rPr/>
      </w:pPr>
      <w:r>
        <w:rPr>
          <w:rFonts w:ascii="IRNazanin" w:hAnsi="IRNazanin" w:eastAsia="IRNazanin"/>
          <w:color w:val="111111"/>
          <w:sz w:val="28"/>
          <w:sz w:val="28"/>
          <w:szCs w:val="28"/>
          <w:rtl w:val="true"/>
          <w:lang w:bidi="fa-IR"/>
        </w:rPr>
        <w:t>فحاصل النزاع راجع إلی أنّه هل یجب علی المکلّف فی الفعل المردّد بین المحذورین الالتزام بوجوبه واقعا عند اختیار فعله، و الالتزام بحرمته واقعا عند اختیار ترکه، أم لا یجب الالتزام بذلک، بل یجوز البناء علی مقتضی أصل الإباحة فی مرحلة الظاهر عند اختیار کلّ من الفعل و الترک و إن کان الحکم الواقعی خلافه؟</w:t>
      </w:r>
    </w:p>
    <w:p>
      <w:pPr>
        <w:pStyle w:val="BookText"/>
        <w:rPr/>
      </w:pPr>
      <w:r>
        <w:rPr>
          <w:rFonts w:ascii="IRNazanin" w:hAnsi="IRNazanin" w:eastAsia="IRNazanin"/>
          <w:color w:val="111111"/>
          <w:sz w:val="28"/>
          <w:sz w:val="28"/>
          <w:szCs w:val="28"/>
          <w:rtl w:val="true"/>
          <w:lang w:bidi="fa-IR"/>
        </w:rPr>
        <w:t>حرمة المخالفة الالتزامیة استقلالیة أم 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جهات تحریر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حرمة المخالفة الالتزامیة علی القول بها حرمة استقلالیة لا یقدح ارتکابها فی صحّة العمل المنطبق علیها، أو حرمة مقدّمیة ارتباطیة یقدح ارتکابها فی صحّة ذلک العمل المنطبق علیها وجهان، ظاهرهم الاتفاق علی الأول، لما عرفت من أنّ النزاع فی المسألة مختصّ بالواجبات التوصّلیة، و قد اتفقوا علی أنّ المطلوب فیها حصول الفعل أیّ وجه اتفق</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مقتضی الأصل فی الواجب المردّد بین النفسی و الغیری فمختلف بحسب اختلاف کیفیّة دلیل وجوبه، مع کیفیة دلیل وجوب الغیر، حیث یکونان لبیّین و لفظیین، و الأول لبیّا و الثانی لفظیا، و بالعکس، و بملاحظة اتّحاد زمان فرض النفسیة، و فرض الغیریة، و اختلاف زمان کلّ واحد من الفرضین، علی </w:t>
      </w:r>
      <w:bookmarkStart w:id="174" w:name="pg12850_121169"/>
    </w:p>
    <w:p>
      <w:pPr>
        <w:pStyle w:val="BookText"/>
        <w:rPr/>
      </w:pPr>
      <w:bookmarkEnd w:id="174"/>
      <w:r>
        <w:rPr>
          <w:rFonts w:ascii="IRNazanin" w:hAnsi="IRNazanin" w:eastAsia="IRNazanin"/>
          <w:color w:val="111111"/>
          <w:sz w:val="28"/>
          <w:sz w:val="28"/>
          <w:szCs w:val="28"/>
          <w:rtl w:val="true"/>
          <w:lang w:bidi="fa-IR"/>
        </w:rPr>
        <w:t>وجوه قرّرنا تفصیلها فی مقدّمة الواجب من المجلّد الأول</w:t>
      </w:r>
      <w:r>
        <w:rPr>
          <w:rFonts w:eastAsia="IRNazanin" w:cs="IRNazanin"/>
          <w:color w:val="111111"/>
          <w:sz w:val="28"/>
          <w:szCs w:val="28"/>
          <w:rtl w:val="true"/>
          <w:lang w:bidi="fa-IR"/>
        </w:rPr>
        <w:t>.</w:t>
      </w:r>
    </w:p>
    <w:p>
      <w:pPr>
        <w:pStyle w:val="Heading3"/>
        <w:numPr>
          <w:ilvl w:val="2"/>
          <w:numId w:val="1"/>
        </w:numPr>
        <w:rPr/>
      </w:pPr>
      <w:bookmarkStart w:id="175" w:name="__RefHeading___Toc2527124_3224264995"/>
      <w:bookmarkStart w:id="176" w:name="_Toc62"/>
      <w:bookmarkEnd w:id="175"/>
      <w:r>
        <w:rPr>
          <w:rtl w:val="true"/>
        </w:rPr>
        <w:t>[</w:t>
      </w:r>
      <w:r>
        <w:rPr>
          <w:rtl w:val="true"/>
        </w:rPr>
        <w:t>تحدید أثر القول بوجوب الالتزام و حرمة المخالفة الالتزامیة</w:t>
      </w:r>
      <w:r>
        <w:rPr>
          <w:rtl w:val="true"/>
        </w:rPr>
        <w:t>]</w:t>
      </w:r>
      <w:bookmarkEnd w:id="176"/>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القول بوجوب الالتزام و حرمة المخالفة الالتزامیة، أعنی وجوب البناء علی التخییر فی الحکم المردّد بین المحذورین، و حرمة الفتوی بحکم مخالف للحکمین، فهل یصحّ ترتیب الآثار المختصّة علی الواجب إذا اختار المکلّف جانب الفعل، أو الآثار المختصّة بالحرام إذا اختار المکلّف جانب الترک، أم لا یصحّ ذلک، و لا أثر للحکم المردّد بین الوجوب و الحرمة سوی حرمة الخروج عنهما بسبب الفتوی بالإباحة، و لزوم البناء علی التخییر و الأخذ بأحدهما من باب اللابدّیة و عدم إمکان الالتزام فی مثله بأزید من ذلک؟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أقواهما الأخیر؛ لأنّ المفروض عدم إحراز الوجوب خاصّة و لا الحرمة کذلک حتی یترتّب علیهما الآثار المترتّبة علی الواجب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لو نذر درهما لمن أتی بواجب فاختار المکلّف فی صورة دوران الأمر بین الواجب و الحرام جانب الفعل، و أتی بما یحتمل وجوبه فی الواقع لم یبرأ بدفع الدرهم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اختار جانب الترک فترکه فإنّه لا یحصل البرء بدفع الدرهم المنذور دفعه إلی تارک الحرام إلیه، و هکذا بالنسبة إلی سائر الآثار الخاصّة</w:t>
      </w:r>
      <w:r>
        <w:rPr>
          <w:rFonts w:eastAsia="IRNazanin" w:cs="IRNazanin"/>
          <w:color w:val="111111"/>
          <w:sz w:val="28"/>
          <w:szCs w:val="28"/>
          <w:rtl w:val="true"/>
          <w:lang w:bidi="fa-IR"/>
        </w:rPr>
        <w:t>.</w:t>
      </w:r>
    </w:p>
    <w:p>
      <w:pPr>
        <w:pStyle w:val="Heading3"/>
        <w:numPr>
          <w:ilvl w:val="2"/>
          <w:numId w:val="1"/>
        </w:numPr>
        <w:rPr/>
      </w:pPr>
      <w:bookmarkStart w:id="177" w:name="__RefHeading___Toc2527126_3224264995"/>
      <w:bookmarkStart w:id="178" w:name="_Toc63"/>
      <w:bookmarkEnd w:id="177"/>
      <w:r>
        <w:rPr>
          <w:rtl w:val="true"/>
        </w:rPr>
        <w:t>[</w:t>
      </w:r>
      <w:r>
        <w:rPr>
          <w:rtl w:val="true"/>
        </w:rPr>
        <w:t>الأقوال فی مسألة وجوب الالتزام بالحکم المعیّن و عدمه</w:t>
      </w:r>
      <w:r>
        <w:rPr>
          <w:rtl w:val="true"/>
        </w:rPr>
        <w:t>]</w:t>
      </w:r>
      <w:bookmarkEnd w:id="178"/>
    </w:p>
    <w:p>
      <w:pPr>
        <w:pStyle w:val="BookText"/>
        <w:rPr/>
      </w:pPr>
      <w:r>
        <w:rPr>
          <w:rFonts w:ascii="IRNazanin" w:hAnsi="IRNazanin" w:eastAsia="IRNazanin"/>
          <w:color w:val="111111"/>
          <w:sz w:val="28"/>
          <w:sz w:val="28"/>
          <w:szCs w:val="28"/>
          <w:rtl w:val="true"/>
          <w:lang w:bidi="fa-IR"/>
        </w:rPr>
        <w:t>و إذ قد عرفت تحریر محلّ النزاع من الجهات الستّة المذکورة،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جواز المخالفة الالتزامیة و حرمتها وجوه،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الشبهة الواحدة التی لم تتعدّد فیها الواقعة فیجوز، و بین غیرها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التفصیل و إن لم نقف علی القول به إلّا أنّه وجه یحتمل القول به، بخلاف الوجهین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فأقوی الوجوه الجواز، و الأحوط المنع</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الجواز أصالة البراءة، و عدم الدلیل علی المنع عقلا و لا شرعا، و دلیل العدم، حسبما فی المتن تقریر کلّ واحد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المخالفة الالتزامیة </w:t>
      </w:r>
    </w:p>
    <w:p>
      <w:pPr>
        <w:pStyle w:val="BookText"/>
        <w:rPr/>
      </w:pPr>
      <w:r>
        <w:rPr>
          <w:rFonts w:ascii="IRNazanin" w:hAnsi="IRNazanin" w:eastAsia="IRNazanin"/>
          <w:color w:val="111111"/>
          <w:sz w:val="28"/>
          <w:sz w:val="28"/>
          <w:szCs w:val="28"/>
          <w:rtl w:val="true"/>
          <w:lang w:bidi="fa-IR"/>
        </w:rPr>
        <w:t>و إن لم تخل عن کلّ من المخالفة العلمیة و العملیة إلّا أنّ العلمیة فیها التزامیة لا عملیة، و العملیة فیها احتمالیة لا علمیة، بخلاف المخالفة الغیر الالتزامیة فإنّها مخالفة علمیة و عملیة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المنع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وَ مَنْ لَمْ یَحْکُمْ بِما أَنْزَلَ اللَّهُ فَأُولئِکَ هُمُ الْفاسِقُونَ</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فیها عبارة عن القضاء علی ما فسّرت</w:t>
      </w:r>
      <w:r>
        <w:rPr>
          <w:rStyle w:val="FootnoteAnchor"/>
          <w:rtl w:val="true"/>
        </w:rPr>
        <w:footnoteReference w:id="128"/>
      </w:r>
      <w:r>
        <w:rPr>
          <w:rFonts w:ascii="IRNazanin" w:hAnsi="IRNazanin" w:eastAsia="IRNazanin"/>
          <w:color w:val="111111"/>
          <w:sz w:val="28"/>
          <w:sz w:val="28"/>
          <w:szCs w:val="28"/>
          <w:rtl w:val="true"/>
          <w:lang w:bidi="fa-IR"/>
        </w:rPr>
        <w:t>به، و مع ذلک المتبادر من الحکم القول و اللفظ، دون الالتزام و 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وجوب التدیّن و الالتزام بما جاء به النبی صلی اللّه علیه و آله حسبما أشیر إلیه، و إلی جوابه فی المتن</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الاعتقاد الإجمالی کاف فی التدیّن و لو علی نحو التردید و الدوران، و أمّا لزوم الأخذ و التعبّد بأحد من الحکمین المعلوم إجمالا فترجیح بلا مرجّح، سیما فی التوصلیّات التی هی محلّ النزاع حیث لم یطلب فیها سوی حصول مضمونها فی الخارج کیفما اتّفق</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منع المنافاة بین أدلّة وجوب التدیّن مع الحکم بالإباحة فی مقام الظاهر، لأنّ معنی التدیّن و الالتزام بالحکم الشرعی هو الاعتقاد بثبوته و عقد القلب بصدقه، و هذا من لوازم الإیمان لا یمکن إنکاره، و القائل بالإباحة الظاهریة یقول بوجوب الالتزام بهذا المعنی و یعتقد بأنّ الحکم الواقعیّ فی الواقع إمّا هو الوجوب، أو الحرمة، و لکن المکلّف لجهله بخصوص الواقع یعمل بحکم الإباحة فی مرحلة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یمنع جریان أصل الإباحة مع العلم الإجمالی، و هو کلام آخر یأتی تفصیله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فحوی أخبار التخییر عند تعارض الخبرین بناء علی القطع بعدم الفرق بین تعارض الخبرین و الاحتمالین، لیدلّ علی عدم جواز طرح الحکم المعلوم إجمالا و الحکم بخلاف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أخبار التخییر فی الخبرین المتعارضین إمّا مطابقة للقاعدة بأن کان حجّیة خبر الواحد من باب السببیة و الموضوعیة، و إمّا مخالفة لها بأن یکون حجّیته من باب الطریقیة، و علی أیّ تقدیر فلا دلالة فی جواز التخییر فی تعارض الخبرین علی التخییر فی تعارض الاحتمالین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فلأنّ السببیة و الموضوعیة المفروضة فی الخبرین المتعارضین مفقودة فی المحتملین ممّا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 فلعدم جواز تعدّی الحکم المخالف للقاعدة عن مورده؛ لاحتمال أن یکون للمورد مصلحة خاصّة ملحوظة فی نفس الخبر، کما یرشد إلیه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بأیّهما أخذت من باب التسلیم وسعک</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و هذا الاحتمال مفقود فی تعارض الاحتمالین الناشئین من افتراق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یدّعی القطع بأنّ مناط التخییر هو الإلجاء و اللابدّیة فی التفصّی عن مخالفة الواقع، و طرح قول الإمام، و هو بعینه موجود فی طرح الاحتمالین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عهدتها علی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الالتزام بأحد الاحتمالین و الرجوع إلی الإباحة بالفعل مرّة، و الترک اخری موجب للمخالفة العملیة القطعیة تدریجا، و العقل کما أنّه مستقلّ فی الحکم بقبح المخالفة العملیة دفعة کذلک مستقلّ فی الحکم بقبحها کذلک تدریجا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أخصّ من المدّعی؛ لأنّ هذا الکلام لا یجری فی الشبهة الواحدة التی لم تتعدّد فیها الواقعة حتی یحصل المخالفة العملیة تدریجا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بالنقض بأنّ البناء علی التخییر فی الأخذ بأحد الاحتمالین من الفعل و الترک مرّة، و بالآخر اخری أیضا موجب للمخالفة القطعیة التدریجیة، فلا یتفاوت الأمر من حیث لزوم المخالفة التدریجیة بین ترک الالتزام و الرجوع إلی الإباحة، و بین الالتزام و الأخذ بأحدهما تخییرا، إلّا أن یلتزم بالتخییر البدویّ دون الاستمراریّ، و القائلون به لا یلتزمون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تقدیر الالتزام و البناء علی التخییر الاستمراری و إن کان یلزم منه المخالفة التدریجیة، إلّا أنّها مجبورة بالأخذ بما یحتمل أن یکون قول الإمام فکما تتدارک مفسدة ما یتفق من الأخذ بأحد الخبرین، أو بقول أحد المجتهدین علی نحو التخییر الاستمراریّ بمصلحة العمل بالأمارة، کذلک فی ما نحن فیه؛ لأنّ الأخذ بالمجمل لا یمکن بأزید من ذلک، و هو البناء علی التخییر، و عدم طرح الاحتمالین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العمل بالأصل و الأخذ به فی رفع احتمال الوجوب و الحرمة عن الواقعة المردّدة بینهما أیضا یتدارک به مفسدة لزوم المخالفة القطعیة، کما یتدارک به ذلک فی سائر مجاری الاصول اللّهمّ إلّا أن یمنع فی المقام جریان الأصل مع العلم الإجمالی؛ و أنّی له بالمانع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 و هو منع الکبری، أعنی منع استقلال العقل فی الحکم بقبح المخالفة التدریجیة کاستقلاله فی الحکم بقبح المخالفة الدفعیة، أ لا تری أنّه لا یلزم من ثبوت الدلیل النقلی علی جواز المخالفة التدریجیة ما یلزم من فرض ثبوته علی جواز المخالفة الدفعیة من التناقض، و التکلیف بما لا یطاق، فظهر أنّ مقایسة المخالفة التدریجیة بالدفعیة قیاس مع الفارق</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یظهر منهم فی مسألة دوران الأمر بین الوجوب و التحریم من الاتفاق علی عدم الرجوع إلی الإباحة فیها، مع أنّه شکّ فی التکلیف یقتضی </w:t>
      </w:r>
    </w:p>
    <w:p>
      <w:pPr>
        <w:pStyle w:val="BookText"/>
        <w:rPr/>
      </w:pPr>
      <w:r>
        <w:rPr>
          <w:rFonts w:ascii="IRNazanin" w:hAnsi="IRNazanin" w:eastAsia="IRNazanin"/>
          <w:color w:val="111111"/>
          <w:sz w:val="28"/>
          <w:sz w:val="28"/>
          <w:szCs w:val="28"/>
          <w:rtl w:val="true"/>
          <w:lang w:bidi="fa-IR"/>
        </w:rPr>
        <w:t>عدم جواز الرجوع إلیها فی المقام بطریق أولی، و معنی عدم الرجوع إلیها هو وجوب الالتزام إمّا بجانب الفعل فقط، أو بجانب الترک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منع ثبوت الاتفاق المذکور فی مسألة دوران الأمر بین الوجوب و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منع استلزام ثبوته فی تلک المسألة لثبوته فی ما نحن فیه، سیما مع تصریح جماعة فی الإجماع المرکّب بالتساقط، و الرجوع إلی الأصل و إن کان مقتضاه مخالفا للقولین، بل عن الشیخ الفتوی بالتخییر الواقعی</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قوّة المطلوب، و عدم مانعیة دلیل وجوب الالتزام بما جاء به النبیّ صلی اللّه علیه و آله من جواز المخالفة الالتزامیة للعلم الإجمالی،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منع منها لمنع من المخالفة الالتزامیة للعلم التفصیلی بالطریق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منع منها للزم الالتزام بتعدّد اصول العقائد علی حسب تعدّد ما جاء به النبیّ صلی اللّه علیه و آله من الأحکام علی کثرتها، و لزم انتفاء الفرق بین العقائد الخمس، و سائر الأحکام الشرعیة من حیث وجوب الالتزام بکلّ منها، و من حیث إنّ المخالفة الالتزامیة لکلّ منها موجب للکفر و الارتداد عن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الفرق بینهما لأجل الحصر فی الخمس أنّ مجرد الشکّ و الشبهة و الخطأ فی العقائد الخمس موجب للکفر و الارتداد، بخلاف الأحکام الفرعیة، فإنّه لا یوجب الکفر فیها سوی إنکار الضروریّ منها بالعلم التفصیلی لا غیر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المقدار من الفرق بینهما غیر مجد و غیر فارق من حیث وجوب الالتزام و التعبّد و التدیّن بهما لسانا و جنانا علی الوجه النفسیة، بل الفرق الفارق </w:t>
      </w:r>
    </w:p>
    <w:p>
      <w:pPr>
        <w:pStyle w:val="BookText"/>
        <w:rPr/>
      </w:pPr>
      <w:r>
        <w:rPr>
          <w:rFonts w:ascii="IRNazanin" w:hAnsi="IRNazanin" w:eastAsia="IRNazanin"/>
          <w:color w:val="111111"/>
          <w:sz w:val="28"/>
          <w:sz w:val="28"/>
          <w:szCs w:val="28"/>
          <w:rtl w:val="true"/>
          <w:lang w:bidi="fa-IR"/>
        </w:rPr>
        <w:t>و المجدی بینهما لا بدّ و أن یکون من حیث إنّ وجوب الالتزام فی العقائد الخمس من باب الوجوب النفسی الأصلی، و فی الأحکام الفرعیة من باب الوجوب الغیری المقدّمی التوصلیّ المطلوب منه التوصّل إلی العمل، المفروض حصوله فی ما نحن فیه قهرا فلا تنافیه المخالفة الالتزامیة الغیر العملیة، الحاصلة من إعمال الاصول العملیة الظاهریة المقرّرة للجاهل العاجز عن إدراک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وجوب الالتزام بما جاء به النبیّ صلی اللّه علیه و آله من المخالفة الالتزامیة فی الظاهر، إلّا أنّه مانع شرعیّ خارجیّ من المخالفة الالتزامیة، لا مانع عقلیّ منها الذی هو محلّ الکلام، بل هو علی تقدیر تسلیمه مانع من المخالفة العملیة للخطاب التفصیلی بوجوب الالتزام بما جاء به النبیّ صلی اللّه علیه و آله، لا مانع من المخالفة الالتزامیة للحکم الواقعیّ الإجمالی الذی هو محلّ الکلام، فالاستدلال علی المانعیة عمّا نحن فیه بوجوب الالتزام بما جاء به النبیّ صلی اللّه علیه و آله، علی تقدیر تمامیته فی المانعیة، خارج عمّا نحن فیه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فالظاهر عدم جوازها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لمن جوّزها مطلقا و لو أدّت إلی المخالفة القطعیة، کصاحب القوانین</w:t>
      </w:r>
      <w:r>
        <w:rPr>
          <w:rStyle w:val="FootnoteAnchor"/>
          <w:rtl w:val="true"/>
        </w:rPr>
        <w:footnoteReference w:id="132"/>
      </w:r>
      <w:r>
        <w:rPr>
          <w:rFonts w:ascii="IRNazanin" w:hAnsi="IRNazanin" w:eastAsia="IRNazanin"/>
          <w:color w:val="111111"/>
          <w:sz w:val="28"/>
          <w:sz w:val="28"/>
          <w:szCs w:val="28"/>
          <w:rtl w:val="true"/>
          <w:lang w:bidi="fa-IR"/>
        </w:rPr>
        <w:t>و العلّامة المجلسی</w:t>
      </w:r>
      <w:r>
        <w:rPr>
          <w:rStyle w:val="FootnoteAnchor"/>
          <w:rtl w:val="true"/>
        </w:rPr>
        <w:footnoteReference w:id="133"/>
      </w:r>
      <w:r>
        <w:rPr>
          <w:rFonts w:ascii="IRNazanin" w:hAnsi="IRNazanin" w:eastAsia="IRNazanin"/>
          <w:color w:val="111111"/>
          <w:sz w:val="28"/>
          <w:sz w:val="28"/>
          <w:szCs w:val="28"/>
          <w:rtl w:val="true"/>
          <w:lang w:bidi="fa-IR"/>
        </w:rPr>
        <w:t>و غیرهما، و لمن جوّزها فی الجملة یعنی ما لم یؤدّ إلی المخالفة القطعیة، کصاحب المناهج</w:t>
      </w:r>
      <w:r>
        <w:rPr>
          <w:rStyle w:val="FootnoteAnchor"/>
          <w:rtl w:val="true"/>
        </w:rPr>
        <w:footnoteReference w:id="134"/>
      </w:r>
      <w:r>
        <w:rPr>
          <w:rFonts w:ascii="IRNazanin" w:hAnsi="IRNazanin" w:eastAsia="IRNazanin"/>
          <w:color w:val="111111"/>
          <w:sz w:val="28"/>
          <w:sz w:val="28"/>
          <w:szCs w:val="28"/>
          <w:rtl w:val="true"/>
          <w:lang w:bidi="fa-IR"/>
        </w:rPr>
        <w:t>و غیره فالمسألة ذات أقوال و وجوه، لا ذات وجه واحد، کما یوهمه ظاهر المتن و إن کان المشهور المنصور هو الوجه الذی ذکره، لما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المفروض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مفروضیة ذلک مبنیّ علی ما هو المشهور المنصور من أنّ الألفاظ </w:t>
      </w:r>
    </w:p>
    <w:p>
      <w:pPr>
        <w:pStyle w:val="BookText"/>
        <w:rPr/>
      </w:pPr>
      <w:r>
        <w:rPr>
          <w:rFonts w:ascii="IRNazanin" w:hAnsi="IRNazanin" w:eastAsia="IRNazanin"/>
          <w:color w:val="111111"/>
          <w:sz w:val="28"/>
          <w:sz w:val="28"/>
          <w:szCs w:val="28"/>
          <w:rtl w:val="true"/>
          <w:lang w:bidi="fa-IR"/>
        </w:rPr>
        <w:t>موضوعة للمعانی الواقعیة، لا المعلومة، و لا أنّها منصرفة إلیها فی مقام التکلیف، کما علیه شاذّ من الناس، فمحصّل دلیل عدم جواز المخالفة راجع إلی التمسّک بإطلاق الموضوعات الواقعیة و شمولها المعلومات التفصیلیة و الإجمالیة، و عدم تقییدها بالمعلوم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أجرینا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الجواب عن هذا السؤال الذی هو من جملة أدلّة المجوّزین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الشهرة المعتبرة، بل الإجماع، و بناء العقلاء، علی عدم جریان الأصل مع العلم الإجمالی، و أنّ حال العلم الإجمالی کحال العلم التفصیلی فی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للخصم المناقشة بأنّ محلّ النزاع إنّما هو فی جوازها من حیث القاعدة و عدم جوازها من حیث الاجماع و نحوه من الأدلّة الخارجیة غیر قادح بجوازها من حیث القاعدة إن لم یکن مومیا علیه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انصراف أدلّة الاصول إلی الشبهات البدویّة فلا تشمل صور العلم الإجمالی و إن أمکن للخصم منعه بأنّ الانصراف من خصائص الإطلاقات، و أکثر أدلّة الاصول عمومات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حجب اللّه علمه عنه فهو موضوع</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طاهر حتی تعلم أنّه قذر</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 حتی تعرف الحرام بعینه</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ما لا یعلمون</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کما یمکن لنا القول بأنّ إطلاق العلم فیها و شموله العلم التفصیلی و الإجمالی دلیل تخصیص عمومها، لا تقییده بالعموم و إن کان التقیید بحسب ذاته أولی من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بحکومة إطلاق العلم فیها علی عمومها، لا حکومة العموم علی إطلاق العلم؛ و ذلک تابع لما یفهم عرفا من أظهریة تحکیم ذیل الکلام علی صدره من تحکیم الصدر علی الذیل، و من تقدیم الأظهر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إلیه المصنّف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أصالة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أقصی ما یفیده مجری الأصل إنّما هو جواز ارتکاب المشتبه بالذات لا بالعرض،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ارتکابه من حیث کونه مشتبها مع الإغماض عن طروّ العلم الإجمالی بحرمته، و عروض عنوان المقدّمیة لبراءة الذّمة الیقینیة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حیث طروّ ذلک الطارئ و العارض فلا جواز، و إن أمکن للخصم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استلزام جواز ارتکاب المشتبه بالذات، لجواز ارتکابه بالعرض، بناء منه علی تحکیم عموم أدلّة الاصول علی إطلاق العلم و إطلاق الموضوع الواقعی، و بعد تحکیم عموم دلیل الأصل علی إطلاق العلم لم یبق للعلم الإجمالی مسرح فی تأثیر المنع، بل کان حاله حال الشکّ البدویّ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إلیه المصنّف أیضا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 أنّ حکم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یقتضیه الأصل العملی من خروج مجراه عن موضوع التکلیف الواقعی الثابت بالأدلّة الاجتهادیة لا معنی له، إلّا رفع حکم ذلک الموضوع ظاهرا، دون نفس ذلک الموضوع الذی هو من الامور المنوطة بالواقع المقتضیة للحکم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أنّ مقتضی الأصل فی مرحلة الظاهر غیر قابل لمعارضة مقتضی الواقع و مقاومته، بل الواقع وارد علیه بلا شبهة، و إن أمکن للخصم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تحکیم عموم أدلّة اعتبار الأصل علی إطلاق أدلّة الواقع، لیکون عموم أدلّة الأصل مبیّنة لکون المراد من الواقع المطلوب هو المعلوم بالتفصیل، لا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دعوی أنّ الموضوعات الواقعیة مسوقة لبیان تشریع الحکم فی الجملة، و بیان أنّ حکم الخمر مثلا غیر حکم الخلّ، لیکون إطلاق أدلّة الواقع وارد مورد حکم آخر، فلا تعویل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عرفت مما تقدّم منع الدعویین، و لعلّ وجه تأمّل المصنّف</w:t>
      </w:r>
      <w:r>
        <w:rPr>
          <w:rStyle w:val="FootnoteAnchor"/>
          <w:rtl w:val="true"/>
        </w:rPr>
        <w:footnoteReference w:id="141"/>
      </w:r>
      <w:r>
        <w:rPr>
          <w:rFonts w:ascii="IRNazanin" w:hAnsi="IRNazanin" w:eastAsia="IRNazanin"/>
          <w:color w:val="111111"/>
          <w:sz w:val="28"/>
          <w:sz w:val="28"/>
          <w:szCs w:val="28"/>
          <w:rtl w:val="true"/>
          <w:lang w:bidi="fa-IR"/>
        </w:rPr>
        <w:t>فی ما أجاب إشارة إلیه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عن النجس،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دفع ما قیل، أو یقال من انصراف خصوص موضوع النجس و نحوه من موضوعات الاصول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تعلم</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إلی خصوص النجس المعلوم بالتفصیل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الصارف و الانصراف بأنّ موضوع النجس کسائر الموضوعات کلّی موضوع للمعانی الواقعیة، لا خصوص المعلوم التفصیلیّ منها فیختصّ مورد الاصول منها بالشبهة البدویّة لا الأعمّ منها و من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إشارة إلی دفع ما قیل، أو یقال أیضا من أنّ عموم أدلّة الاصول لقسمی الجهل البدویّ و غیره، من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و حاکم علی إطلاق موضوع النجس لمطلق المعانی الواقعیة، و علی إطلاق العلم لمطلق العلم التفصیلی و الإجمالی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طریق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بأولی من العکس، بل العکس أولی، إذ کما أنّ </w:t>
      </w:r>
    </w:p>
    <w:p>
      <w:pPr>
        <w:pStyle w:val="BookText"/>
        <w:rPr/>
      </w:pPr>
      <w:r>
        <w:rPr>
          <w:rFonts w:ascii="IRNazanin" w:hAnsi="IRNazanin" w:eastAsia="IRNazanin"/>
          <w:color w:val="111111"/>
          <w:sz w:val="28"/>
          <w:sz w:val="28"/>
          <w:szCs w:val="28"/>
          <w:rtl w:val="true"/>
          <w:lang w:bidi="fa-IR"/>
        </w:rPr>
        <w:t>الدلیل و الحکم الواقعی وارد و مقدّم علی الأصل و الحکم الظاهری، کذلک إطلاق موضوع الدلیل الواقعی فی المعنی الواقعیّ مقدّم علی عموم حکم الاصول و الأحکام الظاهریة، و کذلک إطلاق العلم المقیّد به حکم الأصل حاکم و مقدّم علی عموم حکم الأصل و مقیّد له تقدیما للأظهر علی الظاهر، و لإطلاق الدلیل علی عموم الأصل، و لذیل الکلام الذی بمنزلة التعلیل علی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ففی المخالفة القطعیة حینئذ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جعل المخالفة للخطاب التفصیلی المتقدّم ذات وجه واحد، مع نهوض وجوه مخالفة الخطاب الإجمالی المردّد بین الخطابین فیها أیضا، لم یکن وجه سوی أن یکون نهوض تلک الوجوه فیها ضعیفا و الحال أنّه لا ضعف فی نهوض ما عدا الوجه الأول، بل و لا فی نهوض الوجه الأول أیضا؛ اذ کما تنهض دعوی عدم وقوع النهی عن المردّد بین الخمر، و الأجنبیة فی خطاب من الخطابات علی جواز مخالفة الخطاب المردّد، کذلک تنهض دعوی عدم وقوع النهی عن المردّد بین النجس و الطاهر علی جواز مخالفة الخطاب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 متعلّق الخطاب التفصیلی، و هو النجس الواقعیّ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عن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الشامل للمعلوم بالتفصیل أو الاجمال مانع، أو مضعّف لنهوض الدعوی المذکورة فی الخطاب المردّد إلی الخطاب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أن یکون إطلاق متعلق الخطاب التفصیلی مانعا و مضعّفا لنهوض الدعوی المذکورة للخطاب المردّد إلیه، کذلک یمکن أن یکون إطلاق نفس الخطاب المردّد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کالوجوب مثلا و إن کان متعلقه، و هو الواجب مردّدا بین الدعاء عند الرؤیة أو الصلاة عند ذکر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مانعا و مضعّفا لنهوض الدعوی المذکورة إلی الخطاب المردّد أیضا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متعلق الخطاب المردّد بین الشیئین أیضا مطلق؛ فإنّ تردیده بین </w:t>
      </w:r>
      <w:bookmarkStart w:id="179" w:name="pg12850_121179"/>
    </w:p>
    <w:p>
      <w:pPr>
        <w:pStyle w:val="BookText"/>
        <w:rPr/>
      </w:pPr>
      <w:bookmarkEnd w:id="179"/>
      <w:r>
        <w:rPr>
          <w:rFonts w:ascii="IRNazanin" w:hAnsi="IRNazanin" w:eastAsia="IRNazanin"/>
          <w:color w:val="111111"/>
          <w:sz w:val="28"/>
          <w:sz w:val="28"/>
          <w:szCs w:val="28"/>
          <w:rtl w:val="true"/>
          <w:lang w:bidi="fa-IR"/>
        </w:rPr>
        <w:t>الشیئین فی الظاهر لا ینافی إطلاقه الواقعی، غایة الأمر تردید ذلک الإطلاق باعتبار تردید متعلّقه و هو غیر مانع من ترتیب آثار الإطلاق علیه و معاملة المطلق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مستند الخطاب المردّد دلیلا لبیّا من عقل، أو إجماع لم یکن له إطلاق مانع من نهوض الدعوی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النزاع لا یختصّ بهذا الفرض من الخطاب المردّد حتی یستظهر الفرق به بینه و بین الخطاب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للتفرقة بین المسألتین فی جعل إحداهما ذات وجه واحد، و الاخری ذات وجوه عدیدة، بل الحقّ اتّحادهما، و أنّ کلّ واحدة منهما ذات وجوه، بل ذات أقوال، کما جرت کلمات القدماء علی الاتّحاد بینهما إلی زمان صاحب الحدائق، فإنّه أوّل من احتمل الفرق بینهما فی الوجه</w:t>
      </w:r>
      <w:r>
        <w:rPr>
          <w:rStyle w:val="FootnoteAnchor"/>
          <w:rtl w:val="true"/>
        </w:rPr>
        <w:footnoteReference w:id="143"/>
      </w:r>
      <w:r>
        <w:rPr>
          <w:rFonts w:ascii="IRNazanin" w:hAnsi="IRNazanin" w:eastAsia="IRNazanin"/>
          <w:color w:val="111111"/>
          <w:sz w:val="28"/>
          <w:sz w:val="28"/>
          <w:szCs w:val="28"/>
          <w:rtl w:val="true"/>
          <w:lang w:bidi="fa-IR"/>
        </w:rPr>
        <w:t>، علی ما قیل</w:t>
      </w:r>
      <w:r>
        <w:rPr>
          <w:rFonts w:eastAsia="IRNazanin" w:cs="IRNazanin"/>
          <w:color w:val="111111"/>
          <w:sz w:val="28"/>
          <w:szCs w:val="28"/>
          <w:rtl w:val="true"/>
          <w:lang w:bidi="fa-IR"/>
        </w:rPr>
        <w:t>.</w:t>
      </w:r>
    </w:p>
    <w:p>
      <w:pPr>
        <w:pStyle w:val="Heading3"/>
        <w:numPr>
          <w:ilvl w:val="2"/>
          <w:numId w:val="1"/>
        </w:numPr>
        <w:rPr/>
      </w:pPr>
      <w:bookmarkStart w:id="180" w:name="__RefHeading___Toc2527128_3224264995"/>
      <w:bookmarkStart w:id="181" w:name="_Toc64"/>
      <w:bookmarkEnd w:id="180"/>
      <w:r>
        <w:rPr>
          <w:rtl w:val="true"/>
        </w:rPr>
        <w:t>[</w:t>
      </w:r>
      <w:r>
        <w:rPr>
          <w:rtl w:val="true"/>
        </w:rPr>
        <w:t>مخالفة الخطاب المردّد بین خطابین</w:t>
      </w:r>
      <w:r>
        <w:rPr>
          <w:rtl w:val="true"/>
        </w:rPr>
        <w:t>]</w:t>
      </w:r>
      <w:bookmarkEnd w:id="18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 الوجه ما تقدّم من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تنافی بین الالتزام بالواقع و العمل بالأصل فی الموضوع المشتبه، بخلاف التمسک بالأصل فی الشبهات الحکمیة؛ فإنّه بنفسه مناف مع الحکم الواقعی المعلوم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یصحّ فی المثال المتقدّم و هو المردّد بین الخمر، و الأجنبیة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عدم خمریّته، و عدم أجنبیّته، فیکون مباحا، و مع ذلک یلتزم بکلّیة حرمة الخمر و حرمة الأجنبیة، فإنّ الالتزام بکلّیة هذه الکبری لا یقتضی أزید من الالتزام بالصغریات التی علم اندراجها تحت تلک الکلّیة، أعنی کلّیة الکبری، و أمّا الأشیاء التی لم یعلم دخولها تحت تلک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علم خروجها عن تحتها بالأصل و التمسک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یقتضی الالتزام بها أیضا</w:t>
      </w:r>
      <w:r>
        <w:rPr>
          <w:rFonts w:eastAsia="IRNazanin" w:cs="IRNazanin"/>
          <w:color w:val="111111"/>
          <w:sz w:val="28"/>
          <w:szCs w:val="28"/>
          <w:rtl w:val="true"/>
          <w:lang w:bidi="fa-IR"/>
        </w:rPr>
        <w:t>.</w:t>
      </w:r>
    </w:p>
    <w:p>
      <w:pPr>
        <w:pStyle w:val="Heading3"/>
        <w:numPr>
          <w:ilvl w:val="2"/>
          <w:numId w:val="1"/>
        </w:numPr>
        <w:rPr/>
      </w:pPr>
      <w:bookmarkStart w:id="182" w:name="__RefHeading___Toc2527130_3224264995"/>
      <w:bookmarkStart w:id="183" w:name="_Toc65"/>
      <w:bookmarkEnd w:id="182"/>
      <w:r>
        <w:rPr>
          <w:rtl w:val="true"/>
        </w:rPr>
        <w:t>[</w:t>
      </w:r>
      <w:r>
        <w:rPr>
          <w:rtl w:val="true"/>
        </w:rPr>
        <w:t>وجه جواز المخالفة فی الشبهة الموضوعیة من مفروض المسألة</w:t>
      </w:r>
      <w:r>
        <w:rPr>
          <w:rtl w:val="true"/>
        </w:rPr>
        <w:t>]</w:t>
      </w:r>
      <w:bookmarkEnd w:id="18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 مرجع الإخراج الموضوعی إلی رفع الحکم المترتب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bookmarkStart w:id="184" w:name="pg12850_121180"/>
    </w:p>
    <w:p>
      <w:pPr>
        <w:pStyle w:val="BookText"/>
        <w:rPr/>
      </w:pPr>
      <w:bookmarkEnd w:id="1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الأصل هو التعبّد بالجعل و التنزیل فی مرحلة الظاهر، لا الکشف و الحکایة عن الواقع، و لمّا کان الموضوع من الامور الواقعیة الغیر القابلة لتصرّف الشارع فیه بالجعل و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هو قابل لذلک إنّما هو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جرم من رجوع الجعل و التنزیل فیه إلی الجعل و التنزیل فی الحکم</w:t>
      </w:r>
      <w:r>
        <w:rPr>
          <w:rFonts w:eastAsia="IRNazanin" w:cs="IRNazanin"/>
          <w:color w:val="111111"/>
          <w:sz w:val="28"/>
          <w:szCs w:val="28"/>
          <w:rtl w:val="true"/>
          <w:lang w:bidi="fa-IR"/>
        </w:rPr>
        <w:t>.</w:t>
      </w:r>
    </w:p>
    <w:p>
      <w:pPr>
        <w:pStyle w:val="Heading3"/>
        <w:numPr>
          <w:ilvl w:val="2"/>
          <w:numId w:val="1"/>
        </w:numPr>
        <w:rPr/>
      </w:pPr>
      <w:bookmarkStart w:id="185" w:name="__RefHeading___Toc2527132_3224264995"/>
      <w:bookmarkStart w:id="186" w:name="_Toc66"/>
      <w:bookmarkEnd w:id="185"/>
      <w:r>
        <w:rPr>
          <w:rtl w:val="true"/>
        </w:rPr>
        <w:t>[</w:t>
      </w:r>
      <w:r>
        <w:rPr>
          <w:rtl w:val="true"/>
        </w:rPr>
        <w:t>فی حکم تردّد شخص المکلّف</w:t>
      </w:r>
      <w:r>
        <w:rPr>
          <w:rtl w:val="true"/>
        </w:rPr>
        <w:t>]</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معارض له، فافهم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رفع المنافاة بین تحکیم الاصول الظاهریة علی الواقع، و بین ما هو المعهود المقرّر من العکس،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الأدلّة الواقعیة علی الأصول العملیة، بأنّ المنافاة مبنیّة علی توهّم اتّحاد موضوعی الأصل و الدلیل، و أمّا بالنظر إلی اختلافهما فکلّ منهما بالنسبة إلی موضوعه و محلّه مقدّم علی صاحبه، فتقدیم حکم الأصل بالنسبة إلی الجاهل علی حکم الواقع بالنسبة إلی العالم لا ینافی العکس، و هو تقدیم حکم الواقع بالنسبة إلی العالم علی حکم الأصل بالنسبة إلی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یقع فی الحکم الثابت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تعاکس الصورتین لتردید أحکام الجنابة بین المکلّفین فی الأول، و المکلّف بین العنوانین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یوجب علی أحدهما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 أنّ الأصل فی الموضوعات یخرج مجاریها عن موضوعات أدلّة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بیانه المتقدّم، و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فی الموضوعات و إن لم یخرج مجاریها عن تحت أدلّة التکلیف إلّا أنّه حاکم علیها، لا معارض لها فی ما نحن فیه بالاتفاق</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حکم العقل و بناء العقلاء علی قبح عقاب واحد من </w:t>
      </w:r>
      <w:bookmarkStart w:id="187" w:name="pg12850_121181"/>
    </w:p>
    <w:p>
      <w:pPr>
        <w:pStyle w:val="BookText"/>
        <w:rPr/>
      </w:pPr>
      <w:bookmarkEnd w:id="187"/>
      <w:r>
        <w:rPr>
          <w:rFonts w:ascii="IRNazanin" w:hAnsi="IRNazanin" w:eastAsia="IRNazanin"/>
          <w:color w:val="111111"/>
          <w:sz w:val="28"/>
          <w:sz w:val="28"/>
          <w:szCs w:val="28"/>
          <w:rtl w:val="true"/>
          <w:lang w:bidi="fa-IR"/>
        </w:rPr>
        <w:t>الشخصین یکون جنبا بمجرّد الخطاب العامّ المشکوک توجّهه إلیه بالخصوص،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وجوب الغسل علی کلّ 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تراه من استمرار بناء الموالی من العقلاء علی معاقبة عبیدهم المأمور أحدهم علی وجه الإجمال، بسقی ماء، أو إطعام طعام، إذا ترک کلّ واحد منهم السقی أو الإطعام المطلوب لمولاه بأصالة عدم توجّه ذلک الطلب إلیه بالخصوص، فإنّما هو من جهة احتفاف أمر المولی بسقیه و إطعامه بقرینة عادیة تقتضی أن یکون مطلوبه من السقی و الإطعام مطلوبا توصلیّا یحصل من أیّ شخص اتّفق و لو من غیر عبیده، لا مطلوب من خصوص شخص دون شخص، کما فی مطلوبیة الغسل فی ما نحن فیه من خصوص شخص الجنب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فمطلوبیة السقی من موالی العرف الذی یصحّ عقاب العبید علی ترکه و إن جهل کلّ منهم توجّه الطلب إلیه بالخصوص، إنّما هو من جهة کونه من قبیل الواجبات الکفائیّة، و مطلوبیّة الغسل فی ما نحن فیه الذی یصحّ العقاب علی ترکه ممّن جهل توجّهه إلیه بالخصوص إنّما هو من جهة کونه من قبیل الواجبات العینیّة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یکون التصدّی إلی سقی المولی من واحد مسقطا لمطلوبیته عن الباقین بخلاف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مطلوبیته منه تعالی علی وجه مطلوبیة السقی من موالی العرف لصحّ عقابه تعالی علی ترکه، کما أنّه لو فرض مطلوبیة السقی علی وجه مطلوبیة الغسل لقبح العقاب علیه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أکثر عقوبات موالی العرف و سیاساتهم العبید غیر مبتنیة علی العدالة حتی یستلزم من عقوبتهم فی مورد، عقوبة العادل الحکیم فی مثله</w:t>
      </w:r>
      <w:r>
        <w:rPr>
          <w:rFonts w:eastAsia="IRNazanin" w:cs="IRNazanin"/>
          <w:color w:val="111111"/>
          <w:sz w:val="28"/>
          <w:szCs w:val="28"/>
          <w:rtl w:val="true"/>
          <w:lang w:bidi="fa-IR"/>
        </w:rPr>
        <w:t>.</w:t>
      </w:r>
    </w:p>
    <w:p>
      <w:pPr>
        <w:pStyle w:val="Heading3"/>
        <w:numPr>
          <w:ilvl w:val="2"/>
          <w:numId w:val="1"/>
        </w:numPr>
        <w:rPr/>
      </w:pPr>
      <w:bookmarkStart w:id="188" w:name="__RefHeading___Toc2527134_3224264995"/>
      <w:bookmarkStart w:id="189" w:name="_Toc67"/>
      <w:bookmarkEnd w:id="188"/>
      <w:r>
        <w:rPr>
          <w:rtl w:val="true"/>
        </w:rPr>
        <w:t>[</w:t>
      </w:r>
      <w:r>
        <w:rPr>
          <w:rtl w:val="true"/>
        </w:rPr>
        <w:t>صور مخالفة الخطاب</w:t>
      </w:r>
      <w:r>
        <w:rPr>
          <w:rtl w:val="true"/>
        </w:rPr>
        <w:t>]</w:t>
      </w:r>
      <w:bookmarkEnd w:id="18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فی المخالفة القطعیة المعلومة تفصیلا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الأقسام المتصوّرة فی مخالفة الخطاب باعتبار اتّصاف کلّ من </w:t>
      </w:r>
    </w:p>
    <w:p>
      <w:pPr>
        <w:pStyle w:val="BookText"/>
        <w:rPr/>
      </w:pPr>
      <w:r>
        <w:rPr>
          <w:rFonts w:ascii="IRNazanin" w:hAnsi="IRNazanin" w:eastAsia="IRNazanin"/>
          <w:color w:val="111111"/>
          <w:sz w:val="28"/>
          <w:sz w:val="28"/>
          <w:szCs w:val="28"/>
          <w:rtl w:val="true"/>
          <w:lang w:bidi="fa-IR"/>
        </w:rPr>
        <w:t>المضاف و المضاف إلیه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مخالفة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بالعلم التفصیلی و عدمه،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إمّا معلومین بالتفصیل، أو بالإجمال، أو أنّ المخالفة معلومة بالتفصیل، و الخطاب بالإجمال،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الخمر المعلوم بالتفصیل حیث إنّ کلّا من المخالفة و الخطاب فیه معلوم بالتفصیل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لم یدخل فی محلّ الخلاف لعدم الخلاف فی حرمته، بخلاف سائر الأقسام، و الأمثلة الثلاثة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الإنائین المشتبهین بین البول و الماء دفعة واحدة، بأنّ یشرب أحدهما و یشرب الغیر الآخر بحرکة واحدة، حیث إنّ کلّا من المخالفة و الخطاب معلومة فیه بالإجمال الدائر بین الشرب و إشراب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الإنائین المشتبهین بین البول و الغصب تدریجا، حیث إنّ کلّا من المخالفة فیه معلومة بالتفصیل و الخطاب فیه معلوم بالإجمال الدائر بین کونه من جهة البول، أو الغصبیة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تلک الإنائین المشتبهین تدریجا لا دفعة، حیث إنّ المخالفة معلومة بالإجمال لخطاب تفصیلی، و هو اجتنب عن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الدخول و الإدخال فی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فإمّا أن یفرض تحقّقهما بحرکة واحدة، أو رجوعهما إلی عنوان محرّم واحد، کالقدر المشترک بین إدخال النفس و إدخال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یفرض عدم الأمرین، بأن یفرض تغایرهما فی الخارج و کون کلّ منهما حرام بعنوان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یکون من قبیل المخالفة المعلومة بالتفصیل و إن کان لخطاب مجمل کالمثال الثالث</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الثانی بالعکس، کالمثال الرابع</w:t>
      </w:r>
      <w:r>
        <w:rPr>
          <w:rFonts w:eastAsia="IRNazanin" w:cs="IRNazanin"/>
          <w:color w:val="111111"/>
          <w:sz w:val="28"/>
          <w:szCs w:val="28"/>
          <w:rtl w:val="true"/>
          <w:lang w:bidi="fa-IR"/>
        </w:rPr>
        <w:t xml:space="preserve">. </w:t>
      </w:r>
      <w:bookmarkStart w:id="190" w:name="pg12850_121183"/>
    </w:p>
    <w:p>
      <w:pPr>
        <w:pStyle w:val="BookText"/>
        <w:rPr/>
      </w:pPr>
      <w:bookmarkEnd w:id="190"/>
      <w:r>
        <w:rPr>
          <w:rFonts w:ascii="IRNazanin" w:hAnsi="IRNazanin" w:eastAsia="IRNazanin"/>
          <w:color w:val="111111"/>
          <w:sz w:val="28"/>
          <w:sz w:val="28"/>
          <w:szCs w:val="28"/>
          <w:rtl w:val="true"/>
          <w:lang w:bidi="fa-IR"/>
        </w:rPr>
        <w:t>و علی الثالث من قبیل المخالفة المعلومة بالإجمال لخطاب مجمل، کالمثال الثانی</w:t>
      </w:r>
      <w:r>
        <w:rPr>
          <w:rFonts w:eastAsia="IRNazanin" w:cs="IRNazanin"/>
          <w:color w:val="111111"/>
          <w:sz w:val="28"/>
          <w:szCs w:val="28"/>
          <w:rtl w:val="true"/>
          <w:lang w:bidi="fa-IR"/>
        </w:rPr>
        <w:t>.</w:t>
      </w:r>
    </w:p>
    <w:p>
      <w:pPr>
        <w:pStyle w:val="Heading3"/>
        <w:numPr>
          <w:ilvl w:val="2"/>
          <w:numId w:val="1"/>
        </w:numPr>
        <w:rPr/>
      </w:pPr>
      <w:bookmarkStart w:id="191" w:name="__RefHeading___Toc2527136_3224264995"/>
      <w:bookmarkStart w:id="192" w:name="_Toc68"/>
      <w:bookmarkEnd w:id="191"/>
      <w:r>
        <w:rPr>
          <w:rtl w:val="true"/>
        </w:rPr>
        <w:t>[</w:t>
      </w:r>
      <w:r>
        <w:rPr>
          <w:rtl w:val="true"/>
        </w:rPr>
        <w:t>حکم الحامل و المحمول</w:t>
      </w:r>
      <w:r>
        <w:rPr>
          <w:rtl w:val="true"/>
        </w:rPr>
        <w:t>]</w:t>
      </w:r>
      <w:bookmarkEnd w:id="19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من جهة دخول المحمول و استیجاره الحامل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فی دخول الحامل و إدخاله المحمول فی المسجد وجوه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إلی أنّه إمّا جائز بناء علی جواز إدخال الجنب، أو حرام بناء علی حرمة إدخاله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إمّا أن تکون الحرمة من باب لزوم المخالفة القطعیة المعلومة تفصیلا، بناء علی تحقّق الدخول و الإدخال بحرکة واحدة، أو من باب لزوم المخالفة المعلومة بالخطاب التفصیلی، نظیر ارتکاب المشتبهین بالنجس بناء علی مغایرتهما فی الخارج، کما فی الذهن و رجوعهما إلی عنوان محرّم واحد، و هو القدر المشترک بین إدخال النفس و إدخال الغیر، أو من باب المخالفة للخطاب المعلوم بالإجمال، کارتکاب المشتبهین المردّدین بین الخمر و الاجنبیة، بناء علی أن یکون لکلّ منهما عنوان مستقلّ فی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فی دخول المحمول فی المسجد و استیجاره الحامل للدخول أیضا تتأتّی الوجوه الأربعة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فیه منع تأتّی الوجه الثانی و الثالث فیه، و هما کون الحرمة من باب المخالفة القطعیة المعلومة تفصیلا، أو من باب المخالفة المعلومة بالخطاب التفصیلی، ضرورة عدم تأتّی مبنییهما فی دخول المحمول و استیجاره الحامل، أعنی تحقّقهما بحرکة واحدة، أو رجوعهما علی تقدیر التغایر إلی عنوان محرّم واحد یجمع بینهما، کما لا یخفی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فأقوی الوجوه هو الجواز فی کلّ من مسألتی دخول الحامل و إدخاله المحمول، و دخول المحمول و استیجاره الحامل، و ذلک لمنع استلزام شی‌ء من المسألتین للعلم بتوجّه خطاب إلیه، لا تفصیلا و لا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الحامل </w:t>
      </w:r>
      <w:bookmarkStart w:id="193" w:name="pg12850_121184"/>
    </w:p>
    <w:p>
      <w:pPr>
        <w:pStyle w:val="BookText"/>
        <w:rPr/>
      </w:pPr>
      <w:bookmarkEnd w:id="193"/>
      <w:r>
        <w:rPr>
          <w:rFonts w:ascii="IRNazanin" w:hAnsi="IRNazanin" w:eastAsia="IRNazanin"/>
          <w:color w:val="111111"/>
          <w:sz w:val="28"/>
          <w:sz w:val="28"/>
          <w:szCs w:val="28"/>
          <w:rtl w:val="true"/>
          <w:lang w:bidi="fa-IR"/>
        </w:rPr>
        <w:t>فلأنّ ما یحتمل أن یکون مستندا لحرمة إدخاله الجنب لم یکن إلّا إطلاق حرمة الإعانة علی الإثم، أو المنکر، أو فحوی حرمة إدخال النجاسة الغیر المتعدّیة، و لا شی‌ء منها بسدید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الإعانة فلأنّ محرّمها هو الإعانة علی ما علمه الفاعل إثما و منکرا، لا علی ما لا یعلمه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إدخال النجاسة المحسوسة الغیر المتعدّیة فلعدم الدلیل علی حرمته، و علی تقدیر الدلیل علی حرمته لا فحوی له علی حرمة إدخال النجاسة المعنویة، و هو الجنب،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المحمول فلأنّ استیجاره تابع لحکم الأجیر، فإذا لم یکن فی تکلیفه محکوما بالجنابة و ابیح له الدخول صحّ استیجاره الغیر له</w:t>
      </w:r>
      <w:r>
        <w:rPr>
          <w:rFonts w:eastAsia="IRNazanin" w:cs="IRNazanin"/>
          <w:color w:val="111111"/>
          <w:sz w:val="28"/>
          <w:szCs w:val="28"/>
          <w:rtl w:val="true"/>
          <w:lang w:bidi="fa-IR"/>
        </w:rPr>
        <w:t>.</w:t>
      </w:r>
    </w:p>
    <w:p>
      <w:pPr>
        <w:pStyle w:val="Heading3"/>
        <w:numPr>
          <w:ilvl w:val="2"/>
          <w:numId w:val="1"/>
        </w:numPr>
        <w:rPr/>
      </w:pPr>
      <w:bookmarkStart w:id="194" w:name="__RefHeading___Toc2527138_3224264995"/>
      <w:bookmarkStart w:id="195" w:name="_Toc69"/>
      <w:bookmarkEnd w:id="194"/>
      <w:r>
        <w:rPr>
          <w:rtl w:val="true"/>
        </w:rPr>
        <w:t>[</w:t>
      </w:r>
      <w:r>
        <w:rPr>
          <w:rtl w:val="true"/>
        </w:rPr>
        <w:t>حکم الخنثی</w:t>
      </w:r>
      <w:r>
        <w:rPr>
          <w:rtl w:val="true"/>
        </w:rPr>
        <w:t>]</w:t>
      </w:r>
      <w:bookmarkEnd w:id="19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حکمها بالنسبة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معاملتها، أو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معلوم الذکوریة و الأنوثیة، تفسیرا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علی الأول أنّ الکلام فی الخنثی یقع تارة فی معاملتها مع غیرها من معلوم الذکوریة و الانوثیة، أو مجهولهما و فی حکمها بالنسبة إلی التکالیف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یقع تارة فی معاملتها مع غیرها من معلوم الذکوریة و الانوثیة، و فی</w:t>
      </w:r>
      <w:r>
        <w:rPr>
          <w:rStyle w:val="FootnoteAnchor"/>
          <w:rtl w:val="true"/>
        </w:rPr>
        <w:footnoteReference w:id="144"/>
      </w:r>
      <w:r>
        <w:rPr>
          <w:rFonts w:ascii="IRNazanin" w:hAnsi="IRNazanin" w:eastAsia="IRNazanin"/>
          <w:color w:val="111111"/>
          <w:sz w:val="28"/>
          <w:sz w:val="28"/>
          <w:szCs w:val="28"/>
          <w:rtl w:val="true"/>
          <w:lang w:bidi="fa-IR"/>
        </w:rPr>
        <w:t>حکمها بالنسبة إلی التکالیف</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فالمراد من الغیر علی الأول المخلوقین من الناس، و علی الثانی الأعمّ منهم و من الخالق، و لکن قوله فی ما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معاملتها مع غیرها فمقتضی القاعدة احترازها عن غیرها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قرینة معیّنة لإرادة المعنی الأوّل، کما </w:t>
      </w:r>
    </w:p>
    <w:p>
      <w:pPr>
        <w:pStyle w:val="BookText"/>
        <w:rPr/>
      </w:pPr>
      <w:r>
        <w:rPr>
          <w:rFonts w:ascii="IRNazanin" w:hAnsi="IRNazanin" w:eastAsia="IRNazanin"/>
          <w:color w:val="111111"/>
          <w:sz w:val="28"/>
          <w:sz w:val="28"/>
          <w:szCs w:val="28"/>
          <w:rtl w:val="true"/>
          <w:lang w:bidi="fa-IR"/>
        </w:rPr>
        <w:t>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أولویة سوق الکلام لتشخیص کلّی تکالیف الخنثی من سوقه لتشخیص جزئیات تکالیفها، فکانت تقتضی إرادة المعنی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فسوق الکلام فی کلّیة تکالیف الخنثی، هو أنّهم اختلفوا فی تکالیفها بالنسبة إلی التکالیف الدائرة بواسطة دورانها بین الذکور و الإناث، بین کلّ من الأحکام الخمسة مع الأربعة الأخر، المرتقیة إلی عشر صور، بعد إسقاط الصور العشر الآخر المکرّرة منها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بالبراءة مطلقا، کما هو مذهب صاحب القوانین</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بالاحتیاط مطلقا، کما عن الشهید فی الذکری</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بالتفصیل بین کون الحکم المردّد واحدا بالنوع، کوجوب أحد الشیئین علیها فالاحتیاط، و بین اختلافه، کوجوب الشی‌ء و حرمة شی‌ء آخر فالبراءة، کما عن صاحب الحدائق</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بتفصیل آخر بین دوران تکلیفها بین المتباینین، کالوجوب و الحرمة فالاحتیاط إن أمکن، کما فی الصلاة الجهریة بناء علی حرمتها علی النساء، حیث یمکن الاحتیاط بتکریرها، و التخییر إن لم یمکن کما فی الجهاد، حیث یجب علی الرجال و یحرم علی النساء فتتخیّر، و بین الأقلّ و الأکثر و ما یرجع إلی الشکّ البدویّ فالبراءة، سواء کان ارتباطیا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کالتستّر فی الصلاة حیث یدور بین التستّر لجمیع البدن إلّا ما استثنی منه، و بین تستّر مجرد القبل و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استقلالیا، کالتستّر عن الناس فی غیر الصلاة حیث یدور بین التستّرین المذکورین أیضا، لکنّه غیر ارتباطیّ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أوفق الوجوه للمرضی عندنا من قاعدة اعتبار العلم الإجمالی مطلقا و عدم التفصیل فی أسباب العلم هو تفصیل آخر ثالث، و هو رجوع الخنثی إلی البراءة مطلقا قبل بلوغ الخمسة عشر، الذی هو حدّ بلوغ الذکر، و إلی الاحتیاط مطلقا بعد بلوغه ذلک المبلغ، و ذلک لرجوع جمیع صور دوران تکلیفها قبل بلوغ ذلک المبلغ إلی الشکّ فی التکلیف، الذی هو مجری البراءة، و بعده إلی الشکّ فی المکلّف به، الذی هو مجری الاحتیاط و لو کان من قبیل الأقلّ و الأکثر الارتباطیّ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الاحتیاط هو الجمع بین تکالیف الرجال و النساء إن أمکن لها، و إلّا فترجع إلی التخییر أو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 محلّ نزاع هذه الوجوه و الأقوال إنّما هو فی أفعالها التدریجیة، کارتکاب مختصّات النساء، مثل لبس الحریر تارة، و مختصّات الرجال مثل لبس العمامة تارة اخری، و أمّا فی أفعالها الدفعیة الجامعة لمختصّات الرجال و النساء معا، مثل التعمّم بالحریر، أو النظر إلی الرجال و النساء معا بدفعة واحدة فلا نزاع فی حرمتها، لرجوعه إلی المخالفة القطعیة المعلومة تفصیلا، نظیر ارتکاب الإنائین المشتبهین دفعة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أیضا النزاع فی تکلیف الخنثی بتلک الوجوه و الأقوال مبنیّ علی أن لا تکون ماهیة ثالثة غیر ماهیة الرجال و النساء، کما استفید الحصر من 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یَهَبُ لِمَنْ یَشاءُ إِناثاً وَ یَهَبُ لِمَنْ یَشاءُ الذُّکُورَ</w:t>
      </w:r>
      <w:r>
        <w:rPr>
          <w:rStyle w:val="FootnoteAnchor"/>
          <w:rtl w:val="true"/>
        </w:rPr>
        <w:footnoteReference w:id="149"/>
      </w:r>
      <w:r>
        <w:rPr>
          <w:rFonts w:ascii="IRNazanin" w:hAnsi="IRNazanin" w:eastAsia="IRNazanin"/>
          <w:color w:val="111111"/>
          <w:sz w:val="28"/>
          <w:sz w:val="28"/>
          <w:szCs w:val="28"/>
          <w:rtl w:val="true"/>
          <w:lang w:bidi="fa-IR"/>
        </w:rPr>
        <w:t>بعد دعوی الاتّفاق علیه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فرض کونها ماهیة ثالثة غیرهما فلا نزاع عندنا فی رجوعها إلی البراءة مطلقا، لرجوع شکّها فی جمیع صور الدوران إلی الشکّ فی التکلیف حینئذ، لا فی المکلّف به</w:t>
      </w:r>
      <w:r>
        <w:rPr>
          <w:rFonts w:eastAsia="IRNazanin" w:cs="IRNazanin"/>
          <w:color w:val="111111"/>
          <w:sz w:val="28"/>
          <w:szCs w:val="28"/>
          <w:rtl w:val="true"/>
          <w:lang w:bidi="fa-IR"/>
        </w:rPr>
        <w:t xml:space="preserve">. </w:t>
      </w:r>
      <w:bookmarkStart w:id="196" w:name="pg12850_121187"/>
    </w:p>
    <w:p>
      <w:pPr>
        <w:pStyle w:val="BookText"/>
        <w:rPr/>
      </w:pPr>
      <w:bookmarkEnd w:id="196"/>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رجوع الخطابین إلی خطاب واحد فی حرمة المخالفة القطعیة، لا فی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رجوع الخطابین إلی خطاب واحد إنّما هو فی مجرّد الوحدة، لا فی إطلاق الوحدة، إذ الخطاب المنتزع عن الخطابین خطاب واحد، لا أنّه مع ذلک مطلق کالواحد الحقیقی، و معلوم أنّ وجوب الموافقة القطعیة من مقتضیات إطلاق متعلّق الخطاب الواحد التفصیلی الشامل للمعلوم و المجمل، لا من مقتضیات مجرّد الوحدة حتی تشارکه الوحدة الانتزاعیة فیه عند رجوعه إلیه، هذا غایة وجه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ممنوع؛ إذ کما یرجع الخطابین إلی الخطاب الواحد فی ما له من اقتضاء حرمة المخالفة القطعیة، کذلک یرجعان إلیه فی ما له من الإطلاق المقتضی لوجوب الموافقة القطعیة بعد فرض العلم بإطلاق متعلّق الخطاب المردّد بین الخطابین المفروضین، غایة الأمر تردید إطلاق ذلک الخطاب الواحد المنتزع عن الخطابین باعتبار تردید متعلّقه، و هو غیر مانع من ترتیب مقتضی الإطلاق، و معاملة المطلق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أمر الماتن بالفهم إشارة إلی وجه الفرق و منعه بما ذکر</w:t>
      </w:r>
      <w:r>
        <w:rPr>
          <w:rFonts w:eastAsia="IRNazanin" w:cs="IRNazanin"/>
          <w:color w:val="111111"/>
          <w:sz w:val="28"/>
          <w:szCs w:val="28"/>
          <w:rtl w:val="true"/>
          <w:lang w:bidi="fa-IR"/>
        </w:rPr>
        <w:t>.</w:t>
      </w:r>
    </w:p>
    <w:p>
      <w:pPr>
        <w:pStyle w:val="Heading3"/>
        <w:numPr>
          <w:ilvl w:val="2"/>
          <w:numId w:val="1"/>
        </w:numPr>
        <w:rPr/>
      </w:pPr>
      <w:bookmarkStart w:id="197" w:name="__RefHeading___Toc2527140_3224264995"/>
      <w:bookmarkStart w:id="198" w:name="_Toc70"/>
      <w:bookmarkEnd w:id="197"/>
      <w:r>
        <w:rPr>
          <w:rtl w:val="true"/>
        </w:rPr>
        <w:t>[</w:t>
      </w:r>
      <w:r>
        <w:rPr>
          <w:rtl w:val="true"/>
        </w:rPr>
        <w:t>تعرّض لحکم الجاهل بالجهر أو الإخفات</w:t>
      </w:r>
      <w:r>
        <w:rPr>
          <w:rtl w:val="true"/>
        </w:rPr>
        <w:t>]</w:t>
      </w:r>
      <w:bookmarkEnd w:id="19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دلّ علی معذوریة الجاهل بالنسبة إلی لزوم الإعادة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 معذوریة الجاهل فی الجهر و الإخفات معناه سقوط الإعادة علیه بعد الفعل غفلة عن التردّد بین الأمرین، و کلامنا فی الجاهل الملتفت بالتردّد من أوّل الأمر</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المراد أنّ معذوریة الجاهل معناه سقوط الإعادة بعد الفعل، أعمّ من سقوط العقاب علیه و عدمه، و کلامنا فی سقوط العقاب و حصول الامتثال بفعل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أین هذا من ذلک؟ </w:t>
      </w:r>
    </w:p>
    <w:p>
      <w:pPr>
        <w:pStyle w:val="BookText"/>
        <w:rPr/>
      </w:pPr>
      <w:r>
        <w:rPr>
          <w:rFonts w:ascii="IRNazanin" w:hAnsi="IRNazanin" w:eastAsia="IRNazanin"/>
          <w:color w:val="111111"/>
          <w:sz w:val="28"/>
          <w:sz w:val="28"/>
          <w:szCs w:val="28"/>
          <w:rtl w:val="true"/>
          <w:lang w:bidi="fa-IR"/>
        </w:rPr>
        <w:t>و لکن یمکن دفع هذا الإیراد عن القائل بتخییر الخنثی بین الجهر و الإخفات بمنع کونه من جهة ما ورد من أنّ الجاهل فی الجهر و الإخفات معذور</w:t>
      </w:r>
      <w:r>
        <w:rPr>
          <w:rStyle w:val="FootnoteAnchor"/>
          <w:rtl w:val="true"/>
        </w:rPr>
        <w:footnoteReference w:id="150"/>
      </w:r>
      <w:r>
        <w:rPr>
          <w:rFonts w:ascii="IRNazanin" w:hAnsi="IRNazanin" w:eastAsia="IRNazanin"/>
          <w:color w:val="111111"/>
          <w:sz w:val="28"/>
          <w:sz w:val="28"/>
          <w:szCs w:val="28"/>
          <w:rtl w:val="true"/>
          <w:lang w:bidi="fa-IR"/>
        </w:rPr>
        <w:t>، بل لعلّه من جهة استلزام الاحتیاط بتکریر الصلاة العسر و الحرج المنفیّ فی الشریعة</w:t>
      </w:r>
      <w:r>
        <w:rPr>
          <w:rStyle w:val="FootnoteAnchor"/>
          <w:rtl w:val="true"/>
        </w:rPr>
        <w:footnoteReference w:id="151"/>
      </w:r>
      <w:r>
        <w:rPr>
          <w:rFonts w:ascii="IRNazanin" w:hAnsi="IRNazanin" w:eastAsia="IRNazanin"/>
          <w:color w:val="111111"/>
          <w:sz w:val="28"/>
          <w:sz w:val="28"/>
          <w:szCs w:val="28"/>
          <w:rtl w:val="true"/>
          <w:lang w:bidi="fa-IR"/>
        </w:rPr>
        <w:t>، أو من جهة استظهار الاتفاق علی عدم جواز الاحتیاط إذا توقف علی تکرار الصلاة، کما هو الظاهر من کلام الحلّی علی ما حکی عنه سابقا</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یدلّ علی وجوب الغضّ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دلالته مبنیّة علی حجّیة العامّ المخصّص بالمجمل المصداقی، و قد قرّرنا فی الاصول منع حجّیته بما لا مزید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ذلک فالمرجع فی جواز النظر إلی الخنثی إلی الاصول، و قد عرفت أنّ الأصل هو جواز النظر إلیها علی کلّ من الرجال و النساء، لأنّها شبهة فی الموضوع، کما یجوز علی کلّ من واجدی المنی فی الثوب المشترک ترک الغسل،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الاتفاق کما عن بعض علی تحریم نظر الطائفتین إلیها فی حیّز المنع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ادّعی سبطه الاتفاق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إشارة إلی المنع من الرجوع إلی عموم العامّ المخصّص بالمجمل المصداقی، أو إلی أنّ أصالة مرجعیة هذا العموم علی تقدیر تسلیمه کما یخصّص عموم البراءة الأصلیة الاتفاقیة فی الشبهات الموضوعیة کذلک الإجماع المنقول علی تحریم نظر کلّ من الطائفتین إلیها علی تقدیر حجّیته مخصّص </w:t>
      </w:r>
      <w:bookmarkStart w:id="199" w:name="pg12850_121189"/>
    </w:p>
    <w:p>
      <w:pPr>
        <w:pStyle w:val="BookText"/>
        <w:rPr/>
      </w:pPr>
      <w:bookmarkEnd w:id="199"/>
      <w:r>
        <w:rPr>
          <w:rFonts w:ascii="IRNazanin" w:hAnsi="IRNazanin" w:eastAsia="IRNazanin"/>
          <w:color w:val="111111"/>
          <w:sz w:val="28"/>
          <w:sz w:val="28"/>
          <w:szCs w:val="28"/>
          <w:rtl w:val="true"/>
          <w:lang w:bidi="fa-IR"/>
        </w:rPr>
        <w:t>لأصالة مرجعیة عموم العامّ المذکور، و وارد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ذکر الشیخ مسألة فرض الوارث الخنثی المشکل زوجا، أو زوجة</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هذا الفرض مبنیّ علی فرض الإغماض عن القطع المدّعی علی فساد الزوجیة فیها، أو علی فرض عروض الإشکال فی الخنثی بعد تحقّق الزوجیة لها، کما حکی عن زوجة بالغة عرض لها فی العانة حکّة فحدث منها فی العانة آلة رجولیّة</w:t>
      </w:r>
      <w:r>
        <w:rPr>
          <w:rFonts w:eastAsia="IRNazanin" w:cs="IRNazanin"/>
          <w:color w:val="111111"/>
          <w:sz w:val="28"/>
          <w:szCs w:val="28"/>
          <w:rtl w:val="true"/>
          <w:lang w:bidi="fa-IR"/>
        </w:rPr>
        <w:t>.</w:t>
      </w:r>
    </w:p>
    <w:p>
      <w:pPr>
        <w:pStyle w:val="Heading2"/>
        <w:numPr>
          <w:ilvl w:val="1"/>
          <w:numId w:val="1"/>
        </w:numPr>
        <w:rPr/>
      </w:pPr>
      <w:bookmarkStart w:id="200" w:name="__RefHeading___Toc2527142_3224264995"/>
      <w:bookmarkStart w:id="201" w:name="_Toc71"/>
      <w:bookmarkEnd w:id="200"/>
      <w:r>
        <w:rPr>
          <w:rtl w:val="true"/>
        </w:rPr>
        <w:t>[</w:t>
      </w:r>
      <w:r>
        <w:rPr>
          <w:rtl w:val="true"/>
        </w:rPr>
        <w:t>مباحث الظن</w:t>
      </w:r>
      <w:r>
        <w:rPr>
          <w:rtl w:val="true"/>
        </w:rPr>
        <w:t>]</w:t>
      </w:r>
      <w:bookmarkEnd w:id="201"/>
    </w:p>
    <w:p>
      <w:pPr>
        <w:pStyle w:val="Heading3"/>
        <w:numPr>
          <w:ilvl w:val="2"/>
          <w:numId w:val="1"/>
        </w:numPr>
        <w:rPr/>
      </w:pPr>
      <w:bookmarkStart w:id="202" w:name="__RefHeading___Toc2527144_3224264995"/>
      <w:bookmarkStart w:id="203" w:name="_Toc72"/>
      <w:bookmarkEnd w:id="202"/>
      <w:r>
        <w:rPr>
          <w:rtl w:val="true"/>
        </w:rPr>
        <w:t>اشارة</w:t>
      </w:r>
      <w:bookmarkEnd w:id="20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موجب لتحلیل الحرام، و تحریم الحلال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الملازمة فواضحة، و أمّا بطلان اللازم فلأنّ التعبّد بالظنّ بعد استلزامه تحلیل الحرام و تحریم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انضمّ إرادة الحلال و الحرام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محال ذاتیّ، کاجتماع المتضادّین، و إن انضمّ بإرادة الحلال فقط فهو محال غیر ذاتی، کطیران الإنسان، فالتعبّد بالظنّ علی الأول تعبّد محال، و علی الثانی تعبّد بالمحال، لرجوعه إلی التکلیف بما لا یطاق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طریق یسلکه العقلاء فی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بالإمکان و مؤیّده ما عن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قرع سمعک فذره فی بقعة الإمکان</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و مرجعه إلی أصالة الإمکان فی المشکوک إمکانه التی تمسّک بها غیر واحد من العلماء فی غیر موضع</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قد یستشکل فی مأخذ هذا الأصل بأنّه إن ارید من أصالة الإمکان استصحاب احتمال الإمکان لیکون إثبات الامتناع علی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قضیة استصحاب عدم الدلیل علی أحد طرفی الوجوب و الامتناع حال عدم </w:t>
      </w:r>
    </w:p>
    <w:p>
      <w:pPr>
        <w:pStyle w:val="BookText"/>
        <w:rPr/>
      </w:pPr>
      <w:r>
        <w:rPr>
          <w:rFonts w:ascii="IRNazanin" w:hAnsi="IRNazanin" w:eastAsia="IRNazanin"/>
          <w:color w:val="111111"/>
          <w:sz w:val="28"/>
          <w:sz w:val="28"/>
          <w:szCs w:val="28"/>
          <w:rtl w:val="true"/>
          <w:lang w:bidi="fa-IR"/>
        </w:rPr>
        <w:t>التعقّل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البیّن عدم ترتب شی‌ء علی مقتضی الاستصحاب بهذا المعنی؛ لوجوده فی کلّ من طرفی الوجوب و الامتناع أیضا، بل و کما یکون إثبات الامتناع علی المدّعی کذلک یکون إثبات صفة الإمکان علی المدّعی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منه استصحاب صفة الإمکان فمن المعلوم أنّ الحال فیه هو الحال فی صفتی الوجوب و الامتناع فی توقّف استصحابهما علی یقین سابق، و شکّ لا حق، فکما أنّه لا مجری لاستصحاب شی‌ء من صفتی الوجوب و الامتناع فی المشکوک لمعارضته باستصحاب مثله من جهة عدم سبق الیقین فیه، کذلک لا مجری لاستصحاب صفة الإمکان فیه؛ لعین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ارید منه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غلبة الممکنات و الظنّ یلحق المشکوک بالأعمّ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الغلبة بالنسبة إلی الموجودات ممنوعة؛ ضرورة أنّ امتناع ضدّ کلّ ما هو موجود من الذوات و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و بعد انضمام سائر الممتنعات ذاتا و عرضا یصیر 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بالنسبة إلی المعدومات یحتاج إلی الإثبات، فإنّ احتمال غلبة ممکناتها معارض باحتمال غلبة ممتنعاتها، و لا أقلّ من التساوی الموجب لانتفاء المدرک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توجیه الشقّ الأوّل، و هو إرادة الإمکان الاحتمالی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کلّ من قال به قال بالإمکان الوجودیّ، لفرض عدم القول بالفصل، و توجیه غلبة المعدومات الممکنة علی المعدومات الممتنعة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الممتنع من المفاهیم المعدومة منحصرة فی اجتماع النقیضین، و ما یرجع إلیه، و شریک الباری، علی ما هو التحقیق، بخلاف الممکن منها فإنّه لا حصر له، کما یشهد به الوجدان و التفحّص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قام علی عدم الوقوع، لا علی الامتناع</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دعوی قیامه علی الامتناع أیضا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جوازه مستلزم </w:t>
      </w:r>
    </w:p>
    <w:p>
      <w:pPr>
        <w:pStyle w:val="BookText"/>
        <w:rPr/>
      </w:pPr>
      <w:r>
        <w:rPr>
          <w:rFonts w:ascii="IRNazanin" w:hAnsi="IRNazanin" w:eastAsia="IRNazanin"/>
          <w:color w:val="111111"/>
          <w:sz w:val="28"/>
          <w:sz w:val="28"/>
          <w:szCs w:val="28"/>
          <w:rtl w:val="true"/>
          <w:lang w:bidi="fa-IR"/>
        </w:rPr>
        <w:t>لخلاف اللطف من جهة نقض الغرض، و تحلیل الحرام و عکسه، و خلاف اللطف قبیح ممتنع علی اللطیف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ما ینهض دلیلا علی إمکانه فی الموضوعات و الأحکام الفرعیة من النقض و الحلّ ینهض دلیلا علی إمکانه فی الاصول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بأنّه إن ارید تحریم الحلال الظاهری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 تحریم الحلال و عکسه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تحلیل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فی الواقع، أو فی الظاهر، و کلّا من متعلق التحریم و التحلیل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إمّا حلال و حرام واقعیّ، أو ظاهریّ، فهذه صور 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الممتنع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تحریم الحلال الواقعیّ فی الواقع و بالعکس، و تحریم الحلال الظاهریّ فی الظاهر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لازم من التعبّد بالظنّ، و اللازم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تحریم الحلال الواقعیّ فی الظاهر و بالعکس، و تحریم الحلال الظاهریّ فی الواقع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الأولی أن یقال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الأولویة لعلّه من جهة الانتقال عن منع الامتناع إجمالا إلی تفصیل وجه المنع؛ فإنّ مجرد منع المانع إجمالا لا یصلح مستندا للمنع،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جهة الانتقال عن منع الامتناع إلی إثبات الإمکان؛ فإنّ مجرد منع الامتناع لا یثبت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مناص عن إرجاعه إلی ما لا یفید العلم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استلزم تحلیل الحرام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مبنی القول ببقاء الواقع الأولی مع عدم التمکن من العلم التفصیلی و الاجمالی الحاصل من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لم یستلزم ذلک، کما هو مبنی القول برفع الید عن الواقع الأولی عند انسداد طریقی العلم التفصیلی و الاجمالی إلیه، و تشریع واقع ثانوی بدل الواقع </w:t>
      </w:r>
    </w:p>
    <w:p>
      <w:pPr>
        <w:pStyle w:val="BookText"/>
        <w:rPr/>
      </w:pPr>
      <w:r>
        <w:rPr>
          <w:rFonts w:ascii="IRNazanin" w:hAnsi="IRNazanin" w:eastAsia="IRNazanin"/>
          <w:color w:val="111111"/>
          <w:sz w:val="28"/>
          <w:sz w:val="28"/>
          <w:szCs w:val="28"/>
          <w:rtl w:val="true"/>
          <w:lang w:bidi="fa-IR"/>
        </w:rPr>
        <w:t>الأوّلی المرتفع بواسطة التعبّد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علی الأول فوجه عدم المناص عن إرجاع التکلیف إلی ما لا یفید العلم بعد عدم التمکن من طریقی العلم هو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المیسور لا یسقط بالمعسور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لزوم ارتکاب أقلّ القبیحین عند الدوران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بعد فرض تعذّر الموافقة القطعیة تکون الموافقة الاحتمالیة الحاصلة من العلم بالظنّ أقلّ قبحا من المخالفة القطعیة الحاصلة من ترک العمل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 فوجهه وجود المقتضی، و عدم المانع منه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مجال للنقض علیه بمثل الفتوی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مجال لإنکار النقض علیه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جواز کلّ من الإفتاء و الاستفتاء إنّما یثبت بخصوص الآیات و الأخبار و الإجماع، و لا ینحصر دلیل جوازه فی الانسداد حتی لا یجوز النقض به علی القائل بالانفتاح، کما لا یخفی علی الخبیر فی الأدلّة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جواز الإفتاء و الاستفتاء منحصرا فی الانسداد لما جاز لأحد من الصحابة و من یقرب عهدهم الإفتاء و الاستفتاء، بل و لما جاز الإفتاء و الاستفتاء إلّا عند الضرورة الملزمة له، بل و لما جاز إلّا عند تعذّر الاحتیاط، بل و لما جاز إلّا عند لزوم الضرر أو العسر و الحرج المنفی، بل و لما جاز إلّا بمقدار ما یرفع الضرورة الملزمة، بل و لما جاز إلّا لبعض الناس المتعسّر أو المتعذّر علیهم الاحتیاط، دون المتمکّنین منه بلا عسر و لا حرج، ککثیر من الناس، و الحال أنّ الإجماع و السیرة المستمرّة من لدن زمان المعصومین إلی یومنا هذا جار علی جواز الإفتاء و الاستفتاء مطلقا من غیر تقییدهما بشی‌ء من هذه القیود المذکورة، من زمان الانسداد، و الضرورة الملجئة، و مقدار الضرورة، و عدم إمکان الاحتیاط، و غیر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کان الإمام علیه السلام بنفسه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أبان اجلس فی مسجد الکوفة و أفت الناس، فإنّی أحبّ أن یکون فی شیعتی مثلک</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و کان أیضا یقول لمن سأله عمّن نأخذ معالم دیننا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معالم دینک من فلان</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نقضه بالقطع، مع احتمال کونه جهلا مرکّبا، فإنّ باب هذا الاحتمال منسدّ علی القاطع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إن انسدّ باب هذا الاحتمال علی القاطع إلّا أنّ العلّة المسوّغة للعمل بقطعه لیس انسداد باب ذلک الاحتمال، بل هذا الانسداد حکمة و العلّة غیره، و إلّا لوجب العمل بقطعه حتی عند کونه قطّاعا، و کان قطع القطّاع حجّة، و لما جاز العمل بقطعه إلّا عند الضرورة، و بمقدار الضرورة بواسطة تعذّر الاحتیاط أو تعسّره، و لم یفت أحد بذلک الإطلاق و لا بهذا التقیید فی حجّیة القطع، و هو دلیل عدم استناد حجّیته إلی انسداد باب الاحتمال علیه، و إلّا للزم إطلاق حجّیته بذلک الإطلاق، و تقییدها بتلک القیودات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لیس المراد انسداد باب الاعتقاد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من انسداد باب العلم انسداد لازمه، و هو المطابقة للواقع و الإیصال إلیه، و الانسداد بهذا المعنی لا ینافی انفتاح باب الاعتقاد المفروض أغلبیة إیصال الظنّ و مطابقته الواقع من ذلک الاعتقاد فی نظر الشارع و إن کان ذلک بالنسبة إلی نوع المکلّفین مجرّد فرض، و إنّما هو خاصّ ببعض أشخاص المکلّفین الخارجین عن العادة المتعارفة بواسطة سرعة الاعتقاد و نحوه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فالأولی الاعتراف بالقبح</w:t>
      </w:r>
      <w:r>
        <w:rPr>
          <w:rFonts w:eastAsia="IRNazanin" w:cs="IRNazanin"/>
          <w:color w:val="111111"/>
          <w:sz w:val="28"/>
          <w:szCs w:val="28"/>
          <w:rtl w:val="true"/>
          <w:lang w:bidi="fa-IR"/>
        </w:rPr>
        <w:t xml:space="preserve">». </w:t>
      </w:r>
      <w:bookmarkStart w:id="204" w:name="pg12850_121194"/>
    </w:p>
    <w:p>
      <w:pPr>
        <w:pStyle w:val="Heading3"/>
        <w:numPr>
          <w:ilvl w:val="2"/>
          <w:numId w:val="1"/>
        </w:numPr>
        <w:rPr/>
      </w:pPr>
      <w:bookmarkStart w:id="205" w:name="__RefHeading___Toc2527146_3224264995"/>
      <w:bookmarkStart w:id="206" w:name="_Toc73"/>
      <w:bookmarkEnd w:id="204"/>
      <w:bookmarkEnd w:id="205"/>
      <w:r>
        <w:rPr>
          <w:rtl w:val="true"/>
        </w:rPr>
        <w:t>[</w:t>
      </w:r>
      <w:r>
        <w:rPr>
          <w:rtl w:val="true"/>
        </w:rPr>
        <w:t>إمکان التعبّد بالظنّ</w:t>
      </w:r>
      <w:r>
        <w:rPr>
          <w:rtl w:val="true"/>
        </w:rPr>
        <w:t>]</w:t>
      </w:r>
      <w:bookmarkEnd w:id="206"/>
    </w:p>
    <w:p>
      <w:pPr>
        <w:pStyle w:val="Heading4"/>
        <w:numPr>
          <w:ilvl w:val="3"/>
          <w:numId w:val="1"/>
        </w:numPr>
        <w:rPr/>
      </w:pPr>
      <w:bookmarkStart w:id="207" w:name="__RefHeading___Toc2527148_3224264995"/>
      <w:bookmarkStart w:id="208" w:name="_Toc74"/>
      <w:bookmarkEnd w:id="207"/>
      <w:r>
        <w:rPr>
          <w:rtl w:val="true"/>
        </w:rPr>
        <w:t>اشارة</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أولویّته مبنیة علی انحصار إمکان التعبّد بالظنّ بمجرد کونه طریقا کاشفا، فی فرض أغلبیة إیصال الظنّ من العلم، أو مساواته له الراجع إلی فرض انسداد باب العلم، و إلی اختصاصه ببعض أشخاص المکلّفین الخارجین عن العادة المتعارفة بسرعة الفهم، دون أغلب المکلّفین و نوعهم</w:t>
      </w:r>
      <w:r>
        <w:rPr>
          <w:rFonts w:eastAsia="IRNazanin" w:cs="IRNazanin"/>
          <w:color w:val="111111"/>
          <w:sz w:val="28"/>
          <w:szCs w:val="28"/>
          <w:rtl w:val="true"/>
          <w:lang w:bidi="fa-IR"/>
        </w:rPr>
        <w:t>.</w:t>
      </w:r>
    </w:p>
    <w:p>
      <w:pPr>
        <w:pStyle w:val="Heading4"/>
        <w:numPr>
          <w:ilvl w:val="3"/>
          <w:numId w:val="1"/>
        </w:numPr>
        <w:rPr/>
      </w:pPr>
      <w:bookmarkStart w:id="209" w:name="__RefHeading___Toc2527150_3224264995"/>
      <w:bookmarkStart w:id="210" w:name="_Toc75"/>
      <w:bookmarkEnd w:id="209"/>
      <w:r>
        <w:rPr>
          <w:rtl w:val="true"/>
        </w:rPr>
        <w:t>[</w:t>
      </w:r>
      <w:r>
        <w:rPr>
          <w:rtl w:val="true"/>
        </w:rPr>
        <w:t>وجوه اخری ممکنة للتعبد بالظن</w:t>
      </w:r>
      <w:r>
        <w:rPr>
          <w:rtl w:val="true"/>
        </w:rPr>
        <w:t>]</w:t>
      </w:r>
      <w:bookmarkEnd w:id="210"/>
    </w:p>
    <w:p>
      <w:pPr>
        <w:pStyle w:val="BookText"/>
        <w:rPr/>
      </w:pPr>
      <w:r>
        <w:rPr>
          <w:rFonts w:ascii="IRNazanin" w:hAnsi="IRNazanin" w:eastAsia="IRNazanin"/>
          <w:color w:val="111111"/>
          <w:sz w:val="28"/>
          <w:sz w:val="28"/>
          <w:szCs w:val="28"/>
          <w:rtl w:val="true"/>
          <w:lang w:bidi="fa-IR"/>
        </w:rPr>
        <w:t>و لکن لا ینحصر إمکان التعبّد بالظنّ علی الوجه المذکور فی الفرض المزبور، حتی یکون الاعتراف بالقبح أولی منه؛ بل یمکن التعبّد به علی الوجه المذکور بوجوه وجیهة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التعبّد به من باب إمضاء الشارع لطریقته المتداولة عند العقلاء فی امور معاشهم، لأجل حکمة التسهیل، و دفع المشقّة الحاصلة من تحصیل العلم لنوع المکلّفین، و هذه المنفعة الکلّیة الملحوظة لنوع المکلّفین لا تزاحمها المفسدة الجزئیة الحاصلة من تفویت الواقع علی بعض المتمکّنین من العلم بلا مشقّة علیهم، کما أنّ المنفعة العامّة الکلّیة الحاصلة للزارع من المطر لا تزاحمها المفسدة الجزئیة الحاصلة للفخار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التعبّد به من جهة ملاحظة الشارع الانسداد المقتضی للعمل فی موارد الانسداد بهذه الأمارات للانسداد، و فی مورد الانفتاح لحکمة الاطّراد، فسلوک طریق الظنّ و إن کان قبیحا بالذات إلّا أنّه صار حسنا بالعرض، بعد ضمّ جهة محسّنة إلیه راجحة علی قبحه الذاتیّ فی کلّ من هذین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التعبّد به من جهة تضمّنه مصلحة ترغیب الناس إلی التدیّن و تقریبهم إلی الطاعة، و نحوهما من المصالح الکامنة الواجبة علی اللّه تعالی من باب اللطف الراجحة علی مفسدة ما یتّفق أحیانا من تخلّف الظنّ عن الواقع</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غیر ذلک من المصالح المجوّزة للتعبّد بالظنّ مع انفتاح باب العلم، و عدم لزوم تدارک ما یتّفق من تفویت الواقع أحیانا عند العقلاء من التجار بالنسبة </w:t>
      </w:r>
      <w:bookmarkStart w:id="211" w:name="pg12850_121195"/>
    </w:p>
    <w:p>
      <w:pPr>
        <w:pStyle w:val="BookText"/>
        <w:rPr/>
      </w:pPr>
      <w:bookmarkEnd w:id="211"/>
      <w:r>
        <w:rPr>
          <w:rFonts w:ascii="IRNazanin" w:hAnsi="IRNazanin" w:eastAsia="IRNazanin"/>
          <w:color w:val="111111"/>
          <w:sz w:val="28"/>
          <w:sz w:val="28"/>
          <w:szCs w:val="28"/>
          <w:rtl w:val="true"/>
          <w:lang w:bidi="fa-IR"/>
        </w:rPr>
        <w:t>إلی عمّالهم، و الملوک بالنسبة إلی ممالیکهم، و السلاطین بالنسبة إلی رعیّتهم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تصویب باطل</w:t>
      </w:r>
      <w:r>
        <w:rPr>
          <w:rFonts w:eastAsia="IRNazanin" w:cs="IRNazanin"/>
          <w:color w:val="111111"/>
          <w:sz w:val="28"/>
          <w:szCs w:val="28"/>
          <w:rtl w:val="true"/>
          <w:lang w:bidi="fa-IR"/>
        </w:rPr>
        <w:t>».</w:t>
      </w:r>
    </w:p>
    <w:p>
      <w:pPr>
        <w:pStyle w:val="Heading4"/>
        <w:numPr>
          <w:ilvl w:val="3"/>
          <w:numId w:val="1"/>
        </w:numPr>
        <w:rPr/>
      </w:pPr>
      <w:bookmarkStart w:id="212" w:name="__RefHeading___Toc2527152_3224264995"/>
      <w:bookmarkStart w:id="213" w:name="_Toc76"/>
      <w:bookmarkEnd w:id="212"/>
      <w:r>
        <w:rPr>
          <w:rtl w:val="true"/>
        </w:rPr>
        <w:t>[</w:t>
      </w:r>
      <w:r>
        <w:rPr>
          <w:rtl w:val="true"/>
        </w:rPr>
        <w:t>التصویب الباطل بمعنی آخر</w:t>
      </w:r>
      <w:r>
        <w:rPr>
          <w:rtl w:val="true"/>
        </w:rPr>
        <w:t>]</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للتصویب الباطل معنی آخر احتمله بعض الأفاضل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الحکم من أصله تابعا لآراء المجتهدین، و مفوّضا إلی ما یؤدّی إلیه آرائهم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المعنی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 یکون للّه تعالی فی حقّ کلّ من المجتهدین المختلفین حکم واقعیّ یتبعه رأیه لا محالة، من باب التوفیق و التسدید الکامن و اللطف الخفیّ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الظاهر من کلمات المصوّبة هو إرادة المعنی الأوّل لا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فالوجه فی بطلان التصویب علی أیّ من المعنیین هو تواتر النقل ببطلانه، و وجود الحکم المشترک بین العالم و الجاهل، و إلّا فلیس من العقل ما ینافیه، بل ربما کان المعنی الأول من معنییه هو الموافق لأصالة عدم حکم واقعیّ مطلوب وراء ما یؤدّی إلیه الرأی، لو لا تواتر النقل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یتجشّم من إقامة الوجوه العقلیة علی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مثل استلزامه الدور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الواقع علی رأی المجتهدین، و توقّف الرأی علی سبق حکم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مثل أنّ الطلب فرع المطلوب، فلا یمکن تفرّع المطلوب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استلزامه الهرج و المرج فی الدین، بواسطة تشتت الآراء المؤدّی إلی تکاثر الاختلاف الغیر المنتهی إلی حدّ و 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فمضافا إلی انحصار مسرحها فی المعنی الأول لا الثانی فی معنی التصویب ممکنة الاندفاع</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استلزامه الدور فبمنع الملازمة و التوقّف من طرف الرأی، إن ارید من الدور الدور الغیر المعیّ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بمنع بطلان اللازم، إن أرید منه الدور المعیّ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دعوی أنّ الطلب فرع المطلوب، فبأنّه إن ارید تفرّع الطلب علی تصوّر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فمسلّم؛ لکنّه لا یجدی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تفرّع الطلب علی سبق وجود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فممنوع؛ ضرورة صحّة طلب ما سیوجد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فالمسلّم غیر مجدی، و المجدی غیر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استلزامه الهرج و المرج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فبمنع الملازمة؛ إذ المصوّبة لا یقولون بتصویب کلّ رأی و مخالف، بل یقیّدون التصویب بالمسائل التی لم یقم علی التخطئة فیها دلیل قطعیّ مسلّم الدلالة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لا یصوّبون اختلاف الآراء فی الموضوعات الخارجیة حیث قام الوجدان القطعیّ علی التخطئة فیها، و لا فی المسائل العقلیة، إلّا من ظاهر بعض من یحتمل أن یکون مراده من التصویب فیها معذوریة المخطئ أیضا، بل و لا فی الأحکام الشرعیة التی قام علیها نصّ أو اجماع ممّا لیس من شأنه الاجتهاد فیه، بل و لا فی ما من شأنه الاجتهاد فیه من الأحکام إذا لم یصادف الاجتهاد فیه لرأی أحد مذاهبهم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بمعنی وجود المقتضی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احترز بذلک عن معنی کونه محکوما بما یعلم اللّه تعالی أنّ الأمارة تؤدّی إلیه، الذی هو أحد معنی التصویب الباطل، فما ذکره فی وجه الاحتراز هو الفارق بین التصویب فی الأحکام الثانویة، الذی لا دلیل علی بطلانه و إن لم یکن عندنا دلیل علی صحّته، و بین التصویب فی الأحکام الأولیّة الباطل بکلا معنییه المقدمین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رجوع الوجه الثالث إلی 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الفرق بین الوجهین، أمّا من حیث الماهیّة فبأنّ الفارق بینهما کون المصلحة فی إیجاد العمل علی طبق الأمارة فی الوجه الأول، و فی تطبیق العمل علی الأمارة و الالتزام بأنّ مؤدّاها هو الواقع فی ترتیب </w:t>
      </w:r>
    </w:p>
    <w:p>
      <w:pPr>
        <w:pStyle w:val="BookText"/>
        <w:rPr/>
      </w:pPr>
      <w:r>
        <w:rPr>
          <w:rFonts w:ascii="IRNazanin" w:hAnsi="IRNazanin" w:eastAsia="IRNazanin"/>
          <w:color w:val="111111"/>
          <w:sz w:val="28"/>
          <w:sz w:val="28"/>
          <w:szCs w:val="28"/>
          <w:rtl w:val="true"/>
          <w:lang w:bidi="fa-IR"/>
        </w:rPr>
        <w:t>آثار الواقع علیه فی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المصلحة فی نفس العمل بالأمارة الناشئ عن الالتزام بها فی الأول، و فی نفس الالتزام الناشئ منه العمل بها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الفرق بین الأوامر الحقیقیة و التوطینیة حیث إنّ مصلحة الأول فی نفس المأمور به، و الثانی فی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الفرق بین قیام الأمارة علی نفس حکم شرعی، و قیامها علی موضوع خارجیّ، کحیاة زید، و موت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تصدّی المصنّف لبیانه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من حیث الخاصّیة فلأنّهما و إن لم یفترقا فی صورة عدم انکشاف الخلاف من رأس أو انکشافه قبل الشروع فی العمل، أو شی‌ء من لوازمه، إلّا أنّهما یفترقان فی صورة انکشافه بعد العمل، أو بعد ترتیب شی‌ء من لوازمه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 لازم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التصویب فی الأحکام الثانویة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الإجزاء و سقوط القضاء و الإعادة، لمفروضیة أنّ مؤداه حکم واقعیّ ثانویّ فی حقّ الجاهل عن الحکم الواقعی الأولی، فبعد الکشف و العلم بالحکم الواقعی الأوّلی ینقلب موضوع الحکم واقعا إلی موضوع آخر، کانقلاب موضوع الحاضر بالمسافر بعد فعل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لازم الوجه الثانی هو عدم الإجزاء، و عدم سقوط القضاء و لا الإعادة، و وجب تدارک ما یمکن تدارکه علی طبق عدم وجوبه فی نفس الأمر من أوّل الأمر، لأنّ المفروض عدم حدوث الوجوب النفس الأمری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کلام الماتن قدّس سرّه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الفرق بین المصلحتین حیث إنّ المصلحة المفروضة فی نفس </w:t>
      </w:r>
      <w:bookmarkStart w:id="214" w:name="pg12850_121198"/>
    </w:p>
    <w:p>
      <w:pPr>
        <w:pStyle w:val="BookText"/>
        <w:rPr/>
      </w:pPr>
      <w:bookmarkEnd w:id="214"/>
      <w:r>
        <w:rPr>
          <w:rFonts w:ascii="IRNazanin" w:hAnsi="IRNazanin" w:eastAsia="IRNazanin"/>
          <w:color w:val="111111"/>
          <w:sz w:val="28"/>
          <w:sz w:val="28"/>
          <w:szCs w:val="28"/>
          <w:rtl w:val="true"/>
          <w:lang w:bidi="fa-IR"/>
        </w:rPr>
        <w:t>العمل تدارک کلّ ما فات ممّا یمکن تدارکه و ما لا یمکن، بخلاف المصلحة المفروضة فی الأمر بالعمل بالأمارة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لکون المصلحة المفروضة فی نفس العمل المفروض سلوکه بعد کشف الخلاف راجع إلی تبدّل موضوعه، لا انکشاف عدم الأمر به فی الواقع، فیتدارک کلّ ما فات ممّا لا یمکن تدارکه و ما یمکن بالقضاء و الإعادة، بخلاف کون المصلحة المفروضة فی الأمر بالعمل، فإنّه بعد کشف الخلاف راجع إلی انکشاف عدم الأمر به فی الواقع، و أنّه کان متوهّما فی الظاهر، فلا یدارک إلّا ما لا یمکن تدارکه فقط، دون ما یمکن بالقضاء و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ینافی ذلک صدق 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وضوح أنّ صدق الفوت منوط بترک الواجب من أنّ فیه مصلحة و ثواب، لا ترکه من حیث مجرّد المعذوریة و سقوط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نظر</w:t>
      </w:r>
      <w:r>
        <w:rPr>
          <w:rFonts w:eastAsia="IRNazanin" w:cs="IRNazanin"/>
          <w:color w:val="111111"/>
          <w:sz w:val="28"/>
          <w:szCs w:val="28"/>
          <w:rtl w:val="true"/>
          <w:lang w:bidi="fa-IR"/>
        </w:rPr>
        <w:t>».</w:t>
      </w:r>
    </w:p>
    <w:p>
      <w:pPr>
        <w:pStyle w:val="Heading4"/>
        <w:numPr>
          <w:ilvl w:val="3"/>
          <w:numId w:val="1"/>
        </w:numPr>
        <w:rPr/>
      </w:pPr>
      <w:bookmarkStart w:id="215" w:name="__RefHeading___Toc2527154_3224264995"/>
      <w:bookmarkStart w:id="216" w:name="_Toc77"/>
      <w:bookmarkEnd w:id="215"/>
      <w:r>
        <w:rPr>
          <w:rtl w:val="true"/>
        </w:rPr>
        <w:t>[</w:t>
      </w:r>
      <w:r>
        <w:rPr>
          <w:rtl w:val="true"/>
        </w:rPr>
        <w:t>محل الکلام فی التصویب و التخطئة</w:t>
      </w:r>
      <w:r>
        <w:rPr>
          <w:rtl w:val="true"/>
        </w:rPr>
        <w:t>]</w:t>
      </w:r>
      <w:bookmarkEnd w:id="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عرفته من أنّ النزاع فی التصویب و التخطئة إنّما هو فی خصوص ما ینوط بجعل الشارع و تنزیله کالأحکام الفرعیة، و أمّا الموضوعات الخارجیة و الأحکام العقلیة فلا یتعقّل التصویب فیها عند الکلّ، لأنّها من الامور المنوطة بالواقع، فالجعل و التنزیل المتعلق بها لا یمکن أن یجدی شیئا سوی ترتّب الآثار ظاهرا ما دام لم ینکشف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الکلام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وقوع التعبّد بالظنّ فی الأحکام الشرعیّة</w:t>
      </w:r>
      <w:r>
        <w:rPr>
          <w:rFonts w:eastAsia="IRNazanin" w:cs="IRNazanin"/>
          <w:color w:val="111111"/>
          <w:sz w:val="28"/>
          <w:szCs w:val="28"/>
          <w:rtl w:val="true"/>
          <w:lang w:bidi="fa-IR"/>
        </w:rPr>
        <w:t>».</w:t>
      </w:r>
    </w:p>
    <w:p>
      <w:pPr>
        <w:pStyle w:val="Heading3"/>
        <w:numPr>
          <w:ilvl w:val="2"/>
          <w:numId w:val="1"/>
        </w:numPr>
        <w:rPr/>
      </w:pPr>
      <w:bookmarkStart w:id="217" w:name="__RefHeading___Toc2527156_3224264995"/>
      <w:bookmarkStart w:id="218" w:name="_Toc78"/>
      <w:bookmarkEnd w:id="217"/>
      <w:r>
        <w:rPr>
          <w:rtl w:val="true"/>
        </w:rPr>
        <w:t>[</w:t>
      </w:r>
      <w:r>
        <w:rPr>
          <w:rtl w:val="true"/>
        </w:rPr>
        <w:t>فی وقوع التعبّد بالظنّ فی الأحکام الشرعیّة</w:t>
      </w:r>
      <w:r>
        <w:rPr>
          <w:rtl w:val="true"/>
        </w:rPr>
        <w:t>]</w:t>
      </w:r>
      <w:bookmarkEnd w:id="218"/>
    </w:p>
    <w:p>
      <w:pPr>
        <w:pStyle w:val="Heading4"/>
        <w:numPr>
          <w:ilvl w:val="3"/>
          <w:numId w:val="1"/>
        </w:numPr>
        <w:rPr/>
      </w:pPr>
      <w:bookmarkStart w:id="219" w:name="__RefHeading___Toc2527158_3224264995"/>
      <w:bookmarkStart w:id="220" w:name="_Toc79"/>
      <w:bookmarkEnd w:id="219"/>
      <w:r>
        <w:rPr>
          <w:rtl w:val="true"/>
        </w:rPr>
        <w:t>اشارة</w:t>
      </w:r>
      <w:bookmarkEnd w:id="22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تقیید التعبّد به بالأحکام الشرعیّة هو الاتفاق علی عدم وقوع التعبّد به فی اصول الدین، لانفتاح باب العلم فیها کما یدلّ علیه النصّ الدالّ علی تعذیب الکافرین، و الإجماع المدّعی علی عدم معذوریّة الجاهل، بل و مع </w:t>
      </w:r>
      <w:bookmarkStart w:id="221" w:name="pg12850_121199"/>
    </w:p>
    <w:p>
      <w:pPr>
        <w:pStyle w:val="BookText"/>
        <w:rPr/>
      </w:pPr>
      <w:bookmarkEnd w:id="221"/>
      <w:r>
        <w:rPr>
          <w:rFonts w:ascii="IRNazanin" w:hAnsi="IRNazanin" w:eastAsia="IRNazanin"/>
          <w:color w:val="111111"/>
          <w:sz w:val="28"/>
          <w:sz w:val="28"/>
          <w:szCs w:val="28"/>
          <w:rtl w:val="true"/>
          <w:lang w:bidi="fa-IR"/>
        </w:rPr>
        <w:t>فرض الانسداد فی بعض الأفراد لا دلیل أیضا علی العمل فیها بالظنّ عدا دلیل الانسداد الغیر الجاری مع التمکن من التوقف و الاحتیاط فی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فقبل الخوض فی المسألة لا بدّ من تشخیص محلّ النزاع من جهة أقسام الظنّ، و من جهة معانی العمل بالظنّ</w:t>
      </w:r>
      <w:r>
        <w:rPr>
          <w:rFonts w:eastAsia="IRNazanin" w:cs="IRNazanin"/>
          <w:color w:val="111111"/>
          <w:sz w:val="28"/>
          <w:szCs w:val="28"/>
          <w:rtl w:val="true"/>
          <w:lang w:bidi="fa-IR"/>
        </w:rPr>
        <w:t>.</w:t>
      </w:r>
    </w:p>
    <w:p>
      <w:pPr>
        <w:pStyle w:val="Heading4"/>
        <w:numPr>
          <w:ilvl w:val="3"/>
          <w:numId w:val="1"/>
        </w:numPr>
        <w:rPr/>
      </w:pPr>
      <w:bookmarkStart w:id="222" w:name="__RefHeading___Toc2527160_3224264995"/>
      <w:bookmarkStart w:id="223" w:name="_Toc80"/>
      <w:bookmarkEnd w:id="222"/>
      <w:r>
        <w:rPr>
          <w:rtl w:val="true"/>
        </w:rPr>
        <w:t>[</w:t>
      </w:r>
      <w:r>
        <w:rPr>
          <w:rtl w:val="true"/>
        </w:rPr>
        <w:t>أقسام الظن و معانی العمل به</w:t>
      </w:r>
      <w:r>
        <w:rPr>
          <w:rtl w:val="true"/>
        </w:rPr>
        <w:t>]</w:t>
      </w:r>
      <w:bookmarkEnd w:id="223"/>
    </w:p>
    <w:p>
      <w:pPr>
        <w:pStyle w:val="BookText"/>
        <w:rPr/>
      </w:pPr>
      <w:r>
        <w:rPr>
          <w:rFonts w:ascii="Amiri" w:hAnsi="Amiri" w:eastAsia="Amiri" w:cs="Amiri"/>
          <w:color w:val="111111"/>
          <w:sz w:val="28"/>
          <w:sz w:val="28"/>
          <w:szCs w:val="28"/>
          <w:rtl w:val="true"/>
          <w:lang w:bidi="ar-SA"/>
        </w:rPr>
        <w:t>امّا أقسام الظنّ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المعلوم اعتباره، کالکتاب و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المعلوم عدم اعتباره، کالقیاس و أشباهه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المشکوک فی الاعتبار و عدمه بالمعنی الأعمّ الشامل للمظنون و الموهوم اعتبارا، کالإجماع المنقول، و الشهرة، و الأولویّة الظنیّة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خروج الأوّلین عن محلّ النزاع؛ لحجیّة الأوّل، و عدم حجّیة الثانی، و إنّما النزاع فی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معانی العمل بالظنّ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التّدین بالظنّ علی أنّه حکم به الشارع، و الالتزام به من قبل الشارع علی أنّه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الاستناد إلی الظنّ فی العمل بالمظنون، لکن لا من قبل الشارع علی أنّه منه بل من قبل نفسه علی أنّه هو الواقع، نظیر استناد العمل بالمعلومات إلی العلم من قبل العقل علی أنّه هو الواقع، و نظیر استناد عمل التّجار و العمّال فی الحوالات و المقابضات إلی الخطوط و العلائم الظنّیة المتداولة من قبلهم علی أنّ مدار العقلاء علی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الالتزام بمؤدّاه لا علی أنّه حکم به المولی و لا علی أنّه هو الواقع، بل لرجاء أن یکون هو الواقع</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العمل بالمظنون لکن لا علی وجه التدیّن به علی أنّه حکم به المولی، و لا علی وجه الاستناد إلیه علی أنّه الواقع، و لا علی وجه رجاء کونه </w:t>
      </w:r>
    </w:p>
    <w:p>
      <w:pPr>
        <w:pStyle w:val="BookText"/>
        <w:rPr/>
      </w:pPr>
      <w:r>
        <w:rPr>
          <w:rFonts w:ascii="IRNazanin" w:hAnsi="IRNazanin" w:eastAsia="IRNazanin"/>
          <w:color w:val="111111"/>
          <w:sz w:val="28"/>
          <w:sz w:val="28"/>
          <w:szCs w:val="28"/>
          <w:rtl w:val="true"/>
          <w:lang w:bidi="fa-IR"/>
        </w:rPr>
        <w:t>الواقع، کالعمل بما یطابق الظنّ لغیر وجه رأسا أو علی وجه التشهّی و نحوه مما لا یندرج فی الوجوه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العمل به علی الوجه الثالث إمّا أن یکون معارضا لاحتیاط آخر، کما فی صورة الشکّ فی المکلّف به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کلّا من الوجه الثانی و الرابع إما أن یکون معرضا لتفویت واقع أو طرح ظاهر من الاصول یجب الأخذ به، أولا یکون معرضا لذلک، و لکن معرضیة العمل بالظنّ لطرح الاصول مبنیّ علی ما هو التحقیق من أنّ مجاریها صور عدم العلم الشامل للظنّ، و إلّا یسقط هذا الفرض عن أقسام العمل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العمل به مرکّبا من الوجوه المتقدّمة ثنائیا أو ثلاثیا أو رباعیا و إن استلزم الترکیب من بعضها اجتماع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 علی کلّ من هذه الوجوه العمل بالظنّ المرتقیة اصولها إلی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یفرض العمل به فی زمان الانفتاح، أو الانسداد، فتبلغ الخمسة إلی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یستفاد من صریح المتن فی حکم هذه الوجوه هو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التدیّن به علی أنّه حکم به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فیستقلّ العقل المعاضد بالشرع بقبحه؛ لکونه افتراء علیه و تشریعا؛ بناء علی ما هو التحقیق من أنّ التشریع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إدخال ما لم یعلم کونه من الدین فی الدین، لا خصوص إدخال ما لیس من الدین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یستقلّ العقل المعاضد بالشرع أیضا بحسن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الالتزام به لرجاء کونه من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یعارضه احتیاط آخر، بل فی تسمیة ذلک عملا بالظنّ مسامحة، لصحّة السلب و کونه من شئون العمل بالیقین لتحصیل الموافقة القطعیّة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الوجه الثانی و الرابع فما یکون منه معرضا لتفویت الواقع مع التمکّن </w:t>
      </w:r>
      <w:bookmarkStart w:id="224" w:name="pg12850_121201"/>
    </w:p>
    <w:p>
      <w:pPr>
        <w:pStyle w:val="BookText"/>
        <w:rPr/>
      </w:pPr>
      <w:bookmarkEnd w:id="224"/>
      <w:r>
        <w:rPr>
          <w:rFonts w:ascii="IRNazanin" w:hAnsi="IRNazanin" w:eastAsia="IRNazanin"/>
          <w:color w:val="111111"/>
          <w:sz w:val="28"/>
          <w:sz w:val="28"/>
          <w:szCs w:val="28"/>
          <w:rtl w:val="true"/>
          <w:lang w:bidi="fa-IR"/>
        </w:rPr>
        <w:t>منه بالعلم فیکفی فی حرمته أدلّة الواقع، کما یکفی فی حرمة ما یستلزم منه طرح ظاهر من الاصول مع التمکن من العلم أدلّة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عداهما ممّا لیس معرضا لتفویت واقع و لا طرح ظاهر فلا دلیل علی حرمته، بل لیس عملا بالظنّ فی صورة عدم استناد العمل إلیه، کما هو مقتضی الوجه الرابع من وجوه العمل 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استفید من المتن فی حکم وجوه العمل بالظنّ</w:t>
      </w:r>
      <w:r>
        <w:rPr>
          <w:rFonts w:eastAsia="IRNazanin" w:cs="IRNazanin"/>
          <w:color w:val="111111"/>
          <w:sz w:val="28"/>
          <w:szCs w:val="28"/>
          <w:rtl w:val="true"/>
          <w:lang w:bidi="fa-IR"/>
        </w:rPr>
        <w:t>.</w:t>
      </w:r>
    </w:p>
    <w:p>
      <w:pPr>
        <w:pStyle w:val="Heading4"/>
        <w:numPr>
          <w:ilvl w:val="3"/>
          <w:numId w:val="1"/>
        </w:numPr>
        <w:rPr/>
      </w:pPr>
      <w:bookmarkStart w:id="225" w:name="__RefHeading___Toc2527162_3224264995"/>
      <w:bookmarkStart w:id="226" w:name="_Toc81"/>
      <w:bookmarkEnd w:id="225"/>
      <w:r>
        <w:rPr>
          <w:rtl w:val="true"/>
        </w:rPr>
        <w:t>[</w:t>
      </w:r>
      <w:r>
        <w:rPr>
          <w:rtl w:val="true"/>
        </w:rPr>
        <w:t>الردّ علی ما استظهره من المتن فی حکم العمل بالظنّ بأقسامه و دفعه</w:t>
      </w:r>
      <w:r>
        <w:rPr>
          <w:rtl w:val="true"/>
        </w:rPr>
        <w:t>]</w:t>
      </w:r>
      <w:bookmarkEnd w:id="226"/>
    </w:p>
    <w:p>
      <w:pPr>
        <w:pStyle w:val="BookText"/>
        <w:rPr/>
      </w:pPr>
      <w:r>
        <w:rPr>
          <w:rFonts w:ascii="IRNazanin" w:hAnsi="IRNazanin" w:eastAsia="IRNazanin"/>
          <w:color w:val="111111"/>
          <w:sz w:val="28"/>
          <w:sz w:val="28"/>
          <w:szCs w:val="28"/>
          <w:rtl w:val="true"/>
          <w:lang w:bidi="fa-IR"/>
        </w:rPr>
        <w:t>و قد یورد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مقتضی هذا التفصیل استیعاب وضوح الحکم و بداهته لجمیع وجوه العمل بالظنّ، و عدم بقاء معنی قابل للنزاع و التشاجر المؤسّس له الاصول و المنعقد فیه الفصول بالردّ و القبول من الأساطین و الفحول، سوی أن یحمل مثل نزاع هؤلاء علی النزاع اللفظی علی أن یکون مراد القائلین بجواز التعبّد 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صورة ما لا یعدّ فی الحقیقة عملا بالظنّ، کصورتی العمل بالاحتیاط، و العمل بما یوافق العمل 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القائلین بعدم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سائر الصور، أو یحمل علی النزاع الصغروی و هو انسداد باب العلم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ادعی فی ضمن تفصیله من کون التدیّن بالظنّ افتراء یستقلّ العقل بقبحه، و من کون الاستناد إلیه مع معرضیته لتفویت واقع أو طرح ظاهر محرّم بأدلّة الواقع، و الظاهر إنّما هو فرع حرمة العمل بالظنّ فکیف یکون حرمته متفرّعة علیه؟ إذ لو لم یحرم التدیّن بالظنّ لم یکن التدیّن به افتراء قبیحا، و جاز الاستناد إلیه و إن استلزم تفویت واقع أو طرح ظاهر، کما یجوز الاستناد إلی البیّنة و قول العدل و إن استلزم ما استلزم من تفویت الواقع و الظاهر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دیدن العلماء جار علی التکلّم فی کلّ مسألة من حیث هی مع الإغماض عن العوارض الخارجیّة و اللوازم الأجنبیة، کتعرّضهم لمعنی الأمر و النهی و مقدّمة الواجب و النهی عن الضدّ و غیرها، مع الإغماض عن القرائن </w:t>
      </w:r>
    </w:p>
    <w:p>
      <w:pPr>
        <w:pStyle w:val="BookText"/>
        <w:rPr/>
      </w:pPr>
      <w:r>
        <w:rPr>
          <w:rFonts w:ascii="IRNazanin" w:hAnsi="IRNazanin" w:eastAsia="IRNazanin"/>
          <w:color w:val="111111"/>
          <w:sz w:val="28"/>
          <w:sz w:val="28"/>
          <w:szCs w:val="28"/>
          <w:rtl w:val="true"/>
          <w:lang w:bidi="fa-IR"/>
        </w:rPr>
        <w:t>الداخلیّة و الخارجیّة حتی بلغ دیدنهم فی ذلک إلی حدّ لا یجهله جاهل، و لهذا لا ینقض علی القائلین بندب الأمر بوجوب الصلاة و الصوم، و علی القائلین بوجوب الأمر بندب السلام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رفع هذه الإیرادات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الإیراد الأول فناشئ عن عدم الوقوف علی ما کان المصنّف فی صدده؛ و ذلک لأنّ المصنّف فی صدد تأسیس الأصل و الاکتفاء به، لا فی صدد عقد النزاع و تطویل الکلام فیه، فعدم بقاء محلّ للنزاع فی المسألة من حیث الأصل المعوّل علیه عند فرض الشکّ و عدم الدلیل علی التعبّد بالظنّ لا ینافی النزاع و التشاجر، المقرّر فیه من حیث فرض الدلیل المخرج له عن تحت الأصل و عدمه، فلا یلزم منه حمل نزاعهم علی النزاع اللفظی أو الصغروی المستبعدین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فمغالطة صرفة؛ ضرورة منع ما ادعی من تفرّع قبح التدیّن بالظنّ و افترائه و حرمة الاستناد إلیه مع استلزام مخالفة واقع أو ظاهر، علی حرمة العمل بالظن، حتی یلزم من تفرّع الحرمة علیهما دور؛ لوضوح أنّهما متفرّعان علی مجرد الشکّ فی الحرمة و عدم الدلیل علی الجواز المفروض إحراز ذلک الشکّ فی مقام تأسیس الأصل، لا علی نفس الحرمة حتی یلزم الدور، کما لا یخفی علی من راجع صریح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 المصنّف فی صدد تأسیس الأصل فی المسألة المسلّم بین المتنازعین کما هو صریح کلامه، لا فی صدد بسط النزاع حتی یتعرّض لحال المسألة من حیث هی مع الإغماض عمّا ذکر من العوارض الخارجیّة و اللوازم الأجنبیّة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تفصیل کون الظنّ افتراء أو مستلزما لطرح ما ذکر، إنّما هو تعرّض لفصول العمل بالظنّ لا لعوارضه الخارجیّة حتی یکون التعرّض لها </w:t>
      </w:r>
      <w:bookmarkStart w:id="227" w:name="pg12850_121203"/>
    </w:p>
    <w:p>
      <w:pPr>
        <w:pStyle w:val="BookText"/>
        <w:rPr/>
      </w:pPr>
      <w:bookmarkEnd w:id="227"/>
      <w:r>
        <w:rPr>
          <w:rFonts w:ascii="IRNazanin" w:hAnsi="IRNazanin" w:eastAsia="IRNazanin"/>
          <w:color w:val="111111"/>
          <w:sz w:val="28"/>
          <w:sz w:val="28"/>
          <w:szCs w:val="28"/>
          <w:rtl w:val="true"/>
          <w:lang w:bidi="fa-IR"/>
        </w:rPr>
        <w:t>خروجا عن المسألة؛ و دیدن العلماء فی التعرّض لحال المسائل من حیث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راجع کلام المصنّف علم أنّه صریح فی صدد تأسیس الأصل المعوّل علیه عند الشکّ و عدم الدلیل، لا فی صدد تشخیص محلّ النزاع، و إلّا فلا ارتیاب فی أنّ جمیع وجوه العمل بالظنّ داخلة فی محلّ النزاع فی حجّیة العمل بالظنّ، سوی ما لا یعدّ فی الحقیقة عملا بالظنّ کصورتی الاحتیاط، و العمل بما یوافق العمل بالظنّ الغیر المستلزم لتفویت واقع و لا طرح أصل، حیث یصحّ سلب العمل بالظنّ حقیقة عن هاتین الصورتین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العمل بالظنّ المتنازع فیه هو العمل به و الاستناد إلیه من حیث هو ظنّ مع الغضّ عن طروّ حیثیّة التشریع و الافتراء، و طرح الواقع أو الظاهر علیه أحیانا، نظیر معنی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یمکن أن یکون المحکوم علیه فی هذه القضیة زیدا بشرط الوجود و لا بشرط العدم و لا الأعمّ منهما، بل المراد به هو المجرّد عن جمیع القیود حتی عن قید التعریة، و نظیر معنی العمل بالقطع و الید و السوق و الکتاب و البیّنة و القیاس، و غیرها مما لا یخفی معناه المتنازع فیه علی أصاغر الطلبة، بل و غیرهم فضلا عن الأساطین</w:t>
      </w:r>
      <w:r>
        <w:rPr>
          <w:rFonts w:eastAsia="IRNazanin" w:cs="IRNazanin"/>
          <w:color w:val="111111"/>
          <w:sz w:val="28"/>
          <w:szCs w:val="28"/>
          <w:rtl w:val="true"/>
          <w:lang w:bidi="fa-IR"/>
        </w:rPr>
        <w:t>.</w:t>
      </w:r>
    </w:p>
    <w:p>
      <w:pPr>
        <w:pStyle w:val="Heading4"/>
        <w:numPr>
          <w:ilvl w:val="3"/>
          <w:numId w:val="1"/>
        </w:numPr>
        <w:rPr/>
      </w:pPr>
      <w:bookmarkStart w:id="228" w:name="__RefHeading___Toc2527164_3224264995"/>
      <w:bookmarkStart w:id="229" w:name="_Toc82"/>
      <w:bookmarkEnd w:id="228"/>
      <w:r>
        <w:rPr>
          <w:rtl w:val="true"/>
        </w:rPr>
        <w:t>[</w:t>
      </w:r>
      <w:r>
        <w:rPr>
          <w:rtl w:val="true"/>
        </w:rPr>
        <w:t>تحقیق فی أدلّة المانعین من العمل بالظن</w:t>
      </w:r>
      <w:r>
        <w:rPr>
          <w:rtl w:val="true"/>
        </w:rPr>
        <w:t>]</w:t>
      </w:r>
      <w:bookmarkEnd w:id="229"/>
    </w:p>
    <w:p>
      <w:pPr>
        <w:pStyle w:val="BookText"/>
        <w:rPr/>
      </w:pPr>
      <w:r>
        <w:rPr>
          <w:rFonts w:ascii="IRNazanin" w:hAnsi="IRNazanin" w:eastAsia="IRNazanin"/>
          <w:color w:val="111111"/>
          <w:sz w:val="28"/>
          <w:sz w:val="28"/>
          <w:szCs w:val="28"/>
          <w:rtl w:val="true"/>
          <w:lang w:bidi="fa-IR"/>
        </w:rPr>
        <w:t>ثمّ إذا عرفت تأسیس الأصل فی المسألة و محلّ النزاع فیها فلنرجع إلی بیان نبذة من أدلّة المتنازعین، التی طوی المصنّف الکلام فیها اکتفاء بما لا یکتفی به من تأسیس الأصل فی المسألة؛ فإنّ التعویل علی مجرد الأصل لا یصحّ إلّا للشاکّ بعد الیأس عن الدلیل لا قبل الیأس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و باللّه التوفیق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جملة أدلّة المانعین عن العمل بالظنّ من الآیات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آللَّهُ أَذِنَ لَکُمْ أَمْ عَلَی اللَّهِ تَفْتَرُونَ</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الاستدلال به مضافا إلی کونه أخصّ من المدّعی حیث لا یدلّ إلّا </w:t>
      </w:r>
    </w:p>
    <w:p>
      <w:pPr>
        <w:pStyle w:val="BookText"/>
        <w:rPr/>
      </w:pPr>
      <w:r>
        <w:rPr>
          <w:rFonts w:ascii="IRNazanin" w:hAnsi="IRNazanin" w:eastAsia="IRNazanin"/>
          <w:color w:val="111111"/>
          <w:sz w:val="28"/>
          <w:sz w:val="28"/>
          <w:szCs w:val="28"/>
          <w:rtl w:val="true"/>
          <w:lang w:bidi="fa-IR"/>
        </w:rPr>
        <w:t>علی حرمة التدیّن بالظنّ علی الوجه الأوّل من وجوه العمل بالظنّ دون سائر الوجوه، أنه إنّما یدلّ علی حرمة التدیّن بما لم یأذن به الشارع، فالاستدلال به فرع إحراز عدم إذنه بالعمل بالظنّ فإحراز عدم إذنه بالاستدلال به دور 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فالاستدلال بهذه الآیة إنّما یناسب لتأسیس الأصل فی عمل الشاکّ المأیوس عن دلیل العمل به، کما فعله المصنّف، لا لتشخیص الحقّ فی العمل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یَتَّبِعُ أَکْثَرُهُمْ إِلَّا ظَنًّا إِنَّ الظَّنَّ لا یُغْنِی مِنَ الْحَقِّ شَیْئاً</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أنّ الاستدلال به غیر تامّ، لکن لا للوجوه التی أورد علیها الفاضل القمیّ فی باب الاجتهاد و التقلید من القوانین</w:t>
      </w:r>
      <w:r>
        <w:rPr>
          <w:rStyle w:val="FootnoteAnchor"/>
          <w:rtl w:val="true"/>
        </w:rPr>
        <w:footnoteReference w:id="161"/>
      </w:r>
      <w:r>
        <w:rPr>
          <w:rFonts w:ascii="Amiri" w:hAnsi="Amiri" w:eastAsia="Amiri" w:cs="Amiri"/>
          <w:color w:val="111111"/>
          <w:sz w:val="28"/>
          <w:sz w:val="28"/>
          <w:szCs w:val="28"/>
          <w:rtl w:val="true"/>
          <w:lang w:bidi="ar-SA"/>
        </w:rPr>
        <w:t>لإمکان الجواب عنها للمراجع المتدبّر، بل لظهور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فی الإشارة إلی الظنون المعوّل علیها الکفّار فی اصول دینهم من عبادة الأصنام، و جعل الشرکاء للّه تعالی، و نحو ذلک من متعلّق وَ ما یَتَّبِعُ أَکْثَرُهُمْ إِلَّا ظَنًّا المتلوّة بما هو ظاهر فی الإشارة إلیه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لا یُغْنِی مِنَ الْحَقِّ شَیْئاً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یَتَّبِعُ أَکْثَرُهُمْ إِلَّا ظَنًّا نظیر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فَعَصی فِرْعَوْنُ الرَّسُولَ</w:t>
      </w:r>
      <w:r>
        <w:rPr>
          <w:rStyle w:val="FootnoteAnchor"/>
          <w:rtl w:val="true"/>
        </w:rPr>
        <w:footnoteReference w:id="162"/>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أَرْسَلْنا إِلی فِرْعَوْنَ رَسُولًا فی الإشارة إلی العهد الذکریّ دون العموم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عموم المحلّی لا یخصّص بالمورد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التخصیص بالمحلّ فرع عموم المحلّی فیه، و لا عموم للمفرد المحلّی باللام عندنا معاشر المشهور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 تنکیر المحلّ المعهود الذکری مخصّص عرفیّ لکل ما یلیه </w:t>
      </w:r>
    </w:p>
    <w:p>
      <w:pPr>
        <w:pStyle w:val="BookText"/>
        <w:rPr/>
      </w:pPr>
      <w:r>
        <w:rPr>
          <w:rFonts w:ascii="IRNazanin" w:hAnsi="IRNazanin" w:eastAsia="IRNazanin"/>
          <w:color w:val="111111"/>
          <w:sz w:val="28"/>
          <w:sz w:val="28"/>
          <w:szCs w:val="28"/>
          <w:rtl w:val="true"/>
          <w:lang w:bidi="fa-IR"/>
        </w:rPr>
        <w:t>من المحلّی باللام لا محالة، و إلّا لم یبق مورد حقیقی للعهد الذکری فمرادهم من أنّ المورد لا یخصّص عموم الوارد غیر هذا المورد المتلوّ بمدخول الألف و اللام، فإنّ المتلوّ بمدخوله یخصّص ذلک المدخول و إن کان عامّا کالجمع المحلّی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هذا المعنی هو أقرب المعانی المتصوّرة فی تأویل الآیة عرفا من حمل الظنّ علی الشکّ، أو علی سوء الظنّ، أو خصوص الظنّ فی اصول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جملة ما استدلّ به من الآیات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ما لَیْسَ لَکَ بِهِ عِلْمٌ</w:t>
      </w:r>
      <w:r>
        <w:rPr>
          <w:rStyle w:val="FootnoteAnchor"/>
          <w:rtl w:val="true"/>
        </w:rPr>
        <w:footnoteReference w:id="163"/>
      </w:r>
      <w:r>
        <w:rPr>
          <w:rFonts w:ascii="IRNazanin" w:hAnsi="IRNazanin" w:eastAsia="IRNazanin"/>
          <w:color w:val="111111"/>
          <w:sz w:val="28"/>
          <w:sz w:val="28"/>
          <w:szCs w:val="28"/>
          <w:rtl w:val="true"/>
          <w:lang w:bidi="fa-IR"/>
        </w:rPr>
        <w:t>إلی غیر ذلک من الآیات التی نقل عن بعض الأعیان بلوغها نحوا من مائة 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أفتی الناس بغیر علم و لا هدی من اللّه لعنته ملائکة الرحمة و العذاب، و لحقه وزر من عمل بفتیاه</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موثقة أبی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علمتم فقولوا، و ما لم تعلموا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زرارة بعد سؤاله ما حقّ اللّه علی عباده،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یقولوا ما یعلمون، و یقفوا عند ما لم یعلموا</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المفضّل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شکّ أو ظنّ فأقام علی أحدهما فقد حبط عمله</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230" w:name="pg12850_121206"/>
    </w:p>
    <w:p>
      <w:pPr>
        <w:pStyle w:val="BookText"/>
        <w:rPr/>
      </w:pPr>
      <w:bookmarkEnd w:id="230"/>
      <w:r>
        <w:rPr>
          <w:rFonts w:ascii="IRNazanin" w:hAnsi="IRNazanin" w:eastAsia="IRNazanin"/>
          <w:color w:val="111111"/>
          <w:sz w:val="28"/>
          <w:sz w:val="28"/>
          <w:szCs w:val="28"/>
          <w:rtl w:val="true"/>
          <w:lang w:bidi="fa-IR"/>
        </w:rPr>
        <w:t>و فی بعضها ما یدلّ علی أنّه کفر، کقوله علیه السّلام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أقرب العبد إلی الکفر أن یقول للنواة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حصاة، و للحصاة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نواة، ثمّ یدین اللّه تعالی به</w:t>
      </w:r>
      <w:r>
        <w:rPr>
          <w:rStyle w:val="FootnoteAnchor"/>
          <w:rtl w:val="true"/>
        </w:rPr>
        <w:footnoteReference w:id="168"/>
      </w:r>
      <w:r>
        <w:rPr>
          <w:rFonts w:ascii="IRNazanin" w:hAnsi="IRNazanin" w:eastAsia="IRNazanin"/>
          <w:color w:val="111111"/>
          <w:sz w:val="28"/>
          <w:sz w:val="28"/>
          <w:szCs w:val="28"/>
          <w:rtl w:val="true"/>
          <w:lang w:bidi="fa-IR"/>
        </w:rPr>
        <w:t>، إلی غیر ذلک ممّا نقل عن بعض الأعیان بلوغها إلی نحو مائة آیة من کتاب اللّه، و خمسمائة روایة من سنّة رسول اللّه صلی اللّه علیه و آله</w:t>
      </w:r>
      <w:r>
        <w:rPr>
          <w:rFonts w:eastAsia="IRNazanin" w:cs="IRNazanin"/>
          <w:color w:val="111111"/>
          <w:sz w:val="28"/>
          <w:szCs w:val="28"/>
          <w:rtl w:val="true"/>
          <w:lang w:bidi="fa-IR"/>
        </w:rPr>
        <w:t>.</w:t>
      </w:r>
    </w:p>
    <w:p>
      <w:pPr>
        <w:pStyle w:val="Heading4"/>
        <w:numPr>
          <w:ilvl w:val="3"/>
          <w:numId w:val="1"/>
        </w:numPr>
        <w:rPr/>
      </w:pPr>
      <w:bookmarkStart w:id="231" w:name="__RefHeading___Toc2527166_3224264995"/>
      <w:bookmarkStart w:id="232" w:name="_Toc83"/>
      <w:bookmarkEnd w:id="231"/>
      <w:r>
        <w:rPr>
          <w:rtl w:val="true"/>
        </w:rPr>
        <w:t>[</w:t>
      </w:r>
      <w:r>
        <w:rPr>
          <w:rtl w:val="true"/>
        </w:rPr>
        <w:t>ایراد صاحب القوانین علی الاستدلال بالآیات و الروایات علی حرمة العمل بالظن عموما</w:t>
      </w:r>
      <w:r>
        <w:rPr>
          <w:rtl w:val="true"/>
        </w:rPr>
        <w:t>]</w:t>
      </w:r>
      <w:bookmarkEnd w:id="232"/>
    </w:p>
    <w:p>
      <w:pPr>
        <w:pStyle w:val="BookText"/>
        <w:rPr/>
      </w:pPr>
      <w:r>
        <w:rPr>
          <w:rFonts w:ascii="IRNazanin" w:hAnsi="IRNazanin" w:eastAsia="IRNazanin"/>
          <w:color w:val="111111"/>
          <w:sz w:val="28"/>
          <w:sz w:val="28"/>
          <w:szCs w:val="28"/>
          <w:rtl w:val="true"/>
          <w:lang w:bidi="fa-IR"/>
        </w:rPr>
        <w:t>و قد أورد فی القوانین</w:t>
      </w:r>
      <w:r>
        <w:rPr>
          <w:rStyle w:val="FootnoteAnchor"/>
          <w:rtl w:val="true"/>
        </w:rPr>
        <w:footnoteReference w:id="169"/>
      </w:r>
      <w:r>
        <w:rPr>
          <w:rFonts w:ascii="IRNazanin" w:hAnsi="IRNazanin" w:eastAsia="IRNazanin"/>
          <w:color w:val="111111"/>
          <w:sz w:val="28"/>
          <w:sz w:val="28"/>
          <w:szCs w:val="28"/>
          <w:rtl w:val="true"/>
          <w:lang w:bidi="fa-IR"/>
        </w:rPr>
        <w:t>علی الاستدلال بها بإیرادات أشکلها هو أنّ تسلیم دلالتها علی حرمة العمل بالظن عموما یستلزم حرمة العمل بنفسها أیضا؛ لأنّ العمل بنفسها أیضا من جملة العمل بالظن، و ما یستلزم وجوده عدمه فهو باطل، فالملزوم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الملازمة فواضحة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بطلان اللازم فلأنّ الغرض من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 بقول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إن کان هو العمل بقول زید فإثبات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 بقول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فرض أنّ قول زید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تعمل بقولی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للغرض، و إن کان هو عدم العمل بقول زید فإثباته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 بقول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تعمل بقول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 شی‌ء بالأکل من القفا حیث لا یصحّ من العاقل إلّا لداعی من الدواعی النادرة، بل المعدومة فی ما نحن فیه من آیات التحریم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أطال الکلام بالنقض و الإبرام فی دفع ما یمکن أن یجاب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حصر طریق التفصّی عمّا یلزم الاستدلال بآیات التحریم من شمولها لنفسها، فی الرجوع عن الاستدلال بها إلی تقییدها بمثل اصول الدین، أو ما یتهم به المسلمون، أو غیر ذلک ممّا لا یثبت به حرمة العمل بالظنّ</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233" w:name="pg12850_121207"/>
    </w:p>
    <w:p>
      <w:pPr>
        <w:pStyle w:val="Heading4"/>
        <w:numPr>
          <w:ilvl w:val="3"/>
          <w:numId w:val="1"/>
        </w:numPr>
        <w:rPr/>
      </w:pPr>
      <w:bookmarkStart w:id="234" w:name="__RefHeading___Toc2527168_3224264995"/>
      <w:bookmarkStart w:id="235" w:name="_Toc84"/>
      <w:bookmarkEnd w:id="233"/>
      <w:bookmarkEnd w:id="234"/>
      <w:r>
        <w:rPr>
          <w:rtl w:val="true"/>
        </w:rPr>
        <w:t>[</w:t>
      </w:r>
      <w:r>
        <w:rPr>
          <w:rtl w:val="true"/>
        </w:rPr>
        <w:t>جواب من استاذه عن ایراد صاحب القوانین</w:t>
      </w:r>
      <w:r>
        <w:rPr>
          <w:rtl w:val="true"/>
        </w:rPr>
        <w:t>]</w:t>
      </w:r>
      <w:bookmarkEnd w:id="235"/>
    </w:p>
    <w:p>
      <w:pPr>
        <w:pStyle w:val="BookText"/>
        <w:rPr/>
      </w:pPr>
      <w:r>
        <w:rPr>
          <w:rFonts w:ascii="IRNazanin" w:hAnsi="IRNazanin" w:eastAsia="IRNazanin"/>
          <w:color w:val="111111"/>
          <w:sz w:val="28"/>
          <w:sz w:val="28"/>
          <w:szCs w:val="28"/>
          <w:rtl w:val="true"/>
          <w:lang w:bidi="fa-IR"/>
        </w:rPr>
        <w:t>و لکن قد أجاب عنه استاذنا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للتفصّی عن شمولها لنفسها طریق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عرفا من تقییدها باصول الدین و نحوه، من غیر أن یسقط الاستدلال بها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الاستظهار من العرف عدم شمولها لنفسها؛ لقصور دلالة اللفظ عن تعمیم نفسه، فإنّ آیات التحریم نظیر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کلامی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قصور موضوعه عن شمول نفسه من جهة تأخیر کلامیّة نفسه عقلا عن ثبوت الحکم بالکذب لموضوعه و هو الکلام، و نظیر قول المولی لعبده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 بالآحاد البالغة إلیک من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إلیه من مولاه أخبار کثیرة فی الوقائع،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تعمل بالآحاد، فی وجوب الأخذ بهذا و ترک سائر الأخبار و إن کان هذا أیضا واحدا منها، و لیست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کلامی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شمول الحکم بالتألیف لنفس القضیّة المثبتة للحکم، فإنّ شمول الحکم لنفس القضیة المثبتة للحکم فی هذا المثال إنّما هو من باب تنقیح المناط الخارجیّ المفقود فی ما نحن فیه، لا من باب وفاء عموم اللفظ به، و لا نظیر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کلامی هذا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الاختلاف فی أنّه هو إنشاء هذر و هذیان، أو أنّه إخبار عن اتّصاف کلامه هذا بالکذب، لیکون صادقا فی التکذیب أو بالصدق لیکون کاذبا فی التکذیب، أو أنّه صدق من جهة و کذب من جهة اخری علی أقوال؛ ضرورة وجود الفرق البیّن بین آیات التحریم و هذا الکلام فی المؤدّی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لم یحتمل أحد فی آیات التحریم ما احتمله فی هذا الکلام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وجه أقربیّة خروج نفس آیات التحریم عن تحت عموم التحریم من تخصیصها باصول الدین و نحوه، أمّا علی فرض أن یکون بطلان ما یلزم من وجوده عدمه قرینة عدم دخول نفسه فی حکمه، فلأنّ هذا تخصّص فی الآیات، و التخصّص أولی من التخصیص، لأنّه حقیقة و هو مجاز، و الحقیقة أقدم علی المجاز</w:t>
      </w:r>
      <w:r>
        <w:rPr>
          <w:rFonts w:eastAsia="IRNazanin" w:cs="IRNazanin"/>
          <w:color w:val="111111"/>
          <w:sz w:val="28"/>
          <w:szCs w:val="28"/>
          <w:rtl w:val="true"/>
          <w:lang w:bidi="fa-IR"/>
        </w:rPr>
        <w:t xml:space="preserve">. </w:t>
      </w:r>
      <w:bookmarkStart w:id="236" w:name="pg12850_121208"/>
    </w:p>
    <w:p>
      <w:pPr>
        <w:pStyle w:val="BookText"/>
        <w:rPr/>
      </w:pPr>
      <w:bookmarkEnd w:id="236"/>
      <w:r>
        <w:rPr>
          <w:rFonts w:ascii="IRNazanin" w:hAnsi="IRNazanin" w:eastAsia="IRNazanin"/>
          <w:color w:val="111111"/>
          <w:sz w:val="28"/>
          <w:sz w:val="28"/>
          <w:szCs w:val="28"/>
          <w:rtl w:val="true"/>
          <w:lang w:bidi="fa-IR"/>
        </w:rPr>
        <w:t>و أمّا علی أن یکون قرینة إخراج نفسه عن تحت عمومات الحکم، فلأنّ مقدار قرینیّته هو إخراج نفسه فیکون العامّ المخصّص حقیقة ثانویّة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 اندفاع ما أورد علی الاستدلال بآیات التحریم لحرمة العمل بالظنّ من أنّ الاستدلال بها یستلزم حرمة العمل بنفسها و ما یستلزم وجوده عدمه فهو باطل</w:t>
      </w:r>
      <w:r>
        <w:rPr>
          <w:rFonts w:eastAsia="IRNazanin" w:cs="IRNazanin"/>
          <w:color w:val="111111"/>
          <w:sz w:val="28"/>
          <w:szCs w:val="28"/>
          <w:rtl w:val="true"/>
          <w:lang w:bidi="fa-IR"/>
        </w:rPr>
        <w:t>.</w:t>
      </w:r>
    </w:p>
    <w:p>
      <w:pPr>
        <w:pStyle w:val="Heading4"/>
        <w:numPr>
          <w:ilvl w:val="3"/>
          <w:numId w:val="1"/>
        </w:numPr>
        <w:rPr/>
      </w:pPr>
      <w:bookmarkStart w:id="237" w:name="__RefHeading___Toc2527170_3224264995"/>
      <w:bookmarkStart w:id="238" w:name="_Toc85"/>
      <w:bookmarkEnd w:id="237"/>
      <w:r>
        <w:rPr>
          <w:rtl w:val="true"/>
        </w:rPr>
        <w:t>[</w:t>
      </w:r>
      <w:r>
        <w:rPr>
          <w:rtl w:val="true"/>
        </w:rPr>
        <w:t>ارجاع الی الفصول فی دفع ایرادات صاحب القوانین</w:t>
      </w:r>
      <w:r>
        <w:rPr>
          <w:rtl w:val="true"/>
        </w:rPr>
        <w:t>]</w:t>
      </w:r>
      <w:bookmarkEnd w:id="238"/>
    </w:p>
    <w:p>
      <w:pPr>
        <w:pStyle w:val="BookText"/>
        <w:rPr/>
      </w:pPr>
      <w:r>
        <w:rPr>
          <w:rFonts w:ascii="IRNazanin" w:hAnsi="IRNazanin" w:eastAsia="IRNazanin"/>
          <w:color w:val="111111"/>
          <w:sz w:val="28"/>
          <w:sz w:val="28"/>
          <w:szCs w:val="28"/>
          <w:rtl w:val="true"/>
          <w:lang w:bidi="fa-IR"/>
        </w:rPr>
        <w:t>و أمّا سائر الإیرادات التی أطال الکلام فی بسطها فی القوانین</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تصدّی الفصول</w:t>
      </w:r>
      <w:r>
        <w:rPr>
          <w:rStyle w:val="FootnoteAnchor"/>
          <w:rtl w:val="true"/>
        </w:rPr>
        <w:footnoteReference w:id="172"/>
      </w:r>
      <w:r>
        <w:rPr>
          <w:rFonts w:ascii="IRNazanin" w:hAnsi="IRNazanin" w:eastAsia="IRNazanin"/>
          <w:color w:val="111111"/>
          <w:sz w:val="28"/>
          <w:sz w:val="28"/>
          <w:szCs w:val="28"/>
          <w:rtl w:val="true"/>
          <w:lang w:bidi="fa-IR"/>
        </w:rPr>
        <w:t>للجواب عن أکثرها بأبلغ وجه إلی أن أثبت سلامة دلالة الآیات علی حرمة العمل بالظنّ إلّا ما أخرجه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کذلک إن لم یثبت من الوجوه الآتیة ما یخرج مطلق الظنّ عن تحت هذا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ذلک فی مداد النظر و صفحة الخاطر فلعلّ اللّه یحدث بعد ذلک أمرا،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وجوه حرمة العمل بمطلق الظنّ إلّا ما أخرجه الدلیل</w:t>
      </w:r>
    </w:p>
    <w:p>
      <w:pPr>
        <w:pStyle w:val="Heading4"/>
        <w:numPr>
          <w:ilvl w:val="3"/>
          <w:numId w:val="1"/>
        </w:numPr>
        <w:rPr/>
      </w:pPr>
      <w:bookmarkStart w:id="239" w:name="__RefHeading___Toc2527172_3224264995"/>
      <w:bookmarkStart w:id="240" w:name="_Toc86"/>
      <w:bookmarkEnd w:id="239"/>
      <w:r>
        <w:rPr>
          <w:rtl w:val="true"/>
        </w:rPr>
        <w:t>[</w:t>
      </w:r>
      <w:r>
        <w:rPr>
          <w:rtl w:val="true"/>
        </w:rPr>
        <w:t>ادلّة المجوّزین للعمل بالظن و انقسامها إلی قسمین</w:t>
      </w:r>
      <w:r>
        <w:rPr>
          <w:rtl w:val="true"/>
        </w:rPr>
        <w:t>]</w:t>
      </w:r>
      <w:bookmarkEnd w:id="240"/>
    </w:p>
    <w:p>
      <w:pPr>
        <w:pStyle w:val="BookText"/>
        <w:rPr/>
      </w:pPr>
      <w:r>
        <w:rPr>
          <w:rFonts w:ascii="IRNazanin" w:hAnsi="IRNazanin" w:eastAsia="IRNazanin"/>
          <w:color w:val="111111"/>
          <w:sz w:val="28"/>
          <w:sz w:val="28"/>
          <w:szCs w:val="28"/>
          <w:rtl w:val="true"/>
          <w:lang w:bidi="fa-IR"/>
        </w:rPr>
        <w:t>و أمّا وجوه جواز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یؤدّی الاحتجاج به علی جواز العمل بمطلق الظنّ، علی تقدیر تمامیته، إلی أصالة جواز العمل بالظنون إلّا ما أخرجه الدلیل، کالقیاس و نحوه، علی وجه یقتضی حکومة مضمون آیات التحریم علی تقدیر تمامیتها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یؤدّی الاحتجاج به علی ذلک علی وجه العکس بحیث یقتضی حکومة مؤدّاه علی عموم آیات تحریم العمل بالظنّ علی تقدیر تمامیتها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القسم الأوّل مقایسة علم الفقه بسائر العلوم و الحرف و الصنائع و الفنون، المعمول فیها الظنون قدیما و حدیثا خلفا عن سلف،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جمیع أرباب الفنون و الحرف و الصنائع، و أهل المذاهب المختلفة حتی البراهمة </w:t>
      </w:r>
    </w:p>
    <w:p>
      <w:pPr>
        <w:pStyle w:val="BookText"/>
        <w:rPr/>
      </w:pPr>
      <w:r>
        <w:rPr>
          <w:rFonts w:ascii="IRNazanin" w:hAnsi="IRNazanin" w:eastAsia="IRNazanin"/>
          <w:color w:val="111111"/>
          <w:sz w:val="28"/>
          <w:sz w:val="28"/>
          <w:szCs w:val="28"/>
          <w:rtl w:val="true"/>
          <w:lang w:bidi="fa-IR"/>
        </w:rPr>
        <w:t>و الملاحدة، و أرباب العلوم المختلفة من الصرف و النحو و اللغة و البیان و المنطق و الحکمة و الطب و الهیئة و النجوم و الاصول و الرجال إنّما یستندون و یعتمدون علی مطلق ما ترکن إلیه النفس من الظنون العقلائیة، فی کلّ ما یتعلق بعلومهم و فنونهم و حرفهم و صنائعهم، و مذاهبهم و أدیانهم و أفعالهم و أطوارهم، معادا و معاشا بحیث استقرّت آراء العقلاء من جمیع الامم خلفا عن سلف علی طریقیّة الظنّ و إعماله فی جمیع امورهم معادا و معاشا، و إذا ثبت طریقیّة الظنّ ببناء العقلاء فی جمیع امور الشرائع السابقة، بل و فی ما عدا العلم بالأحکام من امور هذه الشریعة ثبت طریقیّته فی علم أحکام هذه الشریعة بالطریق الأولی، لاختصاص الاتصاف بالحنیفیة السهلة السمحة بهذه الشریعة من بین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الفارق بین أحکام هذه الشریعة بانفتاح باب العلم فیها و بین غیرها بالانسداد غیر مسموع، ضرورة أنّ باب العلم فی فروع هذه الشریعة إن لم یکن أشدّ انسدادا فلا أقلّ من 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الجواب عن هذا الوجه بثبوت المخرج لفروع هذه الشریعة عن تحت الأصل المذکور بآیات تحریم العمل بالظن، علی تقدیر تمامیتها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القسم الأول أیضا الاستشهاد علی حجّیة مطلق الظنّ باحتجاج الکلّ علی وجوب المعرفة و النظر إلی المعجزة بوجوب دفع الضّرر المحتمل عقلا، فضلا عن المظنون حتی قالوا بأصالة الحظر فی کلّ ما یحتمل الحظریة قبل الشرع فضلا عن المظنون و لکن للخصم أن یجیب بورود مضمون آیات تحریم العمل بالظنّ فی الشریعة علی مقتضی الأصل الأوّلیّ العقلی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القسم الثانی دعوی الاستقراء التامّ من حال العلماء خلفا عن سلف فی ابتناء جمیع اجتهاداتهم الفرعیّة و فتاویهم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مبادئهم الاصولیّة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مبانی ظنیّة، یعبّرون عنها فی کلّ باب من أبواب الفقه بالأقربیّة </w:t>
      </w:r>
    </w:p>
    <w:p>
      <w:pPr>
        <w:pStyle w:val="BookText"/>
        <w:rPr/>
      </w:pPr>
      <w:r>
        <w:rPr>
          <w:rFonts w:ascii="IRNazanin" w:hAnsi="IRNazanin" w:eastAsia="IRNazanin"/>
          <w:color w:val="111111"/>
          <w:sz w:val="28"/>
          <w:sz w:val="28"/>
          <w:szCs w:val="28"/>
          <w:rtl w:val="true"/>
          <w:lang w:bidi="fa-IR"/>
        </w:rPr>
        <w:t>و الأقوائیّة و الأشبهیّة و الأظهریّة الراجعة کلّها إلی مطلق الظنّ لا محالة، فإنّ ما عدا الإجماع و التواتر من سائر الأدلّة، و لو کان خبرا صحیحا أعلائیا، لا بدّ و أن یرجع إلی الظنّ المطلق، من جهة السند، أو من جهة الدلالة، أو من جهة الترجیح و دفع المعارضات و الموانع إن لم یکن راجعا إلیه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یبق علی ذلک فرق بین الفریقین من حیث العمل بمطلق الظنون، سوی ما یرجع إلی الفرق اللفظیّ، و هو توقّف العمل بذلک الظنّ المشترک بینهم علی تسمیته أولا بالظنّ الخاصّ و عدم توقّفه علی تلک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فرق بیننا و بین من لم یجوّز العمل إلّا بالعلم سوی ما یرجع إلی تسمیة الظنّ علما و عدم تسمیته، حسبما أطال الکلام فیه فی القوانین</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الاستشهاد علی العمل بمطلق الظنون بما اشتهر من اتفاق الأصحاب علی العمل بشرائع علیّ بن بابویه عند اعوزاز النصوص، حیث علم أنّ تنزیل فتاویه منزلة النصوص لیس إلّا من جهة الوثوق الظنّی بکونه لا یفتی إلّا بمتون النصوص، لا من جهة العلم و القطع بنصوصیّة فتاویه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الاستشهاد علیه أیضا باحتجاج المعالم علی حجّیة الأخبار بدلیل الانسداد</w:t>
      </w:r>
      <w:r>
        <w:rPr>
          <w:rStyle w:val="FootnoteAnchor"/>
          <w:rtl w:val="true"/>
        </w:rPr>
        <w:footnoteReference w:id="174"/>
      </w:r>
      <w:r>
        <w:rPr>
          <w:rFonts w:ascii="IRNazanin" w:hAnsi="IRNazanin" w:eastAsia="IRNazanin"/>
          <w:color w:val="111111"/>
          <w:sz w:val="28"/>
          <w:sz w:val="28"/>
          <w:szCs w:val="28"/>
          <w:rtl w:val="true"/>
          <w:lang w:bidi="fa-IR"/>
        </w:rPr>
        <w:t>، و علی تعیین تقلید الأعلم عن قبل أصحابه الذین وصل إلیه کلامهم، بأنّ الثقة بقول الأعلم أقرب</w:t>
      </w:r>
      <w:r>
        <w:rPr>
          <w:rStyle w:val="FootnoteAnchor"/>
          <w:rtl w:val="true"/>
        </w:rPr>
        <w:footnoteReference w:id="175"/>
      </w:r>
      <w:r>
        <w:rPr>
          <w:rFonts w:ascii="IRNazanin" w:hAnsi="IRNazanin" w:eastAsia="IRNazanin"/>
          <w:color w:val="111111"/>
          <w:sz w:val="28"/>
          <w:sz w:val="28"/>
          <w:szCs w:val="28"/>
          <w:rtl w:val="true"/>
          <w:lang w:bidi="fa-IR"/>
        </w:rPr>
        <w:t>نظرا إلی ظهور الأقربیّة فی غیر الأحوطیّة ممّا یرجع إلی مطلق الظنّ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الاستشهاد أیضا علیه باحتجاج الشهید علی العمل بظنّ تقدّم بعض الفوائت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راجح فلا یعمل بالمرجوح</w:t>
      </w:r>
      <w:r>
        <w:rPr>
          <w:rStyle w:val="FootnoteAnchor"/>
          <w:rtl w:val="true"/>
        </w:rPr>
        <w:footnoteReference w:id="176"/>
      </w:r>
      <w:r>
        <w:rPr>
          <w:rFonts w:ascii="Amiri" w:hAnsi="Amiri" w:eastAsia="Amiri" w:cs="Amiri"/>
          <w:color w:val="111111"/>
          <w:sz w:val="28"/>
          <w:sz w:val="28"/>
          <w:szCs w:val="28"/>
          <w:rtl w:val="true"/>
          <w:lang w:bidi="ar-SA"/>
        </w:rPr>
        <w:t xml:space="preserve">، و علی حجّیة الشهرة بقوّة الظنّ فی </w:t>
      </w:r>
    </w:p>
    <w:p>
      <w:pPr>
        <w:pStyle w:val="BookText"/>
        <w:rPr/>
      </w:pPr>
      <w:r>
        <w:rPr>
          <w:rFonts w:ascii="Amiri" w:hAnsi="Amiri" w:eastAsia="Amiri" w:cs="Amiri"/>
          <w:color w:val="111111"/>
          <w:sz w:val="28"/>
          <w:sz w:val="28"/>
          <w:szCs w:val="28"/>
          <w:rtl w:val="true"/>
          <w:lang w:bidi="ar-SA"/>
        </w:rPr>
        <w:t>جانب الشهرة</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باحتجاج العلّامة رحمه اللّه علی مسألة الدفن بالشهرة</w:t>
      </w:r>
      <w:r>
        <w:rPr>
          <w:rStyle w:val="FootnoteAnchor"/>
          <w:rtl w:val="true"/>
        </w:rPr>
        <w:footnoteReference w:id="178"/>
      </w:r>
      <w:r>
        <w:rPr>
          <w:rFonts w:ascii="IRNazanin" w:hAnsi="IRNazanin" w:eastAsia="IRNazanin"/>
          <w:color w:val="111111"/>
          <w:sz w:val="28"/>
          <w:sz w:val="28"/>
          <w:szCs w:val="28"/>
          <w:rtl w:val="true"/>
          <w:lang w:bidi="fa-IR"/>
        </w:rPr>
        <w:t>، و علی حجّیة الاستصحاب بأنّه لو لم یجب العمل بالظنّ لزم ترجیح المرجوح علی الراجح و هو بدیهی الفساد</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احتجاج القدماء طرّا فی حجّیة الاستصحاب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ثبت 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بردّ المانعین لحجّیة الاستصحاب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ثبت جاز أن یدوم، و جاز أن لا یدوم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قضیة التعلیل المذکور فی هذه الموارد و غیرها من الموارد التی یقف علیها المتتبّع کثیرا فی کلماتهم هو حجّیة مطلق الظنّ بحیث لم یبق مجال لجواب الفصول؛ بحمل تعلیلاتهم المذکورة علی التقریب و التأیید أو علی الردّ علی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الاستشهاد أیضا بإحالتهم الموارد الخفیّة لتقدیم الأصل علی الظاهر، أو الظاهر علی الأصل إلی نظر الفقیه حیث أحالوا ما عدا الموارد الجلیّة لتقدیم الأصل علی الظاهر، کتقدیم أصالة الطهارة علی مشکوک النجاسة بل و مظنونه، و لتقدیم الظاهر علی الأصل، کتقدیم ظهور فعل المشکوک علی أصالة عدم فعله، إذا عرض الشکّ بعد تجاوز المحلّ، إلی ما یترجّح فی نظر الفقیه، و ما ذلک إلا لحجّیة مطلق ظنّه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الاستشهاد علیه أیضا بأنّ الإجماع علی حجّیة عمل المجتهد بظنّه، و جواز تقلیده، و لو أدّی ظنّه إلی العمل بالشهرة، یوجب حجّیة العمل بالشهرة و مطلق الظنون، إذا أدّی ظنّه إلی العمل بالشهرة و مطلق الظنون، حسبما أطال </w:t>
      </w:r>
    </w:p>
    <w:p>
      <w:pPr>
        <w:pStyle w:val="BookText"/>
        <w:rPr/>
      </w:pPr>
      <w:r>
        <w:rPr>
          <w:rFonts w:ascii="IRNazanin" w:hAnsi="IRNazanin" w:eastAsia="IRNazanin"/>
          <w:color w:val="111111"/>
          <w:sz w:val="28"/>
          <w:sz w:val="28"/>
          <w:szCs w:val="28"/>
          <w:rtl w:val="true"/>
          <w:lang w:bidi="fa-IR"/>
        </w:rPr>
        <w:t>الکلام فی بسطه فی القوانین</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للخصم منع الإجماع، و دعوی أنّه مخطئ آثم مع التقصیر، و معذور مع القصور، کالحال فی سائر الخطوات و العثرات الظاهرة من بعض 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الاستشهاد علیه أیضا بعدم العثور علی الفرق بین الظنون بتسمیة بعضها ظنونا خاصّة، و بعضها الآخر مطلقة فی کلام أحد من علماء السلف، لا فی کلام المشایخ الثلاثة و لا الصدوقین و لا الفاضلین و لا الشهیدین و لا غیرهم، و إنّما هو فرق و تسمیة أحدثه المتأخّرون، و لو کان له أصل و فرق لتعرّض له أحد من قدماء الأصحاب کتعرّضهم للقیاس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تمثیل نقل استاذنا العلّامة عن بعض العلماء الأجلّة من معاصریه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رجعت من حجّ بیت اللّه الحرام إلی المدینة رأیت رجلا جالسا حوله اناس، و فی یده رغیف یجزّئه بأجزاء صغار، یأکل بعضها و یسقط بعضها الآخر، فسألت من بعض الناس من هذا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میرزا محمد الباب رئیس البابیة،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سألتموه لم یفعل ذلک بالرغیف الخبز؟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أجزاء هذا الرغیف ممّا آمن بعضها و لم یؤمن بعضها الآخر؛ فیأکل الأجزاء التی آمنت و یسقط التی لم تؤمن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عن هذا الرجل أیضا أنّ بعض الأعیان طلب هذا الرجل مع تبعته إلی ولیمة فاخرة، فلمّا صنع الطعام الفاخر و وضعه بین أیدیهم أبی الرجل المذکور من الأکل، فکلّما انتظرت التبعة لابتدائه فی الأکل حتی یأکلون و التمسوه علی الأکل لأجل اتباع التبعة، و لأجل أن صاحب الولیمة خسر خسارة عظیمة فی صنعه هذه الولیمة، و لا ینبغی إخجاله بین الناس فأبی من الأکل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الطعام ممّا لم یؤمن فلا آکل منه، فلمّا أیس الحاضرون و أرادوا المضیّ جائعین خائبین قال </w:t>
      </w:r>
      <w:bookmarkStart w:id="241" w:name="pg12850_121213"/>
    </w:p>
    <w:p>
      <w:pPr>
        <w:pStyle w:val="BookText"/>
        <w:rPr/>
      </w:pPr>
      <w:bookmarkEnd w:id="241"/>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آتونی ممّا فی کعب القدر من الطعام فآتوه،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آمن فأکل فتبعته التبعة فی الأکل</w:t>
      </w:r>
      <w:r>
        <w:rPr>
          <w:rFonts w:eastAsia="IRNazanin" w:cs="IRNazanin"/>
          <w:color w:val="111111"/>
          <w:sz w:val="28"/>
          <w:szCs w:val="28"/>
          <w:rtl w:val="true"/>
          <w:lang w:bidi="fa-IR"/>
        </w:rPr>
        <w:t>.</w:t>
      </w:r>
    </w:p>
    <w:p>
      <w:pPr>
        <w:pStyle w:val="Heading4"/>
        <w:numPr>
          <w:ilvl w:val="3"/>
          <w:numId w:val="1"/>
        </w:numPr>
        <w:rPr/>
      </w:pPr>
      <w:bookmarkStart w:id="242" w:name="__RefHeading___Toc2527174_3224264995"/>
      <w:bookmarkStart w:id="243" w:name="_Toc87"/>
      <w:bookmarkEnd w:id="242"/>
      <w:r>
        <w:rPr>
          <w:rtl w:val="true"/>
        </w:rPr>
        <w:t>[</w:t>
      </w:r>
      <w:r>
        <w:rPr>
          <w:rtl w:val="true"/>
        </w:rPr>
        <w:t>العمل بالظن</w:t>
      </w:r>
      <w:r>
        <w:rPr>
          <w:rtl w:val="true"/>
        </w:rPr>
        <w:t>]</w:t>
      </w:r>
      <w:bookmarkEnd w:id="243"/>
    </w:p>
    <w:p>
      <w:pPr>
        <w:pStyle w:val="BookText"/>
        <w:rPr/>
      </w:pPr>
      <w:r>
        <w:rPr>
          <w:rFonts w:ascii="IRNazanin" w:hAnsi="IRNazanin" w:eastAsia="IRNazanin"/>
          <w:color w:val="111111"/>
          <w:sz w:val="28"/>
          <w:sz w:val="28"/>
          <w:szCs w:val="28"/>
          <w:rtl w:val="true"/>
          <w:lang w:bidi="fa-IR"/>
        </w:rPr>
        <w:t>فتفرقة المفرّقین فی الظنون فی العمل ببعض ما یسمّوه خاصّا، و طرح ما یسمّوه مطلقا بعد اشتراک الکلّ فی أدلّة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کلّ ما دلّ علی حجّیة بعض الظنون بالخصوص دلّ علی حجّیة سائر الظنون بالفحوی، أو الأولویة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الرجم بالغیب، و من قبیل تفرقة الرجل المذکور بین أجزاء رغیف واحد و طعام واحد، فی تسمیته بعضها ممّا آمن فیأکله و بعضها ممّا لم یؤمن فلا یأکله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الاستشهاد علیه أیضا بمنطوق آیة النبأ</w:t>
      </w:r>
      <w:r>
        <w:rPr>
          <w:rStyle w:val="FootnoteAnchor"/>
          <w:rtl w:val="true"/>
        </w:rPr>
        <w:footnoteReference w:id="181"/>
      </w:r>
      <w:r>
        <w:rPr>
          <w:rFonts w:ascii="IRNazanin" w:hAnsi="IRNazanin" w:eastAsia="IRNazanin"/>
          <w:color w:val="111111"/>
          <w:sz w:val="28"/>
          <w:sz w:val="28"/>
          <w:szCs w:val="28"/>
          <w:rtl w:val="true"/>
          <w:lang w:bidi="fa-IR"/>
        </w:rPr>
        <w:t>بناء علی أنّ المراد من التبیّن أعمّ من التبیّن الظنّی و العلمیّ بالتقریب المتقدّم فی حجّیة الشهرة، و الآتی أیضا فی حجّیة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شواهد حجّیة مطلق الظنّ للمجتهد التی إن لم تقتض الحجّیة مطلقا و لو عند انفتاح باب العلم فلا أقلّ من اقتضائها الحجّیة من باب الکشف عن انسداد باب العلم، و عدم إمکان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قد فرغنا من أدلّة الفریقین فلنرجع إلی الأصل فی المسألة، و وجوه تقریره علی وجه الشرح لکلام الماتن، کما هو موضوع هذه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حرمة العمل یکفی فی موضوعها عدم العلم بورود التعبّد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یحتمل أن یکون موضوعها هو إحراز عدم ورود التعبّد به و لو بأصالة العدم و الغلبة النوعیّة فی الأعدام المقارنة للشکّ و عدم العلم، کما یحتمل أن یکون مجرد الشکّ و عدم العلم، لأنّ الحکم المتعلق بموضوع مقارن لموضوع آخر یحتمل أن یکون موضوع الحکم مقارنه کما یحتمل أن </w:t>
      </w:r>
    </w:p>
    <w:p>
      <w:pPr>
        <w:pStyle w:val="BookText"/>
        <w:rPr/>
      </w:pPr>
      <w:r>
        <w:rPr>
          <w:rFonts w:ascii="IRNazanin" w:hAnsi="IRNazanin" w:eastAsia="IRNazanin"/>
          <w:color w:val="111111"/>
          <w:sz w:val="28"/>
          <w:sz w:val="28"/>
          <w:szCs w:val="28"/>
          <w:rtl w:val="true"/>
          <w:lang w:bidi="fa-IR"/>
        </w:rPr>
        <w:t>یکون نفسه، فلا وجه لتعیین کون الموضوع نفسه دون مقارنه من غیر بیّنة و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نترقّی إلی تعیین أن یکون موضوع الحرمة هو إحراز عدم ورود التعبّد به لا مجرد الشکّ و عدم العلم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الاستشهاد بغلبة إناطة الأحکام بالموضوعات الواقعیّة، لا بالعقائد من العلم و الشکّ، فالحکم بالحرمة فی ما نحن فیه من آثار إحراز الموضوع الواقعیّ و لو بالأصل و الغلبة، لا من آثار الشکّ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الاستشهاد بانفکاک موارد الشکّ الغیر المقارنة بمجری أصالة عدم إتیان المشکوک و الغلبة النوعیّة فی الأعدام عن الحکم بعدم إتیان المشکوک، کالشکّ بعد التجاوز عن المحلّ و الفراغ عن العمل الذی لا یجری فیه أصالة عدم الإتیان، لأنّ الغالب فی مثله الإتیان لا عدم الإتیان، فلو کان الحکم بعدم المشکوک من آثار نفس الشکّ فیه لا من آثار إحراز عدمه و لو بالأصل و الغلبة النوعیة لما انفکّ عن موارد الشکّ الغیر المقارنة بمجری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فانفکاکه عن هذه الموارد دلیل کونه من آثار إحراز العدم الواقعی و لو بالأصل فی مورد الشکّ، لا من آثار نفس الشکّ و إلّا لم یتخلّف عن موارد الشکّ المتخلّفة عن مجری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الاستشهاد باستناد العلماء طرّا آثار عدم المشکوک إلی إحراز عدمه و لو بالأصل، و أنّ استناد آثاره إلی مجرّد الشکّ دون الأصل إنّما حدث من المصنّف و فی استصحاب الاشتغال حیث أبدله بقاعدة الاشتغال</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الاستشهاد بأنّه لو ترتّب الحرمة فی ما نحن فیه علی مجرد الشکّ لا علی إحراز عدم المشکوک و لو بالأصل لترتّب حکم المستصحب و البراءة فی جمیع موارد الاستصحاب و البراءة علی مجرّد الشکّ أیضا، لا علی الاستصحاب و أصالة البراءة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یمکن منع الملازمة توجیها لکلام المصنّف بدعوی الفرق بین هذا المورد و سائر موارد الشکّ بأنّ ما قاله المصنّف من أنّ حرمة العمل بالظنّ یکفی فی موضوعها عدم العلم، مبنیّ علی ما اختاره سابقا من أنّ محلّ الکلام من معانی العمل بالظنّ هو التّدین به من قبل المولی علی أنّه منه، دون سائر معانی العمل به، و معلوم أنّ التدیّن به من قبل المولی علی أنّه منه من معانی التشریع و الافتراء، الذی یستقلّ العقل بقبحه عند عدم العلم بأنّه من المولی من غیر حاجة إلی إحراز عدم کونه منه بالأصل، بل و لو صادف کونه منه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عرفت فی ما مرّ عدم إمکان أن یکون محلّ النزاع فی العمل بالظنّ فی معنی التدیّن به، و أنّ النزاع فی مطلق العمل به مع الإغماض عن الحیثیّات و العناوین المقارنة له أحیانا، فإنّ التدیّن به علی وجه التشریع عنوان محرّم آخر لا یقبل النزاع فیه غیر عنوان العمل بالظنّ من حیث هو القابل لمحلّ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مع صحّة مبنی التوجیه المذکور یمکن الاعتذار عن التعویل علی أصالة عدم الحجّیة فی حرمة العمل بالظنّ مع فرض کفایة مجرد الشکّ فی حرمته، بأنّ التعویل علیه مع ذلک محمول علی مجرّد التأیید و التقریب، أو علی أنّه ناظر إلی عنوان العمل بالظنّ من حیث هو مع الإغماض عن حیثیّة کونه تشریعا و افتراء، فإنّ حرمته من تلک الجهة لا تنافی حرمته من حیث هو بالأصل، کما أنّ سیاق تعقّب کلّ دلیل لدلیل محمول علی الغضّ عما سبقه، أو علی مجرّد التأیید و التقریب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یحتاج إلی إحراز عدمه بحکم الأصل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کما أنّ الأصل دلیل حیث لا دلیل یخالفه، کذلک هو دلیل حیث لا دلیل یوافقه، و المفروض أنّ عدم العلم بورود التعبّد دلیل فلا حاجة إلی </w:t>
      </w:r>
      <w:bookmarkStart w:id="244" w:name="pg12850_121216"/>
    </w:p>
    <w:p>
      <w:pPr>
        <w:pStyle w:val="BookText"/>
        <w:rPr/>
      </w:pPr>
      <w:bookmarkEnd w:id="244"/>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Heading4"/>
        <w:numPr>
          <w:ilvl w:val="3"/>
          <w:numId w:val="1"/>
        </w:numPr>
        <w:rPr/>
      </w:pPr>
      <w:bookmarkStart w:id="245" w:name="__RefHeading___Toc2527176_3224264995"/>
      <w:bookmarkStart w:id="246" w:name="_Toc88"/>
      <w:bookmarkEnd w:id="245"/>
      <w:r>
        <w:rPr>
          <w:rtl w:val="true"/>
        </w:rPr>
        <w:t>[</w:t>
      </w:r>
      <w:r>
        <w:rPr>
          <w:rtl w:val="true"/>
        </w:rPr>
        <w:t>دراسة تقریر آخر للأصل فی المسألة</w:t>
      </w:r>
      <w:r>
        <w:rPr>
          <w:rtl w:val="true"/>
        </w:rPr>
        <w:t>]</w:t>
      </w:r>
      <w:bookmarkEnd w:id="24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الأمر دائر بین الوجوب و التحریم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الدوران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إلیه المصنّف من أنّ عدم العلم بالوجوب کاف فی ثبوت التحریم، فلا مسرح لاحتمال الوجوب بعد کون عدم العلم بالحجّیة موضوعا لحکم العقل و النقل علی حرمة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کفایة عدم العلم بالوجوب فی ثبوت التحریم مبنیّ علی أن یراد من العمل 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به علی وجه التدیّن و الالتزام بأنّه من قبل المولی فی جعله فی عرض أدلّة الواقع، و طرح الظواهر و الأصول المقابلة له به، و أمّا لو ارید منه العمل به علی غیر هذا الوجه ممّا لا یلزم منه المعرضیة لتفویت واقع و لا طرح ظاهر فلا یکفی فی حرمته عدم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الأمر کما ذکرت من أنّ العمل بالظنّ علی الوجه الثانی لا یکفی فی حرمته عدم العلم، إلّا أنّه لا یمکن إرادة هذا المعنی من محلّ نزاع الاصولیین، لأنّه مسألة فقهیة، و الذی هو محلّ نزاع الاصولیین إنّما یناسب إرادة المعنی الأوّل، و هو العمل به علی وجه التدیّن بأنّه من المولی فی طرح الاصول به و احتسابه من عرض أدلّة الواقع، کما هو معنی العمل بسائر الأمارات و الأدلّة الشرعیّة من الید و السوق و خبر الواحد و غیره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بالأصالة دائر بین الوجوب و عدم الوجوب، لا الوجوب و الحرمة؛ و ذلک لأنّ المفروض کون الحرمة حرمة توقیفیّة متفرّعة علی عدم الوجوب الذی هو فی عرض الوجوب بالأصالة، لا هی فی عرضه، و من المعلوم أنّ الحرمة التوقیفیّة المتفرّعة علی عدم الوجوب حکمها حکم عدم الوجوب المقابل لاحتمال الوجوب فی مجری البراءة و الإباحة دون التخییر؛ لأنّ التخییر </w:t>
      </w:r>
      <w:bookmarkStart w:id="247" w:name="pg12850_121217"/>
    </w:p>
    <w:p>
      <w:pPr>
        <w:pStyle w:val="BookText"/>
        <w:rPr/>
      </w:pPr>
      <w:bookmarkEnd w:id="247"/>
      <w:r>
        <w:rPr>
          <w:rFonts w:ascii="IRNazanin" w:hAnsi="IRNazanin" w:eastAsia="IRNazanin"/>
          <w:color w:val="111111"/>
          <w:sz w:val="28"/>
          <w:sz w:val="28"/>
          <w:szCs w:val="28"/>
          <w:rtl w:val="true"/>
          <w:lang w:bidi="fa-IR"/>
        </w:rPr>
        <w:t>إن کان تخییرا تعبّدیّا شرعیّا اختصّ بمورد تعارض الخبرین، و إن کان تخییرا عقلیا واقعیا اختصّ بمورد تعارض السببین اللذین کلّ منهما فی عرض الآخر، و قد عرفت أنّ ما نحن فیه لیس من هذا القبیل</w:t>
      </w:r>
      <w:r>
        <w:rPr>
          <w:rFonts w:eastAsia="IRNazanin" w:cs="IRNazanin"/>
          <w:color w:val="111111"/>
          <w:sz w:val="28"/>
          <w:szCs w:val="28"/>
          <w:rtl w:val="true"/>
          <w:lang w:bidi="fa-IR"/>
        </w:rPr>
        <w:t>.</w:t>
      </w:r>
    </w:p>
    <w:p>
      <w:pPr>
        <w:pStyle w:val="Heading4"/>
        <w:numPr>
          <w:ilvl w:val="3"/>
          <w:numId w:val="1"/>
        </w:numPr>
        <w:rPr/>
      </w:pPr>
      <w:bookmarkStart w:id="248" w:name="__RefHeading___Toc2527178_3224264995"/>
      <w:bookmarkStart w:id="249" w:name="_Toc89"/>
      <w:bookmarkEnd w:id="248"/>
      <w:r>
        <w:rPr>
          <w:rtl w:val="true"/>
        </w:rPr>
        <w:t>[</w:t>
      </w:r>
      <w:r>
        <w:rPr>
          <w:rtl w:val="true"/>
        </w:rPr>
        <w:t>تقریر آخر للأصل فی المسألة و تحقیقه</w:t>
      </w:r>
      <w:r>
        <w:rPr>
          <w:rtl w:val="true"/>
        </w:rPr>
        <w:t>]</w:t>
      </w:r>
      <w:bookmarkEnd w:id="24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فیحکم بتعیین تحصیل خصوص الاعتقاد القطعیّ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یمکن أن یکون مستند الحکم بتعیین خصوص الاعتقاد القطعیّ فی المقام هو استصحاب الاشتغال، أو قاعدة الاشتغال، أو قاعدة دفع الضرر المظنون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فعل المظنون حرمته، و ترک المظنون وجوبه مظنّة الضرر، کلّ ما فیه مظنّة الضرر یوجب العقل دفعه، لأنّه ألم نفسانیّ یوجب العقل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کیفیّة وجوب تحصیل الاعتقاد بالأحکام علی کلّ تقدیر من تقادیر مستند الحکم إمّا نفسی، أو مقدّمی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متعلق الاعتقاد علی کلّ من التقادیر المتقدّمة إمّا عمل نفس المکلّف، أو عمل غیره ممّن یقلّده و یستفتیه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وصف الاعتقاد القطعیّ إمّا وجدانیّ کالعمل بالظنّ فی مقابل الإمام الحاضر، و إمّا حکمیّ کالعمل به فی زمان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زمان تحصیل الاعتقاد إمّا قبل انسداد باب العلم،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جملة من وجوه مستند الحکم بوجوب تحصیل الاعتقاد القطعیّ، و متعلق الاعتقاد و وصفه و زمانه، و الحاصل من ضرب بعضها فی بعض ثمانیة و أربعون صورة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تقدیر أن یکون مستند الحکم المذکور استصحاب الاشتغال أو قاعدته فمع تقدیر أن یکون وجوب تحصیل الاعتقاد وجوبا مقدّمیّا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المشهور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الإیرادان المذکوران فی المتن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مع تقدیر أن یکون وجوبه نفسیا، فمع فرض کون الاعتقاد القطعیّ المقابل للاعتقاد الظنّی وجدانیا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هذا الفرض عن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فرض کونه حکمیّا، فمع فرض انسداد باب القطع الکافی و الوافی فی معظم الأحکام،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الحکم بتعیین تحصیل الاعتقاد القطعیّ حینئذ، بل یتعیّن فی تحصیل مطلق الاعتقاد بحکم العقل المستقلّ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فرض انفتاح بابه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الدوران بین وجوب تحصیل مطلق الاعتقاد و بین وجوب تحصیل الاعتقاد القطعی، ضرورة إدّعاء من یری حجّیة مطلق الظنّ رجوع کلّ ما یزعمه الخصم قطعیّ الحکم من الظنون الخاصّة إلی مطلق الظنّ من جهة السند، أو الدلالات، أو المرادات، أو من جهة دفع الموانع و المعارضات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تقدیر أن یکون مستند الحکم هو قاعدة دفع الضرر المظنون 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الظنّ إمّا یطابق الاحتیاط، أو یخالفه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فالعمل به حقیقة عمل بالاحتیاط؛ إذ لیس الظنّ حینئذ إلّا کالحجر الموضوع فی جنب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فمعارض؛ إذ کما أنّ ترک المظنون وجوبه و فعل المظنون حرمته مظنّة الضرر، کذلک ترک العمل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قام الظنّ علی وجوب شی‌ء یقتضی الاحتیاط ترکه، أو حرمة شی‌ء یقتضی الاحتیاط فعله فکما أنّ ترکه فی الأوّل و فعله فی الثانی مظنّة للضرر بمقتضی الظن کذلک فعله فی الأول و ترکه فی الثانی مظنّة للضرر بمقتضی الاحتیاط، بل لا یبعد ترجیح الاحتیاط المعتبر بالأدلّة المذکورة فی محلّها علی ذلک الظنّ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التمکن، فتأمّل</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إشارة إلی أنّ عدم حجّیة الأصل فی مقابل الظنّ و عدم وجوب </w:t>
      </w:r>
      <w:bookmarkStart w:id="250" w:name="pg12850_121219"/>
    </w:p>
    <w:p>
      <w:pPr>
        <w:pStyle w:val="BookText"/>
        <w:rPr/>
      </w:pPr>
      <w:bookmarkEnd w:id="250"/>
      <w:r>
        <w:rPr>
          <w:rFonts w:ascii="IRNazanin" w:hAnsi="IRNazanin" w:eastAsia="IRNazanin"/>
          <w:color w:val="111111"/>
          <w:sz w:val="28"/>
          <w:sz w:val="28"/>
          <w:szCs w:val="28"/>
          <w:rtl w:val="true"/>
          <w:lang w:bidi="fa-IR"/>
        </w:rPr>
        <w:t>تحصیل الواقع علما إنّما یوجبان سقوط حرمة العمل بالظنّ من جهة واحدة، و هی الجهة الغیر الذاتیّة، و أمّا الحرمة الذاتیّة من جهة الاستناد و الالتزام و التشریع و الافتراء المحرّم بالأدلّة الأربعة فلا تسقط بما ذکر قطعا</w:t>
      </w:r>
      <w:r>
        <w:rPr>
          <w:rFonts w:eastAsia="IRNazanin" w:cs="IRNazanin"/>
          <w:color w:val="111111"/>
          <w:sz w:val="28"/>
          <w:szCs w:val="28"/>
          <w:rtl w:val="true"/>
          <w:lang w:bidi="fa-IR"/>
        </w:rPr>
        <w:t>].</w:t>
      </w:r>
    </w:p>
    <w:p>
      <w:pPr>
        <w:pStyle w:val="Heading4"/>
        <w:numPr>
          <w:ilvl w:val="3"/>
          <w:numId w:val="1"/>
        </w:numPr>
        <w:rPr/>
      </w:pPr>
      <w:bookmarkStart w:id="251" w:name="__RefHeading___Toc2527180_3224264995"/>
      <w:bookmarkStart w:id="252" w:name="_Toc90"/>
      <w:bookmarkEnd w:id="251"/>
      <w:r>
        <w:rPr>
          <w:rtl w:val="true"/>
        </w:rPr>
        <w:t>[</w:t>
      </w:r>
      <w:r>
        <w:rPr>
          <w:rtl w:val="true"/>
        </w:rPr>
        <w:t>المائز بین الظن الخاص و الظن المطلق</w:t>
      </w:r>
      <w:r>
        <w:rPr>
          <w:rtl w:val="true"/>
        </w:rPr>
        <w:t>]</w:t>
      </w:r>
      <w:bookmarkEnd w:id="25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الموضوع له هذه الرسالة بیان ما أخرج، أو قیل بخروجه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المعیار المائز بین خروج ما یخرج و عدم خروجه، لمّا کان هو المعیار المائز بین الظنّ الخاصّ و المطلق، احتیج إلی ارتجال الکلام فی بیان المائز بین الظنّ الخاصّ و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الظنّ الخاصّ عند الظنّة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عمّا لم ینته حجّیته إلی دلیل انسداد باب العلم من الظنون، لا من جهة السند، و لا من جهة الدلالة، و لا من جهة الإرادة، و لا من جهة دفع المعارضات المعارضة له، و لا من جهة دفع الموانع الموهنة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یکون الظنّ المطلق عبارة عمّا ینتهی اعتباره إلی دلیل الانسداد من الظنون و لو من جهة واحدة من الجهات الخمس و حینئذ یکون الظنّ الخاصّ قسم واحد، و الظنّ المطلق أقسام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یتفرّع علی ذلک صحّة دعوی عدم وجود ظنّ خاصّ فی ما بأیدینا الیوم من أدلّة الأحکام رأسا، أو عدم وفائه لمعظم الأحکام علی فرض وجوده نزرا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سبیل الجواب عنهم حینئذ منحصر إمّا فی منع اختصاص الظنون الخاصّة بما ینتهی اعتباره من جمیع الجهات المذکورة إلی غیر دلیل الانسداد من الأدلّة القطعیّة المسلّمة الاعتبار بدعوی الاکتفاء فی کونه ظنّا خاصّا بانتهاء اعتباره إلی ما ذکر من حیث المقتضی للظنّ، و لو انتهی اعتباره من حیث دفع الموانع إلی دلیل الانسداد</w:t>
      </w:r>
      <w:r>
        <w:rPr>
          <w:rFonts w:eastAsia="IRNazanin" w:cs="IRNazanin"/>
          <w:color w:val="111111"/>
          <w:sz w:val="28"/>
          <w:szCs w:val="28"/>
          <w:rtl w:val="true"/>
          <w:lang w:bidi="fa-IR"/>
        </w:rPr>
        <w:t xml:space="preserve">. </w:t>
      </w:r>
      <w:bookmarkStart w:id="253" w:name="pg12850_121220"/>
    </w:p>
    <w:p>
      <w:pPr>
        <w:pStyle w:val="BookText"/>
        <w:rPr/>
      </w:pPr>
      <w:bookmarkEnd w:id="253"/>
      <w:r>
        <w:rPr>
          <w:rFonts w:ascii="IRNazanin" w:hAnsi="IRNazanin" w:eastAsia="IRNazanin"/>
          <w:color w:val="111111"/>
          <w:sz w:val="28"/>
          <w:sz w:val="28"/>
          <w:szCs w:val="28"/>
          <w:rtl w:val="true"/>
          <w:lang w:bidi="fa-IR"/>
        </w:rPr>
        <w:t>و إمّا فی تسلیم اختصاص الظنّ الخاصّ بما ینتهی اعتباره من جمیع الجهات إلی غیر دلیل الانسداد من الأدلّة القطعیّة المسلّمة الاعتبار، إلّا أنّه یمنع عدم وفاء مثل هذه الظنون بمعظم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بالطریق الثانی و إن کان أسدّ إلّا أنّ الالتزام به صعب مستصعب؛ و بالطریق الأوّل و إن کان أضعف بمطالبة الفارق بین المقتضی للظنّ و مانعة، إلّا أنّ الالتزام به أسهل، و علیه اعتماد المجیبین، کالفصول</w:t>
      </w:r>
      <w:r>
        <w:rPr>
          <w:rStyle w:val="FootnoteAnchor"/>
          <w:rtl w:val="true"/>
        </w:rPr>
        <w:footnoteReference w:id="182"/>
      </w:r>
      <w:r>
        <w:rPr>
          <w:rFonts w:ascii="IRNazanin" w:hAnsi="IRNazanin" w:eastAsia="IRNazanin"/>
          <w:color w:val="111111"/>
          <w:sz w:val="28"/>
          <w:sz w:val="28"/>
          <w:szCs w:val="28"/>
          <w:rtl w:val="true"/>
          <w:lang w:bidi="fa-IR"/>
        </w:rPr>
        <w:t>و غیره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فعلی الأوّل یکون المخرج للظنّ عن تحت أصالة حرمة العمل بالظنّ ما ینتهی معه المقتضی للظنّ إلی غیر دلیل الانسداد، کالظنون المعمولة لتشخیص المرادات من ظواهر ألفاظ الکتاب و السنّة علی التحقیق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یکون المخرج له هو ما ینتهی معه الظنّ إلی غیر دلیل الانسداد من جمیع الجهات المذکورة، لا من جهة المقتضی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قد عرفت أنّ المخرجات للظنّ عن تحت الأصل علی قسمین، فلیکن ذلک فی مداد النظر و صفحة الخاطر، لکی تعرف المخرجات الآتیة من أیّ قسم منها</w:t>
      </w:r>
      <w:r>
        <w:rPr>
          <w:rFonts w:eastAsia="IRNazanin" w:cs="IRNazanin"/>
          <w:color w:val="111111"/>
          <w:sz w:val="28"/>
          <w:szCs w:val="28"/>
          <w:rtl w:val="true"/>
          <w:lang w:bidi="fa-IR"/>
        </w:rPr>
        <w:t>.</w:t>
      </w:r>
    </w:p>
    <w:p>
      <w:pPr>
        <w:pStyle w:val="Heading3"/>
        <w:numPr>
          <w:ilvl w:val="2"/>
          <w:numId w:val="1"/>
        </w:numPr>
        <w:rPr/>
      </w:pPr>
      <w:bookmarkStart w:id="254" w:name="__RefHeading___Toc2527182_3224264995"/>
      <w:bookmarkStart w:id="255" w:name="_Toc91"/>
      <w:bookmarkEnd w:id="254"/>
      <w:r>
        <w:rPr>
          <w:rtl w:val="true"/>
        </w:rPr>
        <w:t>[</w:t>
      </w:r>
      <w:r>
        <w:rPr>
          <w:rtl w:val="true"/>
        </w:rPr>
        <w:t>الظنون المعتبرة</w:t>
      </w:r>
      <w:r>
        <w:rPr>
          <w:rtl w:val="true"/>
        </w:rPr>
        <w:t>]</w:t>
      </w:r>
      <w:bookmarkEnd w:id="255"/>
    </w:p>
    <w:p>
      <w:pPr>
        <w:pStyle w:val="Heading4"/>
        <w:numPr>
          <w:ilvl w:val="3"/>
          <w:numId w:val="1"/>
        </w:numPr>
        <w:rPr/>
      </w:pPr>
      <w:bookmarkStart w:id="256" w:name="__RefHeading___Toc2527184_3224264995"/>
      <w:bookmarkStart w:id="257" w:name="_Toc92"/>
      <w:bookmarkEnd w:id="256"/>
      <w:r>
        <w:rPr>
          <w:rtl w:val="true"/>
        </w:rPr>
        <w:t>[</w:t>
      </w:r>
      <w:r>
        <w:rPr>
          <w:rtl w:val="true"/>
        </w:rPr>
        <w:t>منها الامارات المعمولة فی استنباط الاحکام الشرعیة من الفاظ الکتاب و السنة</w:t>
      </w:r>
      <w:r>
        <w:rPr>
          <w:rtl w:val="true"/>
        </w:rPr>
        <w:t>]</w:t>
      </w:r>
      <w:bookmarkEnd w:id="257"/>
    </w:p>
    <w:p>
      <w:pPr>
        <w:pStyle w:val="Heading5"/>
        <w:numPr>
          <w:ilvl w:val="4"/>
          <w:numId w:val="1"/>
        </w:numPr>
        <w:rPr/>
      </w:pPr>
      <w:bookmarkStart w:id="258" w:name="__RefHeading___Toc2527186_3224264995"/>
      <w:bookmarkStart w:id="259" w:name="_Toc93"/>
      <w:bookmarkEnd w:id="258"/>
      <w:r>
        <w:rPr>
          <w:rtl w:val="true"/>
        </w:rPr>
        <w:t>اشارة</w:t>
      </w:r>
      <w:bookmarkEnd w:id="25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فممّا لا خلاف فیه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یحکی عن الأمین الاسترآبادی فی فوائده</w:t>
      </w:r>
      <w:r>
        <w:rPr>
          <w:rStyle w:val="FootnoteAnchor"/>
          <w:rtl w:val="true"/>
        </w:rPr>
        <w:footnoteReference w:id="183"/>
      </w:r>
      <w:r>
        <w:rPr>
          <w:rFonts w:ascii="IRNazanin" w:hAnsi="IRNazanin" w:eastAsia="IRNazanin"/>
          <w:color w:val="111111"/>
          <w:sz w:val="28"/>
          <w:sz w:val="28"/>
          <w:szCs w:val="28"/>
          <w:rtl w:val="true"/>
          <w:lang w:bidi="fa-IR"/>
        </w:rPr>
        <w:t>المدنیّة من عدم تجویز العمل بظواهر الألفاظ، سواء کانت من ظواهر الکتاب أو السنّة، و دعوی استناد عمله بأخبار الکتب الأربعة إلی کونها قطعیّة الدلالة بواسطة احتفافها بالقرائن المفیدة له القطع من تضافر و نحوه، مضافا إلی اشتراکه فی دعوی سائر الأخباریّة من کونها قطعیّة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بمکان من الغلوّ فی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یکفیه بداهة کذبها، و رجوع الخلافین المذکورین إلی الصغری لا الکبری</w:t>
      </w:r>
      <w:r>
        <w:rPr>
          <w:rFonts w:eastAsia="IRNazanin" w:cs="IRNazanin"/>
          <w:color w:val="111111"/>
          <w:sz w:val="28"/>
          <w:szCs w:val="28"/>
          <w:rtl w:val="true"/>
          <w:lang w:bidi="fa-IR"/>
        </w:rPr>
        <w:t xml:space="preserve">. </w:t>
      </w:r>
      <w:bookmarkStart w:id="260" w:name="pg12850_121221"/>
    </w:p>
    <w:p>
      <w:pPr>
        <w:pStyle w:val="BookText"/>
        <w:rPr/>
      </w:pPr>
      <w:bookmarkEnd w:id="260"/>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کون النزاع فی حجّیة الکتاب و حجّیة فهم غیر من قصد إفهامه بالخطاب صغرویا یستلزم صغرویّة جمیع النزاعات الاصولیة بل الفقهیة، بل الکلامیة و الحکمیة، ضرورة أنّه ما من نزاع إلّا و یمکن أن یفرض له کبری مسلّمة؛ إذ لا أقلّ من فرض کبرویة حقّیة الواقع و حسنه و وجوب متابعته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اختصاص بصغرویة النزاع فی ما نحن فیه، بل کلّ نزاع من النزاعات صغرویّ بالنسبة إلی ما یفرض له من کبری مسلّمة، و کبرویّ بالنسبة إلی نفسه، و الإغماض عن فرض کبری مسلّمة له، و کذا النزاع الآتی فی أنّ اعتبار الظواهر هل هو من باب الظنّ الشخصیّ و الفعلیّ، أم من باب الظنّ الشأنیّ و النوعیّ و لو قام الظنّ الغیر المعتبر علی خلافه بالنسبة إلی نفسه؟ کبرویّ، و بالنسبة إلی فرض کونه نزاع فی تشخیص الظهور و عدمه بعد مسلّمیة اعتبار کلّ ظاهر صغرویّ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المدار فی صغرویّة النزاع لیس علی مجرّد فرض أن یکون له کبری مسلّمة بل إنّما هو مبنیّ علی تحقّق ذلک الفرض و وقوعه فی البین کما لا یخفی</w:t>
      </w:r>
      <w:r>
        <w:rPr>
          <w:rFonts w:eastAsia="IRNazanin" w:cs="IRNazanin"/>
          <w:color w:val="111111"/>
          <w:sz w:val="28"/>
          <w:szCs w:val="28"/>
          <w:rtl w:val="true"/>
          <w:lang w:bidi="fa-IR"/>
        </w:rPr>
        <w:t>.</w:t>
      </w:r>
    </w:p>
    <w:p>
      <w:pPr>
        <w:pStyle w:val="Heading5"/>
        <w:numPr>
          <w:ilvl w:val="4"/>
          <w:numId w:val="1"/>
        </w:numPr>
        <w:rPr/>
      </w:pPr>
      <w:bookmarkStart w:id="261" w:name="__RefHeading___Toc2527188_3224264995"/>
      <w:bookmarkStart w:id="262" w:name="_Toc94"/>
      <w:bookmarkEnd w:id="261"/>
      <w:r>
        <w:rPr>
          <w:rtl w:val="true"/>
        </w:rPr>
        <w:t>[</w:t>
      </w:r>
      <w:r>
        <w:rPr>
          <w:rtl w:val="true"/>
        </w:rPr>
        <w:t>حجیة الظواهر</w:t>
      </w:r>
      <w:r>
        <w:rPr>
          <w:rtl w:val="true"/>
        </w:rPr>
        <w:t>]</w:t>
      </w:r>
      <w:bookmarkEnd w:id="262"/>
    </w:p>
    <w:p>
      <w:pPr>
        <w:pStyle w:val="Heading5"/>
        <w:numPr>
          <w:ilvl w:val="4"/>
          <w:numId w:val="1"/>
        </w:numPr>
        <w:rPr/>
      </w:pPr>
      <w:bookmarkStart w:id="263" w:name="__RefHeading___Toc2527190_3224264995"/>
      <w:bookmarkStart w:id="264" w:name="_Toc95"/>
      <w:bookmarkEnd w:id="263"/>
      <w:r>
        <w:rPr>
          <w:rtl w:val="true"/>
        </w:rPr>
        <w:t>[</w:t>
      </w:r>
      <w:r>
        <w:rPr>
          <w:rtl w:val="true"/>
        </w:rPr>
        <w:t>اختلاف الاخباریین فی المنع عن العمل بظاهر الکتاب</w:t>
      </w:r>
      <w:r>
        <w:rPr>
          <w:rtl w:val="true"/>
        </w:rPr>
        <w:t>]</w:t>
      </w:r>
      <w:bookmarkEnd w:id="26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ذهب جماعة من الأخباریین إلی المنع من العمل بظواهر الکتاب</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اختلفوا فی کمیّة المنع، فمنهم من منع العمل بالکتاب مطلقا، لا بظواهره و لا بنصوصه، حتی نقل عن بعض مشایخهم التصریح بعدم جواز العمل حتی بنصوص مثل قُلْ هُوَ اللَّهُ أَحَدٌ</w:t>
      </w:r>
      <w:r>
        <w:rPr>
          <w:rStyle w:val="FootnoteAnchor"/>
          <w:rtl w:val="true"/>
        </w:rPr>
        <w:footnoteReference w:id="184"/>
      </w:r>
      <w:r>
        <w:rPr>
          <w:rFonts w:ascii="IRNazanin" w:hAnsi="IRNazanin" w:eastAsia="IRNazanin"/>
          <w:color w:val="111111"/>
          <w:sz w:val="28"/>
          <w:sz w:val="28"/>
          <w:szCs w:val="28"/>
          <w:rtl w:val="true"/>
          <w:lang w:bidi="fa-IR"/>
        </w:rPr>
        <w:t>لو لم یرد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فصّل بین الظواهر و النصوص، و عن الحدائق</w:t>
      </w:r>
      <w:r>
        <w:rPr>
          <w:rStyle w:val="FootnoteAnchor"/>
          <w:rtl w:val="true"/>
        </w:rPr>
        <w:footnoteReference w:id="185"/>
      </w:r>
      <w:r>
        <w:rPr>
          <w:rFonts w:ascii="IRNazanin" w:hAnsi="IRNazanin" w:eastAsia="IRNazanin"/>
          <w:color w:val="111111"/>
          <w:sz w:val="28"/>
          <w:sz w:val="28"/>
          <w:szCs w:val="28"/>
          <w:rtl w:val="true"/>
          <w:lang w:bidi="fa-IR"/>
        </w:rPr>
        <w:t>فی مقدّماته تفصیل آخر بین آیات الأحکام و بین غیرها من آیات القصص و الحکایات و الوعد و الوعید، حیث خصّ المنع بآیات الأحکام دون غیرها</w:t>
      </w:r>
      <w:r>
        <w:rPr>
          <w:rFonts w:eastAsia="IRNazanin" w:cs="IRNazanin"/>
          <w:color w:val="111111"/>
          <w:sz w:val="28"/>
          <w:szCs w:val="28"/>
          <w:rtl w:val="true"/>
          <w:lang w:bidi="fa-IR"/>
        </w:rPr>
        <w:t xml:space="preserve">. </w:t>
      </w:r>
      <w:bookmarkStart w:id="265" w:name="pg12850_121222"/>
    </w:p>
    <w:p>
      <w:pPr>
        <w:pStyle w:val="Heading5"/>
        <w:numPr>
          <w:ilvl w:val="4"/>
          <w:numId w:val="1"/>
        </w:numPr>
        <w:rPr/>
      </w:pPr>
      <w:bookmarkStart w:id="266" w:name="__RefHeading___Toc2527192_3224264995"/>
      <w:bookmarkStart w:id="267" w:name="_Toc96"/>
      <w:bookmarkEnd w:id="265"/>
      <w:bookmarkEnd w:id="266"/>
      <w:r>
        <w:rPr>
          <w:rtl w:val="true"/>
        </w:rPr>
        <w:t>[</w:t>
      </w:r>
      <w:r>
        <w:rPr>
          <w:rtl w:val="true"/>
        </w:rPr>
        <w:t>حجّیة محکمات القرآن</w:t>
      </w:r>
      <w:r>
        <w:rPr>
          <w:rtl w:val="true"/>
        </w:rPr>
        <w:t>]</w:t>
      </w:r>
      <w:bookmarkEnd w:id="267"/>
    </w:p>
    <w:p>
      <w:pPr>
        <w:pStyle w:val="BookText"/>
        <w:rPr/>
      </w:pPr>
      <w:r>
        <w:rPr>
          <w:rFonts w:ascii="IRNazanin" w:hAnsi="IRNazanin" w:eastAsia="IRNazanin"/>
          <w:color w:val="111111"/>
          <w:sz w:val="28"/>
          <w:sz w:val="28"/>
          <w:szCs w:val="28"/>
          <w:rtl w:val="true"/>
          <w:lang w:bidi="fa-IR"/>
        </w:rPr>
        <w:t>و لکن الحقّ هو حجّیة محکمات الکتاب مطلقا من غیر فرق بین آیات الأحکام و غیرها، و لا بین النصوص و الظواهر بالأدلّة الأربعة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یکفی من الکتاب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یَتَدَبَّرُونَ الْقُرْآنَ</w:t>
      </w:r>
      <w:r>
        <w:rPr>
          <w:rStyle w:val="FootnoteAnchor"/>
          <w:rtl w:val="true"/>
        </w:rPr>
        <w:footnoteReference w:id="186"/>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لِیَدَّبَّرُوا آیاتِهِ</w:t>
      </w:r>
      <w:r>
        <w:rPr>
          <w:rStyle w:val="FootnoteAnchor"/>
          <w:rtl w:val="true"/>
        </w:rPr>
        <w:footnoteReference w:id="187"/>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بَیانٌ لِلنَّاسِ</w:t>
      </w:r>
      <w:r>
        <w:rPr>
          <w:rStyle w:val="FootnoteAnchor"/>
          <w:rtl w:val="true"/>
        </w:rPr>
        <w:footnoteReference w:id="188"/>
      </w:r>
      <w:r>
        <w:rPr>
          <w:rFonts w:ascii="Amiri" w:hAnsi="Amiri" w:eastAsia="Amiri" w:cs="Amiri"/>
          <w:color w:val="111111"/>
          <w:sz w:val="28"/>
          <w:sz w:val="28"/>
          <w:szCs w:val="28"/>
          <w:rtl w:val="true"/>
          <w:lang w:bidi="ar-SA"/>
        </w:rPr>
        <w:t>وَ ما هُوَ إِلَّا ذِکْرٌ لِلْعالَمِینَ</w:t>
      </w:r>
      <w:r>
        <w:rPr>
          <w:rStyle w:val="FootnoteAnchor"/>
          <w:rtl w:val="true"/>
        </w:rPr>
        <w:footnoteReference w:id="189"/>
      </w:r>
      <w:r>
        <w:rPr>
          <w:rFonts w:ascii="Amiri" w:hAnsi="Amiri" w:eastAsia="Amiri" w:cs="Amiri"/>
          <w:color w:val="111111"/>
          <w:sz w:val="28"/>
          <w:sz w:val="28"/>
          <w:szCs w:val="28"/>
          <w:rtl w:val="true"/>
          <w:lang w:bidi="ar-SA"/>
        </w:rPr>
        <w:t>هُدیً وَ رَحْمَةً</w:t>
      </w:r>
      <w:r>
        <w:rPr>
          <w:rStyle w:val="FootnoteAnchor"/>
          <w:rtl w:val="true"/>
        </w:rPr>
        <w:footnoteReference w:id="190"/>
      </w:r>
      <w:r>
        <w:rPr>
          <w:rFonts w:ascii="Amiri" w:hAnsi="Amiri" w:eastAsia="Amiri" w:cs="Amiri"/>
          <w:color w:val="111111"/>
          <w:sz w:val="28"/>
          <w:sz w:val="28"/>
          <w:szCs w:val="28"/>
          <w:rtl w:val="true"/>
          <w:lang w:bidi="ar-SA"/>
        </w:rPr>
        <w:t>وَ إِذا تُتْلی عَلَیْهِمْ آیاتُنا بَیِّناتٍ</w:t>
      </w:r>
      <w:r>
        <w:rPr>
          <w:rStyle w:val="FootnoteAnchor"/>
          <w:rtl w:val="true"/>
        </w:rPr>
        <w:footnoteReference w:id="191"/>
      </w:r>
      <w:r>
        <w:rPr>
          <w:rFonts w:ascii="Amiri" w:hAnsi="Amiri" w:eastAsia="Amiri" w:cs="Amiri"/>
          <w:color w:val="111111"/>
          <w:sz w:val="28"/>
          <w:sz w:val="28"/>
          <w:szCs w:val="28"/>
          <w:rtl w:val="true"/>
          <w:lang w:bidi="ar-SA"/>
        </w:rPr>
        <w:t>و قُرْآناً عَرَبِیًّا</w:t>
      </w:r>
      <w:r>
        <w:rPr>
          <w:rStyle w:val="FootnoteAnchor"/>
          <w:rtl w:val="true"/>
        </w:rPr>
        <w:footnoteReference w:id="192"/>
      </w:r>
      <w:r>
        <w:rPr>
          <w:rFonts w:ascii="Amiri" w:hAnsi="Amiri" w:eastAsia="Amiri" w:cs="Amiri"/>
          <w:color w:val="111111"/>
          <w:sz w:val="28"/>
          <w:sz w:val="28"/>
          <w:szCs w:val="28"/>
          <w:rtl w:val="true"/>
          <w:lang w:bidi="ar-SA"/>
        </w:rPr>
        <w:t>، و بِلِسانِ قَوْمِهِ</w:t>
      </w:r>
      <w:r>
        <w:rPr>
          <w:rStyle w:val="FootnoteAnchor"/>
          <w:rtl w:val="true"/>
        </w:rPr>
        <w:footnoteReference w:id="193"/>
      </w:r>
      <w:r>
        <w:rPr>
          <w:rFonts w:ascii="Amiri" w:hAnsi="Amiri" w:eastAsia="Amiri" w:cs="Amiri"/>
          <w:color w:val="111111"/>
          <w:sz w:val="28"/>
          <w:sz w:val="28"/>
          <w:szCs w:val="28"/>
          <w:rtl w:val="true"/>
          <w:lang w:bidi="ar-SA"/>
        </w:rPr>
        <w:t>، و فیه تِبْیاناً لِکُلِّ شَیْ‌ءٍ</w:t>
      </w:r>
      <w:r>
        <w:rPr>
          <w:rStyle w:val="FootnoteAnchor"/>
          <w:rtl w:val="true"/>
        </w:rPr>
        <w:footnoteReference w:id="194"/>
      </w:r>
      <w:r>
        <w:rPr>
          <w:rFonts w:ascii="Amiri" w:hAnsi="Amiri" w:eastAsia="Amiri" w:cs="Amiri"/>
          <w:color w:val="111111"/>
          <w:sz w:val="28"/>
          <w:sz w:val="28"/>
          <w:szCs w:val="28"/>
          <w:rtl w:val="true"/>
          <w:lang w:bidi="ar-SA"/>
        </w:rPr>
        <w:t>ما فَرَّطْنا فِی الْکِتابِ مِنْ شَیْ‌ءٍ</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الآیات المستفیضة، الصریحة فی حجّیة القرآن بنفسه و لو فی الجملة، و هذه الدلالة قطعیّة بملاحظة سیاقها، أو بورود التفسیر فیها، فلا دور، و لا مصادرة فی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السنّة فوجوه من القول، و وجوه من الفعل، و وجوه من التقریر، التی اشیر إلی تفصیلها فی الفصول</w:t>
      </w:r>
      <w:r>
        <w:rPr>
          <w:rStyle w:val="FootnoteAnchor"/>
          <w:rtl w:val="true"/>
        </w:rPr>
        <w:footnoteReference w:id="196"/>
      </w:r>
      <w:r>
        <w:rPr>
          <w:rFonts w:ascii="IRNazanin" w:hAnsi="IRNazanin" w:eastAsia="IRNazanin"/>
          <w:color w:val="111111"/>
          <w:sz w:val="28"/>
          <w:sz w:val="28"/>
          <w:szCs w:val="28"/>
          <w:rtl w:val="true"/>
          <w:lang w:bidi="fa-IR"/>
        </w:rPr>
        <w:t>و القوانین</w:t>
      </w:r>
      <w:r>
        <w:rPr>
          <w:rStyle w:val="FootnoteAnchor"/>
          <w:rtl w:val="true"/>
        </w:rPr>
        <w:footnoteReference w:id="197"/>
      </w:r>
      <w:r>
        <w:rPr>
          <w:rFonts w:ascii="IRNazanin" w:hAnsi="IRNazanin" w:eastAsia="IRNazanin"/>
          <w:color w:val="111111"/>
          <w:sz w:val="28"/>
          <w:sz w:val="28"/>
          <w:szCs w:val="28"/>
          <w:rtl w:val="true"/>
          <w:lang w:bidi="fa-IR"/>
        </w:rPr>
        <w:t>و المتن</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من الإجماع فیکفی ما فی الفصول من أنّه اتفق علماء الإسلام </w:t>
      </w:r>
      <w:bookmarkStart w:id="268" w:name="pg12850_121223"/>
    </w:p>
    <w:p>
      <w:pPr>
        <w:pStyle w:val="BookText"/>
        <w:rPr/>
      </w:pPr>
      <w:bookmarkEnd w:id="268"/>
      <w:r>
        <w:rPr>
          <w:rFonts w:ascii="IRNazanin" w:hAnsi="IRNazanin" w:eastAsia="IRNazanin"/>
          <w:color w:val="111111"/>
          <w:sz w:val="28"/>
          <w:sz w:val="28"/>
          <w:szCs w:val="28"/>
          <w:rtl w:val="true"/>
          <w:lang w:bidi="fa-IR"/>
        </w:rPr>
        <w:t>و المنتسبین إلیه من الأنام علی حجّیة الکتاب الکریم و القرآن العظیم، و المنکر لحجّیته مخالف لضرورة الدین، و ربما خرج به عن فرقة المسلمین</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فقد جرت طریقة العلماء من الموافقین و المخالفین علی التمسک بالکتاب المبین، و الرجوع إلیه فی مقام التنازع فی مباحث الدین، و لهذا لا یری لهذه المسألة عنوان فی کتب المتقدّمین مع تداول احتجاجهم به و رکونهم إلیه؛ و لیس ذلک إلّا لعدّهم حجّیته من المطالب الضروریّة و المباحث البدیهیّة بعد ثبوت حقیقة الشریعة، إلی أن انتهت النوبة إلی جماعة من متأخّر الأخباریة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مثل هذا الاتّفاق کاشف عن قول رؤسائهم و تقریرهم إیّاهم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العقل فیکفی قاعدة اللطف حیث لا إشکال فی أنّ حجّیته ممّا یقرّب العباد إلی الطاعة و الإرشاد و الهدایة، و یبعّدهم عن المعصیة و 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الاستقراء حیث إنّه لا شکّ فی أنّ جمیع الکتب السماویّة من التوراة و الإنجیل و الزبور و غیرها کانت حجّة بنفسها فکذا القرآن العظیم بالطریق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لو لم یکن ألفاظ الکتاب فی نفسها حجّة لزم عدم إعجاز القرآن بالفصاحة التی هی من صفات اللفظ، و لا بالبلاغة التی لا تعرض اللفظ إلّا بالقیاس إلی ما ارید به من المعنی، و عدم صحّة طلب المعارضة بالمثل و التحدید بکلام اللّه الحقیقی، و الاتّصاف بکونه ذکرا عربیّا، إلی غیر ذلک ممّا فصّله الفصول</w:t>
      </w:r>
      <w:r>
        <w:rPr>
          <w:rStyle w:val="FootnoteAnchor"/>
          <w:rtl w:val="true"/>
        </w:rPr>
        <w:footnoteReference w:id="200"/>
      </w:r>
      <w:r>
        <w:rPr>
          <w:rFonts w:ascii="IRNazanin" w:hAnsi="IRNazanin" w:eastAsia="IRNazanin"/>
          <w:color w:val="111111"/>
          <w:sz w:val="28"/>
          <w:sz w:val="28"/>
          <w:szCs w:val="28"/>
          <w:rtl w:val="true"/>
          <w:lang w:bidi="fa-IR"/>
        </w:rPr>
        <w:t>و القوانین</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 w:name="__RefHeading___Toc2527194_3224264995"/>
      <w:bookmarkStart w:id="270" w:name="_Toc97"/>
      <w:bookmarkEnd w:id="269"/>
      <w:r>
        <w:rPr>
          <w:rtl w:val="true"/>
        </w:rPr>
        <w:t>[</w:t>
      </w:r>
      <w:r>
        <w:rPr>
          <w:rtl w:val="true"/>
        </w:rPr>
        <w:t>ردّ ما استدل به علی عدم حجّیة ظواهر الکتاب</w:t>
      </w:r>
      <w:r>
        <w:rPr>
          <w:rtl w:val="true"/>
        </w:rPr>
        <w:t>]</w:t>
      </w:r>
      <w:bookmarkEnd w:id="27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الجواب عن الاستدلال بها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 الجواب عنها،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بمعارضتها بما هو أکثر عددا، و أقوی سندا و دلالة و عملا من الآیات و الأخبار، قولا و فعلا و تقریرا، و من </w:t>
      </w:r>
    </w:p>
    <w:p>
      <w:pPr>
        <w:pStyle w:val="BookText"/>
        <w:rPr/>
      </w:pPr>
      <w:r>
        <w:rPr>
          <w:rFonts w:ascii="IRNazanin" w:hAnsi="IRNazanin" w:eastAsia="IRNazanin"/>
          <w:color w:val="111111"/>
          <w:sz w:val="28"/>
          <w:sz w:val="28"/>
          <w:szCs w:val="28"/>
          <w:rtl w:val="true"/>
          <w:lang w:bidi="fa-IR"/>
        </w:rPr>
        <w:t>الإجماع و العقل التی لا یکافئها المعارض من أخبار المنع من التفسیر التی ینبغی طرحها لو لا تواترها، و الجمع بینهما لأجل تواترها بحمل التفسیر علی أحد الوجوه المذکورة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یحتاج إلی شاهد، و لا شاهد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أحد الجموع عند تعدّدها یحتاج إلی شاهد، و أمّا أصل الجمع فلا یحتاج إلی ما وراء اللابدیّة المفروضة من عدم إمکان الطرح فی ما بلغ حدّ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تکافؤهما، لکن لنا علی الجمع بحمل التفسیر أو الرأی علی کلّ من محامله الثلاثة المذکورة فی المتن شاهدا و 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حمل التفسیر علی کشف القناع و المغطّی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 صدقه بتفسیر المتشابهات و المجملات الخارجة عن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فشاهده التتبع فی کتب اللّغة و المحاورات العربیّة فی معنی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حمل الرأی علی کلّ من معنییه المذکورین فی المتن، فشاهده القرائن الداخلیّة و الخارجیّة المذکورة فی المتن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تقریره التمسک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مِنَ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هذا التقریر ما فی الوسائل</w:t>
      </w:r>
      <w:r>
        <w:rPr>
          <w:rStyle w:val="FootnoteAnchor"/>
          <w:rtl w:val="true"/>
        </w:rPr>
        <w:footnoteReference w:id="202"/>
      </w:r>
      <w:r>
        <w:rPr>
          <w:rFonts w:ascii="IRNazanin" w:hAnsi="IRNazanin" w:eastAsia="IRNazanin"/>
          <w:color w:val="111111"/>
          <w:sz w:val="28"/>
          <w:sz w:val="28"/>
          <w:szCs w:val="28"/>
          <w:rtl w:val="true"/>
          <w:lang w:bidi="fa-IR"/>
        </w:rPr>
        <w:t>بسنده إلی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الحسن الرضا یا أبا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تقول فی رجل تزوّج نصرانیّة علی مسلمة؟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ما قولی بین یدیک؟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لتقولنّ فإنّ ذلک یعلم به قولی،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تزویج النصرانیّة علی مسلمة، و لا علی غیر مسلمة، قال</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تَنْکِحُوا الْمُشْرِکاتِ حَتَّی یُؤْمِنَ</w:t>
      </w:r>
      <w:r>
        <w:rPr>
          <w:rStyle w:val="FootnoteAnchor"/>
          <w:rtl w:val="true"/>
        </w:rPr>
        <w:footnoteReference w:id="20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w:t>
      </w:r>
    </w:p>
    <w:p>
      <w:pPr>
        <w:pStyle w:val="BookText"/>
        <w:rPr/>
      </w:pPr>
      <w:r>
        <w:rPr>
          <w:rFonts w:ascii="Amiri" w:hAnsi="Amiri" w:eastAsia="Amiri" w:cs="Amiri"/>
          <w:color w:val="111111"/>
          <w:sz w:val="28"/>
          <w:sz w:val="28"/>
          <w:szCs w:val="28"/>
          <w:rtl w:val="true"/>
          <w:lang w:bidi="ar-SA"/>
        </w:rPr>
        <w:t>تقول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الَّذِینَ أُوتُوا الْکِتابَ مِنْ قَبْلِکُمْ</w:t>
      </w:r>
      <w:r>
        <w:rPr>
          <w:rStyle w:val="FootnoteAnchor"/>
          <w:rtl w:val="true"/>
        </w:rPr>
        <w:footnoteReference w:id="20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تَنْکِحُوا الْمُشْرِکاتِ نسخت هذه الآیة؟ فتبسّم ثمّ سکت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أیضا أنّ آیة حلّ المحصنات من الذین اوتوا الکتاب نسخت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تَنْکِحُوا الْمُشْرِکاتِ، فی خبر</w:t>
      </w:r>
      <w:r>
        <w:rPr>
          <w:rStyle w:val="FootnoteAnchor"/>
          <w:rtl w:val="true"/>
        </w:rPr>
        <w:footnoteReference w:id="205"/>
      </w:r>
      <w:r>
        <w:rPr>
          <w:rFonts w:ascii="Amiri" w:hAnsi="Amiri" w:eastAsia="Amiri" w:cs="Amiri"/>
          <w:color w:val="111111"/>
          <w:sz w:val="28"/>
          <w:sz w:val="28"/>
          <w:szCs w:val="28"/>
          <w:rtl w:val="true"/>
          <w:lang w:bidi="ar-SA"/>
        </w:rPr>
        <w:t>، 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تُمْسِکُوا بِعِصَمِ الْکَوافِرِ</w:t>
      </w:r>
      <w:r>
        <w:rPr>
          <w:rStyle w:val="FootnoteAnchor"/>
          <w:rtl w:val="true"/>
        </w:rPr>
        <w:footnoteReference w:id="206"/>
      </w:r>
      <w:r>
        <w:rPr>
          <w:rFonts w:ascii="IRNazanin" w:hAnsi="IRNazanin" w:eastAsia="IRNazanin"/>
          <w:color w:val="111111"/>
          <w:sz w:val="28"/>
          <w:sz w:val="28"/>
          <w:szCs w:val="28"/>
          <w:rtl w:val="true"/>
          <w:lang w:bidi="fa-IR"/>
        </w:rPr>
        <w:t>فی هذا الخبر، و فی خبرین آخرین</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رواه السیّد المرتضی فی رسالة المحکم و المتشابه</w:t>
      </w:r>
      <w:r>
        <w:rPr>
          <w:rStyle w:val="FootnoteAnchor"/>
          <w:rtl w:val="true"/>
        </w:rPr>
        <w:footnoteReference w:id="208"/>
      </w:r>
      <w:r>
        <w:rPr>
          <w:rFonts w:ascii="IRNazanin" w:hAnsi="IRNazanin" w:eastAsia="IRNazanin"/>
          <w:color w:val="111111"/>
          <w:sz w:val="28"/>
          <w:sz w:val="28"/>
          <w:szCs w:val="28"/>
          <w:rtl w:val="true"/>
          <w:lang w:bidi="fa-IR"/>
        </w:rPr>
        <w:t>من العکس و هو ناسخیة آیة تحلیل المحصنات لآیة تحریم المشرکات فحمل علی التقیة، أو الضرورة، أو المستضعفة، أو المتعة، أو علی أنّ آیة لا تنکحوا المشرکات نسخت ما قبلها ثمّ نسختها آیة تحلیل المحصنات بعدها، کما یظهر من روایة السیّد المتقدّمة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لا یظهر إلّا للمتأمّل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منعه بناء علی أنّ عدم سقوط أصل المسح من الامور المرکوزة فی ذهن السائل بالقواعد المعروفة المرکوزة فی ذهن العقلاء، حتی النسوان و الصبیان منهم، من أنّ المیسور لا یسقط بالمعسور و نحوه، فیتعیّن سؤاله و إشکاله حینئذ فی اعتبار المباشرة فی المسح و عدمه، و علی ذلک فمجرد دلالة الآیة علی نفی العسر و الحرج یثبت وجوب المسح علی إصبعه المغطّی بظاهره من دون واسطة التأمّل فی أنّ دلیل الحرج إنّما ینفی من التکلیف مقدار الموجب للحرج و أنّ المقتضی للتکلیف فی ما عداه من الباقی سلیم عن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w:t>
      </w:r>
    </w:p>
    <w:p>
      <w:pPr>
        <w:pStyle w:val="BookText"/>
        <w:rPr/>
      </w:pPr>
      <w:r>
        <w:rPr>
          <w:rFonts w:ascii="IRNazanin" w:hAnsi="IRNazanin" w:eastAsia="IRNazanin"/>
          <w:color w:val="111111"/>
          <w:sz w:val="28"/>
          <w:sz w:val="28"/>
          <w:szCs w:val="28"/>
          <w:rtl w:val="true"/>
          <w:lang w:bidi="fa-IR"/>
        </w:rPr>
        <w:t>فالآیة بظاهرها دالّة علی ما حکم به الإمام علیه السّلام من دون واسطة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هذا الفرض هو الأقرب إلی إحالته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حکم المسح إلی الکتاب مومیا إلی عدم احتیاجه إلی السؤال لوجوده فی ظاهر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تندفع هذه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المعلوم إجمالا هو وجود مخالفات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بوجود مخالفات الظواهر، علم فی الجملة منتزع عمّا بأیدینا بحیث یرتفع ذلک العلم بعد الفحص فضلا عن إبقاء أثره بعده، لا علم إجمالیّ متحقّق کالعلم إجمالا بمخالفة أحد معنی المشترک لمقصود المتکلّم، و أحد الإنائین لإباحة الشارع، و أحد الظاهرین لظاهره کما فی العامّین من وجه، و شبههما من المجملات الذاتیّة أو العرضیّة المتحقّقة إجمالها حتی بعد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فی ما کان المقتضی للعمل هو الظهور خاصّة لا المنضمّ إلی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المقتضی و هو الظهور موجود، و الفحص إنّما هو لدفع المانع؛ لا لإحراز المقتضی حتی ینافی ما ادّعینا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ما یرد ثالثا علی الوجه الثانی للمنع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بطروّ التقیید و التخصّص المستلزم لوجوب الفحص إنّما هو بالنسبة إلی امثالنا، و أمّا بالنسبة إلی الحاضرین مجلس الخطاب فلا، و ذلک أمّا علی القول بعدم تکلیفهم بالمخصّصات و المقیّدات فظاهر، و أمّا علی القول بتکلیفهم بها فلعدم اختفاء قرائنها علیهم، فالدلیل علی فرض تسلیمه أخصّ من المدّعی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احتمال کونها من المتشابه لا ینفع فی الخروج عن الأصل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لو ورد خاصّ بعد عامّ ثمّ شکّ فی مقدار تخصیصه اخذ بالمتیقّن، و نفی الزائد بأصالة العدم، فالمشکوک بعد إحراز الظهور من قبیل المانع المدفوع بالأصل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عدم المانع کأصالة عدم التخصیص إنّما یجری فی ما لو کان کلّ من المانع و التخصّص مسبوقا بالعدم، و أمّا فی ما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الشبهة المصداقیّة و المفهومیّة کما فی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مجری لأصالة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ذکره الماتن من وجهی منع الأخباریة حجّیة الکتاب إنّما هو العمدة فی منعهم، و إلّا فللشیخ الحرّ العاملیّ</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حکی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أخر علی منع حجّیة ظاهر الکتاب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کُنْتُمْ تُحِبُّونَ اللَّهَ فَاتَّبِعُونِی</w:t>
      </w:r>
      <w:r>
        <w:rPr>
          <w:rStyle w:val="FootnoteAnchor"/>
          <w:rtl w:val="true"/>
        </w:rPr>
        <w:footnoteReference w:id="210"/>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رَدُّوهُ إِلَی الرَّسُولِ وَ إِلی أُولِی الْأَمْرِ مِنْهُمْ لَعَلِمَهُ الَّذِینَ یَسْتَنْبِطُونَهُ مِنْهُمْ</w:t>
      </w:r>
      <w:r>
        <w:rPr>
          <w:rStyle w:val="FootnoteAnchor"/>
          <w:rtl w:val="true"/>
        </w:rPr>
        <w:footnoteReference w:id="211"/>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أَنْزَلْنا إِلَیْکَ الذِّکْرَ لِتُبَیِّنَ لِلنَّاسِ</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أمّا عن الأوّل 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الاتّباع ظاهره التأسّی فی الأفعال،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المأموم تبع لإمامه، أی ملحق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الأخذ بظواهر القرآن عین اتّباع الرسول، ضرورة أنّ طریق محاورات الشارع فی تفهیم مقاصده للمخاطبین لم یکن طریقا مخترعا مغایرا لطریق أهل اللسان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الثانی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من الردّ إلی الرسول و إلی 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الامور المتعلّقة بالجهاد من التدبیرات و نحوه، لا ردّ ظواهر القرآن و نصوصه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تنزّلنا فإنّما المراد ردّ الامور الغیر الظاهرة من القرآن کالمتشابهات و المجملات، لا ردّ مطلق الامور، کیف و قد قال سبحانه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تَنازَعْتُمْ فِی شَیْ‌ءٍ فَرُدُّوهُ إِلَی اللَّهِ وَ الرَّسُولِ</w:t>
      </w:r>
      <w:r>
        <w:rPr>
          <w:rStyle w:val="FootnoteAnchor"/>
          <w:rtl w:val="true"/>
        </w:rPr>
        <w:footnoteReference w:id="213"/>
      </w:r>
      <w:r>
        <w:rPr>
          <w:rFonts w:ascii="IRNazanin" w:hAnsi="IRNazanin" w:eastAsia="IRNazanin"/>
          <w:color w:val="111111"/>
          <w:sz w:val="28"/>
          <w:sz w:val="28"/>
          <w:szCs w:val="28"/>
          <w:rtl w:val="true"/>
          <w:lang w:bidi="fa-IR"/>
        </w:rPr>
        <w:t>و الردّ إلی اللّه الردّ إلی محکم کتابه، و الردّ إلی الرسول الأخذ بسنّته الجامعة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الثالث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تبیین الکتاب ظاهر فی إبلاغه المقابل للکتمان، لا تفسیر آیاته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 معناه اللغوی هو الکشف و الإیضاح، إلّا أنّ صدق الکشف و الإیضاح مختصّ بتفسیر مجملاته و متشابهاته، لا نصوصه و ظواهره؛ کیف؟ و لو کان المراد منه تفسیر الکلّ لزم إخلال الرسول فی امتثاله لعدم تفسیره الکلّ للنّاس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مضافا إلی ما فی أصل الاستدلال بظواهر الکتاب علی عدم حجّیة ظواهر الکتاب من الدور، و المصادرة، و ما یلزم من وجوده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الفرق بین وجوه المنع من العمل بظواهر القرآن کون المنع علی ما استدلّ به السیّد الصدر</w:t>
      </w:r>
      <w:r>
        <w:rPr>
          <w:rStyle w:val="FootnoteAnchor"/>
          <w:rtl w:val="true"/>
        </w:rPr>
        <w:footnoteReference w:id="214"/>
      </w:r>
      <w:r>
        <w:rPr>
          <w:rFonts w:ascii="IRNazanin" w:hAnsi="IRNazanin" w:eastAsia="IRNazanin"/>
          <w:color w:val="111111"/>
          <w:sz w:val="28"/>
          <w:sz w:val="28"/>
          <w:szCs w:val="28"/>
          <w:rtl w:val="true"/>
          <w:lang w:bidi="fa-IR"/>
        </w:rPr>
        <w:t>، هو مقتضی الأصل، لاقتضائه الإجمال الذاتیّ فی ظواهر القرآن، و علی سائر وجوه المنع، هو مقتضی خلاف الأصل فی الظواهر لعدم اقتضاء شی‌ء منها الإجمال الذاتیّ، بل غایة اقتضائها هو المانع الخارجیّ، أو الإجمال العرضی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لیست آیة متعلّقة بالفروع أو الاصول إلّا ورد فی بیانها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 مستند هذا 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جملة من الآیات واردة مورد حکم آخر، فلا یمکن التعویل علی عمومها و إطلاقها فی الاستدلال، و جملة منها </w:t>
      </w:r>
      <w:bookmarkStart w:id="271" w:name="pg12850_121229"/>
    </w:p>
    <w:p>
      <w:pPr>
        <w:pStyle w:val="BookText"/>
        <w:rPr/>
      </w:pPr>
      <w:bookmarkEnd w:id="271"/>
      <w:r>
        <w:rPr>
          <w:rFonts w:ascii="IRNazanin" w:hAnsi="IRNazanin" w:eastAsia="IRNazanin"/>
          <w:color w:val="111111"/>
          <w:sz w:val="28"/>
          <w:sz w:val="28"/>
          <w:szCs w:val="28"/>
          <w:rtl w:val="true"/>
          <w:lang w:bidi="fa-IR"/>
        </w:rPr>
        <w:t>ضروریة لا تحتاج إلی الاستدلال، و جملة ثالثة مجملة أو متشابهة لا تنفعنا بحال، و جملة رابعة مخصّصة بما یوجب الوهن و الإشکال، فلا یبقی إلّا أقلّ قلیل لا یصلح للجدال</w:t>
      </w:r>
      <w:r>
        <w:rPr>
          <w:rFonts w:eastAsia="IRNazanin" w:cs="IRNazanin"/>
          <w:color w:val="111111"/>
          <w:sz w:val="28"/>
          <w:szCs w:val="28"/>
          <w:rtl w:val="true"/>
          <w:lang w:bidi="fa-IR"/>
        </w:rPr>
        <w:t>.</w:t>
      </w:r>
    </w:p>
    <w:p>
      <w:pPr>
        <w:pStyle w:val="Heading5"/>
        <w:numPr>
          <w:ilvl w:val="4"/>
          <w:numId w:val="1"/>
        </w:numPr>
        <w:rPr/>
      </w:pPr>
      <w:bookmarkStart w:id="272" w:name="__RefHeading___Toc2527196_3224264995"/>
      <w:bookmarkStart w:id="273" w:name="_Toc98"/>
      <w:bookmarkEnd w:id="272"/>
      <w:r>
        <w:rPr>
          <w:rtl w:val="true"/>
        </w:rPr>
        <w:t>[</w:t>
      </w:r>
      <w:r>
        <w:rPr>
          <w:rtl w:val="true"/>
        </w:rPr>
        <w:t>تواتر القراءات</w:t>
      </w:r>
      <w:r>
        <w:rPr>
          <w:rtl w:val="true"/>
        </w:rPr>
        <w:t>]</w:t>
      </w:r>
      <w:bookmarkEnd w:id="27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أن نقول بتواتر القراءات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تصدّی للإصرار التامّ غیر واحد من أساتیدنا الأعلام وفاقا لجلّ الخواصّ و کلّ العوامّ علی تواتر القرآن عن النبیّ صلی اللّه علیه و آله، کمّا و کیفا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تواتر کمّه فمعناه القطع بورود جمیع موادّه الجوهریّة من الحروف و الکلمات عن مصدر النبوّة، علی وجه لم یتطرّقه التحریف بزیادة و لا 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تواتر کیفه معناه القطع بورود جمیع قراءاته السبع، بل العشر المعروفة إلّا ما شذّ منها عنه صلی اللّه علیه و آله، مستدلّین علی تواتره ببعض الآیات و الأخبار المتشابهة، حسبما فی القوانین</w:t>
      </w:r>
      <w:r>
        <w:rPr>
          <w:rStyle w:val="FootnoteAnchor"/>
          <w:rtl w:val="true"/>
        </w:rPr>
        <w:footnoteReference w:id="215"/>
      </w:r>
      <w:r>
        <w:rPr>
          <w:rFonts w:ascii="IRNazanin" w:hAnsi="IRNazanin" w:eastAsia="IRNazanin"/>
          <w:color w:val="111111"/>
          <w:sz w:val="28"/>
          <w:sz w:val="28"/>
          <w:szCs w:val="28"/>
          <w:rtl w:val="true"/>
          <w:lang w:bidi="fa-IR"/>
        </w:rPr>
        <w:t>عمدته الاستدلال علیه بقضاء توفّر الدواعی نقل ما تضمّن الإعجاز و سائر الفوائد و الأحکام تواترا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تضمن القرآن لتلک الفوائد إنّما یکون سببا لتوفّر الدواعی علی نقله کمّا أو کیفا علی وجه التواتر إذا کان کمّه أو کیفه أمرا منضبطا عند عامّة الناس، فی حال حیاة النبیّ صلی اللّه علیه و آله، و من المعلوم بین الخاصّة و العامّة عدم انضباط کمّه بین الناس فی حال حیاته صلی اللّه علیه و آله فضلا عن انضباط کیفه حتّی یتوفّر الدواعی علی نقله تواترا؛ بل إنّما کان فی حال حیاته أجزاء متفرّقة، عند کلّ واحد من کتّابه الأربعة عشر جزء منها، لأنّهم کانوا فی الأغلب ما یکتبون إلّا ما یتعلّق بالأحکام، و إلّا ما یوحی إلیه فی المحافل و المجالس، و لم یکتب تمام ما کان ینزل علیه حتی فی خلواته و منازله، إلّا أمیر المؤمنین، لأنّه کان یدور معه کیف ما دار، فکان مصحفه أجمع و أتمّ من سائر مصاحف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مضی رسول اللّه صلی اللّه علیه و آله إلی لقاء حبیبه و تفرّقت الأهواء بعده جمع أمیر المؤمنین القرآن کما انزل و شدّه بردائه و أتی به إلی المسجد،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ربّکم کما انزل، فقال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لنا فیه حاجة هذا، عندنا مصحف فلان،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تروه و لن یراه أحد حتی یظهر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أن یحضر عند فلان کلّ ما کان عند الکتّاب و غیرهم من تلک الأجزاء المتفرّقة، فلمّا اجتمعت عند الفلان انتخب منها ما شاء ثمّ طبخ الباقی خوفا من بروزها، و عنادا لما کان فیه من الامور و الأحکام المخالفة لهواه و هوی أقرانه، ثمّ استنسخ ممّا انتخبه سبع نسخ خالیة عن النقط و الإعراب، مع ما فیها من الاختلاف فی الکلمات و الحروف، فحبس منها بالمدینة مصحفا و أرسل إلی کلّ واحد من مکّة و الشام و الکوفة و البصرة و الیمن و البحرین مصحفا مصحفا</w:t>
      </w:r>
      <w:r>
        <w:rPr>
          <w:rStyle w:val="FootnoteAnchor"/>
          <w:rtl w:val="true"/>
        </w:rPr>
        <w:footnoteReference w:id="216"/>
      </w:r>
      <w:r>
        <w:rPr>
          <w:rFonts w:ascii="IRNazanin" w:hAnsi="IRNazanin" w:eastAsia="IRNazanin"/>
          <w:color w:val="111111"/>
          <w:sz w:val="28"/>
          <w:sz w:val="28"/>
          <w:szCs w:val="28"/>
          <w:rtl w:val="true"/>
          <w:lang w:bidi="fa-IR"/>
        </w:rPr>
        <w:t>، فلما دفعت إلیهم المصاحف علی ذلک الحال تصرّفوا فی إعرابها و نقطها و إدغامها و إمالتها، و نحو ذلک من القوانین المختلفة بینهم علی ما یوافق مذاهبهم فی اللغة و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وجه الاختلاف الواقع بین القرّاء فی القراءة علی ما صحّت الأخبار به من جماعة من الخاصّة، بل و من بعض أعاظم علماء العامّة، کما یقف علیه المتتبع فی الکتب المفصّلة فی هذه المسألة</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استظهره غیر واحد من أساتیدنا الأعلام من الإجماع علی تواتر القرآن کمّا و کیفا فإنّما هو إجماع علی جواز العمل و الاستدلال به، و قراءته علی حسب ما یقرأه الناس، لا علی تواتره بالمعنی المتقدّم، کما یشهد علیه جملة من الأخبار</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 التکافؤ لا بدّ من الحکم بالتوقّف و الرجوع إلی غیرهما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لعدم المناص عن ذلک إلی شی‌ء آخر من الترجیح، و لا الجمع، و لا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الترجیح فلعدم المرجّح بالفرض أوّلا، و عدم الحاکم بالترجیح من عقل أو نقل لما سیأتی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الجمع فلأنّه و إن کان أولی من الطرح سیما فی مقطوعی الصدور حیث یکون قطعیّة صدورهما قرینة تأویل ظاهریهما و صرف کلّ منهما عن ظاهره؛ ضرورة عدم مزاحمة الظنّ للقطع، إلّا أنّه لما کان المفروض عدم قرینة معیّنة من العرف و لا من غیره علی تعیین المأوّل إلیه و المصروف إلیه کان المرجع بعد الالتزام بالجمع بین مقطوعی الصدور و صارفیة القطع بالصدور عن ظاهریهما إلی التوقف من جهة تعیین المراد و المصروف إلیه، فکان المآل بالأخرة بعد الالتزام بالجمع و القرینة الصارفة إلی التوقف فی تعیین المصروف إلیه، و الرجوع إلی غیرهما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التخییر بینهما فلأنّه إمّا واقعیّ، أو ظاهری، و الظاهریّ إمّا شرعیّ، أو عقلیّ، و لا مسرح لشی‌ء من أقسامه الثلاثة فی الآیتین المتکافئتین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التخییر الواقعیّ فلتوقّفه علی تنصیص به أو قیام قرینة علیه، مثل ورود التکلیفین فی وقت لا یسع لأکثر من واحد منهما حیث جعل قرینة إرادة التخییر الواقعی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التخییر الظاهریّ الشرعیّ فلاختصاص نصوصه بالخبرین المتعارضین بعد التکافؤ، فلا سبیل لتعدیته إلی الآیتین المتکافئتین إلّا من باب القیاس الذی لیس من مذهبنا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الظاهریّ العقلی فلانحصار حکم العقل به فی مثل تزاحم الواجبین المندرج فی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إنقاذ أحد الغریقین </w:t>
      </w:r>
    </w:p>
    <w:p>
      <w:pPr>
        <w:pStyle w:val="BookText"/>
        <w:rPr/>
      </w:pPr>
      <w:r>
        <w:rPr>
          <w:rFonts w:ascii="IRNazanin" w:hAnsi="IRNazanin" w:eastAsia="IRNazanin"/>
          <w:color w:val="111111"/>
          <w:sz w:val="28"/>
          <w:sz w:val="28"/>
          <w:szCs w:val="28"/>
          <w:rtl w:val="true"/>
          <w:lang w:bidi="fa-IR"/>
        </w:rPr>
        <w:t>المتزاحمین بعد فقد المرجّح، و فی مثل دوران الأمر بین المحذورین کالواجب و الحرام حیث لا مندوحة، بخلاف تعارض الآیتین لبقاء المندوحة و التوقّف فی المراد منهما بالرجوع إلی ثالث، إلّا إذا فرض دورانهما بین المحذورین أیضا کالوجوب و الحرمة فیلحق حینئذ بمورد التخیر العقلیّ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مطلقا بناء علی عدم ثبوت الترجیح 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توجیه ذلک المبنی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الترجیح سواء کان من حیث الدلالة أو السند، إمّا عقلی و یختصّ بتعارض متیقّن الحجّیة لمشکوکه، کترجیح تقلید الأعلم علی غیره و نحوه مما یدور بین وجوبه تعیینا أو تخییرا بینه و بین غیره، فلا یتأتی فی اشتباه الحجّة مع اللاحجّة، کما فی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شرعیّ و یختصّ بتعارض الخبرین، فلا ینهض إلی تعارض الآیتین فضلا عن اشتباه الحجّة مع اللاحجّة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صحّ سند أحد الآیتین أو کلاهما أمکن ترجیح الأصحّ علی الصحیح، و الصحیح علی غیر الصحیح، تعمیما لمورد الترجیح الشرعی للآیة بتنقیح المناط، إلّا أنّ تصحیح السند علی النهج المعتبر فی تصحیح الأخبار مجرّد فرض لا وقوع له ظاهرا فی الآیات؛ لأنّ المفروض تلقّیها من آحاد القرّاء أو الکتّاب الغیر المنضبط حالهم فی الدیانة، فضلا عن الصیانة، و هذا وجه استظهار المصنّف علی ما فی بعض النسخ مبنی عدم الترجیح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أمکن القول بعدم قدحه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من جهة توهّم عدم ابتلاء المکلّف فی طرفی تلک الشبهة المحصورة لیکون العلم الإجمالی باختلال بعض الظواهر من قبیل العلم الإجمالی بنجاسة ما یدخل تحت ابتلاء المکلّف و ما لا یدخل تحت ابتلائه ممّا هو داخل تحت ابتلاء مکلّف آخر فی عدم تنجز ذلک العلم التکلیف علی أحد من العالمین </w:t>
      </w:r>
    </w:p>
    <w:p>
      <w:pPr>
        <w:pStyle w:val="BookText"/>
        <w:rPr/>
      </w:pPr>
      <w:r>
        <w:rPr>
          <w:rFonts w:ascii="IRNazanin" w:hAnsi="IRNazanin" w:eastAsia="IRNazanin"/>
          <w:color w:val="111111"/>
          <w:sz w:val="28"/>
          <w:sz w:val="28"/>
          <w:szCs w:val="28"/>
          <w:rtl w:val="true"/>
          <w:lang w:bidi="fa-IR"/>
        </w:rPr>
        <w:t>به، و رجوعه إلی الشکّ البدویّ بالنسبة إلی کلّ منهما حتی یمنع تلک الدعوی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الأحکام من العبادات و المعاملات و العقود و الإیقاعات و إن لم یدخل تحت ابتلاء مکلّف واحد من المقلّدین، إلّا أنّه داخل تحت ابتلاء کلّ واحد من المفتین لا محالة، و هو کاف فی قدح الاستدلال بظواهر تلک الأحکام، بل إنّما هو من جهة ما أشار إلیه الماتن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باختلال أحد الظواهر بعد احتمال کون الظاهر المصروف عن ظاهره من الظواهر الغیر المتعلّقة بالأحکام، من قبیل العلم الإجمالی الذی لیس لکلا طرفیه أثر فی الرجوع إلی الشکّ البدویّ، کالعلم الإجمالی بوقوع نجاسة فی ما ینفعل بمجرّد ملاقاتها، أو فی ما لا ینفعل بها لکرّیته أو لمسبوقیّته بالنجاسة فی عدم تأثیر ذلک العلم فی ما یحتمل الانفعال و رجوعه إلی الشکّ البدویّ بالنسبة إلیه فی استصحاب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إشارة إلی تقویة ما ذکره بتقریب أنه و لو تنزّلنا إلی فرض العلم الإجمالی باختلال ظواهر خصوص الأحکام شبهة محصورة، إلّا أنّه مع ذلک لا یبعد عدم قدحه فی الاستدلال بواسطة قیام الإجماع و السیرة و النصوص الدالّة قولا و فعلا و تقریرا علی جواز الاستدلال بظواهر الکتاب</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إمّا إشارة إلی تضعیف ما ذکره ببیان الفرق بین العلم الإجمالی باختلال الأحکام و العلم الإجمالی باختلال أحد الظواهر فی أن العلم الإجمالی باختلال بعض الأحکام و إن لم یمنع من استصحاب عدم تنجّز الحکم علی المکلف، إلّا أنّ العلم الإجمالی باختلال أحد الظواهر مخلّ بظهور کلّ واحد من تلک الظواهر المنوط بظهوره الاستدلال، سیما علی القول باعتبار الظواهر من باب الظنّ الشخصیّ سواء کان العلم الإجمالی باختلال أحد الظواهر من قبیل الشبهة </w:t>
      </w:r>
    </w:p>
    <w:p>
      <w:pPr>
        <w:pStyle w:val="BookText"/>
        <w:rPr/>
      </w:pPr>
      <w:r>
        <w:rPr>
          <w:rFonts w:ascii="IRNazanin" w:hAnsi="IRNazanin" w:eastAsia="IRNazanin"/>
          <w:color w:val="111111"/>
          <w:sz w:val="28"/>
          <w:sz w:val="28"/>
          <w:szCs w:val="28"/>
          <w:rtl w:val="true"/>
          <w:lang w:bidi="fa-IR"/>
        </w:rPr>
        <w:t>المحصورة أو الغیر المحصورة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لا یجوز العمل بالعامّ قبل الفحص عن المخصّص عندنا معاشر المشهور، فالعلم الإجمالی باختلال بعض الظواهر، نظیر الظنّ الحاصل من القیاس فی أنّه و إن لم یکن معتبرا فی نفسه إلّا أنّه مخلّ فی اعتبار ما یعتبر فیه عدم الظنّ علی خلافه، فکم من غیر معتبر یخلّ باعتبار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مستلزم لعدم جواز العمل بظواهره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وجه الملازمة فهو ما أشار إلیه الماتن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من تلک الظواهر ظاهر آیات الناهیة عن العمل بالظنّ مطلقا</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وجه بطلان اللازم فلأنّ الغرض من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زیدا فی جمیع ما یخبرک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فأخبرک زید بألف من الأخبار ثمّ أخبر بکذب جمیعها، إن کان هو تصدیق زید فی تلک الأخبار، دون تصدیقه فی تکذیبها، فإفادة ذلک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زیدا فی جمیع ما یخبرک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فرض أن من جملة أخباره هو تکذیب أخباره نقض للغرض، و إن کان الغرض هو تصدیقه فی تکذیبها فإفادة ذلک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قوله کذّبه أشبه شی‌ء بالأکل من القفا فی القبح و عدم صدوره من العاقل إلّا لداعی من الدواعی النادرة، بل المعدومة فی ما نحن فیه من حجّیة الکتاب؛ إذ لا داعی لصدور مثله عن العاقل سوی المزاح و الدعابة و نحوه ممّا لا یتأتی فی مقام البحث عن حجّیة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فرض وجود الدلیل علی حجّیة الظواهر موجب لعدم ظهور الآیات الناهیة فی حرمة العمل بالظواهر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فی القوانین</w:t>
      </w:r>
      <w:r>
        <w:rPr>
          <w:rStyle w:val="FootnoteAnchor"/>
          <w:rtl w:val="true"/>
        </w:rPr>
        <w:footnoteReference w:id="219"/>
      </w:r>
      <w:r>
        <w:rPr>
          <w:rFonts w:ascii="IRNazanin" w:hAnsi="IRNazanin" w:eastAsia="IRNazanin"/>
          <w:color w:val="111111"/>
          <w:sz w:val="28"/>
          <w:sz w:val="28"/>
          <w:szCs w:val="28"/>
          <w:rtl w:val="true"/>
          <w:lang w:bidi="fa-IR"/>
        </w:rPr>
        <w:t>من الإیراد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من وجود الدلیل </w:t>
      </w:r>
    </w:p>
    <w:p>
      <w:pPr>
        <w:pStyle w:val="BookText"/>
        <w:rPr/>
      </w:pPr>
      <w:r>
        <w:rPr>
          <w:rFonts w:ascii="IRNazanin" w:hAnsi="IRNazanin" w:eastAsia="IRNazanin"/>
          <w:color w:val="111111"/>
          <w:sz w:val="28"/>
          <w:sz w:val="28"/>
          <w:szCs w:val="28"/>
          <w:rtl w:val="true"/>
          <w:lang w:bidi="fa-IR"/>
        </w:rPr>
        <w:t>علی حجّیة الظواهر إن کان هو الإجماع القائم علی حجّیة ظواهر الکتاب طرّا، فهو غیر قابل لإخراج ظواهر آیات التحریم عن ظهورها فی العموم، لاستحالة اتحاد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کان إجماعا آخر غیر الإجماع الأوّل فهو خروج عن محلّ الکلام؛ لأنّ غایة ما یسلّم من محلّ الکلام إنّما هو إجماع واحد علی حجّیة الظواهر مطلقا، لا إجماع آخر وراء ذلک الإجماع علی صرف ظواهر آیات التحریم عن شمول ظواهر الکتاب، و لا إجماع ثالث وراء ذلک الإجماعین علی صرف ظواهر آیات التحریم عن شمول نفسها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اختیار الشقّ الأوّل أنّ معقد الإجماع الأوّل لا یشمل ظهور الآیات الناهیة فی حرمة العمل بظواهر الکتاب حتی یحتاج صرف ظهورها عن ذلک إلی إجماع آخر، لکن لا لقصور دلالة اللفظ عن تعمیم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الوجه فی عدم شمول الآیات الناهیة عن العمل بالظنّ لنفسها حتی یدفعه وجود الفارق بینهما بدیهة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لأنّ دخول ظواهر الآیات الناهیة فی معقد الإجماع علی حجّیة الظواهر، یستلزم خروجها، و ما شأنه ذلک لا یصلح أن یدخل لاستلزامه الهذریة و خلوّ الإجماع عن الفائدة، فعدم صلوح دخوله قرینة عدم دخوله، کما أنّ عدم صلوح حمل الأسد علی الحیوان المفترس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إرادة الرجل الشجاع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لدوران الأمر بین دخول الآیات الناهیة فی معقد الإجماع و خروج ما عداه، و بین العکس، و لا ریب أنّ العکس متعیّن لا لمجرد قبح انتهاء التخصیص إلی الواحد، بل لأنّ المقصود من الکلام حینئذ ینحصر فی بیان عدم حجّیة الکتاب، و لا ریب أنّ التعبیر عن هذا المقصود بما یدلّ علی عموم حجّیته قبیح فی الغایة و فضیح إلی النهایة، کما یعلم من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زیدا فی جمیع ما یخبرک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فأخبرک زید بألف من الأخبار ثمّ أخبر بکذب جمیعها، فأراد القائل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هذا الخبر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تقویة عدم شمول الآیات الناهیة لأنفسها بالوجهین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 دلالة اللفظ عن تعمیم نفسه، فإنّ آیات التحریم نظیر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کلامی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قصور موضوعه عن شمول نفسه من جهة تأخیر کلامیة نفسه عقلا عن ثبوت الحکم بالکذب لموضوعه و هو الکلام، و لیست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کلامی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شمول الحکم بالتألیف لنفس القضیة المثبتة للحکم، فإنّ شمول الحکم لنفس القضیة المثبتة للحکم فی هذا المثال إنّما هو من باب تنقیح المناط الخارجیّ المفقود فی ما نحن فیه، لا من باب وفاء عموم اللفظ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دخول نفس الآیات الناهیة فی مفاد الآیات الناهیة یستلزم خروجها عن الإفادة، و ما شأنه ذلک لا یصلح أن یدخل لاستلزامه الهذریة، و خلوّ الآیات الناهیة عن الإفادة فعدم صلوح دخوله قرینة عدم دخوله لو فرضنا إمکان دخوله، کما أنّ عدم صلوح حمل الأسد علی الحیوان المفترس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إرادة الرجل الشجاع دون الحیوان المفترس حسبما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القطع بالحجّیة لا یوجب خروجها عن موضوع الظنّ و اندراجها فی موضوع العلم، بل غایة ما یوجب خروجها عن حکم الظنّ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فبان أنّ خروجها من باب التخصیص لا التخصّص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یمکن توجیه هذا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توجیه هذا التفصیل بوجوه ثلاثة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الظهور اللفظی لیس بحجّة إلّا من باب الظنّ الاطمینانی، و هو الظنّ المتاخم للعلم و لو عادة، و هو لا یحصل إلّا بالنسبة إلی من قصد إفهامه، </w:t>
      </w:r>
    </w:p>
    <w:p>
      <w:pPr>
        <w:pStyle w:val="BookText"/>
        <w:rPr/>
      </w:pPr>
      <w:r>
        <w:rPr>
          <w:rFonts w:ascii="IRNazanin" w:hAnsi="IRNazanin" w:eastAsia="IRNazanin"/>
          <w:color w:val="111111"/>
          <w:sz w:val="28"/>
          <w:sz w:val="28"/>
          <w:szCs w:val="28"/>
          <w:rtl w:val="true"/>
          <w:lang w:bidi="fa-IR"/>
        </w:rPr>
        <w:t>بخلاف من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الظهور اللفظی لیس حجّة إلّا من باب الظنّ الشخصیّ و الفعلیّ، و هو لا یحصل إلّا بالنسبة إلی غیر من قصد إفهامه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المصنّف ممّا یرجع محصّله إلی اعتبار الظهور اللفظیّ من باب الظنّ النوعی الحاصل من أصالة عدم غفلة المتکلّم فی الإفادة، و عدم غفلة المخاطب فی الاستفادة، المختصّ بمن قصد إفهامه بالخطاب، دون الحاصل من أصالة العدم مطلقا، أعنی من أصالة عدم الغفلتین، و من أصالة عدم سائر القرائن المتّصلة و المنفصلة، العقلیة و النقلیة، و عدم التقطیع و عدم التفاوت من جهة النقل بالمعنی لیتمشّی فی غیر من قصد إفهامه 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الوجه أعنی الوجه الأخیر الذی اقتصر المصنّف علیه فی التوجیه إنّما هو ظاهر کلام صاحب القوانین، بل صریحة فی المقامین المذکورین من کتابه</w:t>
      </w:r>
      <w:r>
        <w:rPr>
          <w:rStyle w:val="FootnoteAnchor"/>
          <w:rtl w:val="true"/>
        </w:rPr>
        <w:footnoteReference w:id="220"/>
      </w:r>
      <w:r>
        <w:rPr>
          <w:rFonts w:ascii="IRNazanin" w:hAnsi="IRNazanin" w:eastAsia="IRNazanin"/>
          <w:color w:val="111111"/>
          <w:sz w:val="28"/>
          <w:sz w:val="28"/>
          <w:szCs w:val="28"/>
          <w:rtl w:val="true"/>
          <w:lang w:bidi="fa-IR"/>
        </w:rPr>
        <w:t>، لا أنّه توجیه له من عند المصنّف علی وجه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الذی هو توجیه له علی وجه الإمکان إنّما هو الوجه الأوّل و الثانی، دون الوجه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ینفع فی ردّ هذا التفصیل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لاحتمال کون الاتفاق المذکور تقییدیّا، لأنّه غیر معلوم الجهة، فکما یحتمل أن یکون الاتّفاق المذکور علی العمل بظواهر الکلام فی الدعاوی و الأقاریر و الشهادات و الوصایا و المکاتبات، من جهة حجّیة مطلق أصالة عدم القرینة بالخصوص، کذلک یحتمل أن یکون من جهة حجّیة مطلق الظنّ، أو من جهة احتفاف تلک الموارد بالقرائن العلمیّة المفیدة لکون المقصود فیها بإفهام الکلّ کتألیف المصنّفین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جار فی من لم یقصد، لأنّ أهل 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أنّ القدر المتیقّن من معقد الإجماع إنّما هو من قصد إفهامه، دون من لم یقصد، لاحتمال أن یکون الإجماع بالنسبة إلی من لم یقصد إفهامه تقییدیّا، من جهة استناده إلی حجّیة مطلق الظنّ لا الظنّ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 هذا الاحتمال جدّا؛ أمّا فی المکاتیب فلعدم انسداد باب العلم فی الموضوعات إلّا أن یدّعی الانسداد النوعیّ فیها، کما هو مذهب الخصم، أعنی صاحب القوانین</w:t>
      </w:r>
      <w:r>
        <w:rPr>
          <w:rStyle w:val="FootnoteAnchor"/>
          <w:rtl w:val="true"/>
        </w:rPr>
        <w:footnoteReference w:id="221"/>
      </w:r>
      <w:r>
        <w:rPr>
          <w:rFonts w:ascii="IRNazanin" w:hAnsi="IRNazanin" w:eastAsia="IRNazanin"/>
          <w:color w:val="111111"/>
          <w:sz w:val="28"/>
          <w:sz w:val="28"/>
          <w:szCs w:val="28"/>
          <w:rtl w:val="true"/>
          <w:lang w:bidi="fa-IR"/>
        </w:rPr>
        <w:t>قدّس سرّه فینحصر وجه دفعه حینئذ فی منع الانسداد، سیما الانسداد الشخصیّ بالنسبة إلی کثیر من الأشخاص إن لم یکن أکثرهم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استناد العمل بها إلی القرائن العلمیة المحتفّة بها أبعد جدّا، للعلم بفقدها، کما لا یخفی علی المنصف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الأحکام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کأخبار الأئمّة الصادرة عن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العاملین بها غیر مختصّ بمن یدّعی الانسداد فی الأحکام، بل یعمل من یدّعی الانفتاح و ینکر العمل حتی بأخبار الآحاد، بل و من أصحاب الأئمة حیث استقرّ سیرتهم علی العمل بها أیضا مع انفتاح باب العلم علیهم قطعا، و مع انفتاح باب العلم علیهم کیف یبقی مسرح لاحتمال استناد عملهم بها إلی الانسداد؟</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انسداد باب العلم علیهم فلا نسلّم کونه علّة لحجّیة الظنّ عندهم،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حکمة حجّیة الظنّ؛ إذ فی الاقتصار علی انسداد أبواب المعاش و المعاد یلزم الضیق علی العباد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احتمال کون الانسداد علّة عملهم بمطلق الظواهر، إلّا أنّ مجرد هذا الاحتمال لا ینافی اندراجها فی حکم الظنّ الخاصّ؛ إذ لسنا فی صدد نفی اعتبارها من باب الانسداد حتی یضرّنا الاحتمال، بل فی صدد إثبات اعتبارها بالإجماع دون افتقار إلی دلیل الانسداد، و ثبوت هذا المقدار کاف فی </w:t>
      </w:r>
    </w:p>
    <w:p>
      <w:pPr>
        <w:pStyle w:val="BookText"/>
        <w:rPr/>
      </w:pPr>
      <w:r>
        <w:rPr>
          <w:rFonts w:ascii="IRNazanin" w:hAnsi="IRNazanin" w:eastAsia="IRNazanin"/>
          <w:color w:val="111111"/>
          <w:sz w:val="28"/>
          <w:sz w:val="28"/>
          <w:szCs w:val="28"/>
          <w:rtl w:val="true"/>
          <w:lang w:bidi="fa-IR"/>
        </w:rPr>
        <w:t>إجراء حکم الظنّ الخاصّ علیها و مساواتها مع الظن الخاصّ فی الحکم، أعنی فی عدم جواز التسرّی منه إلی المشکوک، و لا طرحه لو عارض الظنّ، إلی غیر ذلک من آثار الظنّ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دفع احتمال استناد العمل بالظواهر المذکورة إلی حجّیة مطلق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احتمال استناد العمل بها إلی کونها من قبیل تالیف المصنّفین فأبعد من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لم یحتمل ذلک أحد بوفاق من الخصم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فلأنّه لو تمّ کون أخبار الأئمة من قبیل تألیف المصنّفین لتمّ ذلک فی جمیع محاورات العرف ضرورة ان محاورات الأئمّة علیهم السّلام فی تفهیم مقاصدهم لم یکن طریقا مخترعا مغایرا لطریق محاورات أهل العرف فی تفهیم مقاصدهم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ما فی المتن من أنّه لو تمّ ذلک لجری فی الکتاب العزیز، فإنّه أولی بأن یکون من هذا القبیل، فترتفع ثمرة التفصیل المذکور؛ لأنّ المفصّل معترف بأنّ ظاهر الکلام الذی هو من قبیل تألیف المؤلّفین حجّة بالخصوص، لا لدخوله فی مطلق الظنّ، و إنّما کلامه فی اعتبار ظهور الکلام الموجّه إلی مخاطب خاصّ بالنسبة إلی غیره</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یجری فی حقّ الغائبین و إن قلنا بشمول الخطاب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إجرائه فی حقّ الغائبین و إن قلنا بعموم الخطاب لهم إنّما یبتنی علی فرض الخطاب شخصیّا، و التعمیم من جهة التنزیل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فرض کون التعمیم من جهة کون الخطاب نوعیّا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مراد المعمّمین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إجرائه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جعل الفاضل القمیّ و بعض آخر من ثمرات القول بالتعمیم عدم لزوم الفحص علی الغائب عن فهم الحاضر، بل قالوا إنّه </w:t>
      </w:r>
    </w:p>
    <w:p>
      <w:pPr>
        <w:pStyle w:val="BookText"/>
        <w:rPr/>
      </w:pPr>
      <w:r>
        <w:rPr>
          <w:rFonts w:ascii="IRNazanin" w:hAnsi="IRNazanin" w:eastAsia="IRNazanin"/>
          <w:color w:val="111111"/>
          <w:sz w:val="28"/>
          <w:sz w:val="28"/>
          <w:szCs w:val="28"/>
          <w:rtl w:val="true"/>
          <w:lang w:bidi="fa-IR"/>
        </w:rPr>
        <w:t>مکلّف بما یفهم من الخطاب بحسب اصطلاحه و إن خالف فهم الحاضرین و اصطلاحهم</w:t>
      </w:r>
      <w:r>
        <w:rPr>
          <w:rStyle w:val="FootnoteAnchor"/>
          <w:rtl w:val="true"/>
        </w:rPr>
        <w:footnoteReference w:id="223"/>
      </w:r>
      <w:r>
        <w:rPr>
          <w:rFonts w:ascii="IRNazanin" w:hAnsi="IRNazanin" w:eastAsia="IRNazanin"/>
          <w:color w:val="111111"/>
          <w:sz w:val="28"/>
          <w:sz w:val="28"/>
          <w:szCs w:val="28"/>
          <w:rtl w:val="true"/>
          <w:lang w:bidi="fa-IR"/>
        </w:rPr>
        <w:t>إذ لیس فی ترتّب تلک الثمرة علی القول بالتعمیم فساد وراء ما یرجع إلی أصل القول بالتعمیم، حتی یکون الإیراد بمنع ترتّب تلک الثمرة علی القول بالتعمیم أولی من منع أصل القول بالتعمیم، حسبما قرّر تفصیله فی مبحث شمول الخطاب للغائبین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الفحص علی الغائب عن فهم الحاضرین، علی تقدیر تسلیمه، لا یخرج ما یفهمه بعد الفحص عن الظنّ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غایة ما یلزم علی القول بتعمیم الخطاب للغائب مع وجوب الفحص علیه، هو خروج ما یفهم عن الحجّیة المطلقة باشتراط حجّیته بالخصوص بمجری أصالة عدم القرینة بعد الفحص، لا خروجه عن مطلق الحجّیة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أنّ الظنّ الخاصّ و إن کان هو الحاصل من أصالة عدم القرینة، لکن لا من مطلق عدم القرینة، بل إمّا من عدم ما کان وجوده نادرا، کغفلة أحد المخاطبین من الإفادة و الاستفادة المختصّ بمن قصد إفهامه من الحاضرین مجلس الخطاب، و إمّا مرکّب منه و ممّا عداه من الأعدام الغیر النادرة وجودها، کعدم القرائن المنفصلة العقلیّة و النقلیّة، و التقطیع، و حصول التفاوت بالنقل بالمعنی، کما فی الکتب المؤلّفة و الخطابات الشاملة للغائبین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حجّیته بالخصوص علی الأوّل فوفاقیّ، و أمّا علی الثانی فلما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یتمّ المطلوب</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قضیّة تواتر تلک الظواهر حصول القطع بحجّیتها علی المشافهین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قضیة حجّیتها للمشافهین هو حجّیتها لغیر المشافهین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بدلیل الانسداد حتی یکون من الظنون المطلقة، فإنّ الظنّ الخاصّ </w:t>
      </w:r>
      <w:bookmarkStart w:id="274" w:name="pg12850_121241"/>
    </w:p>
    <w:p>
      <w:pPr>
        <w:pStyle w:val="BookText"/>
        <w:rPr/>
      </w:pPr>
      <w:bookmarkEnd w:id="274"/>
      <w:r>
        <w:rPr>
          <w:rFonts w:ascii="IRNazanin" w:hAnsi="IRNazanin" w:eastAsia="IRNazanin"/>
          <w:color w:val="111111"/>
          <w:sz w:val="28"/>
          <w:sz w:val="28"/>
          <w:szCs w:val="28"/>
          <w:rtl w:val="true"/>
          <w:lang w:bidi="fa-IR"/>
        </w:rPr>
        <w:t xml:space="preserve">هو القائم علی حجّیته دلیل خاصّ مع الغضّ عن دلیل الانسداد، و من المعلوم بدیهة أنّ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الأدلّة الخاصّة فلزم أن یکون مدلولها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حجّیة ظنّ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إلینا من جملة الظنون الخاصّة،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فلا یرد ما اورد من أنّا ننقل الکلام فی ظنون الکتاب بالنسبة إلینا بالتقریب الذی فی المتن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هذه الأخبار تفید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للخصم أیضا أن یقول بتوقّف إفادتها القطع علی تواترها عددا، و نصوصیتها دلالة و أنّی لک بإثباتهما؛ لأنّه إن ادّعی بثبوتهما عند المدّعی لها خاصّة رجع إلی الظنّ و المصادرة بالنسبة إلی غیر المدّعی، فینقل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ادّعی ثبوتهما عند الکل فهو ممنوع عند الخصماء المنکرین لدعواه</w:t>
      </w:r>
      <w:r>
        <w:rPr>
          <w:rFonts w:eastAsia="IRNazanin" w:cs="IRNazanin"/>
          <w:color w:val="111111"/>
          <w:sz w:val="28"/>
          <w:szCs w:val="28"/>
          <w:rtl w:val="true"/>
          <w:lang w:bidi="fa-IR"/>
        </w:rPr>
        <w:t>.</w:t>
      </w:r>
    </w:p>
    <w:p>
      <w:pPr>
        <w:pStyle w:val="Heading5"/>
        <w:numPr>
          <w:ilvl w:val="4"/>
          <w:numId w:val="1"/>
        </w:numPr>
        <w:rPr/>
      </w:pPr>
      <w:bookmarkStart w:id="275" w:name="__RefHeading___Toc2527198_3224264995"/>
      <w:bookmarkStart w:id="276" w:name="_Toc99"/>
      <w:bookmarkEnd w:id="275"/>
      <w:r>
        <w:rPr>
          <w:rtl w:val="true"/>
        </w:rPr>
        <w:t>[</w:t>
      </w:r>
      <w:r>
        <w:rPr>
          <w:rtl w:val="true"/>
        </w:rPr>
        <w:t xml:space="preserve">مناقشة کلام الماتن </w:t>
      </w:r>
      <w:r>
        <w:rPr/>
        <w:t>171</w:t>
      </w:r>
      <w:r>
        <w:rPr>
          <w:rtl w:val="true"/>
        </w:rPr>
        <w:t>]</w:t>
      </w:r>
      <w:bookmarkEnd w:id="276"/>
    </w:p>
    <w:p>
      <w:pPr>
        <w:pStyle w:val="BookText"/>
        <w:rPr/>
      </w:pPr>
      <w:r>
        <w:rPr>
          <w:rFonts w:ascii="IRNazanin" w:hAnsi="IRNazanin" w:eastAsia="IRNazanin"/>
          <w:color w:val="111111"/>
          <w:sz w:val="28"/>
          <w:sz w:val="28"/>
          <w:szCs w:val="28"/>
          <w:rtl w:val="true"/>
          <w:lang w:bidi="fa-IR"/>
        </w:rPr>
        <w:t>فتبیّن أنّ کلّ واحد من الوجوه الثلاثة التی اعتمد علیها الماتن فی منع الفرق بین من قصد إفهامه و غیر من قصد، من دعوی الإجماع، و من النقض بظواهر الکلام فی الدعاوی و الأقاریر و الشهادات و غیرها، و من دعوی تواتر الأخبار الدالّة علیه، کلّها وجوه إقناعیة غیر ملزمة للخصم و لا متمشّاة علی مذهب الخصم، کما لا یخفی سیما بعد اعتراف المصنّف فی المتن</w:t>
      </w:r>
      <w:r>
        <w:rPr>
          <w:rStyle w:val="FootnoteAnchor"/>
          <w:rtl w:val="true"/>
        </w:rPr>
        <w:footnoteReference w:id="225"/>
      </w:r>
      <w:r>
        <w:rPr>
          <w:rFonts w:ascii="IRNazanin" w:hAnsi="IRNazanin" w:eastAsia="IRNazanin"/>
          <w:color w:val="111111"/>
          <w:sz w:val="28"/>
          <w:sz w:val="28"/>
          <w:szCs w:val="28"/>
          <w:rtl w:val="true"/>
          <w:lang w:bidi="fa-IR"/>
        </w:rPr>
        <w:t>عند توجیه الفرق بأنّ عدم ما عدا غفلتی المخاطبین من القرائن المنفصلة العقلیة و النقلیة، و تقطیع الأخبار، و حصول التفاوت من جهة النقل بالمعنی کثیرة غیر نادرة، و بأنّه لا یحصل الظنّ من أصالة عدمها بالنسبة إلی غیر من قصد، و علی تقدیر حصول الظنّ منها لا دلیل علی اعتباره إلّا أن یثبت حجّیة أصالة عدم القرینة من باب التعبّد، و دون إثباتها خرط القتاد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فی مقام اعتبار الظنّ الحاصل بهما</w:t>
      </w:r>
      <w:r>
        <w:rPr>
          <w:rFonts w:eastAsia="IRNazanin" w:cs="IRNazanin"/>
          <w:color w:val="111111"/>
          <w:sz w:val="28"/>
          <w:szCs w:val="28"/>
          <w:rtl w:val="true"/>
          <w:lang w:bidi="fa-IR"/>
        </w:rPr>
        <w:t xml:space="preserve">». </w:t>
      </w:r>
      <w:bookmarkStart w:id="277" w:name="pg12850_121242"/>
    </w:p>
    <w:p>
      <w:pPr>
        <w:pStyle w:val="Heading5"/>
        <w:numPr>
          <w:ilvl w:val="4"/>
          <w:numId w:val="1"/>
        </w:numPr>
        <w:rPr/>
      </w:pPr>
      <w:bookmarkStart w:id="278" w:name="__RefHeading___Toc2527200_3224264995"/>
      <w:bookmarkStart w:id="279" w:name="_Toc100"/>
      <w:bookmarkEnd w:id="277"/>
      <w:bookmarkEnd w:id="278"/>
      <w:r>
        <w:rPr>
          <w:rtl w:val="true"/>
        </w:rPr>
        <w:t>[</w:t>
      </w:r>
      <w:r>
        <w:rPr>
          <w:rtl w:val="true"/>
        </w:rPr>
        <w:t>مدلول خبر الثقلین</w:t>
      </w:r>
      <w:r>
        <w:rPr>
          <w:rtl w:val="true"/>
        </w:rPr>
        <w:t>]</w:t>
      </w:r>
      <w:bookmarkEnd w:id="2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المقامین أنّ الأوّل مقام تشخیص حکم وجوب إطاعة الکتاب، و الثانی مقام تشخیص کون الظواهر و المدالیل الظنّیة من موضوع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البیّن أنّ عموم الحکم و إن بلغ ما بلغ لا یشخّص الموضوع، سلّمنا و لکن تشخیص حجّیة ظواهر الکتاب بظاهر خبر الثقلین</w:t>
      </w:r>
      <w:r>
        <w:rPr>
          <w:rStyle w:val="FootnoteAnchor"/>
          <w:rtl w:val="true"/>
        </w:rPr>
        <w:footnoteReference w:id="226"/>
      </w:r>
      <w:r>
        <w:rPr>
          <w:rFonts w:ascii="IRNazanin" w:hAnsi="IRNazanin" w:eastAsia="IRNazanin"/>
          <w:color w:val="111111"/>
          <w:sz w:val="28"/>
          <w:sz w:val="28"/>
          <w:szCs w:val="28"/>
          <w:rtl w:val="true"/>
          <w:lang w:bidi="fa-IR"/>
        </w:rPr>
        <w:t>مصادرة بحتة، و إلیهما الإشارة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 w:name="__RefHeading___Toc2527202_3224264995"/>
      <w:bookmarkStart w:id="281" w:name="_Toc101"/>
      <w:bookmarkEnd w:id="280"/>
      <w:r>
        <w:rPr>
          <w:rtl w:val="true"/>
        </w:rPr>
        <w:t>[</w:t>
      </w:r>
      <w:r>
        <w:rPr>
          <w:rtl w:val="true"/>
        </w:rPr>
        <w:t>تفصیل النظر فی ما أورده صاحب المعالم</w:t>
      </w:r>
      <w:r>
        <w:rPr>
          <w:rtl w:val="true"/>
        </w:rPr>
        <w:t>]</w:t>
      </w:r>
      <w:bookmarkEnd w:id="28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إجماله و اشتباه المراد منه مواقع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إجماله و اشتباه المراد منه فلاحتمال أن یکون منعه حجّیة ظواهر الکتاب بالخصوص، من جهة تفصیله فی الحجّیة الخاصّة بین من قصد إفهامه و من لم یقصد، کما لعلّة الظاهر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أحکام الکتاب کلّها من قبیل خطاب المشافهة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أن یکون من جهة تفصیله فی الحجّیة الخاصّة بین الظهور الحاصل من أصالة عدم القرینة و بین الظهور الحاصل من أصالة عدم قرینیة ما یصلح للقرینیّة، من الامور الموجودة المکتنفة بالظاهر، کما لعلّه الظاهر 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فیحتمل الاعتماد فی تعریفنا لسائرها علی الأمارات المفیدة للظن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فتفصیله فی حجّیة الظواهر بالخصوص علی الأوّل راجع إلی تفصیل صاحب القوانین بین الظهور الحاصل لمن قصد إفهامه و بین الحاصل لغیر من قصد</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الثانی راجع إلی التفصیل المنقول عن الفصول بین الظهور الحاصل من أصالة عدم القرینة و بین الحاصل من أصالة عدم قرینیّة ما یحتمل القرینیة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مواقع النظر من کلامه فأوّلها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فقد السنّة المتواترة، و انقطاع طریق الاطّلاع علی الإجماع من غیر جهة النقل، کما بیّن وجه النظر و المنع فیه فی بحث الإجماع بأبلغ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أنّ انضمام مقدّمة قبح خطاب الحکیم بما له ظاهر و إرادة خلافه إلی ظاهر الکتاب تصیّره مقطوع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النظر و المنع عنه وضوح أنّ الکتاب لو انضمّ إلیه المقدّمة العقلیّة لا یفید القطع حتی یصیر منشأ للإشکال؛ إذ غایة ما یفید قبح خطاب الحکیم بما له ظاهر و هو یرید خلافه، هو القطع باعتبار الکتاب و عدم تعمّد المتکلّم فی إغراء السامع بالجهل، دون القطع بالمراد، و لا القطع بعدم خطأ السامع فی فهم کلام الحکیم، ضرورة انحصار سبیل هذا القطع، إمّا فی لزوم تنبیه السامع و حفظه عن الخطأ فی فهم المراد علی الحکیم من باب اللطف المعلوم بدیهة عدمه بالوجدان و البرهان، و إمّا فی لزوم جعل خطائه منزلة الواقع فی ترتّب آثاره علیه من ذلک الباب المعلوم أنّه تصویب یتبرّأ عنه حتی المصوّبة، لأنّ التصویب الذی یقولون به إنّما هو فی ما لم یقم علیه دلیل من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فقبح خطاب الحکیم بما له ظاهر و إرادة خلافه إنّما یعصم المتکلّم عن تعمّده الخطاب بما له ظاهر و إرادة خلافه فی الإفهام، و لا یعصمه عن الخطأ فی الإفهام فضلا عن أن یعصم السامع عن الخطأ فی الفهم، بل یتعیّن انحصار رفع الخطأ عن کلّ من المخاطبین فی أصالة العدم و الغلبة، و من المعلوم ظنیّة هذا الأصل، و مع ظنیّة الدلیل کیف یتصوّر قطعیّة المدلول؟ و حمل قطعیّة المدلول علی إرادة قطعیة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خلاف صریح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یأباه رفع الید عنه، و تسلیم أنّه ظنّ خاصّ بعد ذلک، فإنّه یستلزم التکرار فی العبارة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تفریعه تسویة الظنّ الحاصل من الکتاب للحاصل من الخبر علی </w:t>
      </w:r>
    </w:p>
    <w:p>
      <w:pPr>
        <w:pStyle w:val="BookText"/>
        <w:rPr/>
      </w:pPr>
      <w:r>
        <w:rPr>
          <w:rFonts w:ascii="IRNazanin" w:hAnsi="IRNazanin" w:eastAsia="IRNazanin"/>
          <w:color w:val="111111"/>
          <w:sz w:val="28"/>
          <w:sz w:val="28"/>
          <w:szCs w:val="28"/>
          <w:rtl w:val="true"/>
          <w:lang w:bidi="fa-IR"/>
        </w:rPr>
        <w:t>قیام الاحتمال الموجب لانتفاء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النظر و المنع فیه، اعترافه فی السؤال بعد تسلیم منع حصول القطع بانضمام المقدّمة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الحاصل من الکتاب من الظنون الخاصّة القائم علی اعتبارها الدلیل الخاصّ من الإجماع و الضرورة، فتفریعه التسویة بعد ذلک علی انتفاء القطع لقیام الاحتمال لا یخلو من الإشکال؛ لوضوح أنّ قیام الاحتمال الموجب لانتفاء القطع لا یوجب التسویة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استظهاره اختصاص الإجماع و الضرورة الدالّین علی الاشتراک فی ما استفید من ظاهر الکتاب بما لم یقم علی خلافه الخبر الجامع للشرائط، فإن استظهاره ذلک غیر وجیه؛ بعد قیامهما علی اشتراکنا فی التکالیف الواقعیة التی من جملتها حکم الواقعة المتّفق فیها المعارضة بین الکتاب و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ذلک مدفوعة؛ لقیام الضرورة 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جوابه أنّ أحکام الکتاب کلّها من قبیل خطاب المشافهة المخصوص بالموجودین زمن الخطاب مناف لما یفهمه ظاهر کلامه فی باب توجّه الخطاب إلی المعدومین و عدمه، من تخصیص النزاع بالخطابات المصدّرة بحرف الخطاب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و أنّه لا نزاع فی شمول الخطابات الغیر المصدّرة بأداة الخطاب للمعدومین،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عَلَی النَّاسِ حِجُّ الْبَیْتِ</w:t>
      </w:r>
      <w:r>
        <w:rPr>
          <w:rStyle w:val="FootnoteAnchor"/>
          <w:rtl w:val="true"/>
        </w:rPr>
        <w:footnoteReference w:id="23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وجه النظر لیس فی مجرّد المنافاة بین کلامیه و إنّما هو فی ما یلزم من حمل کلامه فی مقام الجواب علی ظاهر کلامه فی باب توجّه الخطاب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مقتضی عدم النزاع فی شمول الخطابات الغیر المصدّرة بأداة الخطاب </w:t>
      </w:r>
      <w:bookmarkStart w:id="282" w:name="pg12850_121245"/>
    </w:p>
    <w:p>
      <w:pPr>
        <w:pStyle w:val="BookText"/>
        <w:rPr/>
      </w:pPr>
      <w:bookmarkEnd w:id="282"/>
      <w:r>
        <w:rPr>
          <w:rFonts w:ascii="IRNazanin" w:hAnsi="IRNazanin" w:eastAsia="IRNazanin"/>
          <w:color w:val="111111"/>
          <w:sz w:val="28"/>
          <w:sz w:val="28"/>
          <w:szCs w:val="28"/>
          <w:rtl w:val="true"/>
          <w:lang w:bidi="fa-IR"/>
        </w:rPr>
        <w:t>هو اعتبار تلک الخطابات من باب الظنّ الخاصّ بالنسبة إلینا، و من المعلوم أنّ اعتبار بعض خطابات الکتاب بالنسبة إلینا بالخصوص کاف فی اعتبار کلّها کذلک بضمیمة عدم القول بالفصل، فیثبت فی الجواب، الإشکال بعدم رفعه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حمل ظاهر کلامه الأول علی ظاهر کلامه الثانی لیس بأولی من العکس، بل المتعیّن هو العکس بقرینة أنّ النزاع فی توجّه خطاب المشافهة للمعدومین لیس لفظیّا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یستظهر التفصیل بین الخطاب المصدّر بالأداة و غیر المصدّر بها من مجرّد التمثیل بالمصدّر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نزاع عقلیّ عبارة عن أنّ خطاب المعدوم قبیح أم لا؟ و لا ریب فی شمول ذلک للمصدّر بالأداة و غیره</w:t>
      </w:r>
      <w:r>
        <w:rPr>
          <w:rFonts w:eastAsia="IRNazanin" w:cs="IRNazanin"/>
          <w:color w:val="111111"/>
          <w:sz w:val="28"/>
          <w:szCs w:val="28"/>
          <w:rtl w:val="true"/>
          <w:lang w:bidi="fa-IR"/>
        </w:rPr>
        <w:t>.</w:t>
      </w:r>
    </w:p>
    <w:p>
      <w:pPr>
        <w:pStyle w:val="Heading5"/>
        <w:numPr>
          <w:ilvl w:val="4"/>
          <w:numId w:val="1"/>
        </w:numPr>
        <w:rPr/>
      </w:pPr>
      <w:bookmarkStart w:id="283" w:name="__RefHeading___Toc2527204_3224264995"/>
      <w:bookmarkStart w:id="284" w:name="_Toc102"/>
      <w:bookmarkEnd w:id="283"/>
      <w:r>
        <w:rPr>
          <w:rtl w:val="true"/>
        </w:rPr>
        <w:t>[</w:t>
      </w:r>
      <w:r>
        <w:rPr>
          <w:rtl w:val="true"/>
        </w:rPr>
        <w:t>کیفیة اعتبار الظواهر</w:t>
      </w:r>
      <w:r>
        <w:rPr>
          <w:rtl w:val="true"/>
        </w:rPr>
        <w:t>]</w:t>
      </w:r>
      <w:bookmarkEnd w:id="28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فرق بین إفادته الظنّ بالمراد و عدمها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الحال فی هذا المجال یستدعی الارتجال علی وجه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ظواهر الألفاظ التی من جملتها ظواهر الکتاب هل هو من باب الطریقیّة و الکاشفیّة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الأشهر الأعرف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من باب التعبّد و الموضوعیة، کما هو لازم القائلین بجواز العمل بالعامّ قبل الفحص؟ و علی الطریقیّة أیضا، هل هو من باب الظنّ الفعلیّ و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استقربه علّامة مشایخنا الأعلام وفاقا لغیر واحد من معاصریه و جماعة من مشایخ مشایخه، کصاحب القوانین</w:t>
      </w:r>
      <w:r>
        <w:rPr>
          <w:rStyle w:val="FootnoteAnchor"/>
          <w:rtl w:val="true"/>
        </w:rPr>
        <w:footnoteReference w:id="233"/>
      </w:r>
      <w:r>
        <w:rPr>
          <w:rFonts w:ascii="IRNazanin" w:hAnsi="IRNazanin" w:eastAsia="IRNazanin"/>
          <w:color w:val="111111"/>
          <w:sz w:val="28"/>
          <w:sz w:val="28"/>
          <w:szCs w:val="28"/>
          <w:rtl w:val="true"/>
          <w:lang w:bidi="fa-IR"/>
        </w:rPr>
        <w:t>و الإشارات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من باب الظنّ النوعیّ و الشأنیّ کما علیه بعض آخر من مشایخنا، وفاقا لجماعة منهم الماتن</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الثانی فهل هو من باب الظنّ النوعیّ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المقیّد بعدم وجود الظنّ الغیر المعتبر علی خلافه، کما عن بعض المتأخرین</w:t>
      </w:r>
      <w:r>
        <w:rPr>
          <w:rFonts w:eastAsia="IRNazanin" w:cs="IRNazanin"/>
          <w:color w:val="111111"/>
          <w:sz w:val="28"/>
          <w:szCs w:val="28"/>
          <w:rtl w:val="true"/>
          <w:lang w:bidi="fa-IR"/>
        </w:rPr>
        <w:t xml:space="preserve">. </w:t>
      </w:r>
      <w:bookmarkStart w:id="285" w:name="pg12850_121246"/>
    </w:p>
    <w:p>
      <w:pPr>
        <w:pStyle w:val="BookText"/>
        <w:rPr/>
      </w:pPr>
      <w:bookmarkEnd w:id="285"/>
      <w:r>
        <w:rPr>
          <w:rFonts w:ascii="IRNazanin" w:hAnsi="IRNazanin" w:eastAsia="IRNazanin"/>
          <w:color w:val="111111"/>
          <w:sz w:val="28"/>
          <w:sz w:val="28"/>
          <w:szCs w:val="28"/>
          <w:rtl w:val="true"/>
          <w:lang w:bidi="fa-IR"/>
        </w:rPr>
        <w:t>کما أنّه علی الموضوعیّة أیضا هل هو من باب السببیة المطلقة أم المقیّدة بعدم وجود الظنّ الغیر المعتبر علی خلافه؟ وجوه خمسة و إن لم یخل تعقّل رابعها عن صعوبة؛ لأنّ اعتبار الشی‌ء من باب السببیة لا یتعقل مجامعته الظنّ بالخلاف فضلا عن صدور القول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فالکلام فی المسألة یقع فی ضمن مطالب</w:t>
      </w:r>
      <w:r>
        <w:rPr>
          <w:rFonts w:eastAsia="IRNazanin" w:cs="IRNazanin"/>
          <w:color w:val="111111"/>
          <w:sz w:val="28"/>
          <w:szCs w:val="28"/>
          <w:rtl w:val="true"/>
          <w:lang w:bidi="fa-IR"/>
        </w:rPr>
        <w:t>:</w:t>
      </w:r>
    </w:p>
    <w:p>
      <w:pPr>
        <w:pStyle w:val="Heading5"/>
        <w:numPr>
          <w:ilvl w:val="4"/>
          <w:numId w:val="1"/>
        </w:numPr>
        <w:rPr/>
      </w:pPr>
      <w:bookmarkStart w:id="286" w:name="__RefHeading___Toc2527206_3224264995"/>
      <w:bookmarkStart w:id="287" w:name="_Toc103"/>
      <w:bookmarkEnd w:id="286"/>
      <w:r>
        <w:rPr>
          <w:rtl w:val="true"/>
        </w:rPr>
        <w:t>[</w:t>
      </w:r>
      <w:r>
        <w:rPr>
          <w:rtl w:val="true"/>
        </w:rPr>
        <w:t>الأقوال المتصوّرة فی حجّیة الظواهر غیر مختصّة بحجّیة الظواهر</w:t>
      </w:r>
      <w:r>
        <w:rPr>
          <w:rtl w:val="true"/>
        </w:rPr>
        <w:t>]</w:t>
      </w:r>
      <w:bookmarkEnd w:id="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الوجوه و الأقوال المتصوّرة فی حجّیة الظواهر غیر مختصّة بحجّیة الظواهر، بل هی جاریة و متصوّرة فی حجّیة کلّ ما هو حجّة و معتبر من باب الظنّ الخاصّ من الأسباب و الأمارات الشرعیّة، کالید و السوق و البیّنة و قول العدل و الإجماع المنقول و الشهرة بناء علی حجّیتهما، و غیر متصوّرة فی حجّیة الظواهر و لا غیرها ممّا ذکر بناء علی حجّیتها من باب الظنّ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من هذا المطلب ابتناء النزاع فی کیفیة اعتبار الظواهر و غیرها بتلک الوجوه علی اعتبارها من باب الظنّ الخاصّ، و عدم النزاع فی اعتبارها من باب الظنّ الشخصیّ علی اعتبارها من باب الظنّ المطلق، کما لا یخفی</w:t>
      </w:r>
      <w:r>
        <w:rPr>
          <w:rFonts w:eastAsia="IRNazanin" w:cs="IRNazanin"/>
          <w:color w:val="111111"/>
          <w:sz w:val="28"/>
          <w:szCs w:val="28"/>
          <w:rtl w:val="true"/>
          <w:lang w:bidi="fa-IR"/>
        </w:rPr>
        <w:t>.</w:t>
      </w:r>
    </w:p>
    <w:p>
      <w:pPr>
        <w:pStyle w:val="Heading5"/>
        <w:numPr>
          <w:ilvl w:val="4"/>
          <w:numId w:val="1"/>
        </w:numPr>
        <w:rPr/>
      </w:pPr>
      <w:bookmarkStart w:id="288" w:name="__RefHeading___Toc2527208_3224264995"/>
      <w:bookmarkStart w:id="289" w:name="_Toc104"/>
      <w:bookmarkEnd w:id="288"/>
      <w:r>
        <w:rPr>
          <w:rtl w:val="true"/>
        </w:rPr>
        <w:t>[</w:t>
      </w:r>
      <w:r>
        <w:rPr>
          <w:rtl w:val="true"/>
        </w:rPr>
        <w:t>تحریر محلّ النزاع</w:t>
      </w:r>
      <w:r>
        <w:rPr>
          <w:rtl w:val="true"/>
        </w:rPr>
        <w:t>]</w:t>
      </w:r>
      <w:bookmarkEnd w:id="2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تحریر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النزاع فی کیفیة اعتبار الظواهر نزاع کبرویّ متفرّع علی إحراز الصغری أعنی تشخیص الظهور العرفی لفظا، لا أنّه نزاع صغروی فی تشخیص الظهور العرفی کما توهّم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أیضا أنّ النزاع فی کیفیة اعتبار الظواهر و إن کان یتصوّر تارة من حیث دلالتها، و اخری من حیث صدورها، إلّا أنّ الکلام فی هذا النزاع إنّما هو من الحیثیّة الاولی لا من الحیثیّة الاخری؛ و ذلک لأنّ البحث عن کیفیة اعتبار کلّ شی‌ء فرع الفراغ عن أصل اعتباره، و لما کان المفروغ عنه فی هذا المبحث هو اعتبار دلالة الألفاظ دون اعتبار صدورها، فلا جرم کان البحث هاهنا عن کیفیة </w:t>
      </w:r>
    </w:p>
    <w:p>
      <w:pPr>
        <w:pStyle w:val="BookText"/>
        <w:rPr/>
      </w:pPr>
      <w:r>
        <w:rPr>
          <w:rFonts w:ascii="Amiri" w:hAnsi="Amiri" w:eastAsia="Amiri" w:cs="Amiri"/>
          <w:color w:val="111111"/>
          <w:sz w:val="28"/>
          <w:sz w:val="28"/>
          <w:szCs w:val="28"/>
          <w:rtl w:val="true"/>
          <w:lang w:bidi="ar-SA"/>
        </w:rPr>
        <w:t>اعتبار الدلالة لا الصدور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قد نتعرّض لکیفیة اعتبار الصدور بعد الفراغ عمّا سیأتی من اعتبار أصل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 أنّ توقف بعض العلماء فی العمل بالخبر الصحیح المخالف لفتوی المشهور، أو طرحه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اعترافهم بعدم حجّیة 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دلیلا علی اعتبار دلالة الألفاظ من باب الظنّ الشخصیّ أو السببیة المقیّدة بعدم وجود الظنّ الغیر المعتبر علی خلافه، لاحتمال أن یکون التوقف من جهة مزاحمة الشهرة لصدور الخبر لا لدلالته من عموم و إطلاق بناء علی أنّ ما دلّ من الدلیل علی حجّیة الخبر من حیث السند لا یشمل المخالف للمشهور، و مع الاحتمال یبطل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من الشکّ و الظنّ الغیر المعتبر بخلاف الظاهر فی محلّ النزاع هو الشکّ و الظنّ المتعارفین أعنی الحاصلین من الأسباب العادیة، دون الحاصلین من الأسباب الغیر العادیّة کالشکوک و الظنون الاضافیة المختصّة بالشکّاک و الظنّان، ضرورة عدم موضوعها الحقیقی فضلا عن ثبوت حکم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لک ضعف الاستدلال علی اعتبارها من باب الظنّ النوعیّ ببناء العرف و العقلاء علی استحقاق مؤاخذة العبد المأمور بإکرام العلماء علی وجه العموم إذا ترک إکرام بعضهم معتذرا بعدم الظنّ بإرادتهم، و ذلک لأنّ عدم ظنّه إن استند إلی الأسباب العادیة فاستحقاقه الذمّ و المؤاخذة ممنوع جدّا، و إن استند إلی الأسباب الغیر العادیة فاستحقاقه من جهة عدم العبرة بظنّ الظنّان و شکّ الشکّاک، لا من جهة عدم العبرة بالظنّ الفعلیّ فی حجّیة الظواهر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فرق الوجوه و ثمرة النزاع بین الأقوال</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الاعتبار علی وجه الموضوعیّة و بین الاعتبار علی وجه </w:t>
      </w:r>
    </w:p>
    <w:p>
      <w:pPr>
        <w:pStyle w:val="BookText"/>
        <w:rPr/>
      </w:pPr>
      <w:r>
        <w:rPr>
          <w:rFonts w:ascii="IRNazanin" w:hAnsi="IRNazanin" w:eastAsia="IRNazanin"/>
          <w:color w:val="111111"/>
          <w:sz w:val="28"/>
          <w:sz w:val="28"/>
          <w:szCs w:val="28"/>
          <w:rtl w:val="true"/>
          <w:lang w:bidi="fa-IR"/>
        </w:rPr>
        <w:t>الطریقیّة یظهر فی ترتّب التصویب و الإجزاء بعد کشف الخلاف علی الموضوعیّة، و العکس علی الطریقیة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لزوم الترجیح بما یقرّب إلی الواقع عند فرض التعارض بین الظاهرین علی الطریقیة، و العکس علی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مقاومة ظاهر اللفظ و أصالة عدم القرینة مع سائر الاصول المعتبرة من باب الطریقیّة عند التعارض بناء علی الطریقیّة، لصیرورته علی هذا التقدیر دلیلا اجتهادیّا معارضا لمثله فیقاومه، و عدم مقاومته لها بناء علی الموضوعیّة، لصیرورته علی هذا التقدیر دلیلا فقاهیّا معارضا لدلیل اجتهادی فلا یقاومه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الفرق بین الظنّ الشخصیّ و النوعیّ هو مجامعة الظنّ النوعیّ الحاصل من ظاهر الکلام مع الشکّ بل الظنّ الحاصل من الامور الخارجیّة عنه بالخلاف، و عدم مجامعة الظنّ الفعلیّ للشکّ فضلا عن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الفرق بین المطلق من النوعیّ أو السببیة هو ما یجامعه الظنّ الغیر المعتبر بالخلاف و بین المقیّد منهما هو ما لا یجامعه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فالظنّ الفعلیّ هو ما استفید من اللفظ مع مدخلیّة جمیع ما له دخل فی إفادته من الامور الداخلة المکتنفة به و الخارجة الغیر المکتنفة، و لهذا لا یجامعه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الظنّ النوعیّ ما استفید من ظاهر اللفظ لو خلّی و طبعه و لو بواسطة القرائن المقامیة المکتنفة به، لکن مع الإغماض عن الموانع الخارجیة المفیدة للشکّ أو الظنّ بخلافه، و لهذا جاز أن یجامعهما، لا مع الإغماض عن معارضة مثله له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ذلک فالمعتبر من باب الظنّ النوعیّ لا یقدح فی اعتباره الموانع الخارجیّة المفیدة للشکّ أو الظنّ بخلافه، و أمّا معارضته بمثله فهو قادح فی </w:t>
      </w:r>
      <w:bookmarkStart w:id="290" w:name="pg12850_121249"/>
    </w:p>
    <w:p>
      <w:pPr>
        <w:pStyle w:val="BookText"/>
        <w:rPr/>
      </w:pPr>
      <w:bookmarkEnd w:id="290"/>
      <w:r>
        <w:rPr>
          <w:rFonts w:ascii="IRNazanin" w:hAnsi="IRNazanin" w:eastAsia="IRNazanin"/>
          <w:color w:val="111111"/>
          <w:sz w:val="28"/>
          <w:sz w:val="28"/>
          <w:szCs w:val="28"/>
          <w:rtl w:val="true"/>
          <w:lang w:bidi="fa-IR"/>
        </w:rPr>
        <w:t>اعتباره، إلّا علی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تری المرجع فی تعارض الیدین و نحوه من الأمارات المعتبرة من باب الظنّ النوعیّ إنّما هو إلی التساقط، و الرجوع إلی الأصل أو العموم المشروط اعتباره بعدمه، لا إلی التخییر کما فی تزاحم الحقّین و إنقاذ الغریقین؛ و ذلک لما عرفت من أنّ المعتبر من باب الظنّ النوعیّ معناه إناطة اعتباره بغلبة إیصال نوعه إلی الواقع لو خلّی و طبعه، و من الممتنع غلبة إیصال النوع المعارض بمثله لاستلزامه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الفرق بین الأقوال من حیث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الفرق بینهما من حیث العمل فیظهر فی صورة الشکّ فی ظهور اللفظ من عموم أو إطلاق، و فی صورة الظنّ الغیر المعتبر علی خلاف الظاهر، حیث یرجع فی هاتین الصورتین إلی ظهور الظاهر بناء علی اعتباره من باب الظنّ النوعیّ المطلق أو السببیة المطلقة، و إلی الاصول العملیّة الخارجیّة بناء علی اعتباره من باب آخر، لصیرورة مورد الشکّ بالظاهر أو الظنّ الغیر المعتبر بخلاف الظاهر من موارد عدم الدلیل الراجع فیها إلی الاصول، کما لا یخفی</w:t>
      </w:r>
      <w:r>
        <w:rPr>
          <w:rFonts w:eastAsia="IRNazanin" w:cs="IRNazanin"/>
          <w:color w:val="111111"/>
          <w:sz w:val="28"/>
          <w:szCs w:val="28"/>
          <w:rtl w:val="true"/>
          <w:lang w:bidi="fa-IR"/>
        </w:rPr>
        <w:t>.</w:t>
      </w:r>
    </w:p>
    <w:p>
      <w:pPr>
        <w:pStyle w:val="Heading5"/>
        <w:numPr>
          <w:ilvl w:val="4"/>
          <w:numId w:val="1"/>
        </w:numPr>
        <w:rPr/>
      </w:pPr>
      <w:bookmarkStart w:id="291" w:name="__RefHeading___Toc2527210_3224264995"/>
      <w:bookmarkStart w:id="292" w:name="_Toc105"/>
      <w:bookmarkEnd w:id="291"/>
      <w:r>
        <w:rPr>
          <w:rtl w:val="true"/>
        </w:rPr>
        <w:t>[</w:t>
      </w:r>
      <w:r>
        <w:rPr>
          <w:rtl w:val="true"/>
        </w:rPr>
        <w:t xml:space="preserve">الأصل فی المسألة </w:t>
      </w:r>
      <w:r>
        <w:rPr/>
        <w:t>179</w:t>
      </w:r>
      <w:r>
        <w:rPr>
          <w:rtl w:val="true"/>
        </w:rPr>
        <w:t>]</w:t>
      </w:r>
      <w:bookmarkEnd w:id="292"/>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تأسیس الأصل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الأصل الأصیل فیها مع اعتبار ظواهر الألفاظ من باب الظنّ الفعلیّ، لأنّه المنصرف من الأدلّة اللفظیة و المتیقّن من معقد الأدلّة اللبّیة، بتقریب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الدلیل علی اعتبارها إن کان لفظیّا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کالأخبار و الآیات القائمة علی اعتبار ظواهر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منصرف إلی صورة حصول الظنّ الفعلیّ منه، لأنّه الفرد الغالب لا غیر، و إن کان لبّیا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کإجماع العلماء و بناء العرف و العقلاء کما هو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فالقدر المتیقّن من معقده هو صورة حصول الظنّ الفعلیّ منه لا غیر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زعم أنّ الأصل مع القول باعتبارها من باب الظنّ النوعیّ المطلق لا المقیّد فضلا عن الظنّ الفعلیّ،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حکم العامّ و المطلق حتی </w:t>
      </w:r>
    </w:p>
    <w:p>
      <w:pPr>
        <w:pStyle w:val="BookText"/>
        <w:rPr/>
      </w:pPr>
      <w:r>
        <w:rPr>
          <w:rFonts w:ascii="IRNazanin" w:hAnsi="IRNazanin" w:eastAsia="IRNazanin"/>
          <w:color w:val="111111"/>
          <w:sz w:val="28"/>
          <w:sz w:val="28"/>
          <w:szCs w:val="28"/>
          <w:rtl w:val="true"/>
          <w:lang w:bidi="fa-IR"/>
        </w:rPr>
        <w:t>یثبت المخصّص و المقیّد علما لا ظنّا و لا شکّا، فإخراج صورة الشکّ بحکم العموم و الإطلاق أو الظن الغیر المعتبر بخلافهما عن تحت أدلّة اعتبار ظهور الظاهر من عموم و إطلاق یستلزم تخصیص العامّ و المطلق بصورة عدم الشکّ أو الظنّ بالخلاف، و الأصل عدم التخصّص 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مدفوع؛ لکن لا لمجرّد أنّ الشکّ هنا فی الحادث لا الحدوث و لا لمجرد أنّ استصحاب العموم و الإطلاق من الاستصحابات المثبتة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یترتّب علیها أثر شرعی إلّا بواسطة غیر شرعی، حتی یندفعان بعد التسلیم بعدم تأثیرهما القدح فی اعتبار الاصول اللفظیة و إن أثّراه فی اعتبار الاصول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إنّما هو لوضوح أنّ استصحاب حکم العامّ و المطلق حتی یثبت المخصّص و المقیّد الراجع إلی أصالة عدم التخصیص و التقیید إنّما هو فرع إحراز المقتضی و کون الشکّ فی المانع، لا کون الشکّ فی أصل المقتضی للعموم کما فی ما نحن فیه؛ فإنّ الشکّ فی اعتباره من باب الظنّ النوعیّ المطلق أو المقیّد شکّ فی مقدار تحقّق أصل العموم و عدمه، لا شکّ فی طروّ المانع بعد إحراز المقدار حتی یکون الأصل مع عدم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عدم دلالة ما استدل به الماتن فی المتن علی اعتبارها من باب الظنّ النوعیّ المطلق من ضرورة استصحاب حکم العامّ و المطلق حتی یثبت المخصّص و المقیّد، و إجماعیة أصالة عدم التخصیص و التقیید، لما عرفت من أنّ ذلک فرع إحراز المقتضی، أعنی مقدار العموم و الإطلاق، اللذین هما أول الکلام فی ما نحن فیه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فرض النزاع و الشکّ فی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فی مقدار العموم و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 لما قدّمته فی تحریر محلّ النزاع من کون النزاع فی المسألة کبرویّ متفرّع علی تشخیص الصغری و الفراغ عنه، أعنی تشخیص الظهور </w:t>
      </w:r>
      <w:bookmarkStart w:id="293" w:name="pg12850_121251"/>
    </w:p>
    <w:p>
      <w:pPr>
        <w:pStyle w:val="BookText"/>
        <w:rPr/>
      </w:pPr>
      <w:bookmarkEnd w:id="293"/>
      <w:r>
        <w:rPr>
          <w:rFonts w:ascii="IRNazanin" w:hAnsi="IRNazanin" w:eastAsia="IRNazanin"/>
          <w:color w:val="111111"/>
          <w:sz w:val="28"/>
          <w:sz w:val="28"/>
          <w:szCs w:val="28"/>
          <w:rtl w:val="true"/>
          <w:lang w:bidi="fa-IR"/>
        </w:rPr>
        <w:t>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منافاة بینهما؛ ضرورة أنّ المراد من الشکّ فی المقتضی هنا لیس الشکّ فی أصل الظهور العرفیّ لفظا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أنّ الظهور العرفی من العموم و الإطلاق، مضافا إلی أنّه بحسب اللفظ مقطوع به، لا أثر لاستصحابه علی فرض الشکّ إلّا علی تقدیر اعتباره من باب التعبّد و الموضوعیّة، لا من باب الطریقیّة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من الشکّ فی المقتضی إنّما هو الشکّ فی المقدار المعتبر من ذلک الظهور العرفیّ المتحقّق لفظا، کما لا یخفی</w:t>
      </w:r>
      <w:r>
        <w:rPr>
          <w:rFonts w:eastAsia="IRNazanin" w:cs="IRNazanin"/>
          <w:color w:val="111111"/>
          <w:sz w:val="28"/>
          <w:szCs w:val="28"/>
          <w:rtl w:val="true"/>
          <w:lang w:bidi="fa-IR"/>
        </w:rPr>
        <w:t>.</w:t>
      </w:r>
    </w:p>
    <w:p>
      <w:pPr>
        <w:pStyle w:val="Heading5"/>
        <w:numPr>
          <w:ilvl w:val="4"/>
          <w:numId w:val="1"/>
        </w:numPr>
        <w:rPr/>
      </w:pPr>
      <w:bookmarkStart w:id="294" w:name="__RefHeading___Toc2527212_3224264995"/>
      <w:bookmarkStart w:id="295" w:name="_Toc106"/>
      <w:bookmarkEnd w:id="294"/>
      <w:r>
        <w:rPr>
          <w:rtl w:val="true"/>
        </w:rPr>
        <w:t>[</w:t>
      </w:r>
      <w:r>
        <w:rPr>
          <w:rtl w:val="true"/>
        </w:rPr>
        <w:t>وجوه الأقوال فی کیفیة حجّیة الظواهر</w:t>
      </w:r>
      <w:r>
        <w:rPr>
          <w:rtl w:val="true"/>
        </w:rPr>
        <w:t>]</w:t>
      </w:r>
      <w:bookmarkEnd w:id="295"/>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مدارک الأقوال و بیان 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القول باعتبار الظواهر من باب السببیة و إن کان لازم القائلین بجواز العمل بالعامّ قبل الفحص لا سیما فی الأخبار الوصویة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به جماعة من الأخباریة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مع ذلک ضعیف بالغایة؛ و فضیح إلی النهایة، و معلوم الخلاف بالدرایة و الروایة، حسبما بیّن فی محلّه بما فیه الکفایة و العنایة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باعتبارها من باب الظنّ الفعلیّ فالقائل به غیر واحد من أفاضل المعاصرین، وفاقا لما عن الإشارات</w:t>
      </w:r>
      <w:r>
        <w:rPr>
          <w:rStyle w:val="FootnoteAnchor"/>
          <w:rtl w:val="true"/>
        </w:rPr>
        <w:footnoteReference w:id="235"/>
      </w:r>
      <w:r>
        <w:rPr>
          <w:rFonts w:ascii="IRNazanin" w:hAnsi="IRNazanin" w:eastAsia="IRNazanin"/>
          <w:color w:val="111111"/>
          <w:sz w:val="28"/>
          <w:sz w:val="28"/>
          <w:szCs w:val="28"/>
          <w:rtl w:val="true"/>
          <w:lang w:bidi="fa-IR"/>
        </w:rPr>
        <w:t>و القوانین</w:t>
      </w:r>
      <w:r>
        <w:rPr>
          <w:rStyle w:val="FootnoteAnchor"/>
          <w:rtl w:val="true"/>
        </w:rPr>
        <w:footnoteReference w:id="236"/>
      </w:r>
      <w:r>
        <w:rPr>
          <w:rFonts w:ascii="IRNazanin" w:hAnsi="IRNazanin" w:eastAsia="IRNazanin"/>
          <w:color w:val="111111"/>
          <w:sz w:val="28"/>
          <w:sz w:val="28"/>
          <w:szCs w:val="28"/>
          <w:rtl w:val="true"/>
          <w:lang w:bidi="fa-IR"/>
        </w:rPr>
        <w:t>و علّامة مشایخنا من الأساطین، و حجّتهم علیه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عمدتها الأصل الأصیل المتقدّم علی وجه التفصیل</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الاستشهاد بعدم جواز العمل بالعامّ قبل الفحص و اشتراط العمل به عند المشهور بالفحص المحصّل للظنّ بعدم المخصّص و الیأس عنه، و لو لا اعتبار الظواهر من باب الظنّ الفعلیّ لجاز العمل به قبل الفحص من غیر اشتراطه بتحصیل الظنّ بعدم المخصّص و الیأس عنه؛ ضرورة وجود الظنّ الشأنیّ من عموم العامّ لو خلّی و طبعه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الاستشهاد بما اشتهر نقله علی وجه التسالم لا القدح من اتّفاق الأصحاب علی العمل بشرائع علیّ بن بابویه عند اعوزاز النصوص،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تنزیل فتاویه منزلة النصوص فی تقیید المطلقات و تخصیص العمومات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تنزیل فتاوی غیره و لو کانوا جماعة من العلماء المبرّزین منزلة النصوص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وجه عدا ما احرز من عادته الغالبیة الاقتصار فی الفتوی علی متون النصوص بحذف أسانیدها علی الوجه المفید للظنّ الفعلیّ بظهور الظاهر دون إحراز مثله من غیره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الاستشهاد بتوقّف العلماء فی العمل بالخبر الصحیح المخالف لفتوی المشهور أو طرحه، مع اعترافهم بعدم حجّیة 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w:t>
      </w:r>
      <w:r>
        <w:rPr>
          <w:rStyle w:val="FootnoteAnchor"/>
          <w:rtl w:val="true"/>
        </w:rPr>
        <w:footnoteReference w:id="237"/>
      </w:r>
      <w:r>
        <w:rPr>
          <w:rFonts w:ascii="IRNazanin" w:hAnsi="IRNazanin" w:eastAsia="IRNazanin"/>
          <w:color w:val="111111"/>
          <w:sz w:val="28"/>
          <w:sz w:val="28"/>
          <w:szCs w:val="28"/>
          <w:rtl w:val="true"/>
          <w:lang w:bidi="fa-IR"/>
        </w:rPr>
        <w:t>و ما أشار إلیه الماتن</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القول باعتبارها من باب الظنّ النوعیّ المطلق فالقائل به بعض مشایخنا، وفاقا للماتن و غیر واحد من الأساطین، و الحجّة علیه حسبما یستفاد من المتن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الغیر الأصیل حسبما مرّ</w:t>
      </w:r>
      <w:r>
        <w:rPr>
          <w:rStyle w:val="FootnoteAnchor"/>
          <w:rtl w:val="true"/>
        </w:rPr>
        <w:footnoteReference w:id="239"/>
      </w:r>
      <w:r>
        <w:rPr>
          <w:rFonts w:ascii="IRNazanin" w:hAnsi="IRNazanin" w:eastAsia="IRNazanin"/>
          <w:color w:val="111111"/>
          <w:sz w:val="28"/>
          <w:sz w:val="28"/>
          <w:szCs w:val="28"/>
          <w:rtl w:val="true"/>
          <w:lang w:bidi="fa-IR"/>
        </w:rPr>
        <w:t>فی مقام التأسیس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الأخبار و الآیات المتقدّمة الدالّة علی اعتبار ظواهر الکتاب، مثل خبر الثقلین و أخبار العرض علی الکتاب و نحوه، و بضمیمة عدم القول بالفصل یتمّ الاستدلال بها فی باقی الظواهر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مع ذلک یمکن منع دلالتها بدعوی ورود إطلاقها مورد حکم آخر، أعنی مورد بیان أصل الاعتبار فی الجملة فی مقابل السلب الکلّی، لا مورد بیان کیفیة الاعتبار، کما هو کذلک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بدعوی انصراف إطلاقها إلی صورة إفادتها الظنّ الفعلیّ، لأنّه الغالب وجودا سیما بالنسبة إلی المقصودین بالإفهام الذی هو مورد تلک الأخبار و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بأنّ کلّ ما ذکرنا من بناء العرف و العقلاء علی العمل بها فی مقام الظنّ الفعلیّ جار علی العمل بها فی مقام الظنّ الشأنی المجامع للشکّ، بل الظنّ الغیر المعتبر بالخلاف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أیضا منع دلالته علی المدّعی،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الجریان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جریانه علی العمل بالظنّ المجامع للشکّ أو الظنّ بالخلاف إنّما هو فی ما لو حصل ذلک الشکّ أو الظن بالخلاف من الأسباب الغیر العادیّة، کشکّ الشکّاک و ظنّ الظنّان، لا فی ما لو حصل من الأسباب العادیّة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یجری فیه بناء العقلاء خارج عن محلّ النزاع، و ما هو محلّ النزاع لا یجری فیه بناء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بناء العقلاء دلیل لبّی، و القدر المتیقّن من معقده هو اعتبار الظواهر فی صورة إفادتها الظنّ الفعلیّ دون صورة عدم إفادتها ذلک، فضلا عن صورة وجود الظنّ الغیر المعتبر علی خلافها، سیما إذا تعلّق الظنّ بخلاف الظاهر بلفظ الظاهر أوّلا و بالذات، فإنّ فی هذا الفرض لا یبعد الإجماع علی عکس المدّعی، و هو العمل بظنّ الخلاف و طرح ظهور الظاهر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تعلّق ظنّ الخلاف بظهور الظاهر بواسطة تعلّقه أوّلا بالواقع، أمکن استبعاد دعوی الإجماع علی العمل بذلک الظنّ بالخلاف إلّا أنّه کما یمکن استبعاد الإجماع علی العمل بظنّ الخلاف حینئذ، کذلک یمکن استبعاد الإجماع علی العمل بظهور الظاهر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فالإجماع المدّعی علی العمل بالظاهر من باب الظنّ الشأنیّ المطلق فی الفرض الأول ممنوع، و فی الفرض الثانی محتمل المنع، و هو </w:t>
      </w:r>
    </w:p>
    <w:p>
      <w:pPr>
        <w:pStyle w:val="BookText"/>
        <w:rPr/>
      </w:pPr>
      <w:r>
        <w:rPr>
          <w:rFonts w:ascii="IRNazanin" w:hAnsi="IRNazanin" w:eastAsia="IRNazanin"/>
          <w:color w:val="111111"/>
          <w:sz w:val="28"/>
          <w:sz w:val="28"/>
          <w:szCs w:val="28"/>
          <w:rtl w:val="true"/>
          <w:lang w:bidi="fa-IR"/>
        </w:rPr>
        <w:t>کاف فی الحکم بالمنع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بإجماع العلماء علی العمل بالظواهر من غیر فرق بین الظنّ الفعلیّ و الشأنیّ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المناقشة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الإجماع علی عدم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کونه تحقیقیا لاحتمال کونه تقییدیّا مستندا إلی عدم مانعیّة المانع من الظنّ الفعلیّ، أعنی عدم موهنیّة الشهرة أو الأولویّة القائمة علی خلاف الظاهر فی ظهور ذلک الظاهر، و فی إفادته الظنّ الفعلیّ، نظرا إلی منع أصل الشهرة و الأولویّة المذکورتین، أو ضعف مدرکهما أو معارضتهما بمثلهما، و لو سلّمنا استناده إلی اعتبار الظاهر من باب الظنّ الشأنیّ لا الفعلیّ فإنّما هو من بعض المجمعین، لا کلّهم حتی یتّحد جهة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الإجماع علی عدم الفرق بین وجود الظنّ الفعلیّ و عدمه فإنّما نسلّمه فی الأمارات المعمولة فی الموضوعات کالید و السوق و البیّنة، لا فی أمارات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لأنّه قد یتوسّع فی الموضوعات بما لا یتوسّع فی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ذهب جماعة من الأصحاب إلی التصویب فی الموضوعات مع الإجماع علی بطلانه فی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نأبی من العمل بالید و السوق و البیّنة و نحوها من أمارات الموضوعات فی موارد الشکّ بالإجماع، بل و فی موارد الظنّ الغیر المعتبر بالخلاف بالشهرة، و إنّما الإشکال فی ظواهر الکتاب و السنّة و نحوها من أمارات الأحکام، حیث لا دلیل علی اعتبارها فی مورد الشکّ فضلا عن الظنّ بالخلاف</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استشهد بعض مشایخنا الأعلام للإجماع علی العمل بالظواهر من باب الظنّ النوعیّ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لو لا ذلک لما جاز العمل بالظواهر القائم علی خلافها القیاس و الأولویّة و الشهرة، بل و لا بما لم یقم علی خلافه شی‌ء من ظواهر الکتاب </w:t>
      </w:r>
    </w:p>
    <w:p>
      <w:pPr>
        <w:pStyle w:val="BookText"/>
        <w:rPr/>
      </w:pPr>
      <w:r>
        <w:rPr>
          <w:rFonts w:ascii="IRNazanin" w:hAnsi="IRNazanin" w:eastAsia="IRNazanin"/>
          <w:color w:val="111111"/>
          <w:sz w:val="28"/>
          <w:sz w:val="28"/>
          <w:szCs w:val="28"/>
          <w:rtl w:val="true"/>
          <w:lang w:bidi="fa-IR"/>
        </w:rPr>
        <w:t>و السنّة، بالنسبة إلینا معاشر الغائبین و المعدومین زمن الخطاب الغیر المقصود منه إفهام الغائبین و المعدومین؛ ضرورة تخلّف تلک الظواهر عن الظنّ الفعلیّ المنوط به اعتبارها بالفرض، أمّا تخلف الظواهر القائم علی خلافها القیاس و أخواته فواضح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تخلّف ظواهر الکتاب و السنّة بالنسبة إلینا معاشر المعدومین فلدعوی انحصار حصول الظنّ الفعلیّ بالنسبة إلی أمثالنا فی الخطابات الشفاهیّة، و فی ما یکون من قبیل تألیف المصنّفین، و فی ما یقتضی العادة الاطّلاع و الوقوف علی القرائن المتصلة و المنفصلة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غیر هذه الصور الثلاث من الخطابات التی علم إجمالا وجود القرائن المتصلة أو المنفصلة التی لم تقتض العادة الوقوف و الاطلاع علی کثیر منها لموانع خارجیّة من ظلم الظالمین و کید الحاسدین و الغاصبین فلم یحصل الظنّ الفعلیّ منها، لأمثالنا و لو بذلنا الوسع و الطاقة فی الفحص عنها، مؤیدا بما نقل من أنّ زرارة رحمه اللّه قد حفظ عن المعصوم خمسین ألف حدیثا</w:t>
      </w:r>
      <w:r>
        <w:rPr>
          <w:rStyle w:val="FootnoteAnchor"/>
          <w:rtl w:val="true"/>
        </w:rPr>
        <w:footnoteReference w:id="240"/>
      </w:r>
      <w:r>
        <w:rPr>
          <w:rFonts w:ascii="IRNazanin" w:hAnsi="IRNazanin" w:eastAsia="IRNazanin"/>
          <w:color w:val="111111"/>
          <w:sz w:val="28"/>
          <w:sz w:val="28"/>
          <w:szCs w:val="28"/>
          <w:rtl w:val="true"/>
          <w:lang w:bidi="fa-IR"/>
        </w:rPr>
        <w:t>، و یقرب منه غیر واحد من الصحابة أیضا، مع أنّ الواصل إلینا، و الذی بأیدینا الیوم لم یبلغ معشارا منها، و مع هذا کلّه فکیف یفید استصحاب عدم القرینة و أصالة عدم القرینة الظنّ الفعلیّ بالمراد منها و بظواهرها حتی یکون اعتبارها من بابه و لأجله؟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أفاد فإنّما هو بالنسبة إلی من قصد إفهامه کالمشافهین و تألیف المصنّفین، و بالنسبة إلی ما یقتضی العادة الوقوف و الاطّلاع علی القرائن المحفوفة بها بعد الفحص، و أمّا بالنسبة إلی أمثالنا فلا یفید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فتبیّن من تخلّف تلک الظواهر المعتبرة بالإجماع عن الظنّ الفعلیّ الإجماع علی اعتبار الظواهر من </w:t>
      </w:r>
    </w:p>
    <w:p>
      <w:pPr>
        <w:pStyle w:val="BookText"/>
        <w:rPr/>
      </w:pPr>
      <w:r>
        <w:rPr>
          <w:rFonts w:ascii="IRNazanin" w:hAnsi="IRNazanin" w:eastAsia="IRNazanin"/>
          <w:color w:val="111111"/>
          <w:sz w:val="28"/>
          <w:sz w:val="28"/>
          <w:szCs w:val="28"/>
          <w:rtl w:val="true"/>
          <w:lang w:bidi="fa-IR"/>
        </w:rPr>
        <w:t>باب الظنّ الشأنیّ لا الفعلیّ، انتهی استشهاده دام إرشاده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الإیراد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ملازمة اعتبارها من باب الظنّ الفعلیّ، لعدم اعتبار الظواهر القائم علی خلافها القیاس و الشهرة و عدم اعتبار ظواهر الکتاب و السنّة بالنسبة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منع تخلّف ظواهر الکتاب و السنّة عنه بالنسبة إلینا معاشر الغائبین، فلأنّ ندور المجازات بأنواعها المختلفة بمثابة لا یتخلّف الظنّ الفعلیّ عن الحقائق و ظواهر الخطاب بمجرّد الغیبوبة و عدم المشافهة لها و لو فرض ما فرض من احتمال القرائن التی لم تجر العادة علی اطلاع المتفحّص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منع تخلّف الظواهر القائم علی خلافها القیاس، فلمنع إفادة القیاس الظنّ بالخلاف و لو بملاحظة التعبّد بأدلّة حرمة العمل بالقیاس من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دین اللّه لا یصاب بالعقول</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لا شی‌ء أبعد عن دین اللّه من عقول الناس</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کمنع إفادة کثیر من الشهرات الظنّ بالخلاف أیضا بواسطة الوقوف علی ضعف مدرکها، أو بمعارضتها بمثلها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الإجماع المدّعی علی بطلان اللازم، و هو عدم اعتبار ما یتخلّف عن الظنّ الفعلیّ من تلک الظواهر، کالظاهر القائم علی خلافه الشهرة بناء علی تحقّق تلک الشهرة، أو مطلق ظواهر الکتاب و السنّة بالنسبة إلینا بناء علی التنزل و المماشاة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لا تری نزاع العلماء و توقّفهم فی العمل بالظواهر القائم علی خلافها الشهرة، أو مطلق الظواهر بالنسبة إلی غیر من قصد إفهامه، و مع هذا الخلاف البارز المعروف کیف یدّعی الإجماع و الوفاق؟ بل لو سلّمناه کیف لا یحتمل </w:t>
      </w:r>
      <w:bookmarkStart w:id="296" w:name="pg12850_121257"/>
    </w:p>
    <w:p>
      <w:pPr>
        <w:pStyle w:val="BookText"/>
        <w:rPr/>
      </w:pPr>
      <w:bookmarkEnd w:id="296"/>
      <w:r>
        <w:rPr>
          <w:rFonts w:ascii="IRNazanin" w:hAnsi="IRNazanin" w:eastAsia="IRNazanin"/>
          <w:color w:val="111111"/>
          <w:sz w:val="28"/>
          <w:sz w:val="28"/>
          <w:szCs w:val="28"/>
          <w:rtl w:val="true"/>
          <w:lang w:bidi="fa-IR"/>
        </w:rPr>
        <w:t>التقیید و اختلاف جهة عملهم بالجهات المتقدّمة؟</w:t>
      </w:r>
    </w:p>
    <w:p>
      <w:pPr>
        <w:pStyle w:val="Heading5"/>
        <w:numPr>
          <w:ilvl w:val="4"/>
          <w:numId w:val="1"/>
        </w:numPr>
        <w:rPr/>
      </w:pPr>
      <w:bookmarkStart w:id="297" w:name="__RefHeading___Toc2527214_3224264995"/>
      <w:bookmarkStart w:id="298" w:name="_Toc107"/>
      <w:bookmarkEnd w:id="297"/>
      <w:r>
        <w:rPr>
          <w:rtl w:val="true"/>
        </w:rPr>
        <w:t>[</w:t>
      </w:r>
      <w:r>
        <w:rPr>
          <w:rtl w:val="true"/>
        </w:rPr>
        <w:t>استصحاب العموم و الإطلاق</w:t>
      </w:r>
      <w:r>
        <w:rPr>
          <w:rtl w:val="true"/>
        </w:rPr>
        <w:t>]</w:t>
      </w:r>
      <w:bookmarkEnd w:id="29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یرجع إلی الاستصحاب المصطلح إلّا بالتوجیه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 هذا التوجیه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العموم و الإطلاق بالنسبة إلی التخصیص و التقیید و إن کانا من قبیل المتباینین لا من قبیل الأقلّ و الأکثر التدریجی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یجری فیه الاستصحاب المصطلح، أعنی المعتبر فیه الیقین السابق و الشکّ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یمکن التوجیه بأنّ التخصیص أو التقیید قبل ورود العامّ و المطلق کان متیقّن العدم و بعده مشکوک فیستصحب عدمه، أو بأنّ تعیین الخاصّ و المقیّد أمر زائد مسبوق بالعدم، فیستصحب عدمه عند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التوجیه بکلا وجهیه غیر وجیه؛ ضرورة أنّ الشکّ فی الحادث لا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عالم اللفظ فلأنّ الخاصّ و المقیّد لا یلازمان التأخیر عن العامّ و المطلق، بل کثیرا ما یسبقان العامّ و المطلق فی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عالم القصد و المعنی فلأنّ إرادة کلّ من الخاص و المقیّد إنّما هو بإرادة مستقلّة فی عرض إرادة العامّ و المطلق، لا بإرادة زائدة فی طول إرادة العامّ و المطلق حتی یکون مسبوقا بالعدم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فاستصحاب العموم و الإطلاق بکلا وجهیه معارض بالمثل، و کلّما عورض بالمثل من الاصول فهو غیر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تسلیم جریانه غیر معتبر عند العقلاء فتبیّن أنّ أصالة العموم و الإطلاق لیس من مقتضی الاستصحاب المصطلح، و إنّما هو من مقتضی الغلبة و ندور الخلاف المستقرّ علیه بناء العرف و العقلاء</w:t>
      </w:r>
      <w:r>
        <w:rPr>
          <w:rFonts w:eastAsia="IRNazanin" w:cs="IRNazanin"/>
          <w:color w:val="111111"/>
          <w:sz w:val="28"/>
          <w:szCs w:val="28"/>
          <w:rtl w:val="true"/>
          <w:lang w:bidi="fa-IR"/>
        </w:rPr>
        <w:t>.</w:t>
      </w:r>
    </w:p>
    <w:p>
      <w:pPr>
        <w:pStyle w:val="Heading5"/>
        <w:numPr>
          <w:ilvl w:val="4"/>
          <w:numId w:val="1"/>
        </w:numPr>
        <w:rPr/>
      </w:pPr>
      <w:bookmarkStart w:id="299" w:name="__RefHeading___Toc2527216_3224264995"/>
      <w:bookmarkStart w:id="300" w:name="_Toc108"/>
      <w:bookmarkEnd w:id="299"/>
      <w:r>
        <w:rPr>
          <w:rtl w:val="true"/>
        </w:rPr>
        <w:t>[</w:t>
      </w:r>
      <w:r>
        <w:rPr>
          <w:rtl w:val="true"/>
        </w:rPr>
        <w:t>فی تمیّز الظهور العرفی عن موارد الاجمال</w:t>
      </w:r>
      <w:r>
        <w:rPr>
          <w:rtl w:val="true"/>
        </w:rPr>
        <w:t>]</w:t>
      </w:r>
      <w:bookmarkEnd w:id="30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مرجعه إلی تعیین الظهور العرفیّ و تمیّزه عن موارد الإجمال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کلامنا إنّما کان فی تشخیص کیفیة اعتبار الظواهر بعد إحراز ظهورها، و کلام هذا المفصّل إنّما یرجع إلی تشخیص الظهور العرفیّ و تمیّزه عن </w:t>
      </w:r>
      <w:bookmarkStart w:id="301" w:name="pg12850_121258"/>
    </w:p>
    <w:p>
      <w:pPr>
        <w:pStyle w:val="BookText"/>
        <w:rPr/>
      </w:pPr>
      <w:bookmarkEnd w:id="301"/>
      <w:r>
        <w:rPr>
          <w:rFonts w:ascii="IRNazanin" w:hAnsi="IRNazanin" w:eastAsia="IRNazanin"/>
          <w:color w:val="111111"/>
          <w:sz w:val="28"/>
          <w:sz w:val="28"/>
          <w:szCs w:val="28"/>
          <w:rtl w:val="true"/>
          <w:lang w:bidi="fa-IR"/>
        </w:rPr>
        <w:t>موارد الإجمال، و شتّان ما بینهما؛ فإنّ النزاع فی الثانی نزاع صغرویّ، و فی الأوّل نزاع کبرویّ متفرّع علی الفراغ عن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الأوّل فقد تعرّضنا له تفصیلا علی وجه الارتجال و الإکمال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الثانی ففی إجمال ظهور الظاهر المکتنف بظهور خلافه بواسطة تعارضهما، أو عدم إجماله بواسطة تحکیم ظهوره علی ظهور الطارئ، أو تحکیم ظهور الطارئ علی ظهوره وجوه، بل أقوال، تختلف باختلاف سبب الشکّ فی الظهور الطارئ علی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هذا الإجمال یستدعی الارتجال علی وجه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الشکّ الطارئ علی ظهور الظاهر تارة ینشأ من تعارضه بظاهر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کتعارض ظهور الأمر فی الوجوب مع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الندب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 للجمعة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غسل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 ینشأ من اکتنافه بمشکوک القرینیّة و الصارفیّة و المانعیّة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کاکتناف ظهور اللفظ فی المعنی الحقیقی بشهرته فی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 ینشأ من اکتنافه بما یشکّ فی مقدار قرینیّته و صارفیّته و مانعیّته بعد إحراز قرینیّته فی الجملة، کالجمل المتعدّدة المتعقبة للاستثناء و المخصّص بالمجمل المفهومی الدائر بین الأقلّ و الأکثر</w:t>
      </w:r>
      <w:r>
        <w:rPr>
          <w:rFonts w:eastAsia="IRNazanin" w:cs="IRNazanin"/>
          <w:color w:val="111111"/>
          <w:sz w:val="28"/>
          <w:szCs w:val="28"/>
          <w:rtl w:val="true"/>
          <w:lang w:bidi="fa-IR"/>
        </w:rPr>
        <w:t>.</w:t>
      </w:r>
    </w:p>
    <w:p>
      <w:pPr>
        <w:pStyle w:val="Heading5"/>
        <w:numPr>
          <w:ilvl w:val="4"/>
          <w:numId w:val="1"/>
        </w:numPr>
        <w:rPr/>
      </w:pPr>
      <w:bookmarkStart w:id="302" w:name="__RefHeading___Toc2527218_3224264995"/>
      <w:bookmarkStart w:id="303" w:name="_Toc109"/>
      <w:bookmarkEnd w:id="302"/>
      <w:r>
        <w:rPr>
          <w:rtl w:val="true"/>
        </w:rPr>
        <w:t>[</w:t>
      </w:r>
      <w:r>
        <w:rPr>
          <w:rtl w:val="true"/>
        </w:rPr>
        <w:t>تعارض الظهورین</w:t>
      </w:r>
      <w:r>
        <w:rPr>
          <w:rtl w:val="true"/>
        </w:rPr>
        <w:t>]</w:t>
      </w:r>
      <w:bookmarkEnd w:id="30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الظاهر المعارض بظاهر آخر فبیانه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أنّ الظاهر إن عورض بما هو دونه فی الظهور صرفه عن ظهوره، أو بما هو فوقه فی الظهور صرف هو عن ظهوره، و کان الفائق ظهوره من کل منهما قرینة صارفة لما دونه فی الظهور، کما أنّ أظهریّة المقیّد فی التقیید دون التمثیل من ظهور المطلق فی الإطلاق دون التقیید قرینة صرف المطلق إلی المقیّد دون العکس، و کما أنّ أظهریّة الرمی فی رمی الإنسان دون رمی الحیوان من ظهور الأسد فی الحیوان دون الإنسان قرینة صرف الأسد عن الحیوان إلی الإنسان، دون صرف الرمی إلی رمی الحیوان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أسد یرمی</w:t>
      </w:r>
      <w:r>
        <w:rPr>
          <w:rFonts w:eastAsia="IRNazanin" w:cs="IRNazanin"/>
          <w:color w:val="111111"/>
          <w:sz w:val="28"/>
          <w:szCs w:val="28"/>
          <w:rtl w:val="true"/>
          <w:lang w:bidi="fa-IR"/>
        </w:rPr>
        <w:t xml:space="preserve">». </w:t>
      </w:r>
      <w:bookmarkStart w:id="304" w:name="pg12850_121259"/>
    </w:p>
    <w:p>
      <w:pPr>
        <w:pStyle w:val="BookText"/>
        <w:rPr/>
      </w:pPr>
      <w:bookmarkEnd w:id="304"/>
      <w:r>
        <w:rPr>
          <w:rFonts w:ascii="IRNazanin" w:hAnsi="IRNazanin" w:eastAsia="IRNazanin"/>
          <w:color w:val="111111"/>
          <w:sz w:val="28"/>
          <w:sz w:val="28"/>
          <w:szCs w:val="28"/>
          <w:rtl w:val="true"/>
          <w:lang w:bidi="fa-IR"/>
        </w:rPr>
        <w:t xml:space="preserve">کما لا إشکال فی أنّه إن عورض بما هو مکافئ له فی الظهور کان مقتضی القاعدة التوقّف و الرجوع إلی الاصول العملیة فی مؤدّی الظهورین المتکافئین، و مقتضی إطلاق أخبار العلاج هو الترجیح بالمرجّحات السندیّة، و مع فقدها التخییر، و لا إشکال فی شی‌ء من مقتضاهما إذا لم یکن بین مؤدّی الظهورین المتکافئین عموم من وجه، کما فی تعارض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غسل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الندب مع ظهور الأمر به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بینهما عموم من وجه فقد استشکل فی الترجیح بالسند فی مادّة الاجتماع دون الافتراق، من جهة أنّ سند الموردین واحد و ترجیحه علی سند المعارض یستلزم طرح المعارض رأسا، فالعمل بالمعارض بعد الترجیح فی مورد الافتراق، افتراق للازم عن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یندفع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القول بالتوقف و الرجوع إلی الاصول فی مورد الاجتماع فلعدم طروّه من أوّل الأمر، و أمّا علی القول بالترجیح السندی فلأنّه و إن طرأ أوّلا و فی بادئ النظر إلّا أنّه یرتفع بعد بالنظر إلی مصلحة تعبّدنا الشارع بالترجیح السندی، و تفکیک اللازم عن الملزوم فی الأحکام الشرعیّة غیر عزیز بعد کونه من مقتضی الدلیل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الإشکال فی التفکیک بعد کونه من مقتضی التعبّد بالدلیل الشرعیّ، و لا فی أنّه إن اکتنف الظاهر بمعلوم القرینیّة صرف عن ظهوره، أو بمعلوم عدم القرینیّة لم یصرف، إنّما الإشکال و الخلاف فی المکتنف بمشکوک القرینیّة</w:t>
      </w:r>
      <w:r>
        <w:rPr>
          <w:rFonts w:eastAsia="IRNazanin" w:cs="IRNazanin"/>
          <w:color w:val="111111"/>
          <w:sz w:val="28"/>
          <w:szCs w:val="28"/>
          <w:rtl w:val="true"/>
          <w:lang w:bidi="fa-IR"/>
        </w:rPr>
        <w:t>.</w:t>
      </w:r>
    </w:p>
    <w:p>
      <w:pPr>
        <w:pStyle w:val="Heading5"/>
        <w:numPr>
          <w:ilvl w:val="4"/>
          <w:numId w:val="1"/>
        </w:numPr>
        <w:rPr/>
      </w:pPr>
      <w:bookmarkStart w:id="305" w:name="__RefHeading___Toc2527220_3224264995"/>
      <w:bookmarkStart w:id="306" w:name="_Toc110"/>
      <w:bookmarkEnd w:id="305"/>
      <w:r>
        <w:rPr>
          <w:rtl w:val="true"/>
        </w:rPr>
        <w:t>[</w:t>
      </w:r>
      <w:r>
        <w:rPr>
          <w:rtl w:val="true"/>
        </w:rPr>
        <w:t>الظاهر المکتنف بمشکوک القرینة</w:t>
      </w:r>
      <w:r>
        <w:rPr>
          <w:rtl w:val="true"/>
        </w:rPr>
        <w:t>]</w:t>
      </w:r>
      <w:bookmarkEnd w:id="30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تفصیل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اختلفوا فی أنّ الظاهر المکتنف بمشکوک القرینیّة، هل یعوّل علی ظهوره و یبنی علی عدم قرینیّة مشکوک القرینیة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صورة الشکّ فی أصل وجود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لا یعوّل علی ظهوره، بل یبنی </w:t>
      </w:r>
      <w:bookmarkStart w:id="307" w:name="pg12850_121260"/>
    </w:p>
    <w:p>
      <w:pPr>
        <w:pStyle w:val="BookText"/>
        <w:rPr/>
      </w:pPr>
      <w:bookmarkEnd w:id="307"/>
      <w:r>
        <w:rPr>
          <w:rFonts w:ascii="IRNazanin" w:hAnsi="IRNazanin" w:eastAsia="IRNazanin"/>
          <w:color w:val="111111"/>
          <w:sz w:val="28"/>
          <w:sz w:val="28"/>
          <w:szCs w:val="28"/>
          <w:rtl w:val="true"/>
          <w:lang w:bidi="fa-IR"/>
        </w:rPr>
        <w:t>علی إجمال الظاهر، أم التفصیل بین الشکّ فی قرینیّة الامور المتصلة باللفظ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کشهرة المجاز المشهور، و وقوع الامر عقیب توهّم الحظر، فلا یعوّل علی ظهور اللفظ بل یبنی علی إجماله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الشکّ فی قرینیّة الامور المنفصلة عن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کتعقب العامّ بمجمل منفصل محتمل للتخصیص و عدمه، فیعوّل علی ظهور اللفظ و لا یحکم بإجماله بل یعکس الأمر فیحکم بنفی قرینیّة المشکوک و تحکیم ظهور الظاهر علی إجماله؟ علی وجوه و أقوال، ذهب إلی الأخیر بعض أساتیذنا، وفاقا للماتن، و إلی الأوّل عمدة أساتیذنا الأعلام، و هو الأوفق؛ لأصالة الحقیقة و العموم، و أصالة عدم قرینیّة مشکوک القرینیّة، و عدم صارفیّة مشکوک الصارفیّة، و عدم مانعیّة مشکوک المانعیّة، و عدم مخصّصیة مشکوک المخصّصیّة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یرفع الید عن ظهور الظاهر بمجرد الشکّ فی أصل وجود القرینة لأصالة عدم وجود القرینة کذلک لا یرفع الید عن ظهوره بمجرد الشکّ فی قرینیّة الموجود، لأصالة عدم قرینیّته، من غیر فرق فی مجری أصالة العدم بین اتصال مشکوک القرینیّة و انفصاله، فإذا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تعقّبه علی وجه الاتصال أو الانفصال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اتفق اشتراک زید بین عالم و جاهل حکم ببقاء العامّ علی عمومه، و نفی احتمال التخصیص برفع إجمال المخصّص و حمله علی إرادة زید الجاهل، أخذا بأصالة عدم مخصّصیة مشکوک المخصّصیة، إذ کما أنّ الأصل یقتضی عدم قرینیّة المشکوک فی صورة اتصاله کذلک یقتضی عدمهما فی صورة انفصاله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بین اعتبار الظواهر من باب الظنّ الفعلی أو الشأنی</w:t>
      </w:r>
      <w:r>
        <w:rPr>
          <w:rFonts w:eastAsia="IRNazanin" w:cs="IRNazanin"/>
          <w:color w:val="111111"/>
          <w:sz w:val="28"/>
          <w:szCs w:val="28"/>
          <w:rtl w:val="true"/>
          <w:lang w:bidi="fa-IR"/>
        </w:rPr>
        <w:t>.</w:t>
      </w:r>
    </w:p>
    <w:p>
      <w:pPr>
        <w:pStyle w:val="Heading5"/>
        <w:numPr>
          <w:ilvl w:val="4"/>
          <w:numId w:val="1"/>
        </w:numPr>
        <w:rPr/>
      </w:pPr>
      <w:bookmarkStart w:id="308" w:name="__RefHeading___Toc2527222_3224264995"/>
      <w:bookmarkStart w:id="309" w:name="_Toc111"/>
      <w:bookmarkEnd w:id="308"/>
      <w:r>
        <w:rPr>
          <w:rtl w:val="true"/>
        </w:rPr>
        <w:t>[</w:t>
      </w:r>
      <w:r>
        <w:rPr>
          <w:rtl w:val="true"/>
        </w:rPr>
        <w:t>دراسة التفصیل بین الاتصال بما یحتمل القرینیة و بین انفصاله</w:t>
      </w:r>
      <w:r>
        <w:rPr>
          <w:rtl w:val="true"/>
        </w:rPr>
        <w:t>]</w:t>
      </w:r>
      <w:bookmarkEnd w:id="30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زعمه الماتن قدّس سرّه</w:t>
      </w:r>
      <w:r>
        <w:rPr>
          <w:rStyle w:val="FootnoteAnchor"/>
          <w:rtl w:val="true"/>
        </w:rPr>
        <w:footnoteReference w:id="243"/>
      </w:r>
      <w:r>
        <w:rPr>
          <w:rFonts w:ascii="IRNazanin" w:hAnsi="IRNazanin" w:eastAsia="IRNazanin"/>
          <w:color w:val="111111"/>
          <w:sz w:val="28"/>
          <w:sz w:val="28"/>
          <w:szCs w:val="28"/>
          <w:rtl w:val="true"/>
          <w:lang w:bidi="fa-IR"/>
        </w:rPr>
        <w:t xml:space="preserve">من أنّ عدم توقفهم فی عموم العامّ بمجرد احتمال مخصّصیة ما انفصل عنه دلیل اعتبار الظواهر من باب الظنّ الشأنیّ لا </w:t>
      </w:r>
    </w:p>
    <w:p>
      <w:pPr>
        <w:pStyle w:val="BookText"/>
        <w:rPr/>
      </w:pPr>
      <w:r>
        <w:rPr>
          <w:rFonts w:ascii="IRNazanin" w:hAnsi="IRNazanin" w:eastAsia="IRNazanin"/>
          <w:color w:val="111111"/>
          <w:sz w:val="28"/>
          <w:sz w:val="28"/>
          <w:szCs w:val="28"/>
          <w:rtl w:val="true"/>
          <w:lang w:bidi="fa-IR"/>
        </w:rPr>
        <w:t>الفعلیّ، حیث استدلّ به علی ذلک زاعما عدم حصول الظنّ الفعلیّ من الظاهر المحتمل قرینیّة ما انفصل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احتمال قرینیّة الموجود لو منع من حصول الظنّ الفعلیّ من الظاهر لمنع احتمال وجود أصل القرینة من حصوله أیضا، و اللازم باطل بالوفاق فالملزوم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احتمال أصل وجود القرینة کما أنّه موهوم و غیر مساو لاحتمال عدمه و غیر مانع من الظنّ الفعلیّ بعدمه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ندور وجوده و غلبة الحقیقة علیه المعبّر عنه بأصالة الحقیقة و عدم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احتمال قرینیة الموجود موهوم غیر مساو لاحتمال عدمه، و غیر مانع من الظن الفعلی بعدمه الحاصل من غلبة عدمه و ندور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ندور المجاز و غلبة الحقیقة کما أنّه سبب حصول الظنّ الفعلیّ من أصالة الحقیقة و أصالة عدم القرینة عند الشکّ فی وجود القرینة کذلک سبب لحصوله منه عند الشکّ فی قرینیة الموجود من غیر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الوجدان علی الشکّ فی دخول زید المشترک بین عالم و جاهل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دخوله دون الظنّ بعدم دخوله، إنّما هو فی بدو النظر مع الإغماض عن مجری الأصل المذکور، و أمّا بعد ملاحظة مجری أصالة عدم قرینیّة مشکوک القرینیّة فلا مجال لبقاء أثر ذلک الوجدان بالوجدان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المفصّل بین المتّصل و المنفصل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خروج الظاهر عن ظهوره العرفیّ بمجرد اتصاله بمحتمل القرینیّة و الصارفیة، بحیث لم یبق مسرح للتعویل علی ظهوره و لمجری أصالة عدم قرینیّة محتمل القرینیّة، بخلاف انفصاله عن ذلک، فإنّه لا یخرجه عن ظهوره عرفا، و مرجعه إلی فرض الشکّ فی قرینیة الشی‌ء المتّصل بالظاهر شکّا فی المقتضی الغیر المسبوق بالعدم حتی یستصحب </w:t>
      </w:r>
    </w:p>
    <w:p>
      <w:pPr>
        <w:pStyle w:val="BookText"/>
        <w:rPr/>
      </w:pPr>
      <w:r>
        <w:rPr>
          <w:rFonts w:ascii="IRNazanin" w:hAnsi="IRNazanin" w:eastAsia="IRNazanin"/>
          <w:color w:val="111111"/>
          <w:sz w:val="28"/>
          <w:sz w:val="28"/>
          <w:szCs w:val="28"/>
          <w:rtl w:val="true"/>
          <w:lang w:bidi="fa-IR"/>
        </w:rPr>
        <w:t>عدمه، و فی قرینیة الشی‌ء المنفصل شکّا فی المانع المسبوق بالعدم فیستصحب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 المتصل و المنفصل فی مجری أصالة العموم و أصالة عدم القرینة و القرینیة، إنّما یتمّ لو کان المراد من أصالة العموم و عدم القرینة هو استصحاب العموم و عدم القرینة بالمعنی المصطلح، و قد عرفت فیما مرّ عدم صحة إرادته إلّا بتوجیه غیر وجیه، و انحصار کون المراد منه هو غلبة الحقیقة و ندور المجاز المعوّل علیه فی تشخیص الظهور العرفیّ و تمیّزه عن موارد الإجمال باستقرار بناء العرف و العقلاء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فدعوی الفرق فی بقاء ظهور الظاهر المنفصل عن محتمل القرینیة دون بقاء ظهور الظاهر المتّصل به إن استند إلی مجری غلبة الحقیقة و ندور المجاز فی المنفصل دون المتصل فهو ممنوع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استند إلی اعتبار غلبة الحقیقة و ندور المجاز عند العرف و العقلاء فی المنفصل دون المتّصل فعلی مدّعی الفرق فی الاعتبار البیّنة، و بیان الفارق، لأنّه النافی و غیره المثبت، و المثبت مقدّم علی النافی، و إذ لیس فلیس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استند إلی دعوی وضع المنفصل عن مشکوک القرینیة للظهور دون المتّصل</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تسلیمه مبنیّ علی الالتزام بالوضع فی المرکّبات وراء الوضع المنتزع عن وضع مفرداتها، فتأمّل، فإنّ وضع الطوارئ الواردة علی الکلمة من الأعاریب و سائر الروابط الموضوعة بإزاء النسب و الربط بین الموضوع و المحمول من ملاحظة التقدیم و التأخیر و نحوهما ممّا لا مجال لإنکاره، و ظاهر منکری الوضع فی المرکّبات هو إنکار ما عدا ذلک، کما حقّق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فی بیان حال ظهور الظاهر المعارض بظاهر آخر و المکتنف </w:t>
      </w:r>
      <w:bookmarkStart w:id="310" w:name="pg12850_121263"/>
    </w:p>
    <w:p>
      <w:pPr>
        <w:pStyle w:val="BookText"/>
        <w:rPr/>
      </w:pPr>
      <w:bookmarkEnd w:id="310"/>
      <w:r>
        <w:rPr>
          <w:rFonts w:ascii="IRNazanin" w:hAnsi="IRNazanin" w:eastAsia="IRNazanin"/>
          <w:color w:val="111111"/>
          <w:sz w:val="28"/>
          <w:sz w:val="28"/>
          <w:szCs w:val="28"/>
          <w:rtl w:val="true"/>
          <w:lang w:bidi="fa-IR"/>
        </w:rPr>
        <w:t>بمشکوک القرینیة و الصارفیة</w:t>
      </w:r>
      <w:r>
        <w:rPr>
          <w:rFonts w:eastAsia="IRNazanin" w:cs="IRNazanin"/>
          <w:color w:val="111111"/>
          <w:sz w:val="28"/>
          <w:szCs w:val="28"/>
          <w:rtl w:val="true"/>
          <w:lang w:bidi="fa-IR"/>
        </w:rPr>
        <w:t>.</w:t>
      </w:r>
    </w:p>
    <w:p>
      <w:pPr>
        <w:pStyle w:val="Heading5"/>
        <w:numPr>
          <w:ilvl w:val="4"/>
          <w:numId w:val="1"/>
        </w:numPr>
        <w:rPr/>
      </w:pPr>
      <w:bookmarkStart w:id="311" w:name="__RefHeading___Toc2527224_3224264995"/>
      <w:bookmarkStart w:id="312" w:name="_Toc112"/>
      <w:bookmarkEnd w:id="311"/>
      <w:r>
        <w:rPr>
          <w:rtl w:val="true"/>
        </w:rPr>
        <w:t>[</w:t>
      </w:r>
      <w:r>
        <w:rPr>
          <w:rtl w:val="true"/>
        </w:rPr>
        <w:t>الظاهر المکتنف بما یشکّ فی مقدار قرینیّته و صارفیّته</w:t>
      </w:r>
      <w:r>
        <w:rPr>
          <w:rtl w:val="true"/>
        </w:rPr>
        <w:t>]</w:t>
      </w:r>
      <w:bookmarkEnd w:id="312"/>
    </w:p>
    <w:p>
      <w:pPr>
        <w:pStyle w:val="BookText"/>
        <w:rPr/>
      </w:pPr>
      <w:r>
        <w:rPr>
          <w:rFonts w:ascii="IRNazanin" w:hAnsi="IRNazanin" w:eastAsia="IRNazanin"/>
          <w:color w:val="111111"/>
          <w:sz w:val="28"/>
          <w:sz w:val="28"/>
          <w:szCs w:val="28"/>
          <w:rtl w:val="true"/>
          <w:lang w:bidi="fa-IR"/>
        </w:rPr>
        <w:t>و أمّا حال ظهور الظاهر المکتنف بما یشکّ فی مقدار قرینیّته و صارفیّته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کالجمل المتعدّدة المتعقّبة للاستثناء، و المخصّص بالمجمل المفهومیّ الدائر بین الأقلّ و الأکثر المقداریّ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أیضا تحکیم ظهوره علی ما عدا القدر المتیقّن من قرینیة المکتنف و صارفیّته، حسبما قرّر فی محلّه بأبلغ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کلّه فی تشخیص الظهور العرفیّ و تمیّزه عن موارد الإجمال</w:t>
      </w:r>
      <w:r>
        <w:rPr>
          <w:rFonts w:eastAsia="IRNazanin" w:cs="IRNazanin"/>
          <w:color w:val="111111"/>
          <w:sz w:val="28"/>
          <w:szCs w:val="28"/>
          <w:rtl w:val="true"/>
          <w:lang w:bidi="fa-IR"/>
        </w:rPr>
        <w:t>.</w:t>
      </w:r>
    </w:p>
    <w:p>
      <w:pPr>
        <w:pStyle w:val="Heading5"/>
        <w:numPr>
          <w:ilvl w:val="4"/>
          <w:numId w:val="1"/>
        </w:numPr>
        <w:rPr/>
      </w:pPr>
      <w:bookmarkStart w:id="313" w:name="__RefHeading___Toc2527226_3224264995"/>
      <w:bookmarkStart w:id="314" w:name="_Toc113"/>
      <w:bookmarkEnd w:id="313"/>
      <w:r>
        <w:rPr>
          <w:rtl w:val="true"/>
        </w:rPr>
        <w:t>[</w:t>
      </w:r>
      <w:r>
        <w:rPr>
          <w:rtl w:val="true"/>
        </w:rPr>
        <w:t>المشخّص و المثبت للظهور</w:t>
      </w:r>
      <w:r>
        <w:rPr>
          <w:rtl w:val="true"/>
        </w:rPr>
        <w:t>]</w:t>
      </w:r>
      <w:bookmarkEnd w:id="314"/>
    </w:p>
    <w:p>
      <w:pPr>
        <w:pStyle w:val="BookText"/>
        <w:rPr/>
      </w:pPr>
      <w:r>
        <w:rPr>
          <w:rFonts w:ascii="IRNazanin" w:hAnsi="IRNazanin" w:eastAsia="IRNazanin"/>
          <w:color w:val="111111"/>
          <w:sz w:val="28"/>
          <w:sz w:val="28"/>
          <w:szCs w:val="28"/>
          <w:rtl w:val="true"/>
          <w:lang w:bidi="fa-IR"/>
        </w:rPr>
        <w:t>و أمّا تشخیص المشخّص و المثبت للظهور، ففی انحصاره فی الأمارات العلمیّة، کالتواتر و نحوه من أخبار العدل و البیّنة، أو کفایة مطلق ما یفید الظنّ فی ثبوته و لو لم یقم علی اعتباره دلیل خاصّ، خلاف و إشکال، تعرّض الماتن لعقده فی ضمن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ینبغی تشخیص محلّ النزاع فیه من جهات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الظواهر المتنازع فی تشخیص المثبت لظهورها أعمّ من الظواهر المادیّة و الصوریّة، و من الألفاظ المفردة، کلفظ الصعید و هیئة افعل، و المرکّبة کالجمل الشرطیة، و کذا أعم من الظهور المستند إلی الوضع الشخصیّ المعبّر عنه بالحقیقة، و من الظهور المستند إلی الوضع النوعیّ المعبّر عنه بالمجاز، کما أشار إلیه الماتن؛ و ذلک لاتحاد الجمیع من حیث المأخذ و المشخّص، ضرورة أنّ المأخذ فی جمیعها هو العرف، و المتّبع فی جمیعها هو الاستقراء و الاتفاق و التبادر و إن اختصّت عادة اللغویین بتشخیص ظهور الموادّ و عادة سائر الأدبیین بتشخیص ظهور الهیئات، إلّا أنّ ذلک لا یوهم تفرقة المواد عن الهیئات فی اختصاص اعتبار الظنّ بتشخیص أحدهما دون الآخر و إن أوهم تفرقتهما فی اختصاص تشخیص المواد بقول اللغویّ و تشخیص الهیئات بغیره، بحیث لا یعبأ </w:t>
      </w:r>
      <w:bookmarkStart w:id="315" w:name="pg12850_121264"/>
    </w:p>
    <w:p>
      <w:pPr>
        <w:pStyle w:val="BookText"/>
        <w:rPr/>
      </w:pPr>
      <w:bookmarkEnd w:id="315"/>
      <w:r>
        <w:rPr>
          <w:rFonts w:ascii="IRNazanin" w:hAnsi="IRNazanin" w:eastAsia="IRNazanin"/>
          <w:color w:val="111111"/>
          <w:sz w:val="28"/>
          <w:sz w:val="28"/>
          <w:szCs w:val="28"/>
          <w:rtl w:val="true"/>
          <w:lang w:bidi="fa-IR"/>
        </w:rPr>
        <w:t>بقول اللغویّ فی تشخیص الهیئات، و لا بقول غیره من الأدبیین فی تشخیص المواد، إلّا أنّه إیهام بدویّ یزول بعد التأمّل فی اتحادهما من حیث المقتضی و المانع، لما ذکر من أنّ کلّ ما یفرض مقتضیا لتشخیص المواد مقتض لتشخیص الهیئات و بالعکس، و کلّ ما یفرض مانعا من تشخیص المواد مانع من تشخیص الهیئات و بالعکس، 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حجّیة مطلق الظنّ فی تشخیص ظهور الظواهر لیس خصوص ترتّب الآثار الشرعیّة علی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لعلّ التعبیر بالحجّیة یوهمه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من حجّیته هو إثبات ظهور الظواهر به فی ترتّب آثار المثبت الواقعی علیه سواء کانت آثارا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کان الظهور المثبت به ممّا یتعلق بالموضوعات الشرعیّة أو محمولاتها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کانت آثارا غیر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کان الظهور المثبت به مما یتعلّق بالموضوعات الصرفة أو الأحکام اللغویّة أو النحویة أو الصرفیة أو البیانیة أو المنطقیة أو الطبیّة، إلی غیر ذلک من الآثار الغیر الشرعیّة المترتّبة علی الظهور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عبّر الأکثر هنا بل الکلّ عن حجّیة الظنّ فی تشخیص ظهور الظواهر، بالمثبت للظهور و المشخّص له</w:t>
      </w:r>
      <w:r>
        <w:rPr>
          <w:rFonts w:eastAsia="IRNazanin" w:cs="IRNazanin"/>
          <w:color w:val="111111"/>
          <w:sz w:val="28"/>
          <w:szCs w:val="28"/>
          <w:rtl w:val="true"/>
          <w:lang w:bidi="fa-IR"/>
        </w:rPr>
        <w:t>.</w:t>
      </w:r>
    </w:p>
    <w:p>
      <w:pPr>
        <w:pStyle w:val="Heading5"/>
        <w:numPr>
          <w:ilvl w:val="4"/>
          <w:numId w:val="1"/>
        </w:numPr>
        <w:rPr/>
      </w:pPr>
      <w:bookmarkStart w:id="316" w:name="__RefHeading___Toc2527228_3224264995"/>
      <w:bookmarkStart w:id="317" w:name="_Toc114"/>
      <w:bookmarkEnd w:id="316"/>
      <w:r>
        <w:rPr>
          <w:rtl w:val="true"/>
        </w:rPr>
        <w:t>[</w:t>
      </w:r>
      <w:r>
        <w:rPr>
          <w:rtl w:val="true"/>
        </w:rPr>
        <w:t>ثبوت الموضوعات المستنبطة بالظن</w:t>
      </w:r>
      <w:r>
        <w:rPr>
          <w:rtl w:val="true"/>
        </w:rPr>
        <w:t>]</w:t>
      </w:r>
      <w:bookmarkEnd w:id="31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فی ثبوت ظهور الظاهر بالظنّ هنا إنّما هو من حیث تعلّق الظنّ أوّلا و بالذات بالألفاظ الکاشفة عن المرادات الواقعیّة، لا من حیث تعلّقه أوّلا بالمعانی و الحقائق الواقعیّة الملازمة للمراد من الألفاظ، لیکون تعلّقه بالألفاظ بتوسّط تعلّقه بالمعانی أوّلا، و لهذا لم یکن النزاع فی ثبوت ظهور الظواهر بمطلق الظنّ هنا منافیا لإجماعهم علی ثبوت الموضوعات المستنبطة به، و لیس عدم المنافاة إلّا من جهة أنّ الظنّ المشخّص للموضوعات المستنبطة إنّما یتعلّق بالألفاظ بعد تعلّقه بالمعانی و الحقائق الواقعیة، و المشخّص للظواهر بالعکس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فتبیّن أنّ الخلاف فی إثبات الظنّ ظهور الظاهر من جهة مباینة لجهة الوفاق علی إثباته الموضوعات المستنبطة و إن کانت النسبة بین نفس الموضوعات المستنبطة و بین ظهور الظاهر عموم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أیضا أنّ وجه الاتّفاق علی ثبوت الموضوعات المستنبطة بمطلق الظنّ، هو وضوح انسداد ما عدا الظنّ من أبواب العلم و الظنون الخاصّة من الکتاب و السنّة فی تشخیص الموضوعات من غیر توسّط الألفاظ علی غیر اللّه و الراسخین فی العلم، دون انسداد ما عدا الظنّ فی تشخیص ظهور الظواهر، فإنّه و إن انسدّ فی تشخیص ظهور الظواهر أیضا بعض ما انفتح من الکتاب و السنّة فی تشخیص الأحکام نظرا إلی اختصاص وظیفة الشارع بتشخیص الأحکام إلّا أنّه لم ینسد فی تشخیصها بعض أبواب العلم، کالتواتر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فی اعتبار الظنّ فی تشخیص الظواهر إنّما هو من حیث کونه من الظنون الحاصلة من قول أهل الخبرة، و أمّا من حیث کونه من الظنون الحاصلة من الشهادة فلا نزاع فی عدم اعتباره، إلّا مع استجماع شروط الشهادة من التعدّد و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یعلم أنّ اعتبار التعدّد و العدالة فی من یرجع إلیه من أهل الرجال عند بعضهم، و فی من یرجع إلیه فی مسألة التقویم عند المشهور لا ینبغی أن یقاس علیه اعتبارهما فی ما نحن فیه، کما قاسه الماتن، لأنّ اعتبارهما فی المقیس علیه ناظر إلی حیثیّة کون الظنّ حاصلا من الشهادة، و فی المقیس ناظر إلی حیثیّة کونه حاصلا من قول أهل الخبرة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العامل بالظنون الخاصّة فی مطلق الأحکام الشرعیّة لا یلزمه العمل بالظنون الخاصّة فی تشخیص ظهور الظواهر لما انسدّ فی تشخیص الظواهر کثیر ممّا لم ینسدّ بابه فی تشخیص الأحکام الشرعیّة، کباب الکتاب و السنّة، و أمّا العامل بمطلق الظنّ فی الأحکام الشرعیّة فیلزمه العمل بمطلق الظنّ فی تشخیص </w:t>
      </w:r>
      <w:bookmarkStart w:id="318" w:name="pg12850_121266"/>
    </w:p>
    <w:p>
      <w:pPr>
        <w:pStyle w:val="BookText"/>
        <w:rPr/>
      </w:pPr>
      <w:bookmarkEnd w:id="318"/>
      <w:r>
        <w:rPr>
          <w:rFonts w:ascii="IRNazanin" w:hAnsi="IRNazanin" w:eastAsia="IRNazanin"/>
          <w:color w:val="111111"/>
          <w:sz w:val="28"/>
          <w:sz w:val="28"/>
          <w:szCs w:val="28"/>
          <w:rtl w:val="true"/>
          <w:lang w:bidi="fa-IR"/>
        </w:rPr>
        <w:t>الظواهر، لأنّ نتیجة دلیل انسداد باب العلم فی معظم الأحکام یعمّ اعتبار مطلق الظنّ بالأحکام و لو بواسطة التعلّق بموضوعاتها</w:t>
      </w:r>
      <w:r>
        <w:rPr>
          <w:rFonts w:eastAsia="IRNazanin" w:cs="IRNazanin"/>
          <w:color w:val="111111"/>
          <w:sz w:val="28"/>
          <w:szCs w:val="28"/>
          <w:rtl w:val="true"/>
          <w:lang w:bidi="fa-IR"/>
        </w:rPr>
        <w:t>.</w:t>
      </w:r>
    </w:p>
    <w:p>
      <w:pPr>
        <w:pStyle w:val="Heading5"/>
        <w:numPr>
          <w:ilvl w:val="4"/>
          <w:numId w:val="1"/>
        </w:numPr>
        <w:rPr/>
      </w:pPr>
      <w:bookmarkStart w:id="319" w:name="__RefHeading___Toc2527230_3224264995"/>
      <w:bookmarkStart w:id="320" w:name="_Toc115"/>
      <w:bookmarkEnd w:id="319"/>
      <w:r>
        <w:rPr>
          <w:rtl w:val="true"/>
        </w:rPr>
        <w:t>[</w:t>
      </w:r>
      <w:r>
        <w:rPr>
          <w:rtl w:val="true"/>
        </w:rPr>
        <w:t>الانسداد الشخصیّ فی تشخیص الظواهر</w:t>
      </w:r>
      <w:r>
        <w:rPr>
          <w:rtl w:val="true"/>
        </w:rPr>
        <w:t>]</w:t>
      </w:r>
      <w:bookmarkEnd w:id="320"/>
    </w:p>
    <w:p>
      <w:pPr>
        <w:pStyle w:val="BookText"/>
        <w:rPr/>
      </w:pPr>
      <w:r>
        <w:rPr>
          <w:rFonts w:ascii="IRNazanin" w:hAnsi="IRNazanin" w:eastAsia="IRNazanin"/>
          <w:color w:val="111111"/>
          <w:sz w:val="28"/>
          <w:sz w:val="28"/>
          <w:szCs w:val="28"/>
          <w:rtl w:val="true"/>
          <w:lang w:bidi="fa-IR"/>
        </w:rPr>
        <w:t>نعم، ینبغی تقیید ملازمة اعتبار مطلق الظنّ فی تشخیص الظواهر بالظواهر المتوقّف تشخیص الأحکام الشرعیّة علی تشخیصها دون سائر الظواهر الغیر المتوقّف تشخیص الأحکام علی تشخیصها إذا فرض انفتاح باب العلم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فاعتبار مطلق الظنّ فی تشخیص شی‌ء دائر مدار انسداد باب العلم فی تشخیصه انسدادا شخصیّا لا نوعیّا، و الانسداد الشخصیّ فی تشخیص الظواهر لا یلزمه الانسداد فی تشخیص الأحکام، کما أنّ الانسداد فی تشخیص الأحکام أیضا لا یلزمه الانسداد الشخصیّ فی تشخیص الظواهر، إلّا أنّ ملاحظة الأدلّة الخارجیّة اقتضت الملازمة بین الانسداد فی الأحکام للانسداد فی موضوعاتها بالأولویّة، بل فی مطلق الظواهر المتعلّقة بتشخیص الأحکام، و لکن لا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المراد من الانسداد الشخصیّ ما یکون علّة لاعتبار مطلق الظنّ، دائرا مداره وجودا و عدما، ضرورة أنّ الضرورة تقدّر بقدرها، و المیسور لا یسقط بالمعسور و من الانسداد النوعیّ ما یکون حکمة لاعتبار مطلق الظنّ و لو اختصّ الانسداد ببعض موارد اعتبار الظنّ، کما فی أکثر الظنون الخاصّة إن لم یکن فی کلّها، فإن اعتبار الظنّ الخاصّ و رفع الید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المستلزم تحلیل الحرام و تحریم الحلال و لو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إلّا بملاحظة انسداد باب العلم بالواقع و لو فی الجملة، و المراد من الظنّ المطلق ما کان الانسداد علّة لاعتباره، و من الظنّ الخاصّ ما کان الانسداد حکمة لاعتباره</w:t>
      </w:r>
      <w:r>
        <w:rPr>
          <w:rFonts w:eastAsia="IRNazanin" w:cs="IRNazanin"/>
          <w:color w:val="111111"/>
          <w:sz w:val="28"/>
          <w:szCs w:val="28"/>
          <w:rtl w:val="true"/>
          <w:lang w:bidi="fa-IR"/>
        </w:rPr>
        <w:t>.</w:t>
      </w:r>
    </w:p>
    <w:p>
      <w:pPr>
        <w:pStyle w:val="Heading5"/>
        <w:numPr>
          <w:ilvl w:val="4"/>
          <w:numId w:val="1"/>
        </w:numPr>
        <w:rPr/>
      </w:pPr>
      <w:bookmarkStart w:id="321" w:name="__RefHeading___Toc2527232_3224264995"/>
      <w:bookmarkStart w:id="322" w:name="_Toc116"/>
      <w:bookmarkEnd w:id="321"/>
      <w:r>
        <w:rPr>
          <w:rtl w:val="true"/>
        </w:rPr>
        <w:t>[</w:t>
      </w:r>
      <w:r>
        <w:rPr>
          <w:rtl w:val="true"/>
        </w:rPr>
        <w:t>حجیة الظنّ فی اثبات الظواهر</w:t>
      </w:r>
      <w:r>
        <w:rPr>
          <w:rtl w:val="true"/>
        </w:rPr>
        <w:t>]</w:t>
      </w:r>
      <w:bookmarkEnd w:id="32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الظواهر المتنازع فی إثباتها بمطلق الظنّ تعمّ جمیع الظواهر الصوریّة و المادیّة و المفردة و المرکّبة و لا تختصّ بظاهر دون ظاهر</w:t>
      </w:r>
      <w:r>
        <w:rPr>
          <w:rFonts w:eastAsia="IRNazanin" w:cs="IRNazanin"/>
          <w:color w:val="111111"/>
          <w:sz w:val="28"/>
          <w:szCs w:val="28"/>
          <w:rtl w:val="true"/>
          <w:lang w:bidi="fa-IR"/>
        </w:rPr>
        <w:t xml:space="preserve">- </w:t>
      </w:r>
      <w:bookmarkStart w:id="323" w:name="pg12850_121267"/>
    </w:p>
    <w:p>
      <w:pPr>
        <w:pStyle w:val="BookText"/>
        <w:rPr/>
      </w:pPr>
      <w:bookmarkEnd w:id="323"/>
      <w:r>
        <w:rPr>
          <w:rFonts w:ascii="IRNazanin" w:hAnsi="IRNazanin" w:eastAsia="IRNazanin"/>
          <w:color w:val="111111"/>
          <w:sz w:val="28"/>
          <w:sz w:val="28"/>
          <w:szCs w:val="28"/>
          <w:rtl w:val="true"/>
          <w:lang w:bidi="fa-IR"/>
        </w:rPr>
        <w:t>حسبما تقدّم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الظنّ المطلق المتنازع فی إثباته الظواهر یعمّ مطلق الظنون الحاصلة من الأسباب الحسیّة، کالاستقراء و إخبار أهل الخبرة و نحوهما، أو من الأسباب الحدسیّة کالتبادر و نحوه، و لا یختصّ بظنّ دون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یعلم أنّ الاحتجاج علی اعتبار مطلق الظنّ فی تشخیص الظواهر باعتبار قول اللغویین لیس أخصّ من المدّعی کما قد یتوهّم، لأنّه بضمیمة عدم القول بالفصل یتمّ فی سائر الظنون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قد عرفت تشخیص محلّ النزاع من الجهات الأربع، فاعلم أنّ الأوفق إلی أصالة حرمة العمل بالظنّ و عدم حجّیة ما لم یخرج عن تحت الأصل و إن کان هو عدم حجّیة الظنّ فی إثبات الظواهر إلّا أنّ الانصاف الملزم للاعتراف هو حجّیته و خروجه عن تحت الأصل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وفاقا لمشاهیر الأسلاف و الأخلاف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 ما عدا الظنّ المطلق فی تشخیص الظواهر من أبواب العلم کالتواتر و نحوه، کما انسدّ باب ما عداه فی تشخیص الموضوعات المستنبطة و إن لم ینسدّ بابه فی تشخیص الأحکام</w:t>
      </w:r>
      <w:r>
        <w:rPr>
          <w:rFonts w:eastAsia="IRNazanin" w:cs="IRNazanin"/>
          <w:color w:val="111111"/>
          <w:sz w:val="28"/>
          <w:szCs w:val="28"/>
          <w:rtl w:val="true"/>
          <w:lang w:bidi="fa-IR"/>
        </w:rPr>
        <w:t>.</w:t>
      </w:r>
    </w:p>
    <w:p>
      <w:pPr>
        <w:pStyle w:val="Heading5"/>
        <w:numPr>
          <w:ilvl w:val="4"/>
          <w:numId w:val="1"/>
        </w:numPr>
        <w:rPr/>
      </w:pPr>
      <w:bookmarkStart w:id="324" w:name="__RefHeading___Toc2527234_3224264995"/>
      <w:bookmarkStart w:id="325" w:name="_Toc117"/>
      <w:bookmarkEnd w:id="324"/>
      <w:r>
        <w:rPr>
          <w:rtl w:val="true"/>
        </w:rPr>
        <w:t>[</w:t>
      </w:r>
      <w:r>
        <w:rPr>
          <w:rtl w:val="true"/>
        </w:rPr>
        <w:t>رد دعوی الماتن کون أکثر موارد اللغات معلوم</w:t>
      </w:r>
      <w:r>
        <w:rPr>
          <w:rtl w:val="true"/>
        </w:rPr>
        <w:t>]</w:t>
      </w:r>
      <w:bookmarkEnd w:id="325"/>
    </w:p>
    <w:p>
      <w:pPr>
        <w:pStyle w:val="BookText"/>
        <w:rPr/>
      </w:pPr>
      <w:r>
        <w:rPr>
          <w:rFonts w:ascii="IRNazanin" w:hAnsi="IRNazanin" w:eastAsia="IRNazanin"/>
          <w:color w:val="111111"/>
          <w:sz w:val="28"/>
          <w:sz w:val="28"/>
          <w:szCs w:val="28"/>
          <w:rtl w:val="true"/>
          <w:lang w:bidi="fa-IR"/>
        </w:rPr>
        <w:t>و دعوی الماتن اندفاع الانسداد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أکثر موارد اللغات إلّا ما شذّ کلفظ الصعید معلوم من العرف و اللغة، کلفظ السماء و الأرض و الماء و الخبز و الملح، إلی غیر ذلک و المتّبع فی الهیئات هی القواعد العربیّة من الاستقراء القطعی و اتفاق أهل العربیّة و التبادر مع ضمیمة أصالة عدم القرینة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معلومیة أکثر اللغات، أمّا من کتب اللغة فلأنّها معدّة لبیان غیر المعلومات و إحالة المعلومات إلی العرف، أ لا تری قولهم فی الملح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معروف، و کذا فی التنحنح و المندیل و أمثالهما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من العرف فلأنّه و إن کان فیه معلومات لا تحصی إلّا أنّ الغیر المعلوم </w:t>
      </w:r>
      <w:bookmarkStart w:id="326" w:name="pg12850_121268"/>
    </w:p>
    <w:p>
      <w:pPr>
        <w:pStyle w:val="BookText"/>
        <w:rPr/>
      </w:pPr>
      <w:bookmarkEnd w:id="326"/>
      <w:r>
        <w:rPr>
          <w:rFonts w:ascii="IRNazanin" w:hAnsi="IRNazanin" w:eastAsia="IRNazanin"/>
          <w:color w:val="111111"/>
          <w:sz w:val="28"/>
          <w:sz w:val="28"/>
          <w:szCs w:val="28"/>
          <w:rtl w:val="true"/>
          <w:lang w:bidi="fa-IR"/>
        </w:rPr>
        <w:t>منه أیضا غیر قلیل، بل هو کثیر بالغایة، بل لمعلوماته أیضا مصادیق خفیّة لا تتشخّص إلّا بإعمال الظنون المطلقة، سیما بالنسبة إلی الأجانب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الهیئات فلأن المستفاد من الاستقراء القطعیّ و اتفاق أهل العربیّة لم یبلغ معشارا من المستفاد من التبادر الفقاهتیّ و سائر العلائم الظنّیة</w:t>
      </w:r>
      <w:r>
        <w:rPr>
          <w:rFonts w:eastAsia="IRNazanin" w:cs="IRNazanin"/>
          <w:color w:val="111111"/>
          <w:sz w:val="28"/>
          <w:szCs w:val="28"/>
          <w:rtl w:val="true"/>
          <w:lang w:bidi="fa-IR"/>
        </w:rPr>
        <w:t>.</w:t>
      </w:r>
    </w:p>
    <w:p>
      <w:pPr>
        <w:pStyle w:val="Heading5"/>
        <w:numPr>
          <w:ilvl w:val="4"/>
          <w:numId w:val="1"/>
        </w:numPr>
        <w:rPr/>
      </w:pPr>
      <w:bookmarkStart w:id="327" w:name="__RefHeading___Toc2527236_3224264995"/>
      <w:bookmarkStart w:id="328" w:name="_Toc118"/>
      <w:bookmarkEnd w:id="327"/>
      <w:r>
        <w:rPr>
          <w:rtl w:val="true"/>
        </w:rPr>
        <w:t>[</w:t>
      </w:r>
      <w:r>
        <w:rPr>
          <w:rtl w:val="true"/>
        </w:rPr>
        <w:t>حکایة کفایة الظنون فی إثبات الظواهر</w:t>
      </w:r>
      <w:r>
        <w:rPr>
          <w:rtl w:val="true"/>
        </w:rPr>
        <w:t>]</w:t>
      </w:r>
      <w:bookmarkEnd w:id="328"/>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الاتفاق و الإجماع بجمیع أنحائه القولیّ و العملیّ و المحصّل و المحکی من العلماء و العقلاء و العرفاء، و جمیع أرباب الفنون و العلوم الأدبیّة و غیرها علی إعمال مطلق الظنون فی إثبات الظواهر، و فی قطع المشاجرات و المخاصمات الواقعة فی تشخیص الظواهر بمجرّد المراجعة و الاستناد إلی مطلق الظنون المشخصة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 إثبات کثیر من مقاصد النحو و الصرف و البیان و اللغة مع کثرة الکتب المدوّنة فیها من قدیم الزمان إلی الآن لیس إلّا من المبادئ الظنّیة کالاستقراءات الناقصة و التبادرات الفقهیة و نحوها، و لم ینکر ذلک أحد منهم علی أحد، حتی أنّه لو اتّفق التشاجر و الجدال و الخصومة و استشهد أحد المتخاصمین بکلام لغویّ ارتفع النزاع بلا إشکال، و لا یدّعی صاحبه أنّه من الآحاد، و لم یطالب بعدالة اللغویّ و لا بتعدّده، بل المطالبة بذلک یعدّ من المضحکات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عباس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کنت أعرف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اختصم إلیّ شخصان فی بئر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فطرها أبی</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و عن الأصمعیّ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الإجماع و اتفاق المسلمین علی ذلک</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السبزواری صحّة المراجعة إلی أصحاب الصناعات المبارزین فی </w:t>
      </w:r>
      <w:bookmarkStart w:id="329" w:name="pg12850_121269"/>
    </w:p>
    <w:p>
      <w:pPr>
        <w:pStyle w:val="BookText"/>
        <w:rPr/>
      </w:pPr>
      <w:bookmarkEnd w:id="329"/>
      <w:r>
        <w:rPr>
          <w:rFonts w:ascii="IRNazanin" w:hAnsi="IRNazanin" w:eastAsia="IRNazanin"/>
          <w:color w:val="111111"/>
          <w:sz w:val="28"/>
          <w:sz w:val="28"/>
          <w:szCs w:val="28"/>
          <w:rtl w:val="true"/>
          <w:lang w:bidi="fa-IR"/>
        </w:rPr>
        <w:t xml:space="preserve">الاجماع المنقول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محل النزاع فیه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وجه إعراض القائلین بحجّیة الاجماع المنقول عن الاجماع المنقول أحیانا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الاجماع المنقول مضافا إلی من عدا الإمام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ان النزاع فی الاجماع المنقول إنما هو من جهة استکشاف الناقل و حدسه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وجه اعتبار الاجماع المنقول عند بعض مانعی حجّیة الاجماع المنقول أحیانا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صحة سند فقه الرضا علیه السلام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معنی حجّیة الإجماع المنقول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صنعتهم البارعین فی ما اختصّ بصناعتهم ممّا اتّفق علیه العقلاء فی کلّ عصر و زمان</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العضدی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نقطع أنّ العلماء فی الأعصار و الأمصار کانوا یکتفون فی فهم معانی الألفاظ بالآحاد، کنقلهم عن الأصمعی و الخلیل و أبی عبیدة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 اللغویّ خرج عن قاعدة اعتبار القطع فی الاصول بالإجماع حیث لم یزل العلماء فی کلّ عصر یعوّلون علی نقل الآحاد فی اللغة، کالخلیل و الأصمعی، و لم ینکر ذلک أحد علیهم، و لا یطالبون منهم عدالة الناقل و لا تعدّده، بل و لا کونه من أهل الإیمان مع طول الزمان و شدّة حرص الإنسان علی تخطّی الأقران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تری من نفسک أو من عاقل آخر صحّة مطالبة التعدّد أو العدالة فی من یرجع إلیه من الأطبّاء فی المعالجة أو فی ترتّب أثر شرعیّ من الصوم و الإفطار، أو فی من یرجع إلیه من سائر أهل الفنون و الصنائع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نقل الإجماعات المستفیضة، بل المتواترة المحصّلة لجمیع أنحاء الإجماع من غیر بقاء مجال إصغاء المناقشة للأسماع، فإنّ سبیل المناقشة منحصر فی توهین نفسه بالمنع، أو منع حجّیته، أو التصرّف فی موضوعه و معقده بتقییده بغیر المدّعی، و کلا بابی المناقشة فی هذا الإجماع منسدّ غایة الانسداد</w:t>
      </w:r>
      <w:r>
        <w:rPr>
          <w:rFonts w:eastAsia="IRNazanin" w:cs="IRNazanin"/>
          <w:color w:val="111111"/>
          <w:sz w:val="28"/>
          <w:szCs w:val="28"/>
          <w:rtl w:val="true"/>
          <w:lang w:bidi="fa-IR"/>
        </w:rPr>
        <w:t>.</w:t>
      </w:r>
    </w:p>
    <w:p>
      <w:pPr>
        <w:pStyle w:val="Heading5"/>
        <w:numPr>
          <w:ilvl w:val="4"/>
          <w:numId w:val="1"/>
        </w:numPr>
        <w:rPr/>
      </w:pPr>
      <w:bookmarkStart w:id="330" w:name="__RefHeading___Toc2527238_3224264995"/>
      <w:bookmarkStart w:id="331" w:name="_Toc119"/>
      <w:bookmarkEnd w:id="330"/>
      <w:r>
        <w:rPr>
          <w:rtl w:val="true"/>
        </w:rPr>
        <w:t>[</w:t>
      </w:r>
      <w:r>
        <w:rPr>
          <w:rtl w:val="true"/>
        </w:rPr>
        <w:t>دفع الإیراد عن دعوی الاجماع فی المسألة</w:t>
      </w:r>
      <w:r>
        <w:rPr>
          <w:rtl w:val="true"/>
        </w:rPr>
        <w:t>]</w:t>
      </w:r>
      <w:bookmarkEnd w:id="33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باب المناقشة علیه بالمنع فممّا لم یبق مجال لتوهّمه بعد استفاضة نقله إن لم یتواتر، بل و تحصیله بالمحصّلات المتقدّمة، و لهذا لم یحتمل الماتن توهّمه مع میله إلی المخالفة فی المسألة، کیف؟ و لو بقی مجال لتوهّم منع مثل هذا </w:t>
      </w:r>
    </w:p>
    <w:p>
      <w:pPr>
        <w:pStyle w:val="BookText"/>
        <w:rPr/>
      </w:pPr>
      <w:r>
        <w:rPr>
          <w:rFonts w:ascii="IRNazanin" w:hAnsi="IRNazanin" w:eastAsia="IRNazanin"/>
          <w:color w:val="111111"/>
          <w:sz w:val="28"/>
          <w:sz w:val="28"/>
          <w:szCs w:val="28"/>
          <w:rtl w:val="true"/>
          <w:lang w:bidi="fa-IR"/>
        </w:rPr>
        <w:t>الإجماع القریب إلی الضرورة إن لم یکن ضرورة لا نفتح باب توهّم المجال فی منع جمیع الإجماعات القریبة إلی الضرورة بل و فی منع الضرورات أیضا؛ إذ قلّ ما یتّفق فی الإجماعات ما هو بمثابته فی الوضوح حتی إجماع حلّیة المتعة و حرمة النبیذ و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باب المناقشة بمنع حجّیته لانعقاده علی غیر أمر دینیّ یقطع برضا المعصوم به، أو دخوله فیهم فمنسدّ أیضا 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انفتح هذا الباب فی مثل هذا الإجماع لا نفتح أیضا فی جمیع الإجماعات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حجّیة الإجماع إن کان من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تفرّد به الشیخ</w:t>
      </w:r>
      <w:r>
        <w:rPr>
          <w:rStyle w:val="FootnoteAnchor"/>
          <w:rtl w:val="true"/>
        </w:rPr>
        <w:footnoteReference w:id="248"/>
      </w:r>
      <w:r>
        <w:rPr>
          <w:rFonts w:ascii="IRNazanin" w:hAnsi="IRNazanin" w:eastAsia="IRNazanin"/>
          <w:color w:val="111111"/>
          <w:sz w:val="28"/>
          <w:sz w:val="28"/>
          <w:szCs w:val="28"/>
          <w:rtl w:val="true"/>
          <w:lang w:bidi="fa-IR"/>
        </w:rPr>
        <w:t>فمن الواضح أنّ منع المعصوم علیه السّلام من الرکون إلی مضمون ذلک الإجماع علی تقدیر بطلانه من ألطف الألطاف سیما إذا عمّ ابتلاء الناس بالرکون إلیه فی زمان المعصومین و حضورهم مع طول ذلک الزمان، فعدم منعهم علیهم السّلام المفروض مع طول زمانهم و شدّة انهماک الناس به دلیل لطفی علی عدم المنع و رضائهم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من جهة دخول المعصوم فی المجمعین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الواضح اللائح أنّ المبادئ المذکورة له من استمرار السیرة علیه حدیثا و قدیما خلفا عن سلف مبادئ حسّیة موجبة للقطع بدخول المعصوم و تقریره المجمعین علی إجماعهم، سیما إذا کانوا فی زمانه و فی حضوره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باب المناقشة فیه بتقییده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من باب الأخذ بالمتیقّن بقول اللغویّین فی تشخیص اللغات المادیّة دون قول سائر أرباب الأدب فی تشخیص الظواهر الصوریّة و الهیئیّة، أو بمقام اجتماع شرائط الشهادة من العدد و العدالة لا مطلقا، </w:t>
      </w:r>
    </w:p>
    <w:p>
      <w:pPr>
        <w:pStyle w:val="BookText"/>
        <w:rPr/>
      </w:pPr>
      <w:r>
        <w:rPr>
          <w:rFonts w:ascii="IRNazanin" w:hAnsi="IRNazanin" w:eastAsia="IRNazanin"/>
          <w:color w:val="111111"/>
          <w:sz w:val="28"/>
          <w:sz w:val="28"/>
          <w:szCs w:val="28"/>
          <w:rtl w:val="true"/>
          <w:lang w:bidi="fa-IR"/>
        </w:rPr>
        <w:t>أو بمقامات حصول العلم بالمستعمل فیه من مجرد ذکر لغوی لا مطلقا، أو بمقامات یتسامح فیها لعدم التکلیف الشرعیّ الالزامی بتحصیل العلم بالمعنی اللغوی، کما إذا ارید تفسیر خطبة أو روایة لا تتعلّق بتکلیف شرعیّ أو تعلّق بحکم شرعیّ لکنّه غیر إلزامی کما استقرب الماتن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فینسدّ بأنّ الاقتصار علی القدر المتیقّن إنما یتأتّی فی الإجماعات المهملة لا المصرّحة المنصوصة المبیّنة کما فی ما نحن فیه؛ فإنّ الإجماعات المستفیضة علی المدّعی قد عرفت أنّها فی الصراحة و الوضوح بمثابة تأبی عن التقیید بشی‌ء مما ذکر غایة الإباء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لا؟ و قد تتبّعنا و تفحّصنا فی الکتب المصنّفة و المؤلّفة فی جمیع اللغات و العلوم الأدبیة و ظواهر الأحکام الشرعیّة المأخوذ ظهورها عن مثل القاموس و المصباح و أمثالهما من آحاد أهل الخبرة فلم نجد أثرا لاعتراض أحد من ذوی الشئون علی شی‌ء من تلک الکتب بعدم ثبوت مأخذها أو بمطالبة اجتماع شرائط الشهادة فی مأخذها، أو مأخذ بعضها دون بعض مع شدّة حرص النفوس فی الاعتراض و المناقشة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مطالبة التعدّد و العدالة فی إثبات الظواهر من أحد من الناس و لا من العلماء مع کثرة مناظراتهم و زیادة تعلیقاتهم علی الکتب المصنّفة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مع اعتبار أکثرهم العدالة بل التعدّد فی من یرجع إلیه من أهل الرجال بل استظهار اتّفاقهم علی اعتبارهما فی أهل الخبرة فی خصوص مسألة التقویم سیما مع مناقشة الماتن فی ثبوت الظواهر بمطلق الظنّ دون مطالبته شروط الشهادة عن أحد فی شی‌ء من کتبه الفقهیة و لا الاصولیة المشحونة من استناد الظواهر فیها إلی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أقوی شاهد و أدلّ دلیل علی الاکتفاء بمطلق الظنّ فی تشخیص الظواهر مطلقا، و عدم اعتبار ما یعتبر فی غیرها من شروط الشهادة کالعدالة و التعدّد، بل </w:t>
      </w:r>
      <w:bookmarkStart w:id="332" w:name="pg12850_121272"/>
    </w:p>
    <w:p>
      <w:pPr>
        <w:pStyle w:val="BookText"/>
        <w:rPr/>
      </w:pPr>
      <w:bookmarkEnd w:id="332"/>
      <w:r>
        <w:rPr>
          <w:rFonts w:ascii="IRNazanin" w:hAnsi="IRNazanin" w:eastAsia="IRNazanin"/>
          <w:color w:val="111111"/>
          <w:sz w:val="28"/>
          <w:sz w:val="28"/>
          <w:szCs w:val="28"/>
          <w:rtl w:val="true"/>
          <w:lang w:bidi="fa-IR"/>
        </w:rPr>
        <w:t>و علی أنّ ذلک من الضروریات المرکوزة فی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أنّه لو طلب أحد العدالة و التعدد فی من یرجع إلیه من أهل اللغة، أو الطب أو سائر علماء الأدب و الفنون عدّ فی عداد المضحکین عند أرباب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کثیرا ما یستند الظاهر و غیره إلی المتعدّدین من أرباب فنّه تنبیها علی عدم المانع المعارض له، لا إثباتا للمقتضی،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أن یکون اعتبارهم من جهة استفادة القطع من قول اللغویّ الواحد، أو الطبیب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اختصاص اعتبارهم بصورة استفادة القطع علی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لتوهّم استفادة القطع من مجرّد قول اللغویّ أو الطبیب إلا للقطّاع الغیر المعتبر قطعه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 انسداد جمیع الأبواب التی افتتحها الماتن علی دلیلی اعتبار مطلق الظنّ فی إثبات الظواهر من الانسداد و الإجماع العملیّ و القولیّ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التنبیه علی انسداد باب مناقشته الاخری المدّعی فیها عدم معرفة الحقیقة عن المجاز بقول اللغویّ، و قد تعرّضنا له و لتنبیهات أخر فی ذیل هذا المبحث من کتاب الأساس، و من شاء راجعه، فلا نطیل بالإعادة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 فی المطلب،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أنّ کثرة موارد الحاجة إلی قول اللغویّ إنّما یوجب حجّیة قوله من باب الظن المطلق، لا الخاصّ الذی هو المطلوب، إلّا أن تکون الکثرة حکمة کاشفة عن صحّة الإجماع و الاتفاق علی الحجیّة، لا علّة مستقلّة له</w:t>
      </w:r>
      <w:r>
        <w:rPr>
          <w:rFonts w:eastAsia="IRNazanin" w:cs="IRNazanin"/>
          <w:color w:val="111111"/>
          <w:sz w:val="28"/>
          <w:szCs w:val="28"/>
          <w:rtl w:val="true"/>
          <w:lang w:bidi="fa-IR"/>
        </w:rPr>
        <w:t>.</w:t>
      </w:r>
    </w:p>
    <w:p>
      <w:pPr>
        <w:pStyle w:val="Heading5"/>
        <w:numPr>
          <w:ilvl w:val="4"/>
          <w:numId w:val="1"/>
        </w:numPr>
        <w:rPr/>
      </w:pPr>
      <w:bookmarkStart w:id="333" w:name="__RefHeading___Toc2527240_3224264995"/>
      <w:bookmarkStart w:id="334" w:name="_Toc120"/>
      <w:bookmarkEnd w:id="333"/>
      <w:r>
        <w:rPr>
          <w:rtl w:val="true"/>
        </w:rPr>
        <w:t>[</w:t>
      </w:r>
      <w:r>
        <w:rPr>
          <w:rtl w:val="true"/>
        </w:rPr>
        <w:t>ما استدلّ به صاحب الضوابط علی کفایة قول اللغوی فی تشخیص الظواهر</w:t>
      </w:r>
      <w:r>
        <w:rPr>
          <w:rtl w:val="true"/>
        </w:rPr>
        <w:t>]</w:t>
      </w:r>
      <w:bookmarkEnd w:id="33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من جملة ما استدلّ به الضوابط علی تشخیص الظواهر بقول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البرهان العقلیّ المبتنی علی الانسداد و الإجماع بأقسامه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ترغیب المعصومین علیهم السّلام أصحابهم فی ضبط اللغات الکاشفة عن معضلات الکتاب </w:t>
      </w:r>
    </w:p>
    <w:p>
      <w:pPr>
        <w:pStyle w:val="BookText"/>
        <w:rPr/>
      </w:pPr>
      <w:r>
        <w:rPr>
          <w:rFonts w:ascii="IRNazanin" w:hAnsi="IRNazanin" w:eastAsia="IRNazanin"/>
          <w:color w:val="111111"/>
          <w:sz w:val="28"/>
          <w:sz w:val="28"/>
          <w:szCs w:val="28"/>
          <w:rtl w:val="true"/>
          <w:lang w:bidi="fa-IR"/>
        </w:rPr>
        <w:t>و السنّة و تدوینها لتسهیل الأمر، کما قال علی علیه السّلام لأبی الأسود المخترع لکثیر من قواعد النحو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فاعل مرفوع، و کلّ مفعول منصوب، و کلّ مضاف إلیه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الأسود انح علی ذلک</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و لو لا جواز العمل بقول اللغویین للغا أمر المعصوم بضبط اللغة و ترغیبه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أیضا بتقریر المعصومین علیهم السّلام الناس علی العمل بها، فإنّ جملة من کتب اللغة دوّنت فی زمنهم ککتاب الأصمعی و الکسائی و سیبویه فی زمن موسی علیه السّلام، و لو لا عمل الناس لکان فعلهم سفها، و لا شکّ فی اطلاع المعصومین علی هذا الأمر، فلو لا تقریرهم إیّاهم ذلک لوصل المنع إلینا</w:t>
      </w:r>
      <w:r>
        <w:rPr>
          <w:rStyle w:val="FootnoteAnchor"/>
          <w:rtl w:val="true"/>
        </w:rPr>
        <w:footnoteReference w:id="25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لو لا البرهان العقلیّ و الانسداد لأمکن الجواب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الملازمة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جواز العمل بقول اللغویین للغا أمر المعصوم بضبط اللغة و ترغیبه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الملازمة إنّما تسلّم إذا انحصر فائدة ضبط اللغة فی جواز الرجوع إلیه من دون إفادته العلم غالبا مع عدم اجتماع شروط الشهادة، و من البیّن أنّه إذا لم یمنع عدم إفادته العلم و عدم إمکان اجتماعه شروط الشهادة فلا أقلّ من منع الانحصار کما لا یخفی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تقریر المعصوم الناس علی العمل بها مبنیّ أوّلا علی ثبوت عمل الناس بها مطلقا، و ثانیا علی اطلاع المعصوم علیه السّلام علی عملهم بها بحسب العلم العادی لا العلم اللدنیّ، و ثالثا علی ثبوت المجال للمعصوم و عدم المانع من منعه، و من البیّن أنّه إذا لم یمنع المبنی الأوّل فلا أقلّ من التالیین، أی من منع التالیین، و اللّه العالم بحقائق الامور</w:t>
      </w:r>
      <w:r>
        <w:rPr>
          <w:rFonts w:eastAsia="IRNazanin" w:cs="IRNazanin"/>
          <w:color w:val="111111"/>
          <w:sz w:val="28"/>
          <w:szCs w:val="28"/>
          <w:rtl w:val="true"/>
          <w:lang w:bidi="fa-IR"/>
        </w:rPr>
        <w:t xml:space="preserve">. </w:t>
      </w:r>
      <w:bookmarkStart w:id="335" w:name="pg12850_121274"/>
    </w:p>
    <w:p>
      <w:pPr>
        <w:pStyle w:val="Heading4"/>
        <w:numPr>
          <w:ilvl w:val="3"/>
          <w:numId w:val="1"/>
        </w:numPr>
        <w:rPr/>
      </w:pPr>
      <w:bookmarkStart w:id="336" w:name="__RefHeading___Toc2527242_3224264995"/>
      <w:bookmarkStart w:id="337" w:name="_Toc121"/>
      <w:bookmarkEnd w:id="335"/>
      <w:bookmarkEnd w:id="336"/>
      <w:r>
        <w:rPr>
          <w:rtl w:val="true"/>
        </w:rPr>
        <w:t>[</w:t>
      </w:r>
      <w:r>
        <w:rPr>
          <w:rtl w:val="true"/>
        </w:rPr>
        <w:t>و منها الإجماع المنقول بخبر الواحد</w:t>
      </w:r>
      <w:r>
        <w:rPr>
          <w:rtl w:val="true"/>
        </w:rPr>
        <w:t>]</w:t>
      </w:r>
      <w:bookmarkEnd w:id="337"/>
    </w:p>
    <w:p>
      <w:pPr>
        <w:pStyle w:val="Heading5"/>
        <w:numPr>
          <w:ilvl w:val="4"/>
          <w:numId w:val="1"/>
        </w:numPr>
        <w:rPr/>
      </w:pPr>
      <w:bookmarkStart w:id="338" w:name="__RefHeading___Toc2527244_3224264995"/>
      <w:bookmarkStart w:id="339" w:name="_Toc122"/>
      <w:bookmarkEnd w:id="338"/>
      <w:r>
        <w:rPr>
          <w:rtl w:val="true"/>
        </w:rPr>
        <w:t>اشارة</w:t>
      </w:r>
      <w:bookmarkEnd w:id="339"/>
    </w:p>
    <w:p>
      <w:pPr>
        <w:pStyle w:val="BookText"/>
        <w:rPr/>
      </w:pPr>
      <w:r>
        <w:rPr>
          <w:rFonts w:ascii="IRNazanin" w:hAnsi="IRNazanin" w:eastAsia="IRNazanin"/>
          <w:color w:val="111111"/>
          <w:sz w:val="28"/>
          <w:sz w:val="28"/>
          <w:szCs w:val="28"/>
          <w:rtl w:val="true"/>
          <w:lang w:bidi="fa-IR"/>
        </w:rPr>
        <w:t>بسم اللّه تعالی شأنه</w:t>
      </w:r>
    </w:p>
    <w:p>
      <w:pPr>
        <w:pStyle w:val="BookText"/>
        <w:rPr/>
      </w:pPr>
      <w:r>
        <w:rPr>
          <w:rFonts w:ascii="IRNazanin" w:hAnsi="IRNazanin" w:eastAsia="IRNazanin"/>
          <w:color w:val="111111"/>
          <w:sz w:val="28"/>
          <w:sz w:val="28"/>
          <w:szCs w:val="28"/>
          <w:rtl w:val="true"/>
          <w:lang w:bidi="fa-IR"/>
        </w:rPr>
        <w:t>قال الماتن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جملة الظنون الخارجة عن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المنقول بخبر الواحد عند کثیر ممّن یقول باعتبار الخبر</w:t>
      </w:r>
      <w:r>
        <w:rPr>
          <w:rFonts w:eastAsia="IRNazanin" w:cs="IRNazanin"/>
          <w:color w:val="111111"/>
          <w:sz w:val="28"/>
          <w:szCs w:val="28"/>
          <w:rtl w:val="true"/>
          <w:lang w:bidi="fa-IR"/>
        </w:rPr>
        <w:t>».</w:t>
      </w:r>
    </w:p>
    <w:p>
      <w:pPr>
        <w:pStyle w:val="Heading5"/>
        <w:numPr>
          <w:ilvl w:val="4"/>
          <w:numId w:val="1"/>
        </w:numPr>
        <w:rPr/>
      </w:pPr>
      <w:bookmarkStart w:id="340" w:name="__RefHeading___Toc2527246_3224264995"/>
      <w:bookmarkStart w:id="341" w:name="_Toc123"/>
      <w:bookmarkEnd w:id="340"/>
      <w:r>
        <w:rPr>
          <w:rtl w:val="true"/>
        </w:rPr>
        <w:t>[</w:t>
      </w:r>
      <w:r>
        <w:rPr>
          <w:rtl w:val="true"/>
        </w:rPr>
        <w:t>محلّ النزاع فی حجّیة الإجماع المنقول</w:t>
      </w:r>
      <w:r>
        <w:rPr>
          <w:rtl w:val="true"/>
        </w:rPr>
        <w:t>]</w:t>
      </w:r>
      <w:bookmarkEnd w:id="34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الخوض فی تشخیص حکم المسألة ینبغی تشخیص محلّ النزاع فی حجّیة الإجماع المنقول من جهات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فی المسألة إنّما یتوجه علی القائل بحجّیة الإجماع المحصّل و إمکان الاطّلاع علیه، و أمّا المانع من حجّیته کالأخباریة</w:t>
      </w:r>
      <w:r>
        <w:rPr>
          <w:rStyle w:val="FootnoteAnchor"/>
          <w:rtl w:val="true"/>
        </w:rPr>
        <w:footnoteReference w:id="251"/>
      </w:r>
      <w:r>
        <w:rPr>
          <w:rFonts w:ascii="IRNazanin" w:hAnsi="IRNazanin" w:eastAsia="IRNazanin"/>
          <w:color w:val="111111"/>
          <w:sz w:val="28"/>
          <w:sz w:val="28"/>
          <w:szCs w:val="28"/>
          <w:rtl w:val="true"/>
          <w:lang w:bidi="fa-IR"/>
        </w:rPr>
        <w:t>، أو من إمکان الاطلاع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کصاحب المعالم</w:t>
      </w:r>
      <w:r>
        <w:rPr>
          <w:rStyle w:val="FootnoteAnchor"/>
          <w:rtl w:val="true"/>
        </w:rPr>
        <w:footnoteReference w:id="252"/>
      </w:r>
      <w:r>
        <w:rPr>
          <w:rFonts w:ascii="IRNazanin" w:hAnsi="IRNazanin" w:eastAsia="IRNazanin"/>
          <w:color w:val="111111"/>
          <w:sz w:val="28"/>
          <w:sz w:val="28"/>
          <w:szCs w:val="28"/>
          <w:rtl w:val="true"/>
          <w:lang w:bidi="fa-IR"/>
        </w:rPr>
        <w:t>و الذخیرة</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یتوجّه علیه النزاع فی الحجّیة، بل لا بدّ له من القول بعدم الحجّیة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النزاع إنّما یتوجّه علی القائل بحجّیة خبر الآحاد فی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المانع من حجّیته فی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کالسیّد</w:t>
      </w:r>
      <w:r>
        <w:rPr>
          <w:rStyle w:val="FootnoteAnchor"/>
          <w:rtl w:val="true"/>
        </w:rPr>
        <w:footnoteReference w:id="254"/>
      </w:r>
      <w:r>
        <w:rPr>
          <w:rFonts w:ascii="IRNazanin" w:hAnsi="IRNazanin" w:eastAsia="IRNazanin"/>
          <w:color w:val="111111"/>
          <w:sz w:val="28"/>
          <w:sz w:val="28"/>
          <w:szCs w:val="28"/>
          <w:rtl w:val="true"/>
          <w:lang w:bidi="fa-IR"/>
        </w:rPr>
        <w:t>و أتباعه</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یتوجّه علیه النزاع، بل لا بدّ له من منعه حجّیة نقل الإجماع بطریق أولی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النزاع إنّما هو فی المنقول بخبر الآحاد المجرّد عن قرائن العلم، و أمّا المنقول بالخبر المتواتر، فکالمحفوف بشواهد العلم فی عدم النزاع فی حجّیته إن کان المنقول اتفاق جماعة أحدهم المعصوم، أو نقل به الاتفاق الکاشف عند المخبر بالفتح و ان لم یکن کاشفا عند المخبرین بالکسر، و أمّا إذا کان کاشفا عندهم فقط ففی حکم المنقول بخبر الواحد؛ لأنّ التضافر فی العقلیّات </w:t>
      </w:r>
      <w:bookmarkStart w:id="342" w:name="pg12850_121275"/>
    </w:p>
    <w:p>
      <w:pPr>
        <w:pStyle w:val="BookText"/>
        <w:rPr/>
      </w:pPr>
      <w:bookmarkEnd w:id="342"/>
      <w:r>
        <w:rPr>
          <w:rFonts w:ascii="IRNazanin" w:hAnsi="IRNazanin" w:eastAsia="IRNazanin"/>
          <w:color w:val="111111"/>
          <w:sz w:val="28"/>
          <w:sz w:val="28"/>
          <w:szCs w:val="28"/>
          <w:rtl w:val="true"/>
          <w:lang w:bidi="fa-IR"/>
        </w:rPr>
        <w:t>بمجرّده لا یوجب القطع ما لم ینضم إلیه شواهد خارجیة</w:t>
      </w:r>
      <w:r>
        <w:rPr>
          <w:rFonts w:eastAsia="IRNazanin" w:cs="IRNazanin"/>
          <w:color w:val="111111"/>
          <w:sz w:val="28"/>
          <w:szCs w:val="28"/>
          <w:rtl w:val="true"/>
          <w:lang w:bidi="fa-IR"/>
        </w:rPr>
        <w:t>.</w:t>
      </w:r>
    </w:p>
    <w:p>
      <w:pPr>
        <w:pStyle w:val="Heading5"/>
        <w:numPr>
          <w:ilvl w:val="4"/>
          <w:numId w:val="1"/>
        </w:numPr>
        <w:rPr/>
      </w:pPr>
      <w:bookmarkStart w:id="343" w:name="__RefHeading___Toc2527248_3224264995"/>
      <w:bookmarkStart w:id="344" w:name="_Toc124"/>
      <w:bookmarkEnd w:id="343"/>
      <w:r>
        <w:rPr>
          <w:rtl w:val="true"/>
        </w:rPr>
        <w:t>[</w:t>
      </w:r>
      <w:r>
        <w:rPr>
          <w:rtl w:val="true"/>
        </w:rPr>
        <w:t>وجه إعراض القائلین بحجّیته عن حجّیته</w:t>
      </w:r>
      <w:r>
        <w:rPr>
          <w:rtl w:val="true"/>
        </w:rPr>
        <w:t>]</w:t>
      </w:r>
      <w:bookmarkEnd w:id="344"/>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إنّما هو فی المنقول بخبر الواحد المستجمع لشرائط القبول دون المتطرّق علیه أمارات الوهن و طوارق الذهول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 أنّ إعراض القائلین بحجّیته عن حجّیته فی کثیر من الموارد لا یقدح فی حجّیته، لأنّ ذلک لیس لعدم حجّیته عندهم فی نفسه بل لعدم استجماعه لشرائط القبول، أو انکشاف استناده إلی الغفلة و الذهول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شرائط القبول استفادة الظنّ بصدق الناقل من المنقول بخلاف ما لا یفید الظنّ بالصدق بواسطة معارضته و نحوه، نظرا إلی أنّ اعتبار الظواهر و الأمارات التی منها خبر الواحد عندنا من باب الظنّ و الکشف، لا من باب التعبّد و الموضوعیة،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إنّما هو فی المنقول الکاشف عن الدلیل، و هو قول المعصوم کما هو مفاد أکثر منقولاته، و أمّا الکاشف عن المدلول و هو الواقع من غیر واسطة الدلیل و قول الشارع فلا نزاع فی عدم حجّیته بالخصوص، و ابتناء حجّیته علی تقدیر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النزاع إنّما هو فی حجّیته من حیث کونه إخبارا عن السنّة، لا من حیث کونه إخبارا عن الواقع بلا واسطة السنّة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فی حجّیة الإجماع المنقول إنّما هو بالنسبة إلی من لم یجز له تقلید ناقله، و أمّا بالنسبة إلی نفس ناقله أو من یجب علیه تقلید ناقله فلا نزاع فی حجّیته؛ ضرورة عموم أدلّة حجّیة فهم المجتهد فی حقّه و فی حقّ مقلده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یعلم وجه استدلالهم علی حجّیة الإجماع المنقول بعموم أدلّة حجّیة خبر العادل فی السنّة، کآیة النبأ و نحوه، دون استدلالهم بشی‌ء من </w:t>
      </w:r>
      <w:bookmarkStart w:id="345" w:name="pg12850_121276"/>
    </w:p>
    <w:p>
      <w:pPr>
        <w:pStyle w:val="BookText"/>
        <w:rPr/>
      </w:pPr>
      <w:bookmarkEnd w:id="345"/>
      <w:r>
        <w:rPr>
          <w:rFonts w:ascii="IRNazanin" w:hAnsi="IRNazanin" w:eastAsia="IRNazanin"/>
          <w:color w:val="111111"/>
          <w:sz w:val="28"/>
          <w:sz w:val="28"/>
          <w:szCs w:val="28"/>
          <w:rtl w:val="true"/>
          <w:lang w:bidi="fa-IR"/>
        </w:rPr>
        <w:t>عمومات أدلّة وجوب تقلید العامی الفقیه، کعموم آیتی النفر</w:t>
      </w:r>
      <w:r>
        <w:rPr>
          <w:rStyle w:val="FootnoteAnchor"/>
          <w:rtl w:val="true"/>
        </w:rPr>
        <w:footnoteReference w:id="256"/>
      </w:r>
      <w:r>
        <w:rPr>
          <w:rFonts w:ascii="IRNazanin" w:hAnsi="IRNazanin" w:eastAsia="IRNazanin"/>
          <w:color w:val="111111"/>
          <w:sz w:val="28"/>
          <w:sz w:val="28"/>
          <w:szCs w:val="28"/>
          <w:rtl w:val="true"/>
          <w:lang w:bidi="fa-IR"/>
        </w:rPr>
        <w:t>و السؤال</w:t>
      </w:r>
      <w:r>
        <w:rPr>
          <w:rStyle w:val="FootnoteAnchor"/>
          <w:rtl w:val="true"/>
        </w:rPr>
        <w:footnoteReference w:id="257"/>
      </w:r>
      <w:r>
        <w:rPr>
          <w:rFonts w:ascii="IRNazanin" w:hAnsi="IRNazanin" w:eastAsia="IRNazanin"/>
          <w:color w:val="111111"/>
          <w:sz w:val="28"/>
          <w:sz w:val="28"/>
          <w:szCs w:val="28"/>
          <w:rtl w:val="true"/>
          <w:lang w:bidi="fa-IR"/>
        </w:rPr>
        <w:t>مع أوضحیة عمومها</w:t>
      </w:r>
      <w:r>
        <w:rPr>
          <w:rFonts w:eastAsia="IRNazanin" w:cs="IRNazanin"/>
          <w:color w:val="111111"/>
          <w:sz w:val="28"/>
          <w:szCs w:val="28"/>
          <w:rtl w:val="true"/>
          <w:lang w:bidi="fa-IR"/>
        </w:rPr>
        <w:t>.</w:t>
      </w:r>
    </w:p>
    <w:p>
      <w:pPr>
        <w:pStyle w:val="Heading5"/>
        <w:numPr>
          <w:ilvl w:val="4"/>
          <w:numId w:val="1"/>
        </w:numPr>
        <w:rPr/>
      </w:pPr>
      <w:bookmarkStart w:id="346" w:name="__RefHeading___Toc2527250_3224264995"/>
      <w:bookmarkStart w:id="347" w:name="_Toc125"/>
      <w:bookmarkEnd w:id="346"/>
      <w:r>
        <w:rPr>
          <w:rtl w:val="true"/>
        </w:rPr>
        <w:t>[</w:t>
      </w:r>
      <w:r>
        <w:rPr>
          <w:rtl w:val="true"/>
        </w:rPr>
        <w:t>الإجماع المنقول مضافا إلی من عدا الإمام</w:t>
      </w:r>
      <w:r>
        <w:rPr>
          <w:rtl w:val="true"/>
        </w:rPr>
        <w:t>]</w:t>
      </w:r>
      <w:bookmarkEnd w:id="347"/>
    </w:p>
    <w:p>
      <w:pPr>
        <w:pStyle w:val="BookText"/>
        <w:rPr/>
      </w:pPr>
      <w:r>
        <w:rPr>
          <w:rFonts w:ascii="IRNazanin" w:hAnsi="IRNazanin" w:eastAsia="IRNazanin"/>
          <w:color w:val="111111"/>
          <w:sz w:val="28"/>
          <w:sz w:val="28"/>
          <w:szCs w:val="28"/>
          <w:rtl w:val="true"/>
          <w:lang w:bidi="fa-IR"/>
        </w:rPr>
        <w:t>و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إنّما هو فی الإجماع المنقول بقول مطلق، أو مضافا علی وجه یظهر منه إرادة المعنی المصطلح المتقدّم و لو مسامحة لتنزیل وجود المخالف منزلة العدم، لعدم قدحه فی الحجّیة کالمضاف إلی المسلمین أو الشیعة أو أهل الحقّ أو نحو ذلک مما یظهر منه کونه حکایة للسنّة، أعنی حکم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الإجماع المنقول مضافا إلی من عدا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علماؤنا أو فقهاؤنا، أو نحو ذلک ممّا ظاهره من عدا الإمام و إن کان إرادة العموم محتملة بمقتضی المعنی اللغویّ علی وجه المرجوحیة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نزاع فی عدم حجیّة نقله؛ لأنّه لم ینقل حجّة، بل النزاع فی الإجماع المنقول بقول مطلق أو مضافا علی وجه یظهر منه إرادة المعنی المصطلح و الکشف عن السنّة و قول الإمام أیضا لیس مطلقا، بل إنّما هو من جهة المکشوف عنه و المسبّب عنه، و أمّا من جهة الکاشف و السبب فلا نزاع ظاهرا فی حجّیته لاندراجه فی إطلاق خبر العادل، فیقبل و یترتّب علیه آثار قبول السبب و الکاشف دون قبول المسبب و المکشوف عنه، بمعنی أنّه یفرض تحقّق الاتفاق المنقول دون تحقق الکشف الحاصل لناقله منه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المنقول ممّا یستلزم عادة موافقة الإمام علیه السّلام أو وجود دلیل ظنّی معتبر حتی بالنسبة إلینا کان حجّة و لو کان استلزامه لذلک استلزام شأنیّ لا فعلیّ، بمعنی أنّه لو فرض أنّا وقفنا علی ما وقف علیه الناقل لنا من الاتّفاق لحصل لنا ما حصل له من الحدس بقول الإمام</w:t>
      </w:r>
      <w:r>
        <w:rPr>
          <w:rFonts w:eastAsia="IRNazanin" w:cs="IRNazanin"/>
          <w:color w:val="111111"/>
          <w:sz w:val="28"/>
          <w:szCs w:val="28"/>
          <w:rtl w:val="true"/>
          <w:lang w:bidi="fa-IR"/>
        </w:rPr>
        <w:t xml:space="preserve">. </w:t>
      </w:r>
      <w:bookmarkStart w:id="348" w:name="pg12850_121277"/>
    </w:p>
    <w:p>
      <w:pPr>
        <w:pStyle w:val="Heading5"/>
        <w:numPr>
          <w:ilvl w:val="4"/>
          <w:numId w:val="1"/>
        </w:numPr>
        <w:rPr/>
      </w:pPr>
      <w:bookmarkStart w:id="349" w:name="__RefHeading___Toc2527252_3224264995"/>
      <w:bookmarkStart w:id="350" w:name="_Toc126"/>
      <w:bookmarkEnd w:id="348"/>
      <w:bookmarkEnd w:id="349"/>
      <w:r>
        <w:rPr>
          <w:rtl w:val="true"/>
        </w:rPr>
        <w:t>[</w:t>
      </w:r>
      <w:r>
        <w:rPr>
          <w:rtl w:val="true"/>
        </w:rPr>
        <w:t>النزاع فی حجّیة الإجماع المنقول إنّما هو من جهة استکشاف الناقل و حدسه</w:t>
      </w:r>
      <w:r>
        <w:rPr>
          <w:rtl w:val="true"/>
        </w:rPr>
        <w:t>]</w:t>
      </w:r>
      <w:bookmarkEnd w:id="350"/>
    </w:p>
    <w:p>
      <w:pPr>
        <w:pStyle w:val="BookText"/>
        <w:rPr/>
      </w:pPr>
      <w:r>
        <w:rPr>
          <w:rFonts w:ascii="IRNazanin" w:hAnsi="IRNazanin" w:eastAsia="IRNazanin"/>
          <w:color w:val="111111"/>
          <w:sz w:val="28"/>
          <w:sz w:val="28"/>
          <w:szCs w:val="28"/>
          <w:rtl w:val="true"/>
          <w:lang w:bidi="fa-IR"/>
        </w:rPr>
        <w:t>و إن کان المنقول مما لم یستلزم عادة موافقة الإمام علی فرض تحقّقه إلّا بضمیمة ضمیمة من التتبع و التفحّص و سائر الشواهد کانت حجّیته موقوفة علی انضمام تلک الضمیمة المفروضة إلیه، و إلّا فلیس بحجّة عندنا، کما أنّه لو أخبر العادل بوقوفه علی امتناع أحد عن المعصیة فی موارد و مواقف استکشف منها اتّصافه بملکة العدالة کان حجّیة قوله و قبول وقوفه علی تلک الموارد و المواقف لا یستلزم حجّیة ما استکشفه من العدالة، بل کان قبول قوله عبارة عن ترتّب آثار امتناع النفس عن المعصیة فی تلک الموارد و المواقف المنقولة لنا، فإن کانت تلک الموارد ممّا یستلزم عادة لنا العلم بوجود العدالة، لو فرضنا أنفسنا واقفین علیها و مشاهدین لها، ثبتت العدالة بمجرّد نقله، و إن کان استلزامها لنا موقوف علی ضمیمة وقوفنا و مشاهدتنا لموارد أخر کان ثبوتها موقوفة علی انضمام تلک الضمیمة إلیها، و إلّا 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فالنزاع فی حجّیة الإجماع المنقول إنّما هو من جهة استکشاف الناقل و حدسه، و أمّا من جهة استکشافنا نحن من المنقول فهو تابع فی الاعتبار و عدم الاعتبار لکیفیّة المکشوف عنه لنا و کیفیّة کشفه بالنسبة إلینا، فیختلف باختلافهما حیث إنّه قد یکشف المنقول للمنقول له کشفا قطعیّا عن مدرک قطعیّ أو ظنّی، أو کشفا ظنّیا عن مدرک ظنّی أو قطعیّ و قد أسلفنا فی بحث الشهرة تقویة حجّیة الشهرة من حیث الکشف فی جمیع أقسام کشفه الأربعة بمنطوق آیة النبأ و مفهومها الموافقة، فکذا ینبغی أن یکون الإجماع المنقول من حیث الکشف حجّة فی جمیع أقسام کشفه الأربعة</w:t>
      </w:r>
      <w:r>
        <w:rPr>
          <w:rFonts w:eastAsia="IRNazanin" w:cs="IRNazanin"/>
          <w:color w:val="111111"/>
          <w:sz w:val="28"/>
          <w:szCs w:val="28"/>
          <w:rtl w:val="true"/>
          <w:lang w:bidi="fa-IR"/>
        </w:rPr>
        <w:t>.</w:t>
      </w:r>
    </w:p>
    <w:p>
      <w:pPr>
        <w:pStyle w:val="Heading5"/>
        <w:numPr>
          <w:ilvl w:val="4"/>
          <w:numId w:val="1"/>
        </w:numPr>
        <w:rPr/>
      </w:pPr>
      <w:bookmarkStart w:id="351" w:name="__RefHeading___Toc2527254_3224264995"/>
      <w:bookmarkStart w:id="352" w:name="_Toc127"/>
      <w:bookmarkEnd w:id="351"/>
      <w:r>
        <w:rPr>
          <w:rtl w:val="true"/>
        </w:rPr>
        <w:t>[</w:t>
      </w:r>
      <w:r>
        <w:rPr>
          <w:rtl w:val="true"/>
        </w:rPr>
        <w:t>وجه اعتبار الاجماع المنقول من بعض مانعی حجّیة الإجماع المنقول</w:t>
      </w:r>
      <w:r>
        <w:rPr>
          <w:rtl w:val="true"/>
        </w:rPr>
        <w:t>]</w:t>
      </w:r>
      <w:bookmarkEnd w:id="35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یظهر لک أنّ اعتبار غیر واحد من مانعی حجّیة الإجماع المنقول لحجّیته فی غیر مورد من موارد الفقه لیس غفلة عمّا أسّسوه فی الاصول من المنع، کما توهّمه القاصرون؛ بل إنّما هو من جهة اخری غیر الجهة المتنازع فیها، </w:t>
      </w:r>
      <w:bookmarkStart w:id="353" w:name="pg12850_121278"/>
    </w:p>
    <w:p>
      <w:pPr>
        <w:pStyle w:val="BookText"/>
        <w:rPr/>
      </w:pPr>
      <w:bookmarkEnd w:id="353"/>
      <w:r>
        <w:rPr>
          <w:rFonts w:ascii="IRNazanin" w:hAnsi="IRNazanin" w:eastAsia="IRNazanin"/>
          <w:color w:val="111111"/>
          <w:sz w:val="28"/>
          <w:sz w:val="28"/>
          <w:szCs w:val="28"/>
          <w:rtl w:val="true"/>
          <w:lang w:bidi="fa-IR"/>
        </w:rPr>
        <w:t>و لو لا الاعتبارات لبطلت الحکمة</w:t>
      </w:r>
      <w:r>
        <w:rPr>
          <w:rFonts w:eastAsia="IRNazanin" w:cs="IRNazanin"/>
          <w:color w:val="111111"/>
          <w:sz w:val="28"/>
          <w:szCs w:val="28"/>
          <w:rtl w:val="true"/>
          <w:lang w:bidi="fa-IR"/>
        </w:rPr>
        <w:t>.</w:t>
      </w:r>
    </w:p>
    <w:p>
      <w:pPr>
        <w:pStyle w:val="Heading5"/>
        <w:numPr>
          <w:ilvl w:val="4"/>
          <w:numId w:val="1"/>
        </w:numPr>
        <w:rPr/>
      </w:pPr>
      <w:bookmarkStart w:id="354" w:name="__RefHeading___Toc2527256_3224264995"/>
      <w:bookmarkStart w:id="355" w:name="_Toc128"/>
      <w:bookmarkEnd w:id="354"/>
      <w:r>
        <w:rPr>
          <w:rtl w:val="true"/>
        </w:rPr>
        <w:t>[</w:t>
      </w:r>
      <w:r>
        <w:rPr>
          <w:rtl w:val="true"/>
        </w:rPr>
        <w:t>صحّة سند فقه الرضا علیه السّلام</w:t>
      </w:r>
      <w:r>
        <w:rPr>
          <w:rtl w:val="true"/>
        </w:rPr>
        <w:t>]</w:t>
      </w:r>
      <w:bookmarkEnd w:id="355"/>
    </w:p>
    <w:p>
      <w:pPr>
        <w:pStyle w:val="BookText"/>
        <w:rPr/>
      </w:pPr>
      <w:r>
        <w:rPr>
          <w:rFonts w:ascii="IRNazanin" w:hAnsi="IRNazanin" w:eastAsia="IRNazanin"/>
          <w:color w:val="111111"/>
          <w:sz w:val="28"/>
          <w:sz w:val="28"/>
          <w:szCs w:val="28"/>
          <w:rtl w:val="true"/>
          <w:lang w:bidi="fa-IR"/>
        </w:rPr>
        <w:t>و یظهر لک أیضا ثبوت صحّة سند فقه الرضا علیه السّلام؛ لأنّ ما نقل لنا من قرائن صدقه و شواهد صحّته السیّد الثقة العدل الفاضل المحدّث القاضی، المجاز عن جماعة کثیرة من أساطین العلماء أمیر حسین ابن بنت المحقّق الکرکی رحمه اللّه إنّما هی من الشواهد و القرائن التی لو فرض وقوفنا علیها لحصل لنا ما حصل لناقلها من العلم و القطع بصحّته، کما قرّره فی محلّه جماعة من الأساطین أبلغهم فی تقریره السیّد بحر العلوم فی خاتم فوائده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شاء راجعه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فی المسألة لیس فی مطلق الإجماع المنقول من أیّ طریق حصل و لو علمنا تحصیلها من الطرق الغیر 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کطریقة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هو خاصّ بالمحصّل من الطرق الموصلة المسلّمة الطریقیّة دون مختلفها، و متیسّر الطریقیّة، دون متعذّرها أو متعسّرها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 فی حکم المحصّل من الطرق الموصلة المحصّل من الطرق الغیر الموصلة المقارنة للطرق الموصلة، کبعض موارد اللطف الملازمة لمورد قضاء العادة بالملازمة، بل و المحتمل مقارنته للطرق الموصلة و إن علمنا أنّ لمحصّله طریق آخر غیر مسلّم الطریقیة، کما سنتعرّض له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بیان المسلّم طریقیته عن غیر المسلّم، و المتیسّر عن المتعذّر و المتعسّر من طرق تحصیله، و کیفیة کلّ من طرقه فقد تصدّی له الماتن و تعرّضنا له سابقا فی مبحث الإجماع علی وجه الاشباع و أحسن إبداع، فإلیه الحوالة و الإرجاع</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حجّیة الإجماع المنقول المتنازع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یترتّب علی نقله جمیع الآثار المترتّبة علی تحقّقه فی الواقع، و أمّا الآثار المترتّبة علی العلم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کان المنقول إلیه ناذرا أو حالفا بکتابة کلّ خبر إجماعیّ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نزاع فی عدم ترتّبها علی مجرّد نقل الإجماع، کما أنّ النزاع فی حجّیة خبر </w:t>
      </w:r>
      <w:bookmarkStart w:id="356" w:name="pg12850_121279"/>
    </w:p>
    <w:p>
      <w:pPr>
        <w:pStyle w:val="BookText"/>
        <w:rPr/>
      </w:pPr>
      <w:bookmarkEnd w:id="356"/>
      <w:r>
        <w:rPr>
          <w:rFonts w:ascii="IRNazanin" w:hAnsi="IRNazanin" w:eastAsia="IRNazanin"/>
          <w:color w:val="111111"/>
          <w:sz w:val="28"/>
          <w:sz w:val="28"/>
          <w:szCs w:val="28"/>
          <w:rtl w:val="true"/>
          <w:lang w:bidi="fa-IR"/>
        </w:rPr>
        <w:t>الواحد أیضا إنّما هو فی ترتیب الآثار المترتّبة علی تحقّقه فی الواقع علیه، دون الآثار المترتّبة علی العلم بتحقّقه علیه</w:t>
      </w:r>
      <w:r>
        <w:rPr>
          <w:rFonts w:eastAsia="IRNazanin" w:cs="IRNazanin"/>
          <w:color w:val="111111"/>
          <w:sz w:val="28"/>
          <w:szCs w:val="28"/>
          <w:rtl w:val="true"/>
          <w:lang w:bidi="fa-IR"/>
        </w:rPr>
        <w:t>.</w:t>
      </w:r>
    </w:p>
    <w:p>
      <w:pPr>
        <w:pStyle w:val="Heading5"/>
        <w:numPr>
          <w:ilvl w:val="4"/>
          <w:numId w:val="1"/>
        </w:numPr>
        <w:rPr/>
      </w:pPr>
      <w:bookmarkStart w:id="357" w:name="__RefHeading___Toc2527258_3224264995"/>
      <w:bookmarkStart w:id="358" w:name="_Toc129"/>
      <w:bookmarkEnd w:id="357"/>
      <w:r>
        <w:rPr>
          <w:rtl w:val="true"/>
        </w:rPr>
        <w:t>[</w:t>
      </w:r>
      <w:r>
        <w:rPr>
          <w:rtl w:val="true"/>
        </w:rPr>
        <w:t>الاقوال فی حجّیة الإجماع المنقول</w:t>
      </w:r>
      <w:r>
        <w:rPr>
          <w:rtl w:val="true"/>
        </w:rPr>
        <w:t>]</w:t>
      </w:r>
      <w:bookmarkEnd w:id="358"/>
    </w:p>
    <w:p>
      <w:pPr>
        <w:pStyle w:val="BookText"/>
        <w:rPr/>
      </w:pPr>
      <w:r>
        <w:rPr>
          <w:rFonts w:ascii="IRNazanin" w:hAnsi="IRNazanin" w:eastAsia="IRNazanin"/>
          <w:color w:val="111111"/>
          <w:sz w:val="28"/>
          <w:sz w:val="28"/>
          <w:szCs w:val="28"/>
          <w:rtl w:val="true"/>
          <w:lang w:bidi="fa-IR"/>
        </w:rPr>
        <w:t>و إذ قد عرفت تشخیص محلّ النزاع من تلک الجهات العدیدة المذکورة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اختلفوا فی حجّیة الإجماع المنقول علی أقوال، فعن ظاهر المحقّق</w:t>
      </w:r>
      <w:r>
        <w:rPr>
          <w:rStyle w:val="FootnoteAnchor"/>
          <w:rtl w:val="true"/>
        </w:rPr>
        <w:footnoteReference w:id="258"/>
      </w:r>
      <w:r>
        <w:rPr>
          <w:rFonts w:ascii="IRNazanin" w:hAnsi="IRNazanin" w:eastAsia="IRNazanin"/>
          <w:color w:val="111111"/>
          <w:sz w:val="28"/>
          <w:sz w:val="28"/>
          <w:szCs w:val="28"/>
          <w:rtl w:val="true"/>
          <w:lang w:bidi="fa-IR"/>
        </w:rPr>
        <w:t>المنع،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فتح باب المنع من الفضلاء الآقا طاهر القمیّ، ثمّ تبعه الشیخ أسد اللّه فی کشف القناع</w:t>
      </w:r>
      <w:r>
        <w:rPr>
          <w:rStyle w:val="FootnoteAnchor"/>
          <w:rtl w:val="true"/>
        </w:rPr>
        <w:footnoteReference w:id="259"/>
      </w:r>
      <w:r>
        <w:rPr>
          <w:rFonts w:ascii="IRNazanin" w:hAnsi="IRNazanin" w:eastAsia="IRNazanin"/>
          <w:color w:val="111111"/>
          <w:sz w:val="28"/>
          <w:sz w:val="28"/>
          <w:szCs w:val="28"/>
          <w:rtl w:val="true"/>
          <w:lang w:bidi="fa-IR"/>
        </w:rPr>
        <w:t>، ثمّ تبعه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الفاضل التونی</w:t>
      </w:r>
      <w:r>
        <w:rPr>
          <w:rStyle w:val="FootnoteAnchor"/>
          <w:rtl w:val="true"/>
        </w:rPr>
        <w:footnoteReference w:id="260"/>
      </w:r>
      <w:r>
        <w:rPr>
          <w:rFonts w:ascii="IRNazanin" w:hAnsi="IRNazanin" w:eastAsia="IRNazanin"/>
          <w:color w:val="111111"/>
          <w:sz w:val="28"/>
          <w:sz w:val="28"/>
          <w:szCs w:val="28"/>
          <w:rtl w:val="true"/>
          <w:lang w:bidi="fa-IR"/>
        </w:rPr>
        <w:t>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العلّامة فی التهذیب</w:t>
      </w:r>
      <w:r>
        <w:rPr>
          <w:rStyle w:val="FootnoteAnchor"/>
          <w:rtl w:val="true"/>
        </w:rPr>
        <w:footnoteReference w:id="261"/>
      </w:r>
      <w:r>
        <w:rPr>
          <w:rFonts w:ascii="IRNazanin" w:hAnsi="IRNazanin" w:eastAsia="IRNazanin"/>
          <w:color w:val="111111"/>
          <w:sz w:val="28"/>
          <w:sz w:val="28"/>
          <w:szCs w:val="28"/>
          <w:rtl w:val="true"/>
          <w:lang w:bidi="fa-IR"/>
        </w:rPr>
        <w:t>و المشهور منهم صاحب الفصول</w:t>
      </w:r>
      <w:r>
        <w:rPr>
          <w:rStyle w:val="FootnoteAnchor"/>
          <w:rtl w:val="true"/>
        </w:rPr>
        <w:footnoteReference w:id="262"/>
      </w:r>
      <w:r>
        <w:rPr>
          <w:rFonts w:ascii="IRNazanin" w:hAnsi="IRNazanin" w:eastAsia="IRNazanin"/>
          <w:color w:val="111111"/>
          <w:sz w:val="28"/>
          <w:sz w:val="28"/>
          <w:szCs w:val="28"/>
          <w:rtl w:val="true"/>
          <w:lang w:bidi="fa-IR"/>
        </w:rPr>
        <w:t>و القوانین</w:t>
      </w:r>
      <w:r>
        <w:rPr>
          <w:rStyle w:val="FootnoteAnchor"/>
          <w:rtl w:val="true"/>
        </w:rPr>
        <w:footnoteReference w:id="263"/>
      </w:r>
      <w:r>
        <w:rPr>
          <w:rFonts w:ascii="IRNazanin" w:hAnsi="IRNazanin" w:eastAsia="IRNazanin"/>
          <w:color w:val="111111"/>
          <w:sz w:val="28"/>
          <w:sz w:val="28"/>
          <w:szCs w:val="28"/>
          <w:rtl w:val="true"/>
          <w:lang w:bidi="fa-IR"/>
        </w:rPr>
        <w:t>الحجّیة، و هو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لنعم ما نسب إلی المحقّق الکاظمی من النظم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خرق إجماع مرکّب کشف‌عمّا مضی امنع ثمّ إجماع السلف</w:t>
      </w:r>
    </w:p>
    <w:p>
      <w:pPr>
        <w:pStyle w:val="BookText"/>
        <w:rPr/>
      </w:pPr>
      <w:r>
        <w:rPr>
          <w:rFonts w:ascii="IRNazanin" w:hAnsi="IRNazanin" w:eastAsia="IRNazanin"/>
          <w:color w:val="111111"/>
          <w:sz w:val="28"/>
          <w:sz w:val="28"/>
          <w:szCs w:val="28"/>
          <w:rtl w:val="true"/>
          <w:lang w:bidi="fa-IR"/>
        </w:rPr>
        <w:t>نقلا إلینا خبر عالی السندو لو طوینا عنه باب الفقه سدّ</w:t>
      </w:r>
    </w:p>
    <w:p>
      <w:pPr>
        <w:pStyle w:val="BookText"/>
        <w:rPr/>
      </w:pPr>
      <w:r>
        <w:rPr>
          <w:rFonts w:ascii="IRNazanin" w:hAnsi="IRNazanin" w:eastAsia="IRNazanin"/>
          <w:color w:val="111111"/>
          <w:sz w:val="28"/>
          <w:sz w:val="28"/>
          <w:szCs w:val="28"/>
          <w:rtl w:val="true"/>
          <w:lang w:bidi="fa-IR"/>
        </w:rPr>
        <w:t>بل قد أفرط بعض فی الالتزام بأولویّة حجّیته من حجّیة خبر الواحد فی السنّة نظرا إلی أنّ مرجعه إلی خبر صحیح عالی السند؛ لأنّ مدعی الإجماع یحکی مدلوله و یرویه عن الإمام علیه السّلام بلا واسطة، بخلاف خبر الواحد</w:t>
      </w:r>
      <w:r>
        <w:rPr>
          <w:rFonts w:eastAsia="IRNazanin" w:cs="IRNazanin"/>
          <w:color w:val="111111"/>
          <w:sz w:val="28"/>
          <w:szCs w:val="28"/>
          <w:rtl w:val="true"/>
          <w:lang w:bidi="fa-IR"/>
        </w:rPr>
        <w:t>.</w:t>
      </w:r>
    </w:p>
    <w:p>
      <w:pPr>
        <w:pStyle w:val="Heading5"/>
        <w:numPr>
          <w:ilvl w:val="4"/>
          <w:numId w:val="1"/>
        </w:numPr>
        <w:rPr/>
      </w:pPr>
      <w:bookmarkStart w:id="359" w:name="__RefHeading___Toc2527260_3224264995"/>
      <w:bookmarkStart w:id="360" w:name="_Toc130"/>
      <w:bookmarkEnd w:id="359"/>
      <w:r>
        <w:rPr>
          <w:rtl w:val="true"/>
        </w:rPr>
        <w:t>[</w:t>
      </w:r>
      <w:r>
        <w:rPr>
          <w:rtl w:val="true"/>
        </w:rPr>
        <w:t>رد ادلة الماتن فی المنع من حجّیة الاجماع المنقول</w:t>
      </w:r>
      <w:r>
        <w:rPr>
          <w:rtl w:val="true"/>
        </w:rPr>
        <w:t>]</w:t>
      </w:r>
      <w:bookmarkEnd w:id="360"/>
    </w:p>
    <w:p>
      <w:pPr>
        <w:pStyle w:val="BookText"/>
        <w:rPr/>
      </w:pPr>
      <w:r>
        <w:rPr>
          <w:rFonts w:ascii="IRNazanin" w:hAnsi="IRNazanin" w:eastAsia="IRNazanin"/>
          <w:color w:val="111111"/>
          <w:sz w:val="28"/>
          <w:sz w:val="28"/>
          <w:szCs w:val="28"/>
          <w:rtl w:val="true"/>
          <w:lang w:bidi="fa-IR"/>
        </w:rPr>
        <w:t>کما فرّط الماتن و غیره فی المنع من حجّیته رأسا لأمرین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زعمهم عدم نهوض إطلاق أدلّة حجّیة الخبر الواحد فی السنّة إلی حجّیة الإجماع المنقول، إمّا لعدم إطلاق الخبر و النبأ علی الحدسیّات أصلا، و إمّا </w:t>
      </w:r>
    </w:p>
    <w:p>
      <w:pPr>
        <w:pStyle w:val="BookText"/>
        <w:rPr/>
      </w:pPr>
      <w:r>
        <w:rPr>
          <w:rFonts w:ascii="IRNazanin" w:hAnsi="IRNazanin" w:eastAsia="IRNazanin"/>
          <w:color w:val="111111"/>
          <w:sz w:val="28"/>
          <w:sz w:val="28"/>
          <w:szCs w:val="28"/>
          <w:rtl w:val="true"/>
          <w:lang w:bidi="fa-IR"/>
        </w:rPr>
        <w:t>لانصراف الإطلاق عنها بواسطة أنّ الخطأ فی الحدسیّات غالبی بحیث لا یدفعه أصالة العدم، بخلاف الخبر الواحد، فإنّه حسیّ، و الخطأ و الغفلة و النسیان فی الحسیّات قلیل یندفع بأصالة العدم، بعد سوقهم ورود إطلاق أدلّة حجّیة الخبر مورد بیان حکم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انحصار استناد حدس الناقلین للإجماع فی طرق بعضها متعسّرة لا متیسّرة، و المتیسّرة بعضها غیر موصلة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کطریقة 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الموصلة منها غیر معلوم استناد حدس الحادس إلیها، فلم یبق وثوق للاعتماد علی حدس الناقل للإجماع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سیتبیّن لک من تعرّضنا لکلمات المتن منع الأمرین، و ارتفاع الزعمین بأبلغ وجه و أحسن، بحیث لا یبقی فرق بین الإخبار عن حسّ و حدس، فی ما نحن فیه بعد ثبوت حجّیة أخبار الآحاد، و إن أوهم الفرق امور سنتعرض لدفعها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معلوم عدم شمولها إلّا للروایة المصطلحة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شمول عمل الصحابة لمطلق الأخبار أیضا، بل غایة ما ثبت عملهم بالأخبار المتداولة بینهم، و لا ریب أنّ حال زمانهم و زماننا متفاوت غایة التفاوت بسبب قلّة الوسائط، و إمکان حصول القرائن علی صدوره عن الإمام علیه السّلام، و قلّة الاختلال من جهة النقل و التقطیع و سائر التصرّفات، و تغایر الاصطلاحات و تفاوت القرائن فی فهم اللفظ، و بسبب علاج التعارض المتفاوت حاله بالنسبة إلی الزمانین، فالاعتماد علی الإجماع المدّعی الذی لم یعلم دعواه و لا وقوعه إلّا علی العمل بأخبار الآحاد فی زمان الأئمة لا یدل علی جواز العمل به فی زماننا، فما تقول فی غالب أخبار الآحاد فی زماننا نقوله فی الإجماع المنقول</w:t>
      </w:r>
      <w:r>
        <w:rPr>
          <w:rFonts w:eastAsia="IRNazanin" w:cs="IRNazanin"/>
          <w:color w:val="111111"/>
          <w:sz w:val="28"/>
          <w:szCs w:val="28"/>
          <w:rtl w:val="true"/>
          <w:lang w:bidi="fa-IR"/>
        </w:rPr>
        <w:t xml:space="preserve">. </w:t>
      </w:r>
      <w:bookmarkStart w:id="361" w:name="pg12850_121281"/>
    </w:p>
    <w:p>
      <w:pPr>
        <w:pStyle w:val="BookText"/>
        <w:rPr/>
      </w:pPr>
      <w:bookmarkEnd w:id="361"/>
      <w:r>
        <w:rPr>
          <w:rFonts w:ascii="IRNazanin" w:hAnsi="IRNazanin" w:eastAsia="IRNazanin"/>
          <w:color w:val="111111"/>
          <w:sz w:val="28"/>
          <w:sz w:val="28"/>
          <w:szCs w:val="28"/>
          <w:rtl w:val="true"/>
          <w:lang w:bidi="fa-IR"/>
        </w:rPr>
        <w:t>و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عدم شمول عمل الصحابة للإجماع المنقول إنّما هو من جهة عدم تحقّق موضوعه عندهم، لا من جهة اخری، و السلب بانتفاء الموضوع فی زمان لا یدلّ علی السلب بانتفاء المحمول بعد فرض تحقّق ذلک الموضوع فی زمان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الأخبار الواردة فی العمل بالروایات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شمولها إنّما هو للإجماع الکاشف عن الواقع من غیر وساطة دلالة قول المعصوم، و قد عرفت أنّ هذا النحو من الإجماع المنقول خارج عن محلّ النزاع، و أنّ النزاع إنّما هو فی المنقول الکاشف عن الدلیل و قول المعصوم، و عدم شمولها لهذا النحو من الإجماع المنقول ممنوع، لأنّ المناط فی وجوب العمل بالروایات هو کشفها عن الحکم الصادر عن المعصوم، و لا یعتبر فی ذلک حکایة ألفاظ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یجوز النقل 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ثبت هذا المناط لدلّ علی حجّیة الشهرة، بل فتوی الفقیه، بل مطلق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لزوم دلالته علی حجّیة کلّ واحد منها مطلقا فالملازمة ممنوعة، و إن أردت لزوم دلالته علی حجّیة کلّ واحد منها إذا کشف عن صدور الحکم بعبارة الفتوی أو بعبارة غیرها فبطلان اللازم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عمل بشرائع علی بن بابویه؛ لتنزیل فتواه منزلة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الظاهر منه بقرینة التفصیل و التعلیل هو عدم الاعتناء باحتمال تعمّد کذبه، لا وجوب البناء علی إصابته، و عدم خطائه فی حدسه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5"/>
        <w:numPr>
          <w:ilvl w:val="4"/>
          <w:numId w:val="1"/>
        </w:numPr>
        <w:rPr/>
      </w:pPr>
      <w:bookmarkStart w:id="362" w:name="__RefHeading___Toc2527262_3224264995"/>
      <w:bookmarkStart w:id="363" w:name="_Toc131"/>
      <w:bookmarkEnd w:id="362"/>
      <w:r>
        <w:rPr>
          <w:rtl w:val="true"/>
        </w:rPr>
        <w:t>[</w:t>
      </w:r>
      <w:r>
        <w:rPr>
          <w:rtl w:val="true"/>
        </w:rPr>
        <w:t>رد دعوی عدم نهوض دلالة الآیة علی حجّیة الإجماع المنقول</w:t>
      </w:r>
      <w:r>
        <w:rPr>
          <w:rtl w:val="true"/>
        </w:rPr>
        <w:t>]</w:t>
      </w:r>
      <w:bookmarkEnd w:id="36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یمکن أن یدّعی فی منع نهوض دلالة الآیة علی حجّیة الإجماع المنقول دعویان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أصل إطلاق النبأ و الخبر علی نقل الإجماع، کما نقل التوهّم </w:t>
      </w:r>
    </w:p>
    <w:p>
      <w:pPr>
        <w:pStyle w:val="BookText"/>
        <w:rPr/>
      </w:pPr>
      <w:r>
        <w:rPr>
          <w:rFonts w:ascii="IRNazanin" w:hAnsi="IRNazanin" w:eastAsia="IRNazanin"/>
          <w:color w:val="111111"/>
          <w:sz w:val="28"/>
          <w:sz w:val="28"/>
          <w:szCs w:val="28"/>
          <w:rtl w:val="true"/>
          <w:lang w:bidi="fa-IR"/>
        </w:rPr>
        <w:t>به عن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أصل الإطلاق و دعوی انصرافه عنه بواسطة القرائن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الدعوی الاولی فهو و إن وجّه بأنّ النبأ و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له نسبة تطابقه أو لا تطابقه، أو قول یحتمل الصدق و الکذب أو نحو ذلک، فلا یشمل المسائل المدوّنة فی العلوم المبتنیة علی الاستنباط و الاعتقاد إلّا أنّه مدفوع؛ بأنّه إن ارید أنّ النبأ لا یطلق إلّا علی الأشیاء التی من شأنها أن تدرک بالحسّ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أدرکها المخبر بطریق الحدس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ممّا لا ینافی المقصود، فإنّ المخبر عنه هاهنا قول المعصوم علیه السّلام أو فعله أو تقریره، و هو أمر من شأنه أن یدرک بالحسّ و إن کان طریق الناقل إلیه الحدس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ارید أنّه لا یطلق النبأ إلّا علی ما کان علم المخبر به بطریق الحسّ فواضح الفساد؛ للقطع بأنّ من أخبر عن إلهام أو وحی أو مزاولة بعض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کعلم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یعدّ منبئا و مخبرا، قال اللّه تعالی حکایة عن 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أُنَبِّئُکُمْ بِما تَأْکُلُونَ وَ ما تَدَّخِرُونَ فِی بُیُوتِکُمْ</w:t>
      </w:r>
      <w:r>
        <w:rPr>
          <w:rStyle w:val="FootnoteAnchor"/>
          <w:rtl w:val="true"/>
        </w:rPr>
        <w:footnoteReference w:id="264"/>
      </w:r>
      <w:r>
        <w:rPr>
          <w:rFonts w:ascii="Amiri" w:hAnsi="Amiri" w:eastAsia="Amiri" w:cs="Amiri"/>
          <w:color w:val="111111"/>
          <w:sz w:val="28"/>
          <w:sz w:val="28"/>
          <w:szCs w:val="28"/>
          <w:rtl w:val="true"/>
          <w:lang w:bidi="ar-SA"/>
        </w:rPr>
        <w:t>و لا ریب إخباره علیه السّلام لم یکن عن حسّ، و مثله قوله تعالی فی غیر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فَیُنَبِّئُکُمْ بِما کُنْتُمْ تَعْمَلُونَ</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فإنّ علمه تعالی لیس عن حسّ،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 عِبادِی أَنِّی أَنَا الْغَفُورُ الرَّحِیمُ</w:t>
      </w:r>
      <w:r>
        <w:rPr>
          <w:rStyle w:val="FootnoteAnchor"/>
          <w:rtl w:val="true"/>
        </w:rPr>
        <w:footnoteReference w:id="266"/>
      </w:r>
      <w:r>
        <w:rPr>
          <w:rFonts w:ascii="IRNazanin" w:hAnsi="IRNazanin" w:eastAsia="IRNazanin"/>
          <w:color w:val="111111"/>
          <w:sz w:val="28"/>
          <w:sz w:val="28"/>
          <w:szCs w:val="28"/>
          <w:rtl w:val="true"/>
          <w:lang w:bidi="fa-IR"/>
        </w:rPr>
        <w:t>فإنّ کونه تعالی هو الغفور الرحیم لیس أمرا حسّیا، إلی غیر ذلک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الدعوی الثانیة فهو و إن استظهرها الماتن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من الآیة بقرینة التفصیل و التعلیل هو عدم الاعتناء باحتمال تعمّد کذبه، لا وجوب البناء علی إصابته و عدم خطائه فی حدسه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مؤیّدا إیّاها بامور، أعنی باعتبارهم فی </w:t>
      </w:r>
    </w:p>
    <w:p>
      <w:pPr>
        <w:pStyle w:val="BookText"/>
        <w:rPr/>
      </w:pPr>
      <w:r>
        <w:rPr>
          <w:rFonts w:ascii="IRNazanin" w:hAnsi="IRNazanin" w:eastAsia="IRNazanin"/>
          <w:color w:val="111111"/>
          <w:sz w:val="28"/>
          <w:sz w:val="28"/>
          <w:szCs w:val="28"/>
          <w:rtl w:val="true"/>
          <w:lang w:bidi="fa-IR"/>
        </w:rPr>
        <w:t>الشاهد و الراوی الضبط، و عدم کون المخبر ممّن یکثر علیه السهو و الاشتباه، نظرا إلی أنّ اعتبار الضبط فیهما لیس إلّا من جهة مجری أصالة عدم الغفلة و النسیان فی الضابط، و عدم مجراها فی غیر الضابط و کثیر السهو، و بعدم استدلال أحد من العلماء علی حجّیة فتوی الفقیه علی العامیّ بآیة النبأ، مع استدلالهم علیها بآیتی النفر و السؤال، و بعدم اعتبارهم الشهادة فی المحسوسات إذا لم یستند إلی الحسّ إلّا أنّه مضافا إلی ما ستعرف من عدم تأیید فی مؤیّداته، یرد علی استظهار ذلک المعنی من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عدم الاعتناء باحتمال تعمّد الکذب لا تصویبه راجع إلی مضمون أصالة الصحّة، و حمل قول المسلم علیها، و هو أمر مشترک بین العادل و الفاسق، و لازمه إلغاء التفرقة المستفادة من سیاق الآیة بالفرض بین العادل و الفاسق، و هو باطل بالفرض، و أیضا لازمه ذکر الآیة فی عداد أخبار أصالة الصحّة، و لم یذکره أحد فی عدادها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کان معنی الآیة هو عدم الاعتناء باحتمال تعمّد کذب العادل الذی لا یتمّ اعتباره إلّا بضمیمة أصالة عدم الخطأ و النسیان فی إخباره للزم التمسّک بتلک الضمیمة فی الاستدلال علی حجّیة خبر العادل بآیة النبأ، کما تمسکوا بضمیمة أصالة عدم النقل و الاشتراک فی الاستدلال علی تبادر الوجوب من الأمر و غیره فی عرفنا بضمیمة أصالة عدم الخطأ و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عدم تمسّکهم بها من جهة وضوح ضمیمتها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المعلوم أنّ ضمیمتها لیست بأوضح من ضمیمة أصالة عدم النقل و الاشتراک إلی تبادر الوجوب عرفا من الأمر فی إثبات کونه فی اللغة کذلک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من ضمیمة أصالة عدم الخطأ و النسیان إلی آیة النبأ إن کان استصحاب عدم الغفلة و النسیان فهو أصل مثبت یترتّب علیه لازم عقلیّ، </w:t>
      </w:r>
      <w:bookmarkStart w:id="364" w:name="pg12850_121284"/>
    </w:p>
    <w:p>
      <w:pPr>
        <w:pStyle w:val="BookText"/>
        <w:rPr/>
      </w:pPr>
      <w:bookmarkEnd w:id="364"/>
      <w:r>
        <w:rPr>
          <w:rFonts w:ascii="IRNazanin" w:hAnsi="IRNazanin" w:eastAsia="IRNazanin"/>
          <w:color w:val="111111"/>
          <w:sz w:val="28"/>
          <w:sz w:val="28"/>
          <w:szCs w:val="28"/>
          <w:rtl w:val="true"/>
          <w:lang w:bidi="fa-IR"/>
        </w:rPr>
        <w:t>و هو صدق المخبر و مطابقة خبره للواقع، لا أثر شرعیّ حتی یعتبره المشهور، و إن کان ظنّ عدم الخطأ و النسیان المعتبر عند العقلاء و العلماء فینبغی دوران ثبوت حجّیة خبر العادل مدار الظنّ وجودا و عدما، و الحال أنّ الظاهر ثبوت حجّیة خبر الضابط عندهم مطلقا و لو شک فی صدقه و کذبه من غیر جهة کثرة النسیان المختصّ بغیر الضابط</w:t>
      </w:r>
      <w:r>
        <w:rPr>
          <w:rFonts w:eastAsia="IRNazanin" w:cs="IRNazanin"/>
          <w:color w:val="111111"/>
          <w:sz w:val="28"/>
          <w:szCs w:val="28"/>
          <w:rtl w:val="true"/>
          <w:lang w:bidi="fa-IR"/>
        </w:rPr>
        <w:t>.</w:t>
      </w:r>
    </w:p>
    <w:p>
      <w:pPr>
        <w:pStyle w:val="Heading5"/>
        <w:numPr>
          <w:ilvl w:val="4"/>
          <w:numId w:val="1"/>
        </w:numPr>
        <w:rPr/>
      </w:pPr>
      <w:bookmarkStart w:id="365" w:name="__RefHeading___Toc2527264_3224264995"/>
      <w:bookmarkStart w:id="366" w:name="_Toc132"/>
      <w:bookmarkEnd w:id="365"/>
      <w:r>
        <w:rPr>
          <w:rtl w:val="true"/>
        </w:rPr>
        <w:t>[</w:t>
      </w:r>
      <w:r>
        <w:rPr>
          <w:rtl w:val="true"/>
        </w:rPr>
        <w:t>الکلام فی ان الإخبار بالحدس أکثر خطأ من الإخبار بالحسّ</w:t>
      </w:r>
      <w:r>
        <w:rPr>
          <w:rtl w:val="true"/>
        </w:rPr>
        <w:t>]</w:t>
      </w:r>
      <w:bookmarkEnd w:id="366"/>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و لو سلّمنا عدم دلالة الآیة إلّا علی حجّیة ما ینضمّ إلیه أصالة عدم الخطأ و النسیان إلّا أنّا نمنع اختصاص مجراه بأخبار حسیّة العادل دون أخباره الحدسیّة، لوضوح أنّ ندور الخطأ و النسیان الذی هو المعنیّ بأصالة عدم الخطأ و النسیان کما هو حاصل فی الحسّیات کذلک حاصل فی الحدسیات من غیر فرق، بل لعلّ ما کان حصوله فی حدسیات أهل الخبرة أکثر من حصوله فی حسّیاتهم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علیه ما نقلناه فی المسألة السابقة عن فحول المحقّقین کالسبزواری و غیره من الاتّفاقات المستفیضة، بل المتواترة علی أنّ صحّة المراجعة إلی أصحاب الصناعات المبارزین فی صنعتهم البارعین فی فنّهم فی ما اختصّ بصناعتهم مما اتّفق علیه العقلاء و العلماء فی کلّ عصر و زمان، و الحال أنّ أکثر فنونهم و صنائعهم حدسیّات لا حسیّات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 بالحدس أکثر خطأ من الإخبار بالحسّ یقینا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أکثریّة الخطأ فی حدس الإخبار من الحسّ فیها إنّما هو فی الحدسیّات التی لیست لها مبادئ حسّیة و لا مآخذ لها، کإخبارات بعض السوداویین و المخبطین و المعوجین السلیقة من غیر مآخذ و مبادئ کدراویش عصرنا و من یحذو حذوهم، لا فی الحدسیّات التی لها مبادئ حسّیة و مآخذ عقلائیة، کما فی حدسیات ما نحن فیه، فإنّ کلامنا إنّما هو فی الإجماعات </w:t>
      </w:r>
    </w:p>
    <w:p>
      <w:pPr>
        <w:pStyle w:val="BookText"/>
        <w:rPr/>
      </w:pPr>
      <w:r>
        <w:rPr>
          <w:rFonts w:ascii="IRNazanin" w:hAnsi="IRNazanin" w:eastAsia="IRNazanin"/>
          <w:color w:val="111111"/>
          <w:sz w:val="28"/>
          <w:sz w:val="28"/>
          <w:szCs w:val="28"/>
          <w:rtl w:val="true"/>
          <w:lang w:bidi="fa-IR"/>
        </w:rPr>
        <w:t>المنقولة عن أهل خبرة النقل، بل عمّن یستند حدسه إلی ما عدا طریقة اللطف من سائر الطرق المسلّمة الطریقیة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کالسیّدین</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605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الفاضلین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ما نقل عمّن علم استناد حدسه إلی الطریق الغیر المسلّم الطریقیة، فضلا عمّا نقل عن غیر أهل خبرة النقل حتی یکون خطاؤه أکثر من صوابه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الواضح علی کلّ متدرّب أنّ حدسیّات کلّ أهل خبرة من أهل الفنون و الصنائع و الحرف المستندة حدسهم إلی الطرق المسلّمة الطریقیة لم یبلغ خطائها فی القلّة و الندور معشار صوابها، کما هو واضح علی من تدرّب فی حدسیات اللغویین و سائر الأدبیین المعمولة لتشخیص الظواهر و امتیازها عن موارد الإجمال، و حدسیات الأطبّاء المعمولة لامتیاز البارد عن الحارّ، و الرطب عن الیابس، و حدسیات الفقهاء المعمولة لاستنباط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غیر ذلک من حدسیّات أهل الفنون و الصنائع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حدس العادل، فقد ورد فی تصویبه و حجّیته بالخصوص 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فراسة المؤمن، فإنّه ینظر بنور اللّه</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حدس المؤمن کهانة</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علینا بالاصول و علیکم بالتفریع</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أبان اجلس فی مسجد الکوفة و أفت الناس، فإنّی أحبّ أن </w:t>
      </w:r>
      <w:bookmarkStart w:id="367" w:name="pg12850_121286"/>
    </w:p>
    <w:p>
      <w:pPr>
        <w:pStyle w:val="BookText"/>
        <w:rPr/>
      </w:pPr>
      <w:bookmarkEnd w:id="367"/>
      <w:r>
        <w:rPr>
          <w:rFonts w:ascii="IRNazanin" w:hAnsi="IRNazanin" w:eastAsia="IRNazanin"/>
          <w:color w:val="111111"/>
          <w:sz w:val="28"/>
          <w:sz w:val="28"/>
          <w:szCs w:val="28"/>
          <w:rtl w:val="true"/>
          <w:lang w:bidi="fa-IR"/>
        </w:rPr>
        <w:t>یکون فی شیعتی مثلک</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علیه السّلام فی جواب عبد الأعلی عن حکم من عثر فوقع ظفره فجعل علی إصبعه مرارة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و شبهه یعرف من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w:t>
      </w:r>
      <w:r>
        <w:rPr>
          <w:rStyle w:val="FootnoteAnchor"/>
          <w:rtl w:val="true"/>
        </w:rPr>
        <w:footnoteReference w:id="272"/>
      </w:r>
      <w:r>
        <w:rPr>
          <w:rFonts w:ascii="IRNazanin" w:hAnsi="IRNazanin" w:eastAsia="IRNazanin"/>
          <w:color w:val="111111"/>
          <w:sz w:val="28"/>
          <w:sz w:val="28"/>
          <w:szCs w:val="28"/>
          <w:rtl w:val="true"/>
          <w:lang w:bidi="fa-IR"/>
        </w:rPr>
        <w:t>إلی غیر ذلک من نصوص حجّیة الفتوی، و حدس الفقیه و 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لذا یعتبرون فی الشاهد و الراوی الضبط</w:t>
      </w:r>
      <w:r>
        <w:rPr>
          <w:rFonts w:eastAsia="IRNazanin" w:cs="IRNazanin"/>
          <w:color w:val="111111"/>
          <w:sz w:val="28"/>
          <w:szCs w:val="28"/>
          <w:rtl w:val="true"/>
          <w:lang w:bidi="fa-IR"/>
        </w:rPr>
        <w:t>».</w:t>
      </w:r>
    </w:p>
    <w:p>
      <w:pPr>
        <w:pStyle w:val="Heading5"/>
        <w:numPr>
          <w:ilvl w:val="4"/>
          <w:numId w:val="1"/>
        </w:numPr>
        <w:rPr/>
      </w:pPr>
      <w:bookmarkStart w:id="368" w:name="__RefHeading___Toc2527266_3224264995"/>
      <w:bookmarkStart w:id="369" w:name="_Toc133"/>
      <w:bookmarkEnd w:id="368"/>
      <w:r>
        <w:rPr>
          <w:rtl w:val="true"/>
        </w:rPr>
        <w:t>[</w:t>
      </w:r>
      <w:r>
        <w:rPr>
          <w:rtl w:val="true"/>
        </w:rPr>
        <w:t>احتمال عدم إطلاق الشاهد و الراوی علی غیر الضابط أو انصرافه عنه</w:t>
      </w:r>
      <w:r>
        <w:rPr>
          <w:rtl w:val="true"/>
        </w:rPr>
        <w:t>]</w:t>
      </w:r>
      <w:bookmarkEnd w:id="36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یحتمل أن یکون اعتبار الضبط فی الشاهد و الراوی من جهة مجری أصالة عدم الغفلة و النسیان فی الضابط، و عدم مجراه فی غیر الضابط ممّن کثر علیه السهو و النسیان کذلک یحتمل أن یکون من جهة عدم إطلاق الشاهد و الراوی علی غیر الضابط أو انصرافه عنه بواسطة ندور وجوده جدّا، و ذلک لاستناد شهادة غیر الضابط إلی قطع القطّاع الخارج عن موضوع القطع، بالقطع أو بالانصراف، حسبما تقدّم فی مسألة قطع القطّاع 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ذلک فلا شهادة فی اعتبار الضبط فی الشاهد و الراوی علی کونه من جهة مجری أصالة عدم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یؤیّد ما ذکرنا أنّه لم یستدلّ أحد من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5"/>
        <w:numPr>
          <w:ilvl w:val="4"/>
          <w:numId w:val="1"/>
        </w:numPr>
        <w:rPr/>
      </w:pPr>
      <w:bookmarkStart w:id="370" w:name="__RefHeading___Toc2527268_3224264995"/>
      <w:bookmarkStart w:id="371" w:name="_Toc134"/>
      <w:bookmarkEnd w:id="370"/>
      <w:r>
        <w:rPr>
          <w:rtl w:val="true"/>
        </w:rPr>
        <w:t>[</w:t>
      </w:r>
      <w:r>
        <w:rPr>
          <w:rtl w:val="true"/>
        </w:rPr>
        <w:t>مناقشة کلام الماتن فی وجه عدم الاستدلال علی حجّیة فتوی الفقیه علی العامی بآیة النبأ</w:t>
      </w:r>
      <w:r>
        <w:rPr>
          <w:rtl w:val="true"/>
        </w:rPr>
        <w:t>]</w:t>
      </w:r>
      <w:bookmarkEnd w:id="37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یحتمل أن یکون عدم استدلالهم علی حجّیة فتوی الفقیه علی العامی بآیة النبأ</w:t>
      </w:r>
      <w:r>
        <w:rPr>
          <w:rStyle w:val="FootnoteAnchor"/>
          <w:rtl w:val="true"/>
        </w:rPr>
        <w:footnoteReference w:id="273"/>
      </w:r>
      <w:r>
        <w:rPr>
          <w:rFonts w:ascii="IRNazanin" w:hAnsi="IRNazanin" w:eastAsia="IRNazanin"/>
          <w:color w:val="111111"/>
          <w:sz w:val="28"/>
          <w:sz w:val="28"/>
          <w:szCs w:val="28"/>
          <w:rtl w:val="true"/>
          <w:lang w:bidi="fa-IR"/>
        </w:rPr>
        <w:t>من جهة دلالة آیة النبأ علی مجرّد رفع التهمة دون التصویب، کذلک یحتمل أن یکون من جهة الاستغناء بما هو أقوی منها دلالة و صراحة، کدلالة آیتی النفر</w:t>
      </w:r>
      <w:r>
        <w:rPr>
          <w:rStyle w:val="FootnoteAnchor"/>
          <w:rtl w:val="true"/>
        </w:rPr>
        <w:footnoteReference w:id="274"/>
      </w:r>
      <w:r>
        <w:rPr>
          <w:rFonts w:ascii="IRNazanin" w:hAnsi="IRNazanin" w:eastAsia="IRNazanin"/>
          <w:color w:val="111111"/>
          <w:sz w:val="28"/>
          <w:sz w:val="28"/>
          <w:szCs w:val="28"/>
          <w:rtl w:val="true"/>
          <w:lang w:bidi="fa-IR"/>
        </w:rPr>
        <w:t>و السؤال</w:t>
      </w:r>
      <w:r>
        <w:rPr>
          <w:rStyle w:val="FootnoteAnchor"/>
          <w:rtl w:val="true"/>
        </w:rPr>
        <w:footnoteReference w:id="275"/>
      </w:r>
      <w:r>
        <w:rPr>
          <w:rFonts w:ascii="IRNazanin" w:hAnsi="IRNazanin" w:eastAsia="IRNazanin"/>
          <w:color w:val="111111"/>
          <w:sz w:val="28"/>
          <w:sz w:val="28"/>
          <w:szCs w:val="28"/>
          <w:rtl w:val="true"/>
          <w:lang w:bidi="fa-IR"/>
        </w:rPr>
        <w:t xml:space="preserve">، و صراحة طائفة کثیرة من الأخبار، </w:t>
      </w:r>
      <w:bookmarkStart w:id="372" w:name="pg12850_121287"/>
    </w:p>
    <w:p>
      <w:pPr>
        <w:pStyle w:val="BookText"/>
        <w:rPr/>
      </w:pPr>
      <w:bookmarkEnd w:id="372"/>
      <w:r>
        <w:rPr>
          <w:rFonts w:ascii="IRNazanin" w:hAnsi="IRNazanin" w:eastAsia="IRNazanin"/>
          <w:color w:val="111111"/>
          <w:sz w:val="28"/>
          <w:sz w:val="28"/>
          <w:szCs w:val="28"/>
          <w:rtl w:val="true"/>
          <w:lang w:bidi="fa-IR"/>
        </w:rPr>
        <w:t xml:space="preserve">اطلاق الاجماع علی مجرّد الاتفاق الکاشف مسامحة فی الاطلاق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اطلاق الاجماع علی ما عدا اتفاق الکل مسامحة فیه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حمل اللفظ علی مصطلح مستعمله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سماع الحکم من الإمام علیه السلام فی زماننا فی المنام بل فی الیقظة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انفتاح باب تحصیل الاجماع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توضیح فی نسبة ما سمعه من الإمام فی المنام إلی الاجماع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تفصیل لتوضیح الحال فی التکلّم بالظاهر الغیر المطابق للواقع و لا للقصد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استناد اجماعات الشیخ إلی قاعدة اللطف لا یمنع من الاعتماد علی حکایته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و علی ذلک فلم یبق تأیید فی ما تأیّد به علی مدّعاه، کما لم یبق شهادة فی ما استشهد به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اعتبار الشهادة فی المحسوسات إذا لم یستند إلی الحسّ</w:t>
      </w:r>
      <w:r>
        <w:rPr>
          <w:rFonts w:eastAsia="IRNazanin" w:cs="IRNazanin"/>
          <w:color w:val="111111"/>
          <w:sz w:val="28"/>
          <w:szCs w:val="28"/>
          <w:rtl w:val="true"/>
          <w:lang w:bidi="fa-IR"/>
        </w:rPr>
        <w:t>».</w:t>
      </w:r>
    </w:p>
    <w:p>
      <w:pPr>
        <w:pStyle w:val="Heading5"/>
        <w:numPr>
          <w:ilvl w:val="4"/>
          <w:numId w:val="1"/>
        </w:numPr>
        <w:rPr/>
      </w:pPr>
      <w:bookmarkStart w:id="373" w:name="__RefHeading___Toc2527270_3224264995"/>
      <w:bookmarkStart w:id="374" w:name="_Toc135"/>
      <w:bookmarkEnd w:id="373"/>
      <w:r>
        <w:rPr>
          <w:rtl w:val="true"/>
        </w:rPr>
        <w:t>[</w:t>
      </w:r>
      <w:r>
        <w:rPr>
          <w:rtl w:val="true"/>
        </w:rPr>
        <w:t>مناقشة کلام الماتن من عدم اعتبار الشهادة فی المحسوسات إن لم یستند إلی الحسّ</w:t>
      </w:r>
      <w:r>
        <w:rPr>
          <w:rtl w:val="true"/>
        </w:rPr>
        <w:t>]</w:t>
      </w:r>
      <w:bookmarkEnd w:id="3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عدم اعتبار الشهادة بالحدس؛ لعدم دلیل علی المنع مع عموم أدلّة قبول شهادة العالم، بل و إطلاق لفظ الشهادة عرفا علی مطلق إخبار الجازم سواء کان عن الحواسّ الظاهریة أو الباطنیة، کما صرّح به فی الجواهر</w:t>
      </w:r>
      <w:r>
        <w:rPr>
          <w:rStyle w:val="FootnoteAnchor"/>
          <w:rtl w:val="true"/>
        </w:rPr>
        <w:footnoteReference w:id="276"/>
      </w:r>
      <w:r>
        <w:rPr>
          <w:rFonts w:ascii="IRNazanin" w:hAnsi="IRNazanin" w:eastAsia="IRNazanin"/>
          <w:color w:val="111111"/>
          <w:sz w:val="28"/>
          <w:sz w:val="28"/>
          <w:szCs w:val="28"/>
          <w:rtl w:val="true"/>
          <w:lang w:bidi="fa-IR"/>
        </w:rPr>
        <w:t>و الفصول</w:t>
      </w:r>
      <w:r>
        <w:rPr>
          <w:rStyle w:val="FootnoteAnchor"/>
          <w:rtl w:val="true"/>
        </w:rPr>
        <w:footnoteReference w:id="277"/>
      </w:r>
      <w:r>
        <w:rPr>
          <w:rFonts w:ascii="IRNazanin" w:hAnsi="IRNazanin" w:eastAsia="IRNazanin"/>
          <w:color w:val="111111"/>
          <w:sz w:val="28"/>
          <w:sz w:val="28"/>
          <w:szCs w:val="28"/>
          <w:rtl w:val="true"/>
          <w:lang w:bidi="fa-IR"/>
        </w:rPr>
        <w:t>، بل و إطلاق الفتاوی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الشهید فی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مستند الشهادة العلم القطعی، أو رؤیته، أو سماعا</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فی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ما لَیْسَ لَکَ بِهِ عِلْمٌ</w:t>
      </w:r>
      <w:r>
        <w:rPr>
          <w:rStyle w:val="FootnoteAnchor"/>
          <w:rtl w:val="true"/>
        </w:rPr>
        <w:footnoteReference w:id="279"/>
      </w:r>
      <w:r>
        <w:rPr>
          <w:rFonts w:ascii="IRNazanin" w:hAnsi="IRNazanin" w:eastAsia="IRNazanin"/>
          <w:color w:val="111111"/>
          <w:sz w:val="28"/>
          <w:sz w:val="28"/>
          <w:szCs w:val="28"/>
          <w:rtl w:val="true"/>
          <w:lang w:bidi="fa-IR"/>
        </w:rPr>
        <w:t>، و لقوله علیه السّلام و قد سئل عن الشهادة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تری الشمس؟ علی مثلها فاشهد أو دع</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و لهذا استدلّ الفصول علی حجّیة الإجماع المنقول بعدم الفرق بین نوعی القطع فی باب الشهادة</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نقله الماتن عن الریاض</w:t>
      </w:r>
      <w:r>
        <w:rPr>
          <w:rStyle w:val="FootnoteAnchor"/>
          <w:rtl w:val="true"/>
        </w:rPr>
        <w:footnoteReference w:id="282"/>
      </w:r>
      <w:r>
        <w:rPr>
          <w:rFonts w:ascii="IRNazanin" w:hAnsi="IRNazanin" w:eastAsia="IRNazanin"/>
          <w:color w:val="111111"/>
          <w:sz w:val="28"/>
          <w:sz w:val="28"/>
          <w:szCs w:val="28"/>
          <w:rtl w:val="true"/>
          <w:lang w:bidi="fa-IR"/>
        </w:rPr>
        <w:t>من الإطباق علی عدم اعتبار الشهادة فی المحسوسات بالحدس ففی کلّ من نقله و منقوله کلام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الذی فی نقله فهو عدم مطابقة ظاهره لواقعه من جهة أنّ ما فی نسخ الریاض</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راجعنا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مجرّد استظهار الإطباق دون الجزم به، کما یوهمه ظاهر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جهة أنّ ما استظهره هو إطباق کلمة الأصحاب، لا </w:t>
      </w:r>
    </w:p>
    <w:p>
      <w:pPr>
        <w:pStyle w:val="BookText"/>
        <w:rPr/>
      </w:pPr>
      <w:r>
        <w:rPr>
          <w:rFonts w:ascii="IRNazanin" w:hAnsi="IRNazanin" w:eastAsia="IRNazanin"/>
          <w:color w:val="111111"/>
          <w:sz w:val="28"/>
          <w:sz w:val="28"/>
          <w:szCs w:val="28"/>
          <w:rtl w:val="true"/>
          <w:lang w:bidi="fa-IR"/>
        </w:rPr>
        <w:t>الإطباق المطلق الموهم لدخول المعصوم فی المطبقین، کما یوهمه أیضا ظاهر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 فی أصل منقوله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استظهره من إطباق کلمة الأصحاب علی عدم اعتبار الشهادة فی المحسوسات بالحدس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عدم قبوله و منع ظهور ما استظهره، وفاقا لما عن الأردبیلی</w:t>
      </w:r>
      <w:r>
        <w:rPr>
          <w:rStyle w:val="FootnoteAnchor"/>
          <w:rtl w:val="true"/>
        </w:rPr>
        <w:footnoteReference w:id="284"/>
      </w:r>
      <w:r>
        <w:rPr>
          <w:rFonts w:ascii="IRNazanin" w:hAnsi="IRNazanin" w:eastAsia="IRNazanin"/>
          <w:color w:val="111111"/>
          <w:sz w:val="28"/>
          <w:sz w:val="28"/>
          <w:szCs w:val="28"/>
          <w:rtl w:val="true"/>
          <w:lang w:bidi="fa-IR"/>
        </w:rPr>
        <w:t>و صاحب الکفایة</w:t>
      </w:r>
      <w:r>
        <w:rPr>
          <w:rStyle w:val="FootnoteAnchor"/>
          <w:rtl w:val="true"/>
        </w:rPr>
        <w:footnoteReference w:id="285"/>
      </w:r>
      <w:r>
        <w:rPr>
          <w:rFonts w:ascii="IRNazanin" w:hAnsi="IRNazanin" w:eastAsia="IRNazanin"/>
          <w:color w:val="111111"/>
          <w:sz w:val="28"/>
          <w:sz w:val="28"/>
          <w:szCs w:val="28"/>
          <w:rtl w:val="true"/>
          <w:lang w:bidi="fa-IR"/>
        </w:rPr>
        <w:t>و کشف اللثام</w:t>
      </w:r>
      <w:r>
        <w:rPr>
          <w:rStyle w:val="FootnoteAnchor"/>
          <w:rtl w:val="true"/>
        </w:rPr>
        <w:footnoteReference w:id="286"/>
      </w:r>
      <w:r>
        <w:rPr>
          <w:rFonts w:ascii="IRNazanin" w:hAnsi="IRNazanin" w:eastAsia="IRNazanin"/>
          <w:color w:val="111111"/>
          <w:sz w:val="28"/>
          <w:sz w:val="28"/>
          <w:szCs w:val="28"/>
          <w:rtl w:val="true"/>
          <w:lang w:bidi="fa-IR"/>
        </w:rPr>
        <w:t>، کما احتمله المستظهر هو أیضا بعد توجیه استظهاره فی الریاض</w:t>
      </w:r>
      <w:r>
        <w:rPr>
          <w:rStyle w:val="FootnoteAnchor"/>
          <w:rtl w:val="true"/>
        </w:rPr>
        <w:footnoteReference w:id="287"/>
      </w:r>
      <w:r>
        <w:rPr>
          <w:rFonts w:ascii="IRNazanin" w:hAnsi="IRNazanin" w:eastAsia="IRNazanin"/>
          <w:color w:val="111111"/>
          <w:sz w:val="28"/>
          <w:sz w:val="28"/>
          <w:szCs w:val="28"/>
          <w:rtl w:val="true"/>
          <w:lang w:bidi="fa-IR"/>
        </w:rPr>
        <w:t>، و ذلک لما تقدّم من استظهار خلافه من عموم أدلّة قبول شهادة العالم، و إطلاق الفتاوی به، و إطلاق لفظ الشهادة عرفا، کما اعترف بکلّ ذلک فی الجواهر مستغربا عن القول بعدم اعتبار الشهادة ما لم یستند إلی الحواسّ الظاهریة بأنّ مقتضاه عدم صحّة شهادتنا الیوم بنصب النبیّ الأمیر فی غدیر، و بغصب المنافقین فدکا، و غیر ذلک من المستفیضات و الإجماعیات و المتواترات المفیدة لنا العلم بمؤدّیاتها، من غیر حضورنا و مشاهدتنا لمؤدّیاتها من غیر الحواسّ الباطنیة</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عدم اعتبار الشهادة بالحدس، لکن لا نسلّم کونه من جهة عدم دلالة الآیة علی وجوب تصویب العادل فی الاعتقاد،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جهة تخصیص عموم الآیة بمخصّص خارجیّ من السنّة دالّ علی اعتبار الحسّ فی الشهادة، کالنبویّ المتقدّم و قد سئل عن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تری الشمس؟ علی مثلها فاشهد أو دع</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تشهدنّ شهادة حتی تعرفها کما تعرف کفّک</w:t>
      </w:r>
      <w:r>
        <w:rPr>
          <w:rFonts w:eastAsia="IRNazanin" w:cs="IRNazanin"/>
          <w:color w:val="111111"/>
          <w:sz w:val="28"/>
          <w:szCs w:val="28"/>
          <w:rtl w:val="true"/>
          <w:lang w:bidi="fa-IR"/>
        </w:rPr>
        <w:t>»</w:t>
      </w:r>
      <w:r>
        <w:rPr>
          <w:rStyle w:val="FootnoteAnchor"/>
          <w:rtl w:val="true"/>
        </w:rPr>
        <w:footnoteReference w:id="290"/>
      </w:r>
      <w:bookmarkStart w:id="375" w:name="pg12850_121289"/>
    </w:p>
    <w:p>
      <w:pPr>
        <w:pStyle w:val="BookText"/>
        <w:rPr/>
      </w:pPr>
      <w:bookmarkEnd w:id="375"/>
      <w:r>
        <w:rPr>
          <w:rFonts w:ascii="IRNazanin" w:hAnsi="IRNazanin" w:eastAsia="IRNazanin"/>
          <w:color w:val="111111"/>
          <w:sz w:val="28"/>
          <w:sz w:val="28"/>
          <w:szCs w:val="28"/>
          <w:rtl w:val="true"/>
          <w:lang w:bidi="fa-IR"/>
        </w:rPr>
        <w:t>بناء علی عموم التشبیه فهما للحسّ دون اختصاصه بالعلم الذی هو أظهر خواصّ المشبّه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أن یکون اعتبار الحسّ فی الشهادة من مقتضی الدلیل الخارجیّ المخصّص لعموم الآیة فلا ینبغی التعدّی إلی اعتباره فی ما عدا الشهادة کالروایة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یخلو عن نظر</w:t>
      </w:r>
      <w:r>
        <w:rPr>
          <w:rFonts w:eastAsia="IRNazanin" w:cs="IRNazanin"/>
          <w:color w:val="111111"/>
          <w:sz w:val="28"/>
          <w:szCs w:val="28"/>
          <w:rtl w:val="true"/>
          <w:lang w:bidi="fa-IR"/>
        </w:rPr>
        <w:t>».</w:t>
      </w:r>
    </w:p>
    <w:p>
      <w:pPr>
        <w:pStyle w:val="Heading5"/>
        <w:numPr>
          <w:ilvl w:val="4"/>
          <w:numId w:val="1"/>
        </w:numPr>
        <w:rPr/>
      </w:pPr>
      <w:bookmarkStart w:id="376" w:name="__RefHeading___Toc2527272_3224264995"/>
      <w:bookmarkStart w:id="377" w:name="_Toc136"/>
      <w:bookmarkEnd w:id="376"/>
      <w:r>
        <w:rPr>
          <w:rtl w:val="true"/>
        </w:rPr>
        <w:t>[</w:t>
      </w:r>
      <w:r>
        <w:rPr>
          <w:rtl w:val="true"/>
        </w:rPr>
        <w:t>تحقیق فی معنی الشهادة</w:t>
      </w:r>
      <w:r>
        <w:rPr>
          <w:rtl w:val="true"/>
        </w:rPr>
        <w:t>]</w:t>
      </w:r>
      <w:bookmarkEnd w:id="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الشهادة بحسب اللغة</w:t>
      </w:r>
      <w:r>
        <w:rPr>
          <w:rStyle w:val="FootnoteAnchor"/>
          <w:rtl w:val="true"/>
        </w:rPr>
        <w:footnoteReference w:id="291"/>
      </w:r>
      <w:r>
        <w:rPr>
          <w:rFonts w:ascii="IRNazanin" w:hAnsi="IRNazanin" w:eastAsia="IRNazanin"/>
          <w:color w:val="111111"/>
          <w:sz w:val="28"/>
          <w:sz w:val="28"/>
          <w:szCs w:val="28"/>
          <w:rtl w:val="true"/>
          <w:lang w:bidi="fa-IR"/>
        </w:rPr>
        <w:t>و الاشتقاق من الشهود و الحضور، و أمّا بحسب العرف فلیس کذلک، و إلّا لما صحّ الشهادة بالتوحید و النبوّة و الإمامة، و العدالة و العصمة، و الاجتهاد و العلم و الفقه، و السخاوة و الشجاعة و المهارة و المحبّة و العداوة و الذکاوة و البلادة، و حسن العقیدة و خبث السریرة و الجودة و القریحة و الفطرة، إلی غیر ذلک من الملکات النفسیة و الامور الحدسیة الغیر المرئیة ممّا تصحّ الشهادة بها قطعا، و ذلک لأنّها و إن کانت فی نفسها امور حدسیّة و ملکات نفسیّة لا یعلمها إلّا علّام الغیوب إلّا أنّها بواسطة أنّ لها مبادئ و علائم و آثار حسّیة فی حکم الحسّیة فی الاعتبار و الحجّیة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ما لم یکن له مبادئ و آثار حسّیة من الامور الحدسیة کإخبارات الفلسفیة عن حقیقة الأشیاء و مقتضیاتها الحدسیة بالتخمین و الخرص من غیر حسّ و لا نصّ، و إخبارات المنجّم و الرمّال و الفوّال عن نحوسة الأیام و الأحوال و الهلال و الملال بالأباطیل و الفلال و الأعداد و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یثبت اعتبار الشهادة بها، بل الثابت بکلّ من الأدلّة الأربعة عدم اعتبارها و تسفیهها و تکذیبها و تکفیرها، کدعاوی الطبیعیة و الصوفیة و الشیخیة و البابیة بالامور الکشفیة، و الباطنیة بالامور الحدسیة و الوهمیة و السفهائیة التی هی من حیث الإثبات و الثبوت أوهن من بیت </w:t>
      </w:r>
      <w:bookmarkStart w:id="378" w:name="pg12850_121290"/>
    </w:p>
    <w:p>
      <w:pPr>
        <w:pStyle w:val="BookText"/>
        <w:rPr/>
      </w:pPr>
      <w:bookmarkEnd w:id="378"/>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مسامحة فی مسامحة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5"/>
        <w:numPr>
          <w:ilvl w:val="4"/>
          <w:numId w:val="1"/>
        </w:numPr>
        <w:rPr/>
      </w:pPr>
      <w:bookmarkStart w:id="379" w:name="__RefHeading___Toc2527274_3224264995"/>
      <w:bookmarkStart w:id="380" w:name="_Toc137"/>
      <w:bookmarkEnd w:id="379"/>
      <w:r>
        <w:rPr>
          <w:rtl w:val="true"/>
        </w:rPr>
        <w:t>[</w:t>
      </w:r>
      <w:r>
        <w:rPr>
          <w:rtl w:val="true"/>
        </w:rPr>
        <w:t>المسامحة فی إطلاق الإجماع علی ما عدا اتّفاق الکل او مجرد الاجماع الکاشف</w:t>
      </w:r>
      <w:r>
        <w:rPr>
          <w:rtl w:val="true"/>
        </w:rPr>
        <w:t>]</w:t>
      </w:r>
      <w:bookmarkEnd w:id="38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المسامحة الاولی فهو إطلاق الإجماع علی مجرّد الاتّفاق الکاشف عن رأی المعصوم، مع اعتبار انضمام المنکشف إلیه اصطلاحا، و أمّا المسامحة الثانیة فهی إطلاق الإجماع علی ما عدا اتّفاق الکلّ، مع اعتبار اتفاق الکلّ فیه اصطلاحا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المسامحة الاولی فهو التّحفظ علی ما جرت علیه سیرة أهل الفنّ من إرجاع کلّ دلیل إلی أحد الأدلّة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المسامحة الثانیة فهو تنزیل المخالف منزلة العدم، بعد فرض وجود مناط الحجّیة، و هو رأی المعصوم فی ما عدا اتفاق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لکنّه مرجوح</w:t>
      </w:r>
      <w:r>
        <w:rPr>
          <w:rFonts w:eastAsia="IRNazanin" w:cs="IRNazanin"/>
          <w:color w:val="111111"/>
          <w:sz w:val="28"/>
          <w:szCs w:val="28"/>
          <w:rtl w:val="true"/>
          <w:lang w:bidi="fa-IR"/>
        </w:rPr>
        <w:t>».</w:t>
      </w:r>
    </w:p>
    <w:p>
      <w:pPr>
        <w:pStyle w:val="Heading5"/>
        <w:numPr>
          <w:ilvl w:val="4"/>
          <w:numId w:val="1"/>
        </w:numPr>
        <w:rPr/>
      </w:pPr>
      <w:bookmarkStart w:id="381" w:name="__RefHeading___Toc2527276_3224264995"/>
      <w:bookmarkStart w:id="382" w:name="_Toc138"/>
      <w:bookmarkEnd w:id="381"/>
      <w:r>
        <w:rPr>
          <w:rtl w:val="true"/>
        </w:rPr>
        <w:t>[</w:t>
      </w:r>
      <w:r>
        <w:rPr>
          <w:rtl w:val="true"/>
        </w:rPr>
        <w:t>حمل کلّ لفظ صادر عن کلّ ذی اصطلاح علی خصوص مصطلحه دون معناه اللغوی</w:t>
      </w:r>
      <w:r>
        <w:rPr>
          <w:rtl w:val="true"/>
        </w:rPr>
        <w:t>]</w:t>
      </w:r>
      <w:bookmarkEnd w:id="3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اللفظ محمول علی المعنی اللغوی ما لم یثبت کونه حقیقة شرعیة فی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مدفوع 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 کلّ لفظ صادر عن کلّ ذی اصطلاح علی خصوص مصطلحه دون معناه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حمل لفظ الکلمة الصادرة عن النحویّ علی خصوص مصطلحه، و من المنطقیّ علی مصطلحه، و من اللغویّ علی مصطلحه، و هکذا سائر الألفاظ</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حمل اللفظ علی معناه اللغویّ إنّما هو فی ما لم یثبت للافظه اصطلاح خاصّ فیه، و إلّا فمن المعلوم تقدّم اصطلاحه الخاصّ علی معناه اللغویّ، فلفظ الفقهاء و العلماء و إن کان بحسب اللغة عامّا لکلّ عالم و فقیه إلّا أنّ علوّ مرتبة الإمام فی العلم و الفقه بمثابة یوجب خروجه عن ظاهر عموم العلماء و الفقهاء، کما أنّ دنوّ بعض مراتب العلماء أیضا یوجب لخروجهم عن ظاهر </w:t>
      </w:r>
      <w:bookmarkStart w:id="383" w:name="pg12850_121291"/>
    </w:p>
    <w:p>
      <w:pPr>
        <w:pStyle w:val="BookText"/>
        <w:rPr/>
      </w:pPr>
      <w:bookmarkEnd w:id="383"/>
      <w:r>
        <w:rPr>
          <w:rFonts w:ascii="IRNazanin" w:hAnsi="IRNazanin" w:eastAsia="IRNazanin"/>
          <w:color w:val="111111"/>
          <w:sz w:val="28"/>
          <w:sz w:val="28"/>
          <w:szCs w:val="28"/>
          <w:rtl w:val="true"/>
          <w:lang w:bidi="fa-IR"/>
        </w:rPr>
        <w:t>العموم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نعلم جزما أنّه لم یتّفق لأحد من هؤلاء الحاکین للإجماع</w:t>
      </w:r>
      <w:r>
        <w:rPr>
          <w:rFonts w:eastAsia="IRNazanin" w:cs="IRNazanin"/>
          <w:color w:val="111111"/>
          <w:sz w:val="28"/>
          <w:szCs w:val="28"/>
          <w:rtl w:val="true"/>
          <w:lang w:bidi="fa-IR"/>
        </w:rPr>
        <w:t>».</w:t>
      </w:r>
    </w:p>
    <w:p>
      <w:pPr>
        <w:pStyle w:val="Heading5"/>
        <w:numPr>
          <w:ilvl w:val="4"/>
          <w:numId w:val="1"/>
        </w:numPr>
        <w:rPr/>
      </w:pPr>
      <w:bookmarkStart w:id="384" w:name="__RefHeading___Toc2527278_3224264995"/>
      <w:bookmarkStart w:id="385" w:name="_Toc139"/>
      <w:bookmarkEnd w:id="384"/>
      <w:r>
        <w:rPr>
          <w:rtl w:val="true"/>
        </w:rPr>
        <w:t>[</w:t>
      </w:r>
      <w:r>
        <w:rPr>
          <w:rtl w:val="true"/>
        </w:rPr>
        <w:t>سماع الحکم عن الإمام علیه السّلام فی أمثال زماننا فی المنام بل فی الیقظة</w:t>
      </w:r>
      <w:r>
        <w:rPr>
          <w:rtl w:val="true"/>
        </w:rPr>
        <w:t>]</w:t>
      </w:r>
      <w:bookmarkEnd w:id="3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العلم، إذ کثیرا ما یتّفق لبعض الأوحدین من الصلحاء سماع الحکم عن الإمام علیه السّلام فی أمثال زماننا فی المنام المحفوف بشواهد الصدق و العلم، بل لا یمتنع لمثلهم الوصول إلی خدمته فی الیقظة أیضا فی بعض الأحیان لسماع بعض الأحکام، کما استفیض نقل ثبوت ذلک الشأن لمثل المقدّس الأردبیلی و بحر العلوم و أمثالهم من الصلحاء السالفین، بل و لبعض الأوحدین ممّن أدرکنا عصرهم و إن امرنا بتکذیب من یدّعی ذلک الشأن بعد الغیبة الکبری من کلّ من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فإن کان الحکم المفروض سماعه عن الإمام فی الیقظة أو المنام فی جملة جماعة لا تعرف أعیانهم فلا إشکال فی صحّة نسبة العلم المحصّل له بالحکم إلی الإجماع، و لا فی حجّیته بالنسبة إلی المحکیّ له إذا کان جامعا لشرائط قبول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الحکم المفروض سماعه فی الیقظة عن الإمام عارفا له بعینه و شخصه، لا فی جملة جماعة لا تعرف أعیانهم جاز نسبته إلی الإجماع صونا لنفسه عن التکذیب و التشنیع، و تحفّظا علی ما جرت علیه السیرة من إرجاع کلّ دلیل إلی أحد الأدلّة المعروفة الأربعة من الکتاب و السنّة و الإجماع و العقل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نسبة الحکم المفروض تحصیله عن الإمام بعینه إلی الإجماع و إن کان کذبا و غیر مطابق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قصد فی نسبته إلی الإجماع تنزیله منزلة الإجماع فی وجود مناط الحجّیة فیه، فإنّ المسامحات العرفیة فی الإطلاق لا تتأتّی بمجرّد تنزیل المسامح منزلة المسامح فیه، لاتّحادهما فی المناط و الخاصیّة؛ بل تبتنی مع ذلک علی بقاء ظهور المشابهة بینهما، أ لا تری أنّهم لا یتسامحون فی </w:t>
      </w:r>
      <w:bookmarkStart w:id="386" w:name="pg12850_121292"/>
    </w:p>
    <w:p>
      <w:pPr>
        <w:pStyle w:val="BookText"/>
        <w:rPr/>
      </w:pPr>
      <w:bookmarkEnd w:id="386"/>
      <w:r>
        <w:rPr>
          <w:rFonts w:ascii="IRNazanin" w:hAnsi="IRNazanin" w:eastAsia="IRNazanin"/>
          <w:color w:val="111111"/>
          <w:sz w:val="28"/>
          <w:sz w:val="28"/>
          <w:szCs w:val="28"/>
          <w:rtl w:val="true"/>
          <w:lang w:bidi="fa-IR"/>
        </w:rPr>
        <w:t>إطلاق المقادیر إلّا علی الناقص منها بیسیر، دون الکثیر و لو اتّحد فی وجود المناط و الخاصّیة، بل و کذا إن قصد فی نسبته التوریة؛ ضرورة أنّ قصد التوریة إنّما یخرج اللفظ عن الکذب عند اشتراکه بین المعنی المقصود توریته، و بین المعنی الآخر و لو بواسطة الاعتماد علی بعض القرائن الخفیّة الموجودة التی لم یتفطّن المخاطب بها، لا عند ظهوره فی خلاف المقصود توریته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مصلحة إبراز الحقّ و إدحاض الباطل من المصالح المجوّزة لذلک الکذب عند انحصار سبیل الإبراز فیه</w:t>
      </w:r>
      <w:r>
        <w:rPr>
          <w:rFonts w:eastAsia="IRNazanin" w:cs="IRNazanin"/>
          <w:color w:val="111111"/>
          <w:sz w:val="28"/>
          <w:szCs w:val="28"/>
          <w:rtl w:val="true"/>
          <w:lang w:bidi="fa-IR"/>
        </w:rPr>
        <w:t>.</w:t>
      </w:r>
    </w:p>
    <w:p>
      <w:pPr>
        <w:pStyle w:val="Heading5"/>
        <w:numPr>
          <w:ilvl w:val="4"/>
          <w:numId w:val="1"/>
        </w:numPr>
        <w:rPr/>
      </w:pPr>
      <w:bookmarkStart w:id="387" w:name="__RefHeading___Toc2527280_3224264995"/>
      <w:bookmarkStart w:id="388" w:name="_Toc140"/>
      <w:bookmarkEnd w:id="387"/>
      <w:r>
        <w:rPr>
          <w:rtl w:val="true"/>
        </w:rPr>
        <w:t>[</w:t>
      </w:r>
      <w:r>
        <w:rPr>
          <w:rtl w:val="true"/>
        </w:rPr>
        <w:t>انفتاح باب تحصیل الاجماع</w:t>
      </w:r>
      <w:r>
        <w:rPr>
          <w:rtl w:val="true"/>
        </w:rPr>
        <w:t>]</w:t>
      </w:r>
      <w:bookmarkEnd w:id="388"/>
    </w:p>
    <w:p>
      <w:pPr>
        <w:pStyle w:val="BookText"/>
        <w:rPr/>
      </w:pPr>
      <w:r>
        <w:rPr>
          <w:rFonts w:ascii="IRNazanin" w:hAnsi="IRNazanin" w:eastAsia="IRNazanin"/>
          <w:color w:val="111111"/>
          <w:sz w:val="28"/>
          <w:sz w:val="28"/>
          <w:szCs w:val="28"/>
          <w:rtl w:val="true"/>
          <w:lang w:bidi="fa-IR"/>
        </w:rPr>
        <w:t>فتلخّص ممّا ذکرنا انفتاح ثلاثة أبواب أخر لصحّة تحصیل الإجماع، علاوة علی الأبواب الثلاثة التی حصر الماتن التحصیل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 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الحکم عن الإمام علیه السّلام فی الیقظة أو المنام، فی جملة جماعة لا تعرف أعیانهم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عن الإمام فی الیقظة عارفا لشخص الإمام و عینه</w:t>
      </w:r>
      <w:r>
        <w:rPr>
          <w:rFonts w:eastAsia="IRNazanin" w:cs="IRNazanin"/>
          <w:color w:val="111111"/>
          <w:sz w:val="28"/>
          <w:szCs w:val="28"/>
          <w:rtl w:val="true"/>
          <w:lang w:bidi="fa-IR"/>
        </w:rPr>
        <w:t>.</w:t>
      </w:r>
    </w:p>
    <w:p>
      <w:pPr>
        <w:pStyle w:val="Heading5"/>
        <w:numPr>
          <w:ilvl w:val="4"/>
          <w:numId w:val="1"/>
        </w:numPr>
        <w:rPr/>
      </w:pPr>
      <w:bookmarkStart w:id="389" w:name="__RefHeading___Toc2527282_3224264995"/>
      <w:bookmarkStart w:id="390" w:name="_Toc141"/>
      <w:bookmarkEnd w:id="389"/>
      <w:r>
        <w:rPr>
          <w:rtl w:val="true"/>
        </w:rPr>
        <w:t>[</w:t>
      </w:r>
      <w:r>
        <w:rPr>
          <w:rtl w:val="true"/>
        </w:rPr>
        <w:t>عدم صحة نسبة ما سمع من الامام فی المنام إلی الإجماع</w:t>
      </w:r>
      <w:r>
        <w:rPr>
          <w:rtl w:val="true"/>
        </w:rPr>
        <w:t>]</w:t>
      </w:r>
      <w:bookmarkEnd w:id="390"/>
    </w:p>
    <w:p>
      <w:pPr>
        <w:pStyle w:val="BookText"/>
        <w:rPr/>
      </w:pPr>
      <w:r>
        <w:rPr>
          <w:rFonts w:ascii="IRNazanin" w:hAnsi="IRNazanin" w:eastAsia="IRNazanin"/>
          <w:color w:val="111111"/>
          <w:sz w:val="28"/>
          <w:sz w:val="28"/>
          <w:szCs w:val="28"/>
          <w:rtl w:val="true"/>
          <w:lang w:bidi="fa-IR"/>
        </w:rPr>
        <w:t>و أمّا سماعه عنه کذلک فی المنام فلا مصحّح لنسبته إلی الإجماع، لتربیع الأبواب المفتوحة، إذ لا مکذّب للمسموع فی المنام، و لا مشنّع له فی المقام، إذا احتفّ بقرائن الإعلام حتی یتفصّی عنه إلی دعوی الإجماع کذبا؛ فإنّ المدار فی الصدق و الکذب علی المطابقة و اللامطابقة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المطابقة و اللامطابقة للمعتقد، و لا لکلیهما، کما قیل</w:t>
      </w:r>
      <w:r>
        <w:rPr>
          <w:rFonts w:eastAsia="IRNazanin" w:cs="IRNazanin"/>
          <w:color w:val="111111"/>
          <w:sz w:val="28"/>
          <w:szCs w:val="28"/>
          <w:rtl w:val="true"/>
          <w:lang w:bidi="fa-IR"/>
        </w:rPr>
        <w:t>.</w:t>
      </w:r>
    </w:p>
    <w:p>
      <w:pPr>
        <w:pStyle w:val="Heading5"/>
        <w:numPr>
          <w:ilvl w:val="4"/>
          <w:numId w:val="1"/>
        </w:numPr>
        <w:rPr/>
      </w:pPr>
      <w:bookmarkStart w:id="391" w:name="__RefHeading___Toc2527284_3224264995"/>
      <w:bookmarkStart w:id="392" w:name="_Toc142"/>
      <w:bookmarkEnd w:id="391"/>
      <w:r>
        <w:rPr>
          <w:rtl w:val="true"/>
        </w:rPr>
        <w:t>[</w:t>
      </w:r>
      <w:r>
        <w:rPr>
          <w:rtl w:val="true"/>
        </w:rPr>
        <w:t>التکلّم بالظاهر الغیر المطابق للواقع و لا للقصد</w:t>
      </w:r>
      <w:r>
        <w:rPr>
          <w:rtl w:val="true"/>
        </w:rPr>
        <w:t>]</w:t>
      </w:r>
      <w:bookmarkEnd w:id="392"/>
    </w:p>
    <w:p>
      <w:pPr>
        <w:pStyle w:val="BookText"/>
        <w:rPr/>
      </w:pPr>
      <w:r>
        <w:rPr>
          <w:rFonts w:ascii="IRNazanin" w:hAnsi="IRNazanin" w:eastAsia="IRNazanin"/>
          <w:color w:val="111111"/>
          <w:sz w:val="28"/>
          <w:sz w:val="28"/>
          <w:szCs w:val="28"/>
          <w:rtl w:val="true"/>
          <w:lang w:bidi="fa-IR"/>
        </w:rPr>
        <w:t>و علی ذلک فلا بأس لتفصیل المقال فی توضیح المقال علی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المتکلّم بالظاهر الغیر المطابق للواقع و لا للقصد إمّا أن یکون من المرکّبات التامّة الخبریة،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 إمّا أن یکون من المرکّبات الناقصة التقییدیة و الوصفیة،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کلّ منهما فإمّا أن یقصد به خلاف الظاهر، و إمّا أن یکون متردّدا فی </w:t>
      </w:r>
    </w:p>
    <w:p>
      <w:pPr>
        <w:pStyle w:val="BookText"/>
        <w:rPr/>
      </w:pPr>
      <w:r>
        <w:rPr>
          <w:rFonts w:ascii="IRNazanin" w:hAnsi="IRNazanin" w:eastAsia="IRNazanin"/>
          <w:color w:val="111111"/>
          <w:sz w:val="28"/>
          <w:sz w:val="28"/>
          <w:szCs w:val="28"/>
          <w:rtl w:val="true"/>
          <w:lang w:bidi="fa-IR"/>
        </w:rPr>
        <w:t>القصد و عدمه، و إمّا أن یکون ذاهلا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من هذه الوجوه الستّة إمّا أن یکون بین الظاهر و ذلک المخالف له علاقة من العلائق، أو 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من هذه الوجوه الاثنی عشر إمّا أن یعلم المتکلّم المخاطب بحاله و عدم قصده الظاهر بنصب قرینة صارفة عنه، و إمّا أن لا یعلمه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عدم إعلامه إمّا أن یعلم المخاطب بالحال من نفسه بواسطة الامور الخارجیة، أو لا یعلم، و علی تقدیر عدم علمه به فإمّا أن یظنّ به أم لا یظنّ 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الغیر المطابق للواقع و القصد من المرکّبات التامّة الخبریة فمتّصف بالکذب، و ترتّب علی متکلّمه آثار الکذب و عوائقه الشرعیة و غیرها فی جمیع أقسامه المذکورة، إلّا فی صورة إعلامه المخاطب بنصب قرینة صارفة عن الواقع، أو علمه أو ظنّه به من غیر إعلام، فإنّ مخالفة الظاهر فی هذه الصور الثلاث لا یسمّی بکذب، فلا یترتب علی قائله عوائق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الاولی منها فواضح، و أمّا فی الأخیرتین، منها فلأنّ اعتبار الظواهر إنّما یکون من باب الطریقیة و الکاشفیة، لا من باب الموضوعیة و التعبّد الصرف حتی یعدّ مخالفتها کذبا مع العلم أو الظنّ بعدم إرادتها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مراد بعض البیانیین من أنّ الدلالة تابعة للإرادة إنّما هو فی تلک الصورة، لا مطلقا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الکلام فی المرکّبات الناقصة التقییدیة و الوصفیة المخالف ظاهرها للقصد و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کقولک للجاهل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عالم، و للعالم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فمتّصف فی ما عدا صورة الإعلام أو العلم أو الظنّ بقصد الخلاف بالهجر و السخریة، بدل اتصاف المرکّبات التامّة فی ما عداهما بالکذب، و ذلک لما قال البیانیون من أنّ کلّ مرکّب </w:t>
      </w:r>
      <w:bookmarkStart w:id="393" w:name="pg12850_121294"/>
    </w:p>
    <w:p>
      <w:pPr>
        <w:pStyle w:val="BookText"/>
        <w:rPr/>
      </w:pPr>
      <w:bookmarkEnd w:id="393"/>
      <w:r>
        <w:rPr>
          <w:rFonts w:ascii="IRNazanin" w:hAnsi="IRNazanin" w:eastAsia="IRNazanin"/>
          <w:color w:val="111111"/>
          <w:sz w:val="28"/>
          <w:sz w:val="28"/>
          <w:szCs w:val="28"/>
          <w:rtl w:val="true"/>
          <w:lang w:bidi="fa-IR"/>
        </w:rPr>
        <w:t>تامّ مشکوک یحتمل الصدق و الکذب من حیث ذاته، و کلّ مرکّب ناقص معلوم لا یحتمل الصدق و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إرادتهم من ذلک بیان قابلیة اتصاف المرکّبات التامّة بالشکّ، و عدم قابلیة التوصیفات و الإضافات و التقییدات بالشکّ؛ لکونها بمنزلة الإنشاء أو نحو من الإنشاء، لا أنّ مرادهم من ذلک بیان أنّ المرکّبات التامّة متی کانت معلومة خرجت عن الإخبار إلی الأوصاف، و المرکّبات الناقصة متی کانت مشکوکة خرجت عن التوصیف إلی الإخبار، کما قد توهم أو یتوهم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المفروض أنّ إجماعات الشیخ کلّها مستندة إلی هذه القاعدة</w:t>
      </w:r>
      <w:r>
        <w:rPr>
          <w:rFonts w:eastAsia="IRNazanin" w:cs="IRNazanin"/>
          <w:color w:val="111111"/>
          <w:sz w:val="28"/>
          <w:szCs w:val="28"/>
          <w:rtl w:val="true"/>
          <w:lang w:bidi="fa-IR"/>
        </w:rPr>
        <w:t>».</w:t>
      </w:r>
    </w:p>
    <w:p>
      <w:pPr>
        <w:pStyle w:val="Heading5"/>
        <w:numPr>
          <w:ilvl w:val="4"/>
          <w:numId w:val="1"/>
        </w:numPr>
        <w:rPr/>
      </w:pPr>
      <w:bookmarkStart w:id="394" w:name="__RefHeading___Toc2527286_3224264995"/>
      <w:bookmarkStart w:id="395" w:name="_Toc143"/>
      <w:bookmarkEnd w:id="394"/>
      <w:r>
        <w:rPr>
          <w:rtl w:val="true"/>
        </w:rPr>
        <w:t>[</w:t>
      </w:r>
      <w:r>
        <w:rPr>
          <w:rtl w:val="true"/>
        </w:rPr>
        <w:t>عدم المنع من استناد إجماعات الشیخ کلّها إلی قاعدة اللطف</w:t>
      </w:r>
      <w:r>
        <w:rPr>
          <w:rtl w:val="true"/>
        </w:rPr>
        <w:t>]</w:t>
      </w:r>
      <w:bookmarkEnd w:id="39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المفروض استناد إجماعات الشیخ کلّها إلی قاعدة اللطف إلّا أنّ استناد إجماعاته إلیه لا یمنع من الاعتماد علی حکایته، لکن لا لأنّ النسبة بین مجری طریقة اللطف و طریق قضاء التابعیة و المتبوعیة المستلزمة عادة لوفاق المتبوع و الرئیس هو التساوی و عدم الانفکاک، بل لأنّ مجری طریق اللطف و إن کان أعمّ من مجری طریق الملازمة العادیّة بین التابع و المتبوع مطلقا، أو من وجه، حسبما قرّر فی محلّه، إلّا أنّ المظنون إن لم یکن المعلوم من التتبّع فی مبسوط الشیخ و التأمّل فی غیره هو عدم حکایة الشیخ الإجماع المستند إلی اللطف، إلّا فی مادّة اجتماعه مع طریق الملازمة العادیّة بین التابع و المتبوع، و أنّ فی موارد افتراق اللطف عنه لا یدّعی الإجماع و إن ادّعی الحجّیة لقاعدة اللطف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فالمظنون أنّ مراده من الإجماعات التی یحکیها هو الإجماعات المجتمعة لمجری طریق الملازمة بقضاء العادة و إن کان مستنده فیها هو طریق اللطف خاصّة، و الظنّ بالمراد حجّة بلا إیراد، و یؤیّد الظنّ بأنّ مراده ذلک امور</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جماعة منهم صاحب القوانین</w:t>
      </w:r>
      <w:r>
        <w:rPr>
          <w:rStyle w:val="FootnoteAnchor"/>
          <w:rtl w:val="true"/>
        </w:rPr>
        <w:footnoteReference w:id="292"/>
      </w:r>
      <w:r>
        <w:rPr>
          <w:rFonts w:ascii="Amiri" w:hAnsi="Amiri" w:eastAsia="Amiri" w:cs="Amiri"/>
          <w:color w:val="111111"/>
          <w:sz w:val="28"/>
          <w:sz w:val="28"/>
          <w:szCs w:val="28"/>
          <w:rtl w:val="true"/>
          <w:lang w:bidi="ar-SA"/>
        </w:rPr>
        <w:t xml:space="preserve">و استاذنا العلّامة بأنّ مراد </w:t>
      </w:r>
    </w:p>
    <w:p>
      <w:pPr>
        <w:pStyle w:val="BookText"/>
        <w:rPr/>
      </w:pPr>
      <w:r>
        <w:rPr>
          <w:rFonts w:ascii="IRNazanin" w:hAnsi="IRNazanin" w:eastAsia="IRNazanin"/>
          <w:color w:val="111111"/>
          <w:sz w:val="28"/>
          <w:sz w:val="28"/>
          <w:szCs w:val="28"/>
          <w:rtl w:val="true"/>
          <w:lang w:bidi="fa-IR"/>
        </w:rPr>
        <w:t>مرجعیة الاجتهادات فی العلوم و الفنون مع کثرة تطرّق الشیخ من الإجماع هو ذلک، علی وجه یظنّ بصدقهم، و الظنّ بالمراد حجّة بلا إیراد حسبما تقدّم فی المسألة السابقة إثباته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بأنّ دعواهم معارضة بدعوی الماتن خلافها، و مع المعارضة کیف یحصل الظنّ بصدقهم؟</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نقلهم الإجماع فی کتبهم لأجل أن یعتمد علیه من بعدهم، فإخفاء ذلک مع تعدّد اصطلاحه تدلیس منه، فالظاهر منه حیث یطلق الإجماع إرادة المعنی المعهود، کما ذکروا نظیر ذلک فی الجواب عن الشبهة فی التعدیل، فإنّ ظاهر حال المزکّی أنّه یذکر فی کتابه لیکون معتمدا لکلّ من سیجی‌ء بعده، فإنّه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یرید منه العدالة الکافیة عند الکلّ، مع أنّ الغالب الشائع فی الإجماعات هو ما کان علی طبق مصطلح المشهور، فالمطلق فی کلامهم ینصرف إلی الأفراد الغالبة مع أنّ حصول مقام لم یعرف فی الإمامیة مخالف فی الحکم، و لم یبق احتمال ظاهر لوجود المخالف قلّ ما ینفکّ عن حصول العلم بموافقة الإمام من جهة اتفاقهم، و لا یحتاج إلی إثبات الموافقة من جهة الدلیل الذی ذکره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أنّ ما ینقله الشیخ لو لم یصر إجماعا فلا ریب فی إفادته الظنّ القویّ الذی قد یمکن الاعتماد علیه، فلتجعل الإجماعات المنقولة علی قسمین، و ذلک لا یوجب نفی حجّیة الإجماع المنقول رأسا، کما قیل</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من التتبّع فی کتب الشیخ الفتوائیة، فإنّ من تتبّع المبسوط و الخلاف شاهد عدم ادّعائه الإجماع إلّا فی الموارد المجتمعة لمجری طریق الملازمة و إن کان مستنده اللطف فیها، و أنّه فی موارد افتراق اللطف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کموارد اللاخلاف و موارد الشهرة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یدّعی إلّا نفی الخلاف أو الشهرة أو القوّة أو نحوها ممّا یقتضیه النظر فی ذلک المقام، کما هو الطریقة المستمرّة بین سائر العلماء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الوقوف علی قدح أحد من المتقدّمین و لا المتأخّرین فی الإجماعات المحکیّة عن الشیخ من جهة استنادها إلی قاعدة اللطف، مع شدّة منعهم من طریقة اللطف و قدحهم فی إجماعاته من جهات أخر، أ لا تری أنّ الحلّیّ مع أنّ عمدة مطلبه فی السرائر صرف الهمّة فی تخطئة الشیخ فی فتاویه و دعاویه لم یقدح فی إجماعاته من جهة استنادها إلی قاعدة اللطف و إن قدح فی أکثرها من جهات أخر، و لا غیر الحلّی ممّن تقدّم علی الشیخ، و لا من عاصره، و لا من تأخّر عنه، سوی الماتن تبعا لما حکاه الاستاذ عن کشف القناع</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غیر ثابتة و إن ادّعاها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المدّعی من مشارکة الشیخ للسیّد لیس إثبات تعدّد طرق الشیخ فی مشارکة السیّد فی استکشاف قول الإمام علیه السّلام من تتّبع أقوال الامّة و اختصاصه بطریقة اخری مبنیّة علی وجوب 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یدفعه العبارات المنقولة عن الشیخ الصریحة فی نفی تعدّد طرقه و انحصارها فی طریقة اللطف، ضرورة أنّ إثبات مجرّد تعدّد طرقه لا یصلح فساد طریقة اللطف، و لا یثبت الاعتماد علی حکایته ما لم یعلم استنادها إلی ما عدا اللطف من سائر الطرق الموصلة، فإنّ مجرّد احتمال أن یکون المنقول لنا من محصّلاته المستندة إلی طریقة اللطف کاف فی وهن جمیع منقولاته، و عدم جواز الاعتماد علی شی‌ء منها بعد العلم الإجمالی بفساد طرق تحصیل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مراده من مشارکة الشیخ للسیّد إنّما هو مشارکته له فی العمل من جهة أنّ المشاهد من التّتبع هو عدم ادّعائه الإجماع و استناده إلی طریق اللطف، إلّا فی مادّة اجتماعه مع طریق الملازمة و قضاء العادة و إن کان استناده منحصر فی طریق اللطف خاصّة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ذلک فلا تندفع دعوی المدّعی للاشتراک بهذا المعنی بنقل العبارات </w:t>
      </w:r>
      <w:bookmarkStart w:id="396" w:name="pg12850_121297"/>
    </w:p>
    <w:p>
      <w:pPr>
        <w:pStyle w:val="BookText"/>
        <w:rPr/>
      </w:pPr>
      <w:bookmarkEnd w:id="396"/>
      <w:r>
        <w:rPr>
          <w:rFonts w:ascii="IRNazanin" w:hAnsi="IRNazanin" w:eastAsia="IRNazanin"/>
          <w:color w:val="111111"/>
          <w:sz w:val="28"/>
          <w:sz w:val="28"/>
          <w:szCs w:val="28"/>
          <w:rtl w:val="true"/>
          <w:lang w:bidi="fa-IR"/>
        </w:rPr>
        <w:t>الصریحة عن الشیخ فی انحصار طریقه فی اللطف، کما أطنب الماتن قدّس سرّه فی التصدّی لنقلها، و بیان صراحتها</w:t>
      </w:r>
      <w:r>
        <w:rPr>
          <w:rFonts w:eastAsia="IRNazanin" w:cs="IRNazanin"/>
          <w:color w:val="111111"/>
          <w:sz w:val="28"/>
          <w:szCs w:val="28"/>
          <w:rtl w:val="true"/>
          <w:lang w:bidi="fa-IR"/>
        </w:rPr>
        <w:t>.</w:t>
      </w:r>
    </w:p>
    <w:p>
      <w:pPr>
        <w:pStyle w:val="Heading5"/>
        <w:numPr>
          <w:ilvl w:val="4"/>
          <w:numId w:val="1"/>
        </w:numPr>
        <w:rPr/>
      </w:pPr>
      <w:bookmarkStart w:id="397" w:name="__RefHeading___Toc2527288_3224264995"/>
      <w:bookmarkStart w:id="398" w:name="_Toc144"/>
      <w:bookmarkEnd w:id="397"/>
      <w:r>
        <w:rPr>
          <w:rtl w:val="true"/>
        </w:rPr>
        <w:t>[</w:t>
      </w:r>
      <w:r>
        <w:rPr>
          <w:rtl w:val="true"/>
        </w:rPr>
        <w:t>الاجماع علی قاعدة اللطف</w:t>
      </w:r>
      <w:r>
        <w:rPr>
          <w:rtl w:val="true"/>
        </w:rPr>
        <w:t>]</w:t>
      </w:r>
      <w:bookmarkEnd w:id="39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الاستناد إلی هذا الوجه ظاهر من کلّ من اشترط فی تحقّق الإجماع عدم مخالفة أحد من علماء العصر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اشتراط ذلک فی تحقّق الإجماع کما یحتمل أن یکون من جهة أنّ مخالفة واحد من علماء العصر کاف فی باب إزاحة التکلیف و مانع من نهوض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کذلک یحتمل أن یکون من جهة أنّ مخالفة أحد علماء العصر قادح فی تسمیة الإجماع، أو فی حجّیته من جهة عدم تحقّق قضاء العادة معه بملازمة آراء التابعین و المرءوسین لرأی متبوعهم و رئیسهم، لا من جهة عدم نهوض اللطف معه، کما استظهره الماتن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کونه من إحدی الجهتین الأولیتین لعلّه أظهر من کونه من الجهة الأخیرة؛ لأنّ من جملة موارد مجری اللطف المنقولة عن الشیخ صریحا أو التزاما هو مورد ما إذا ذهب المعظم إلی قول لم یکن فی الکتاب أو السنّة المقطوع بها ما یدلّ علی خلافه، و مع ذلک کیف یبقی مسرح لاستظهار الاستناد إلی طریقة اللطف من کلّ من اشترط فی تحقّق الإجماع عدم مخالفة أحد من علماء العصر؟</w:t>
      </w:r>
    </w:p>
    <w:p>
      <w:pPr>
        <w:pStyle w:val="BookText"/>
        <w:rPr/>
      </w:pPr>
      <w:r>
        <w:rPr>
          <w:rFonts w:ascii="IRNazanin" w:hAnsi="IRNazanin" w:eastAsia="IRNazanin"/>
          <w:color w:val="111111"/>
          <w:sz w:val="28"/>
          <w:sz w:val="28"/>
          <w:szCs w:val="28"/>
          <w:rtl w:val="true"/>
          <w:lang w:bidi="fa-IR"/>
        </w:rPr>
        <w:t>و کأنّ التجاء الشهید فی الذکری</w:t>
      </w:r>
      <w:r>
        <w:rPr>
          <w:rStyle w:val="FootnoteAnchor"/>
          <w:rtl w:val="true"/>
        </w:rPr>
        <w:footnoteReference w:id="294"/>
      </w:r>
      <w:r>
        <w:rPr>
          <w:rFonts w:ascii="IRNazanin" w:hAnsi="IRNazanin" w:eastAsia="IRNazanin"/>
          <w:color w:val="111111"/>
          <w:sz w:val="28"/>
          <w:sz w:val="28"/>
          <w:szCs w:val="28"/>
          <w:rtl w:val="true"/>
          <w:lang w:bidi="fa-IR"/>
        </w:rPr>
        <w:t>إلی توجیه الإجماعات التی ادّعاها جماعة فی المسائل الخلافیة مع وجود المخالف فیها بما نقله عنه فی المعالم</w:t>
      </w:r>
      <w:r>
        <w:rPr>
          <w:rStyle w:val="FootnoteAnchor"/>
          <w:rtl w:val="true"/>
        </w:rPr>
        <w:footnoteReference w:id="295"/>
      </w:r>
      <w:r>
        <w:rPr>
          <w:rFonts w:ascii="IRNazanin" w:hAnsi="IRNazanin" w:eastAsia="IRNazanin"/>
          <w:color w:val="111111"/>
          <w:sz w:val="28"/>
          <w:sz w:val="28"/>
          <w:szCs w:val="28"/>
          <w:rtl w:val="true"/>
          <w:lang w:bidi="fa-IR"/>
        </w:rPr>
        <w:t>إنّما هو من إحدی الجهتین الاولیتین، لا من الجهة الأخیرة، کما زعمه الماتن، کما لا یخفی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الظاهر من عدم اعتبار الفخر فی الإیضاح</w:t>
      </w:r>
      <w:r>
        <w:rPr>
          <w:rStyle w:val="FootnoteAnchor"/>
          <w:rtl w:val="true"/>
        </w:rPr>
        <w:footnoteReference w:id="296"/>
      </w:r>
      <w:r>
        <w:rPr>
          <w:rFonts w:ascii="IRNazanin" w:hAnsi="IRNazanin" w:eastAsia="IRNazanin"/>
          <w:color w:val="111111"/>
          <w:sz w:val="28"/>
          <w:sz w:val="28"/>
          <w:szCs w:val="28"/>
          <w:rtl w:val="true"/>
          <w:lang w:bidi="fa-IR"/>
        </w:rPr>
        <w:t xml:space="preserve">بالخلاف لانقراض </w:t>
      </w:r>
    </w:p>
    <w:p>
      <w:pPr>
        <w:pStyle w:val="BookText"/>
        <w:rPr/>
      </w:pPr>
      <w:r>
        <w:rPr>
          <w:rFonts w:ascii="IRNazanin" w:hAnsi="IRNazanin" w:eastAsia="IRNazanin"/>
          <w:color w:val="111111"/>
          <w:sz w:val="28"/>
          <w:sz w:val="28"/>
          <w:szCs w:val="28"/>
          <w:rtl w:val="true"/>
          <w:lang w:bidi="fa-IR"/>
        </w:rPr>
        <w:t>المخالف إنّما هو من جهة أنّ وجود المخالف لأهل عصر واحد قادح فی تسمیة الإجماع، أو فی حجّیته، أو من جهة عدم استکشافه عن قول الإمام علیه السّلام، لا من جهة عدم نهوض اللطف معه حتی یکون لطفیا کما استظهره الماتن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 کذا الظاهر من استدلال الشهید، و المحقّق الثانی علی المنع من العمل بقول المیت بإمکان انعقاد الإجماع علی خلافه، و أنّ خلاف الفقیه الواحد لسائر أهل عصره یمنع من انعقاد الإجماع اعتمادا بقوله و اعتبارا بخلافه، فإذا مات و انحصر أهل العصر فی المخالفین له انعقد و صار قوله غیر منظور إلیه و لا یعتدّ به</w:t>
      </w:r>
      <w:r>
        <w:rPr>
          <w:rStyle w:val="FootnoteAnchor"/>
          <w:rtl w:val="true"/>
        </w:rPr>
        <w:footnoteReference w:id="297"/>
      </w:r>
      <w:r>
        <w:rPr>
          <w:rFonts w:ascii="IRNazanin" w:hAnsi="IRNazanin" w:eastAsia="IRNazanin"/>
          <w:color w:val="111111"/>
          <w:sz w:val="28"/>
          <w:sz w:val="28"/>
          <w:szCs w:val="28"/>
          <w:rtl w:val="true"/>
          <w:lang w:bidi="fa-IR"/>
        </w:rPr>
        <w:t>، علی تقدیر تمامیة الاستدلال إنّما هو من إحدی الجهتین الأولیتین، لا من الجهة الأخیرة، کما زعمه الماتن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 کذا الظاهر من کلام الفخر فی الإیضاح من أنّ من عادة المجتهد إذا تغیر اجتهاده إلی التردّد أو الحکم بخلاف ما اختاره أولا لم یبطل ذکر الحکم الأول</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فی المتن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 کذا الکلام المنقول</w:t>
      </w:r>
      <w:r>
        <w:rPr>
          <w:rStyle w:val="FootnoteAnchor"/>
          <w:rtl w:val="true"/>
        </w:rPr>
        <w:footnoteReference w:id="299"/>
      </w:r>
      <w:r>
        <w:rPr>
          <w:rFonts w:ascii="IRNazanin" w:hAnsi="IRNazanin" w:eastAsia="IRNazanin"/>
          <w:color w:val="111111"/>
          <w:sz w:val="28"/>
          <w:sz w:val="28"/>
          <w:szCs w:val="28"/>
          <w:rtl w:val="true"/>
          <w:lang w:bidi="fa-IR"/>
        </w:rPr>
        <w:t>عن المحقّق الداماد فی تفسیر النعمة الباطنة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من فوائد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مستندا لحجّیة إجماع أهل الحلّ و العقد أعمّ من إرادة أنّ وجود الإمام فی زماننا لطف لیکون مستندا لحجّیة إجماعاتنا من باب قضاء العادة بالملازمة العادیة، و من إرادة أن تصرّفه فی زماننا أیضا لطف واجب آخر لیکون مستندا لحجّیة إجماعاتنا من باب اللطف، لو لا ظهور قوله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 الرحمة الواجبة فی الحکمة الإلهیة موافقة رأی إمام العصر لآراء تابعیه کلّا فی إجماعاتهم البسیطة، و بعضا فی إجماعاتهم المرکّبة فی إرادة اللطف بالمعنی الثانی لا الأوّل، أعنی عدّ تصرّف </w:t>
      </w:r>
      <w:bookmarkStart w:id="399" w:name="pg12850_121299"/>
    </w:p>
    <w:p>
      <w:pPr>
        <w:pStyle w:val="BookText"/>
        <w:rPr/>
      </w:pPr>
      <w:bookmarkEnd w:id="399"/>
      <w:r>
        <w:rPr>
          <w:rFonts w:ascii="IRNazanin" w:hAnsi="IRNazanin" w:eastAsia="IRNazanin"/>
          <w:color w:val="111111"/>
          <w:sz w:val="28"/>
          <w:sz w:val="28"/>
          <w:szCs w:val="28"/>
          <w:rtl w:val="true"/>
          <w:lang w:bidi="fa-IR"/>
        </w:rPr>
        <w:t>الإمام من الألطاف و النعم الباطنة دون الاکتفاء بمجرّد کون وجوده من الألطاف و النعم الباطنیة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الماتن من التعرّض لنقل کلمات هؤلاء المذکورین الاستشهاد بها علی اشتراطهم فی تحقّق الإجماع عدم مخالفة أحد علماء العصر، کما لعلّه المراد ظاهرا، فلا ریب فی أنّ استشهاده فی محلّه لظهور کلّها، بل و صراحة أکثرها فی الاشتراط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منه الاستشهاد بها علی ظهور کلمات هؤلاء المذکورین فی استناد تحصیلهم الإجماع إلی طریقة 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أنّه لا شاهد فی شی‌ء من کلماتهم المذکورة علی مدّعاه؛ لأنّ ما عدا کلام الشیخ من کلمات الباقین غیر صریح، بل و لا ظاهر فی مدّعاه، و أنّ ظهور جمیعها، بل و صراحة أکثرها إنّما هو فی اشتراط عدم مخالفة أحد علماء العصر فی تحقّق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کلام المحقّق الداماد لا یخلو من الظهور فی مدّعاه، أعنی الاستناد فی تحصیل الإجماع إلی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لا یخفی علی من تأمّله و راجعه، إلّا أنّک قد عرفت أنّه علی تقدیر تسلیم ظهور جمیعها فی مدّعاه فهو مع ذلک غیر موهن لإجماعاتهم المنقولة لنا؛ لما عرفت من أنّ بناءهم فی نقل الإجماع علی النقل فی خصوص الموارد المجتمعة مع قضاء العادة بالملازمة و إن کان مستندهم اللطف فیها، کما مرّ وجهه بأبلغ وجه</w:t>
      </w:r>
      <w:r>
        <w:rPr>
          <w:rFonts w:eastAsia="IRNazanin" w:cs="IRNazanin"/>
          <w:color w:val="111111"/>
          <w:sz w:val="28"/>
          <w:szCs w:val="28"/>
          <w:rtl w:val="true"/>
          <w:lang w:bidi="fa-IR"/>
        </w:rPr>
        <w:t>.</w:t>
      </w:r>
    </w:p>
    <w:p>
      <w:pPr>
        <w:pStyle w:val="Heading5"/>
        <w:numPr>
          <w:ilvl w:val="4"/>
          <w:numId w:val="1"/>
        </w:numPr>
        <w:rPr/>
      </w:pPr>
      <w:bookmarkStart w:id="400" w:name="__RefHeading___Toc2527290_3224264995"/>
      <w:bookmarkStart w:id="401" w:name="_Toc145"/>
      <w:bookmarkEnd w:id="400"/>
      <w:r>
        <w:rPr>
          <w:rtl w:val="true"/>
        </w:rPr>
        <w:t>[</w:t>
      </w:r>
      <w:r>
        <w:rPr>
          <w:rtl w:val="true"/>
        </w:rPr>
        <w:t>احتمال استناد الإجماع المنقول لنا إلی طریق موصل کاف فی القبول</w:t>
      </w:r>
      <w:r>
        <w:rPr>
          <w:rtl w:val="true"/>
        </w:rPr>
        <w:t>]</w:t>
      </w:r>
      <w:bookmarkEnd w:id="40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مع أنّ مجرّد احتمال استناد الإجماع المنقول لنا إلی طریق موصل کاف فی القبول و إن علمنا أنّ لناقله فی تحصیل الإجماع طریق آخر غیر موصل، ما لم نعلم تفصیلا و لا إجمالا استناد تحصیله الإجماع المنقول لنا إلی خصوص الطریق الغیر الموصل، حملا لکلامه المنقول علی ظاهره، و صونا له </w:t>
      </w:r>
      <w:bookmarkStart w:id="402" w:name="pg12850_121300"/>
    </w:p>
    <w:p>
      <w:pPr>
        <w:pStyle w:val="BookText"/>
        <w:rPr/>
      </w:pPr>
      <w:bookmarkEnd w:id="402"/>
      <w:r>
        <w:rPr>
          <w:rFonts w:ascii="IRNazanin" w:hAnsi="IRNazanin" w:eastAsia="IRNazanin"/>
          <w:color w:val="111111"/>
          <w:sz w:val="28"/>
          <w:sz w:val="28"/>
          <w:szCs w:val="28"/>
          <w:rtl w:val="true"/>
          <w:lang w:bidi="fa-IR"/>
        </w:rPr>
        <w:t>عن مخالفة الواقع، لندوره و أصالة عدمه، حسبما سیأتی تعرّضنا له تفصیلا إن شاء اللّه تعالی</w:t>
      </w:r>
      <w:r>
        <w:rPr>
          <w:rFonts w:eastAsia="IRNazanin" w:cs="IRNazanin"/>
          <w:color w:val="111111"/>
          <w:sz w:val="28"/>
          <w:szCs w:val="28"/>
          <w:rtl w:val="true"/>
          <w:lang w:bidi="fa-IR"/>
        </w:rPr>
        <w:t>.</w:t>
      </w:r>
    </w:p>
    <w:p>
      <w:pPr>
        <w:pStyle w:val="Heading5"/>
        <w:numPr>
          <w:ilvl w:val="4"/>
          <w:numId w:val="1"/>
        </w:numPr>
        <w:rPr/>
      </w:pPr>
      <w:bookmarkStart w:id="403" w:name="__RefHeading___Toc2527292_3224264995"/>
      <w:bookmarkStart w:id="404" w:name="_Toc146"/>
      <w:bookmarkEnd w:id="403"/>
      <w:r>
        <w:rPr>
          <w:rtl w:val="true"/>
        </w:rPr>
        <w:t>[</w:t>
      </w:r>
      <w:r>
        <w:rPr>
          <w:rtl w:val="true"/>
        </w:rPr>
        <w:t>دراسة کلام الماتن</w:t>
      </w:r>
      <w:r>
        <w:rPr>
          <w:rtl w:val="true"/>
        </w:rPr>
        <w:t>]</w:t>
      </w:r>
      <w:bookmarkEnd w:id="40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لبیان عدم انعقاد إجماع أهل عصر الاجتهاد الأول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التعلیل یصلح أن یکون تعلیلا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یذکر ما أدّی إلیه اجتهاده ثانیا فی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یقتضیه الأقربیّة اللفظیة، و أن یکون تعلیلا لقوله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یبطل ذکر الحکم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یقتضیه الأقربیّة المعنویة، فإن الأحقّ بالتعلیل إنّما هو عدم إبطال الباطل، لا إحقاق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المعطوف علی هذا التعلیل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عدم انعقاد إجماع العصر الثانی علی 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یصلح بواسطة اشتماله علی الضمیر المثنّی لأن یکون تعلیلا للأوّل فقط و لا للثانی فقط، بل لا بدّ و أن یکون تعلیلا لکلاهما معا،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المعطوف علی هذا التعلیلین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 لم یحصل فی الاجتهاد الثانی مبطل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تعلیل للأول فقط، أعنی لعدم إبطال الفتوی الأول، فهذه التعلیلات الثلاثة المتعاطفة لیست لمعلول واحد، بل هی مختلفة فلا یخفی، فإنّ هذه العبارة من محالّ الحیرة و مکثر السؤال و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ظهر لک أنّ الأوّل هنا غیر متحقّق لأحد</w:t>
      </w:r>
      <w:r>
        <w:rPr>
          <w:rFonts w:eastAsia="IRNazanin" w:cs="IRNazanin"/>
          <w:color w:val="111111"/>
          <w:sz w:val="28"/>
          <w:szCs w:val="28"/>
          <w:rtl w:val="true"/>
          <w:lang w:bidi="fa-IR"/>
        </w:rPr>
        <w:t>».</w:t>
      </w:r>
    </w:p>
    <w:p>
      <w:pPr>
        <w:pStyle w:val="Heading5"/>
        <w:numPr>
          <w:ilvl w:val="4"/>
          <w:numId w:val="1"/>
        </w:numPr>
        <w:rPr/>
      </w:pPr>
      <w:bookmarkStart w:id="405" w:name="__RefHeading___Toc2527294_3224264995"/>
      <w:bookmarkStart w:id="406" w:name="_Toc147"/>
      <w:bookmarkEnd w:id="405"/>
      <w:r>
        <w:rPr>
          <w:rtl w:val="true"/>
        </w:rPr>
        <w:t>[</w:t>
      </w:r>
      <w:r>
        <w:rPr>
          <w:rtl w:val="true"/>
        </w:rPr>
        <w:t>تاکید جواز حصول السماع من الامام فی زماننا</w:t>
      </w:r>
      <w:r>
        <w:rPr>
          <w:rtl w:val="true"/>
        </w:rPr>
        <w:t>]</w:t>
      </w:r>
      <w:bookmarkEnd w:id="4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أنّه و إن لم یتحقّق بعض أقسامه لأحد إلّا أنّ له أقساما أخر تتحقق لبعض علمائنا، حسبما تقدّم بیانه بأبلغ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الثانی لیس طریقا للعلم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ما تقدّم من أنّه و إن لم یکن طریقا للعلم إلّا أنّه تسمع دعوی من استند إلیه إذا علمنا من المدّعی عدم استناده إلیه، إلّا فی المواضع المستندة إلی الطریق العلمیّ، بل و کذا إذا احتملناه، حسبما عرفت، و ستعرف </w:t>
      </w:r>
      <w:bookmarkStart w:id="407" w:name="pg12850_121301"/>
    </w:p>
    <w:p>
      <w:pPr>
        <w:pStyle w:val="BookText"/>
        <w:rPr/>
      </w:pPr>
      <w:bookmarkEnd w:id="407"/>
      <w:r>
        <w:rPr>
          <w:rFonts w:ascii="IRNazanin" w:hAnsi="IRNazanin" w:eastAsia="IRNazanin"/>
          <w:color w:val="111111"/>
          <w:sz w:val="28"/>
          <w:sz w:val="28"/>
          <w:szCs w:val="28"/>
          <w:rtl w:val="true"/>
          <w:lang w:bidi="fa-IR"/>
        </w:rPr>
        <w:t>أیضا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حیث لا دلیل علی قبول خبر العادل المستند إلی الأخیر من الحدس، بل و لا المستند إلی الوجه الثانی</w:t>
      </w:r>
      <w:r>
        <w:rPr>
          <w:rFonts w:eastAsia="IRNazanin" w:cs="IRNazanin"/>
          <w:color w:val="111111"/>
          <w:sz w:val="28"/>
          <w:szCs w:val="28"/>
          <w:rtl w:val="true"/>
          <w:lang w:bidi="fa-IR"/>
        </w:rPr>
        <w:t>».</w:t>
      </w:r>
    </w:p>
    <w:p>
      <w:pPr>
        <w:pStyle w:val="Heading5"/>
        <w:numPr>
          <w:ilvl w:val="4"/>
          <w:numId w:val="1"/>
        </w:numPr>
        <w:rPr/>
      </w:pPr>
      <w:bookmarkStart w:id="408" w:name="__RefHeading___Toc2527296_3224264995"/>
      <w:bookmarkStart w:id="409" w:name="_Toc148"/>
      <w:bookmarkEnd w:id="408"/>
      <w:r>
        <w:rPr>
          <w:rtl w:val="true"/>
        </w:rPr>
        <w:t>[</w:t>
      </w:r>
      <w:r>
        <w:rPr>
          <w:rtl w:val="true"/>
        </w:rPr>
        <w:t>قیام السیرة علی قبول قول اهل الخبرة فی الحسیات</w:t>
      </w:r>
      <w:r>
        <w:rPr>
          <w:rtl w:val="true"/>
        </w:rPr>
        <w:t>]</w:t>
      </w:r>
      <w:bookmarkEnd w:id="40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نقضا بقیام السیرة المستمرّة و الطریقة المستقرة من لدن خلق آدم إلی یومنا هذا علی قبول قول کلّ عالم من أهل العلوم و الصنائع و الفنون و الحرف المستندة أقوالهم و آرائهم إلی المقدّمات النظریة و الاجتهادات الکثیرة الخطأ، أ لا تری رجوع العامی إلی الفقیه فی الفتاوی، و رجوع الغریم إلی المقوّم فی تشخیص القیمة له، و رجوع کلّ شاک فی رفع شکّه إلی کلّ واحد من أهل خبرة ذلک المشکوک من أهل اللغة و النحاة و البیان و المنطق و الحساب و الهیئة و الطب و الکلام و الرجال المستندة ظنونهم إلی مقدّمات نظریة و اجتهادات حدسیّة من غیر نکیر و لا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ذکر من عدم الدلیل علی قبول قول العادل المستند إلی الحدس الناشئ عن مقدّمات نظریة و اجتهادات کثیرة الخطأ، إنّما هو بالنسبة إلی المجتهد بخلاف اجتهاد ذلک الناقل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نبّهنا فی تشخیص محلّ النزاع بخروج هذا الفرض عن محلّ النزاع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بالنسبة إلی الغیر المجتهد بخلاف نقله فلا ینبغی التأمّل فی وجود الدلیل علی قبوله فی حقّ المنقول إلیه، سواء کان عامیا مقلّدا له، أم مجتهدا بوفاق نقل الناقل له، أم غیر مجتهد لا بوفاقه و لا بخلافه و إن کان له ملکة الاجتهاد و مقتدرا علی تحقیق الحال لو راجع، و سواء حصل له فی تلک الصورة عن نقل الناقل الظنّ بوجود مدرک فی المسألة و لو ظنّیا، أم حصل له الظنّ منه بالواقع من غیر وساطة المدرک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لم یحصل له منه الظنّ لا بالمدرک و لا بالواقع لم یکن دلیل علی قبول قوله و نقله، و أمّا فی ما عدا تلک الصورة من سائر الصور المتقدّمة فالدلیل </w:t>
      </w:r>
      <w:bookmarkStart w:id="410" w:name="pg12850_121302"/>
    </w:p>
    <w:p>
      <w:pPr>
        <w:pStyle w:val="BookText"/>
        <w:rPr/>
      </w:pPr>
      <w:bookmarkEnd w:id="410"/>
      <w:r>
        <w:rPr>
          <w:rFonts w:ascii="IRNazanin" w:hAnsi="IRNazanin" w:eastAsia="IRNazanin"/>
          <w:color w:val="111111"/>
          <w:sz w:val="28"/>
          <w:sz w:val="28"/>
          <w:szCs w:val="28"/>
          <w:rtl w:val="true"/>
          <w:lang w:bidi="fa-IR"/>
        </w:rPr>
        <w:t>علی قبول قوله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المجتهد بوفاق قول الناقل فواضح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الغیر المجتهد بوفاقه و لا بخلافه فهو عموم أدلّة رجوع غیر العالم إلی العالم فی آیة النبأ و السؤال و الإنذار، سواء کان عامیا مقلّدا، أم مجتهدا مقتدرا علی تحقیق الحال بالمراجعة، و سواء حصل له الظنّ من قول الناقل بمدرک، أو بنفس الواقع من غیر وساطة مدرک؛ لأنّ دلیل حرمة التقلید علی المجتهد إنّما هو فی خصوص ما إذا اجتهد فعلا بخلاف قول الناقل له، و أمّا إذا لم یجتهد فعلا و إن کان مقتدرا علیه بمجرّد المراجعة فلا دلیل علی حرمته مع وجود الدلیل علی جوازه، و هو عموم أدلّة جواز الرجوع إلی نقل العادل</w:t>
      </w:r>
      <w:r>
        <w:rPr>
          <w:rFonts w:eastAsia="IRNazanin" w:cs="IRNazanin"/>
          <w:color w:val="111111"/>
          <w:sz w:val="28"/>
          <w:szCs w:val="28"/>
          <w:rtl w:val="true"/>
          <w:lang w:bidi="fa-IR"/>
        </w:rPr>
        <w:t>.</w:t>
      </w:r>
    </w:p>
    <w:p>
      <w:pPr>
        <w:pStyle w:val="Heading5"/>
        <w:numPr>
          <w:ilvl w:val="4"/>
          <w:numId w:val="1"/>
        </w:numPr>
        <w:rPr/>
      </w:pPr>
      <w:bookmarkStart w:id="411" w:name="__RefHeading___Toc2527298_3224264995"/>
      <w:bookmarkStart w:id="412" w:name="_Toc149"/>
      <w:bookmarkEnd w:id="411"/>
      <w:r>
        <w:rPr>
          <w:rtl w:val="true"/>
        </w:rPr>
        <w:t>[</w:t>
      </w:r>
      <w:r>
        <w:rPr>
          <w:rtl w:val="true"/>
        </w:rPr>
        <w:t>حجّیة نقل الإجماع</w:t>
      </w:r>
      <w:r>
        <w:rPr>
          <w:rtl w:val="true"/>
        </w:rPr>
        <w:t>]</w:t>
      </w:r>
      <w:bookmarkEnd w:id="412"/>
    </w:p>
    <w:p>
      <w:pPr>
        <w:pStyle w:val="BookText"/>
        <w:rPr/>
      </w:pPr>
      <w:r>
        <w:rPr>
          <w:rFonts w:ascii="IRNazanin" w:hAnsi="IRNazanin" w:eastAsia="IRNazanin"/>
          <w:color w:val="111111"/>
          <w:sz w:val="28"/>
          <w:sz w:val="28"/>
          <w:szCs w:val="28"/>
          <w:rtl w:val="true"/>
          <w:lang w:bidi="fa-IR"/>
        </w:rPr>
        <w:t>فتلخّص مما ذکرنا حجّیة نقل الإجماع و لو علمنا استناده إلی الحدس الناشئ عن مقدّمات اجتهادیة و أنظار محتملة الخطأ فی جمیع الصور الداخلة فی محلّ النزاع، إلّا فی صورة فرض عدم إفادته الظنّ بالنسبة إلی المجتهد المقتدر علی تحقیق الحال بالمراجعة، مع أنّ فرض عدم حصول الظنّ منه فرض بعید، و أمّا بالنسبة إلی غیره فهو حجّة علیه بعموم أدلّة رجوع غیر العالم إلی العالم و لو لم یکن مقلّدا صرفا، کحجّیة قول الفقیه فی حقّ العامی، فإنّ الموهم لعدم الحجّیة إن کان هو حرمة التقلید علی المجتهد فقد عرفت اختصاص حرمته بصورة خاصّة خارجة عن محلّ النزاع</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الموهم هو عدم طریقیة المقدّمات الاجتهادیة لتحصیل الإجماع و خروجها عن الأسباب العادیّة المحصّلة للإجماع لیکون الإجماع منها ملحقا بالمحصّل من قطع القطّاع فی السقوط عن درجة الاعتبار فهو خروج عن محلّ الفرض و النزاع، و مستلزم لعدم جواز تقلیدهم فی الفتاوی و الفروع، فضلا عن قبول إجماعاتهم لاستناد فتاویهم الفرعیة أیضا إلی تلک المقدّمات الاجتهادیة </w:t>
      </w:r>
      <w:bookmarkStart w:id="413" w:name="pg12850_121303"/>
    </w:p>
    <w:p>
      <w:pPr>
        <w:pStyle w:val="Heading5"/>
        <w:numPr>
          <w:ilvl w:val="4"/>
          <w:numId w:val="1"/>
        </w:numPr>
        <w:rPr/>
      </w:pPr>
      <w:bookmarkStart w:id="414" w:name="__RefHeading___Toc2527300_3224264995"/>
      <w:bookmarkStart w:id="415" w:name="_Toc150"/>
      <w:bookmarkEnd w:id="413"/>
      <w:bookmarkEnd w:id="414"/>
      <w:r>
        <w:rPr>
          <w:rtl w:val="true"/>
        </w:rPr>
        <w:t>[</w:t>
      </w:r>
      <w:r>
        <w:rPr>
          <w:rtl w:val="true"/>
        </w:rPr>
        <w:t>مرجعیة الاجتهادات مع کثرة الخطأ فیها</w:t>
      </w:r>
      <w:r>
        <w:rPr>
          <w:rtl w:val="true"/>
        </w:rPr>
        <w:t>]</w:t>
      </w:r>
      <w:bookmarkEnd w:id="415"/>
    </w:p>
    <w:p>
      <w:pPr>
        <w:pStyle w:val="BookText"/>
        <w:rPr/>
      </w:pPr>
      <w:r>
        <w:rPr>
          <w:rFonts w:ascii="Amiri" w:hAnsi="Amiri" w:eastAsia="Amiri" w:cs="Amiri"/>
          <w:color w:val="111111"/>
          <w:sz w:val="28"/>
          <w:sz w:val="28"/>
          <w:szCs w:val="28"/>
          <w:rtl w:val="true"/>
          <w:lang w:bidi="ar-SA"/>
        </w:rPr>
        <w:t>و الإجماعات المحصّلة منها بالاستنباط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کان الموهم هو احتمال خطاؤهم فی تحصیل الإجماع من تلک المقدّمات الاجتهادیة من جهة کثرة تطرق الخطأ علیها، و عدم استلزامها الایصال إلی الواقع عادة، و عدم استلزام مطابقتها الواقع دائما بحیث لو حصلت لنا علمنا بمطابقة مؤدّاها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بکثرة تطرّق الخطأ علی مقدّمات سائر العلوم المدوّنة و الفنون المستندة إلی مقدّماتها الاجتهادیة، مع مرجعیة کلّ من تلک العلوم و الفنون من غیر 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مرجعیة کلّ من علم النحو و البیان و اللغة و الطب و الرجال بالنسبة إلی الجاهل فی تشخیص کلّ ما یتشخّص باجتهاداتهم الظنّیة الحدسیة الکثیرة الخطأ من غیر شبهة و لا دغدغة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کثرة تطرّق الخطأ علی المقدّمات الظنّیة و الأنظار الاجتهادیة و الحواسّ الباطنیة لم یبلغ حدّ المنع من مجری أصالة عدم الخطأ و غلبة عدمه للمحتمل الحادس المستند حدسه إلیها و استنباطه منها، کما أنّ کثرة تطرّق السهو و النسیان علی الحواسّ الظاهرة للإنسان لم یبلغ حدّ المنع من مجری أصالة عدم تطرّق السهو و النسیان علیه ما لم یخرج سهوه و نسیانه عن متعارف الناس</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کثر خطأ استنباطات مستنبط علی الوجه الفاحش الخارج عن حدّ المتعارف لم یرجع إلی إجماعاته المنقولة لنا، و لکن هذا الفرض خارج عن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اشترطوا فی مرجعیة من یرجع إلیه عدم اعوجاج سلیقته بالخروج عن متعارف غالب الناس، مضافا إلی أنّ عدم الرجوع إلی منقولات معوج السلیقة لا یختصّ بمنقولاته المستندة إلی الحواسّ الباطنیة بل یعمّ منقولاته المستندة إلی حواسّه الظاهریة لو عمّ اعوجاجه لها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اشترطوا فی الراوی و الشاهد الضبط و عدم کثرة السهو</w:t>
      </w:r>
      <w:r>
        <w:rPr>
          <w:rFonts w:eastAsia="IRNazanin" w:cs="IRNazanin"/>
          <w:color w:val="111111"/>
          <w:sz w:val="28"/>
          <w:szCs w:val="28"/>
          <w:rtl w:val="true"/>
          <w:lang w:bidi="fa-IR"/>
        </w:rPr>
        <w:t xml:space="preserve">. </w:t>
      </w:r>
      <w:bookmarkStart w:id="416" w:name="pg12850_121304"/>
    </w:p>
    <w:p>
      <w:pPr>
        <w:pStyle w:val="BookText"/>
        <w:rPr/>
      </w:pPr>
      <w:bookmarkEnd w:id="416"/>
      <w:r>
        <w:rPr>
          <w:rFonts w:ascii="IRNazanin" w:hAnsi="IRNazanin" w:eastAsia="IRNazanin"/>
          <w:color w:val="111111"/>
          <w:sz w:val="28"/>
          <w:sz w:val="28"/>
          <w:szCs w:val="28"/>
          <w:rtl w:val="true"/>
          <w:lang w:bidi="fa-IR"/>
        </w:rPr>
        <w:t>و إن کان الموهم هو عدم الدلیل علی حجّیة الظنّ الحاصل من نقل تلک الإجماعات فی حقّ المنقول له و اندراج الظنّ الحاصل منها فی مطلق الظنّ المبتنی حجّیته علی تقدیر دلیل الانسداد</w:t>
      </w:r>
      <w:r>
        <w:rPr>
          <w:rFonts w:eastAsia="IRNazanin" w:cs="IRNazanin"/>
          <w:color w:val="111111"/>
          <w:sz w:val="28"/>
          <w:szCs w:val="28"/>
          <w:rtl w:val="true"/>
          <w:lang w:bidi="fa-IR"/>
        </w:rPr>
        <w:t>.</w:t>
      </w:r>
    </w:p>
    <w:p>
      <w:pPr>
        <w:pStyle w:val="Heading5"/>
        <w:numPr>
          <w:ilvl w:val="4"/>
          <w:numId w:val="1"/>
        </w:numPr>
        <w:rPr/>
      </w:pPr>
      <w:bookmarkStart w:id="417" w:name="__RefHeading___Toc2527302_3224264995"/>
      <w:bookmarkStart w:id="418" w:name="_Toc151"/>
      <w:bookmarkEnd w:id="417"/>
      <w:r>
        <w:rPr>
          <w:rtl w:val="true"/>
        </w:rPr>
        <w:t>[</w:t>
      </w:r>
      <w:r>
        <w:rPr>
          <w:rtl w:val="true"/>
        </w:rPr>
        <w:t>وجود الدلیل الخاصّ علی حجّیة الظنّ الحاصل من الاجماع المنقول</w:t>
      </w:r>
      <w:r>
        <w:rPr>
          <w:rtl w:val="true"/>
        </w:rPr>
        <w:t>]</w:t>
      </w:r>
      <w:bookmarkEnd w:id="418"/>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وجود الدلیل الخاصّ علی حجّیة ذلک الظنّ الحاصل منها، و هو عموم قبول قول العدل فی آیة النبأ، و آیتی السؤال و الإنذار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نهض عموم الآیات المذکورة إلی قبول قول العدل مطلقا حتی فی حدسیاته لنهض إلی قبول قوله حتی فی صورة عدم حصول الظنّ من نقله الإجماع بمدرک و لا بالواقع، و الحال أنّک اعترفت بخروج هذا الفرض عن تحت عموم قبول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ممنوعة بواسطة أنّ خروج هذا الفرض عن تحت العموم إنّما هو من جهة اعتبار ظواهر الألفاظ و سائر الأمارات من باب الطریقیة عندنا، بل الظنّ الفعلیّ المفقودان فی هذا الفرض دون سائر الفروض، لا من باب الموضوعیة و صرف التعبّد حتی یتّحد مع سائر الفروض فی مناط الحجّیة و الاعتبار لیلزمه ما یلزمها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 التوقف فی العمل بنقل الإجماع</w:t>
      </w:r>
      <w:r>
        <w:rPr>
          <w:rFonts w:eastAsia="IRNazanin" w:cs="IRNazanin"/>
          <w:color w:val="111111"/>
          <w:sz w:val="28"/>
          <w:szCs w:val="28"/>
          <w:rtl w:val="true"/>
          <w:lang w:bidi="fa-IR"/>
        </w:rPr>
        <w:t>».</w:t>
      </w:r>
    </w:p>
    <w:p>
      <w:pPr>
        <w:pStyle w:val="Heading5"/>
        <w:numPr>
          <w:ilvl w:val="4"/>
          <w:numId w:val="1"/>
        </w:numPr>
        <w:rPr/>
      </w:pPr>
      <w:bookmarkStart w:id="419" w:name="__RefHeading___Toc2527304_3224264995"/>
      <w:bookmarkStart w:id="420" w:name="_Toc152"/>
      <w:bookmarkEnd w:id="419"/>
      <w:r>
        <w:rPr>
          <w:rtl w:val="true"/>
        </w:rPr>
        <w:t>[</w:t>
      </w:r>
      <w:r>
        <w:rPr>
          <w:rtl w:val="true"/>
        </w:rPr>
        <w:t>عدم التوقّف فی العمل بقول الشاهد فی الامور الحدسیة بمجرّد احتمال استناد إلی طریق غیر موصل</w:t>
      </w:r>
      <w:r>
        <w:rPr>
          <w:rtl w:val="true"/>
        </w:rPr>
        <w:t>]</w:t>
      </w:r>
      <w:bookmarkEnd w:id="42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الإغماض عما ورد علیه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نقضا فبعدم توقّفهم فی العمل بقول الشاهد فی الامور الحدسیة، بمجرد احتمال استناد حدسه إلی الطریق الغیر الموصل عند تعدّد الطرق و اختلافها فی القبول و عدم القبول، أ لا تری عدم توقّفهم فی العمل بقول الشاهد فی الامور الحدسیة، و ظنونه الاجتهادیة الرجالیة فی الجرح و التعدیل و التزکیة و الاجتهاد و الصیانة و الدیانة و التوثیق و غیرها من سائر الملکات النفسیة، مع احتمال استناد شهادته فیها إلی الطرق القاصرة عن الإیصال، سیما مع اختلاف طباع الناس فی سرعة الحدس بشی‌ء </w:t>
      </w:r>
      <w:bookmarkStart w:id="421" w:name="pg12850_121305"/>
    </w:p>
    <w:p>
      <w:pPr>
        <w:pStyle w:val="BookText"/>
        <w:rPr/>
      </w:pPr>
      <w:bookmarkEnd w:id="421"/>
      <w:r>
        <w:rPr>
          <w:rFonts w:ascii="IRNazanin" w:hAnsi="IRNazanin" w:eastAsia="IRNazanin"/>
          <w:color w:val="111111"/>
          <w:sz w:val="28"/>
          <w:sz w:val="28"/>
          <w:szCs w:val="28"/>
          <w:rtl w:val="true"/>
          <w:lang w:bidi="fa-IR"/>
        </w:rPr>
        <w:t>و الاعتقاد به من أدنی سبب و بطؤه و اختلاف أسباب الحدس و الاعتقاد، بل و اختلاف الآراء فی معنی العدالة، و فی طرق تشخیصه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یتوقّفون فی العمل بقول الشاهد فی الامور الحسّیة من البیوع و الأنکحة و الحقوق و الحدود، مع احتمال استناد شهادته فیها إلی الحدس، بل و مع القطع باستناد شهادته فی المحسوسات إلی الحدس من غیر مطالبتهم الشاهد عن مستند شهادته هل هو الحدس أو الحسّ، و لا عن مستند حدسه هل هو من الطرق الموصلة أم الغیر الموصلة بعد إحراز شروط قبول الشهادة فیه من العدالة و الضبط و عدم اعوجاج سلیقته بالخروج عن متعارف غالب الناس</w:t>
      </w:r>
      <w:r>
        <w:rPr>
          <w:rFonts w:eastAsia="IRNazanin" w:cs="IRNazanin"/>
          <w:color w:val="111111"/>
          <w:sz w:val="28"/>
          <w:szCs w:val="28"/>
          <w:rtl w:val="true"/>
          <w:lang w:bidi="fa-IR"/>
        </w:rPr>
        <w:t>.</w:t>
      </w:r>
    </w:p>
    <w:p>
      <w:pPr>
        <w:pStyle w:val="Heading5"/>
        <w:numPr>
          <w:ilvl w:val="4"/>
          <w:numId w:val="1"/>
        </w:numPr>
        <w:rPr/>
      </w:pPr>
      <w:bookmarkStart w:id="422" w:name="__RefHeading___Toc2527306_3224264995"/>
      <w:bookmarkStart w:id="423" w:name="_Toc153"/>
      <w:bookmarkEnd w:id="422"/>
      <w:r>
        <w:rPr>
          <w:rtl w:val="true"/>
        </w:rPr>
        <w:t>[</w:t>
      </w:r>
      <w:r>
        <w:rPr>
          <w:rtl w:val="true"/>
        </w:rPr>
        <w:t>إخبار الوکیل و ذی الید و إخبار العدل عن فتوی المفتی و اخبار الشاهد ببیع أو عقد</w:t>
      </w:r>
      <w:r>
        <w:rPr>
          <w:rtl w:val="true"/>
        </w:rPr>
        <w:t>]</w:t>
      </w:r>
      <w:bookmarkEnd w:id="423"/>
    </w:p>
    <w:p>
      <w:pPr>
        <w:pStyle w:val="BookText"/>
        <w:rPr/>
      </w:pPr>
      <w:r>
        <w:rPr>
          <w:rFonts w:ascii="IRNazanin" w:hAnsi="IRNazanin" w:eastAsia="IRNazanin"/>
          <w:color w:val="111111"/>
          <w:sz w:val="28"/>
          <w:sz w:val="28"/>
          <w:szCs w:val="28"/>
          <w:rtl w:val="true"/>
          <w:lang w:bidi="fa-IR"/>
        </w:rPr>
        <w:t>و کذا الحال فی إخبار الوکیل و إخبار ذی الید فإنّه یجوز التعویل علی إخبارهم و إن علم استناد علمهم إلی الحدس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إخبار العدل عن فتوی المفتی فإنّ علمه بها کما قد یستند إلی الحسّ کذلک قد یستند إلی الحدس، بملاحظة قول أتباعه، أو عملهم، أو لوقوفه علی طریقته فی الفقه أو ما أشبه ذلک، و هذا فی الحقیقة فی حقّ المقلّد کنقل الإجماع فی حقّ المجتهد مع أنّ الاستناد فی الروایة کما قد یکون إلی الحسّ کذلک قد یکون إلی الحدس، کما فی المکاتبة و الوجادة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الحال فی إخبار الشاهد ببیع أو عقد فإنّهم یعوّلون علیه من غیر مطالبة الشاهد عن تجویزه تقدیم القبول علی الإیجاب، أو العقد بلفظ الفارسی، أو صحّة المعاطاة، أو لزومه، إلی غیر ذلک مما یحتمل تجویز الشاهد إیّاها من غیر تجویز الحاکم لها، و لا عن استناد شهادته إلی العقد المقدّم علیه القبول، أو الصادر بلفظ الفارسی، أو علی وجه المعاطاة، أو غیر ذلک ممّا فرض تجویز الشاهد لها مع عدم تجویز الحاکم لها، فإنّه یعوّل علی الشهادة، و حملها علی الطرق الصحیحة الواقعیة، و إن علم بمخالفة مذهب الشاهد لمذهبه ما لم یعلم </w:t>
      </w:r>
      <w:bookmarkStart w:id="424" w:name="pg12850_121306"/>
    </w:p>
    <w:p>
      <w:pPr>
        <w:pStyle w:val="BookText"/>
        <w:rPr/>
      </w:pPr>
      <w:bookmarkEnd w:id="424"/>
      <w:r>
        <w:rPr>
          <w:rFonts w:ascii="IRNazanin" w:hAnsi="IRNazanin" w:eastAsia="IRNazanin"/>
          <w:color w:val="111111"/>
          <w:sz w:val="28"/>
          <w:sz w:val="28"/>
          <w:szCs w:val="28"/>
          <w:rtl w:val="true"/>
          <w:lang w:bidi="fa-IR"/>
        </w:rPr>
        <w:t>استناد الشهادة و انطباقها علی خصوص المذهب المخالف لمذهبه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فقبول قول العادل فی کلّ واحد من الموارد المذکورة و عدم فرقهم فی شی‌ء من نوعی القطع الحدسیّ و الحسیّ حتی فی المحسوسات دلیل نقضی علی منع المانع حجّیة الإجماع المنقول بتلک الاحتمالات المذکورة، و دلیل إجمالی علی تجویز المجوّز له بعد إحراز شرائط الشهادة فی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حلّ ذلک النقض و تفصیل ذلک الإجمال فهو وجوب الأخذ بظاهر قول الشاهد و الناقل، بعد إحراز شروط الشهادة فیه من العدالة و الضبط و عدم اعوجاج السلیقة تحکیما للظواهر علی المحتملات، و تعویلا علی أصالة الصحّة و غلبتها و عدم الخطأ و النسیان و ندورهما</w:t>
      </w:r>
      <w:r>
        <w:rPr>
          <w:rFonts w:eastAsia="IRNazanin" w:cs="IRNazanin"/>
          <w:color w:val="111111"/>
          <w:sz w:val="28"/>
          <w:szCs w:val="28"/>
          <w:rtl w:val="true"/>
          <w:lang w:bidi="fa-IR"/>
        </w:rPr>
        <w:t>.</w:t>
      </w:r>
    </w:p>
    <w:p>
      <w:pPr>
        <w:pStyle w:val="Heading5"/>
        <w:numPr>
          <w:ilvl w:val="4"/>
          <w:numId w:val="1"/>
        </w:numPr>
        <w:rPr/>
      </w:pPr>
      <w:bookmarkStart w:id="425" w:name="__RefHeading___Toc2527308_3224264995"/>
      <w:bookmarkStart w:id="426" w:name="_Toc154"/>
      <w:bookmarkEnd w:id="425"/>
      <w:r>
        <w:rPr>
          <w:rtl w:val="true"/>
        </w:rPr>
        <w:t>[</w:t>
      </w:r>
      <w:r>
        <w:rPr>
          <w:rtl w:val="true"/>
        </w:rPr>
        <w:t>ردّ دعوی الماتن من ظهور لفظ الاجماع فی إجماع أهل عصر واحد</w:t>
      </w:r>
      <w:r>
        <w:rPr>
          <w:rtl w:val="true"/>
        </w:rPr>
        <w:t>]</w:t>
      </w:r>
      <w:bookmarkEnd w:id="426"/>
    </w:p>
    <w:p>
      <w:pPr>
        <w:pStyle w:val="BookText"/>
        <w:rPr/>
      </w:pPr>
      <w:r>
        <w:rPr>
          <w:rFonts w:ascii="IRNazanin" w:hAnsi="IRNazanin" w:eastAsia="IRNazanin"/>
          <w:color w:val="111111"/>
          <w:sz w:val="28"/>
          <w:sz w:val="28"/>
          <w:szCs w:val="28"/>
          <w:rtl w:val="true"/>
          <w:lang w:bidi="fa-IR"/>
        </w:rPr>
        <w:t>و دعوی الماتن</w:t>
      </w:r>
      <w:r>
        <w:rPr>
          <w:rStyle w:val="FootnoteAnchor"/>
          <w:rtl w:val="true"/>
        </w:rPr>
        <w:footnoteReference w:id="300"/>
      </w:r>
      <w:r>
        <w:rPr>
          <w:rFonts w:ascii="IRNazanin" w:hAnsi="IRNazanin" w:eastAsia="IRNazanin"/>
          <w:color w:val="111111"/>
          <w:sz w:val="28"/>
          <w:sz w:val="28"/>
          <w:szCs w:val="28"/>
          <w:rtl w:val="true"/>
          <w:lang w:bidi="fa-IR"/>
        </w:rPr>
        <w:t>أنّ ظاهر لفظ الإجماع هو إجماع أهل عصر واحد و هو من الطرق الغیر المستلزمة عادة لموافقة قول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فممنوعة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ظهوره فی إجماع أهل عصر واحد، إلّا من کلمات بعض من تقدّم ذکرهم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عدم استلزامه العلم الضروری بقول المعصوم؛ لأنّه و إن لم یستلزمه بنفسه غالبا إلّا أنّه بضمیمة سائر القرائن و الشواهد الکثیرة المتعدّدة الوافرة للمدّعی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کوضوح مدرک المسألة و تسالمه فی ما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الوقوف علی موافقة أهل سائر الأعصار السابقة له و لو من جهة النقل أو الحدس من قول بعضهم أو غیر ذلک کثیرا ما یستلزم الموافقة لقول الإمام من غیر شائبة و لا دغدغة، فإنّ ضمیمة الضمائم الخارجیة و الشواهد البدیهیة کثیرا ما تحصّل العلم الضروری و الإجماع من فتوی فقیه واحد، فضلا عن فتوی جمیع أهل عصر واحد، کما اعترف به الماتن فی ما سبق أیضا</w:t>
      </w:r>
      <w:r>
        <w:rPr>
          <w:rFonts w:eastAsia="IRNazanin" w:cs="IRNazanin"/>
          <w:color w:val="111111"/>
          <w:sz w:val="28"/>
          <w:szCs w:val="28"/>
          <w:rtl w:val="true"/>
          <w:lang w:bidi="fa-IR"/>
        </w:rPr>
        <w:t xml:space="preserve">. </w:t>
      </w:r>
      <w:bookmarkStart w:id="427" w:name="pg12850_121307"/>
    </w:p>
    <w:p>
      <w:pPr>
        <w:pStyle w:val="Heading5"/>
        <w:numPr>
          <w:ilvl w:val="4"/>
          <w:numId w:val="1"/>
        </w:numPr>
        <w:rPr/>
      </w:pPr>
      <w:bookmarkStart w:id="428" w:name="__RefHeading___Toc2527310_3224264995"/>
      <w:bookmarkStart w:id="429" w:name="_Toc155"/>
      <w:bookmarkEnd w:id="427"/>
      <w:bookmarkEnd w:id="428"/>
      <w:r>
        <w:rPr>
          <w:rtl w:val="true"/>
        </w:rPr>
        <w:t>[</w:t>
      </w:r>
      <w:r>
        <w:rPr>
          <w:rtl w:val="true"/>
        </w:rPr>
        <w:t>ما نقل عن کاشف الغطاء من تحصیل الاجماع من مجرّد الوقوف علی ارسال فتوی فی الدروس</w:t>
      </w:r>
      <w:r>
        <w:rPr>
          <w:rtl w:val="true"/>
        </w:rPr>
        <w:t>]</w:t>
      </w:r>
      <w:bookmarkEnd w:id="429"/>
    </w:p>
    <w:p>
      <w:pPr>
        <w:pStyle w:val="BookText"/>
        <w:rPr/>
      </w:pPr>
      <w:r>
        <w:rPr>
          <w:rFonts w:ascii="IRNazanin" w:hAnsi="IRNazanin" w:eastAsia="IRNazanin"/>
          <w:color w:val="111111"/>
          <w:sz w:val="28"/>
          <w:sz w:val="28"/>
          <w:szCs w:val="28"/>
          <w:rtl w:val="true"/>
          <w:lang w:bidi="fa-IR"/>
        </w:rPr>
        <w:t>و کما نقل عن کاشف الغطاء أیضا من تصریحه بأنّه قد أحصل</w:t>
      </w:r>
      <w:r>
        <w:rPr>
          <w:rStyle w:val="FootnoteAnchor"/>
          <w:rtl w:val="true"/>
        </w:rPr>
        <w:footnoteReference w:id="301"/>
      </w:r>
      <w:r>
        <w:rPr>
          <w:rFonts w:ascii="IRNazanin" w:hAnsi="IRNazanin" w:eastAsia="IRNazanin"/>
          <w:color w:val="111111"/>
          <w:sz w:val="28"/>
          <w:sz w:val="28"/>
          <w:szCs w:val="28"/>
          <w:rtl w:val="true"/>
          <w:lang w:bidi="fa-IR"/>
        </w:rPr>
        <w:t>الإجماع من مجرّد الوقوف علی إرسال فتوی فی الدروس إرسال المسلّمات، من غیر تعرض لنقل خلافه، بعد ما أحرز أنّ من عادة الشهید فی دروسه التعرض لنقل الخلاف لو کان هناک خلاف، فضلا عن ضمیمة سائر الضمائم الأخر</w:t>
      </w:r>
      <w:r>
        <w:rPr>
          <w:rFonts w:eastAsia="IRNazanin" w:cs="IRNazanin"/>
          <w:color w:val="111111"/>
          <w:sz w:val="28"/>
          <w:szCs w:val="28"/>
          <w:rtl w:val="true"/>
          <w:lang w:bidi="fa-IR"/>
        </w:rPr>
        <w:t>.</w:t>
      </w:r>
    </w:p>
    <w:p>
      <w:pPr>
        <w:pStyle w:val="Heading5"/>
        <w:numPr>
          <w:ilvl w:val="4"/>
          <w:numId w:val="1"/>
        </w:numPr>
        <w:rPr/>
      </w:pPr>
      <w:bookmarkStart w:id="430" w:name="__RefHeading___Toc2527312_3224264995"/>
      <w:bookmarkStart w:id="431" w:name="_Toc156"/>
      <w:bookmarkEnd w:id="430"/>
      <w:r>
        <w:rPr>
          <w:rtl w:val="true"/>
        </w:rPr>
        <w:t>[</w:t>
      </w:r>
      <w:r>
        <w:rPr>
          <w:rtl w:val="true"/>
        </w:rPr>
        <w:t>أخذ الأصحاب بشرائع علی بن بابویه عند اعوزاز النصوص</w:t>
      </w:r>
      <w:r>
        <w:rPr>
          <w:rtl w:val="true"/>
        </w:rPr>
        <w:t>]</w:t>
      </w:r>
      <w:bookmarkEnd w:id="431"/>
    </w:p>
    <w:p>
      <w:pPr>
        <w:pStyle w:val="BookText"/>
        <w:rPr/>
      </w:pPr>
      <w:r>
        <w:rPr>
          <w:rFonts w:ascii="IRNazanin" w:hAnsi="IRNazanin" w:eastAsia="IRNazanin"/>
          <w:color w:val="111111"/>
          <w:sz w:val="28"/>
          <w:sz w:val="28"/>
          <w:szCs w:val="28"/>
          <w:rtl w:val="true"/>
          <w:lang w:bidi="fa-IR"/>
        </w:rPr>
        <w:t>و کما نقل أیضا من أنّ الأصحاب</w:t>
      </w:r>
      <w:r>
        <w:rPr>
          <w:rStyle w:val="FootnoteAnchor"/>
          <w:rtl w:val="true"/>
        </w:rPr>
        <w:footnoteReference w:id="302"/>
      </w:r>
      <w:r>
        <w:rPr>
          <w:rFonts w:ascii="IRNazanin" w:hAnsi="IRNazanin" w:eastAsia="IRNazanin"/>
          <w:color w:val="111111"/>
          <w:sz w:val="28"/>
          <w:sz w:val="28"/>
          <w:szCs w:val="28"/>
          <w:rtl w:val="true"/>
          <w:lang w:bidi="fa-IR"/>
        </w:rPr>
        <w:t>کانوا یأخذون بشرائع علی بن بابویه عند اعوزاز النصوص و ینزّلونها منزلة النصوص بمجرد إحرازهم من عادته الغالبیة فی شرائعه الاقتصار علی متون النصوص بحذف أسانیدها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نشاهد أیضا من أنفسنا العلم القطعی بمذهب کلّ رئیس من رؤساء عصرنا بمجرد الوقوف علی مذهب جماعة من مرءوسیه، و بمذهب کلّ متبوع و مدرس بمجرد السماع عن جملة من تلامذته و تابعیه و إن لم یبلغوا حدّ الاستفاضة، بل و إن لم ینضم إلیه سائر القرائن و الشواهد الخارجیة فضلا عن انضمام سائر الضمائم و الشواهد، و ما نسبة العلماء إلی الإمام إلّا کنسبة سائر المرءوسین إلی رئیسهم و سائر التلامذة إلی أساتیذهم، و إذا کان الأمر المدّعی من الإجماع أمرا محتملا متیسّرا لمدّعیه کسائر الدعاوی المتیسّرة لنا من أشباهه و نظائره فلا إشکال فی وجوب قبوله کوجوب قبول سائر الدعاوی المحتملة الصدق من العدول، من غیر إشکال و لا فضول</w:t>
      </w:r>
      <w:r>
        <w:rPr>
          <w:rFonts w:eastAsia="IRNazanin" w:cs="IRNazanin"/>
          <w:color w:val="111111"/>
          <w:sz w:val="28"/>
          <w:szCs w:val="28"/>
          <w:rtl w:val="true"/>
          <w:lang w:bidi="fa-IR"/>
        </w:rPr>
        <w:t>.</w:t>
      </w:r>
    </w:p>
    <w:p>
      <w:pPr>
        <w:pStyle w:val="Heading5"/>
        <w:numPr>
          <w:ilvl w:val="4"/>
          <w:numId w:val="1"/>
        </w:numPr>
        <w:rPr/>
      </w:pPr>
      <w:bookmarkStart w:id="432" w:name="__RefHeading___Toc2527314_3224264995"/>
      <w:bookmarkStart w:id="433" w:name="_Toc157"/>
      <w:bookmarkEnd w:id="432"/>
      <w:r>
        <w:rPr>
          <w:rtl w:val="true"/>
        </w:rPr>
        <w:t>[</w:t>
      </w:r>
      <w:r>
        <w:rPr>
          <w:rtl w:val="true"/>
        </w:rPr>
        <w:t>استکشاف قول الإمام من قول جملة من العلماء</w:t>
      </w:r>
      <w:r>
        <w:rPr>
          <w:rtl w:val="true"/>
        </w:rPr>
        <w:t>]</w:t>
      </w:r>
      <w:bookmarkEnd w:id="43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استلزام اتفاق العلماء لمقالة المعصوم علیه السّلام معلوم لکلّ أحد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الوجه الأول المشار إلیه من کلام السیّد هو الوجه الثانی الذی نقله الماتن</w:t>
      </w:r>
      <w:r>
        <w:rPr>
          <w:rStyle w:val="FootnoteAnchor"/>
          <w:rtl w:val="true"/>
        </w:rPr>
        <w:footnoteReference w:id="303"/>
      </w:r>
      <w:r>
        <w:rPr>
          <w:rFonts w:ascii="IRNazanin" w:hAnsi="IRNazanin" w:eastAsia="IRNazanin"/>
          <w:color w:val="111111"/>
          <w:sz w:val="28"/>
          <w:sz w:val="28"/>
          <w:szCs w:val="28"/>
          <w:rtl w:val="true"/>
          <w:lang w:bidi="fa-IR"/>
        </w:rPr>
        <w:t>عنه بحسب الترتیب، و الثانی بالعکس</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الفرق بینهما هو جعل الحجّة إخباره بنفس الاتفاق و الکاشف من جهة الملازمة </w:t>
      </w:r>
      <w:bookmarkStart w:id="434" w:name="pg12850_121308"/>
    </w:p>
    <w:p>
      <w:pPr>
        <w:pStyle w:val="BookText"/>
        <w:rPr/>
      </w:pPr>
      <w:bookmarkEnd w:id="434"/>
      <w:r>
        <w:rPr>
          <w:rFonts w:ascii="IRNazanin" w:hAnsi="IRNazanin" w:eastAsia="IRNazanin"/>
          <w:color w:val="111111"/>
          <w:sz w:val="28"/>
          <w:sz w:val="28"/>
          <w:szCs w:val="28"/>
          <w:rtl w:val="true"/>
          <w:lang w:bidi="fa-IR"/>
        </w:rPr>
        <w:t>العادیة فی الأول، و بنفس المستفاد و المنکشف من الاتفاق فی الثانی</w:t>
      </w:r>
      <w:r>
        <w:rPr>
          <w:rFonts w:eastAsia="IRNazanin" w:cs="IRNazanin"/>
          <w:color w:val="111111"/>
          <w:sz w:val="28"/>
          <w:szCs w:val="28"/>
          <w:rtl w:val="true"/>
          <w:lang w:bidi="fa-IR"/>
        </w:rPr>
        <w:t>.</w:t>
      </w:r>
    </w:p>
    <w:p>
      <w:pPr>
        <w:pStyle w:val="Heading5"/>
        <w:numPr>
          <w:ilvl w:val="4"/>
          <w:numId w:val="1"/>
        </w:numPr>
        <w:rPr/>
      </w:pPr>
      <w:bookmarkStart w:id="435" w:name="__RefHeading___Toc2527316_3224264995"/>
      <w:bookmarkStart w:id="436" w:name="_Toc158"/>
      <w:bookmarkEnd w:id="435"/>
      <w:r>
        <w:rPr>
          <w:rtl w:val="true"/>
        </w:rPr>
        <w:t>[</w:t>
      </w:r>
      <w:r>
        <w:rPr>
          <w:rtl w:val="true"/>
        </w:rPr>
        <w:t>استکشاف قول الإمام من قول جملة من العلماء</w:t>
      </w:r>
      <w:r>
        <w:rPr>
          <w:rtl w:val="true"/>
        </w:rPr>
        <w:t>]</w:t>
      </w:r>
      <w:bookmarkEnd w:id="43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یوجب عن طریق الحدس العلم الضروری بصدور الحکم عن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نقضا بما نشاهد من أنفسنا العلم و القطع بمذهب کلّ رئیس من رؤساء عصرنا بمجرّد الوقوف علی مذهب جماعة من تابعیه و تلامذته، بل قد یحصل لنا العلم الضروری بکثیر من الوقائع بمجرّد إخبار واحد أو اثنین من أهل خبرة الواقعة إذا انضمّ إلیه بعض الشواهد و أمارات الصدق المتکثّرة الوافرة، حسبما تقدّم تفصیله</w:t>
      </w:r>
      <w:r>
        <w:rPr>
          <w:rFonts w:eastAsia="IRNazanin" w:cs="IRNazanin"/>
          <w:color w:val="111111"/>
          <w:sz w:val="28"/>
          <w:szCs w:val="28"/>
          <w:rtl w:val="true"/>
          <w:lang w:bidi="fa-IR"/>
        </w:rPr>
        <w:t>.</w:t>
      </w:r>
    </w:p>
    <w:p>
      <w:pPr>
        <w:pStyle w:val="Heading5"/>
        <w:numPr>
          <w:ilvl w:val="4"/>
          <w:numId w:val="1"/>
        </w:numPr>
        <w:rPr/>
      </w:pPr>
      <w:bookmarkStart w:id="437" w:name="__RefHeading___Toc2527318_3224264995"/>
      <w:bookmarkStart w:id="438" w:name="_Toc159"/>
      <w:bookmarkEnd w:id="437"/>
      <w:r>
        <w:rPr>
          <w:rtl w:val="true"/>
        </w:rPr>
        <w:t>[</w:t>
      </w:r>
      <w:r>
        <w:rPr>
          <w:rtl w:val="true"/>
        </w:rPr>
        <w:t>الشواهد المورثة للعلم بقول الإمام بإجماع أهل عصر واحد</w:t>
      </w:r>
      <w:r>
        <w:rPr>
          <w:rtl w:val="true"/>
        </w:rPr>
        <w:t>]</w:t>
      </w:r>
      <w:bookmarkEnd w:id="438"/>
    </w:p>
    <w:p>
      <w:pPr>
        <w:pStyle w:val="BookText"/>
        <w:rPr/>
      </w:pPr>
      <w:r>
        <w:rPr>
          <w:rFonts w:ascii="IRNazanin" w:hAnsi="IRNazanin" w:eastAsia="IRNazanin"/>
          <w:color w:val="111111"/>
          <w:sz w:val="28"/>
          <w:sz w:val="28"/>
          <w:szCs w:val="28"/>
          <w:rtl w:val="true"/>
          <w:lang w:bidi="fa-IR"/>
        </w:rPr>
        <w:t>و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إجماع أهل عصر واحد و إن لم یوجب العلم الضروری بصدور الحکم عن الإمام علیه السّلام بمجرّده إلّا أنّ الشواهد و الضمائم المورثة له بالانضمام ممّا لا تکاد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وضوح مدرک المسألة و مأخذها بمثابة یحصل العلم لکلّ من وقف علیه، فإنّ انضمام ذلک الوضوح إلی اتفاق أهل عصر واحد بل و إلی جماعة ممّا یوجب العلم القطعیّ بموافقة الإمام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انضمام التتبع فی سائر أهل الاعصار السابقة إلی عصره أیضا مما یوجبه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انضمام تسالم الفتوی فی ما بین أهل عصر واحد علی وجه یرسلونه إرسال المسلّمات إلی اتفاقهم أیضا، مما یوجب العلم بموافقتهم الإمام إذا کان من عادتهم التعرض لنقل الخلاف لو کان هناک خلاف من أهل الأعصار المتقدّمة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تعاضد اتفاق أهل العصر الواحد بالأصل الأصیل عندهم عند عدم دلیل، أو بعموم عامّ عند عدم وجدان المخصّص له، أو بخبر معتبر عند عدم </w:t>
      </w:r>
      <w:bookmarkStart w:id="439" w:name="pg12850_121309"/>
    </w:p>
    <w:p>
      <w:pPr>
        <w:pStyle w:val="BookText"/>
        <w:rPr/>
      </w:pPr>
      <w:bookmarkEnd w:id="439"/>
      <w:r>
        <w:rPr>
          <w:rFonts w:ascii="IRNazanin" w:hAnsi="IRNazanin" w:eastAsia="IRNazanin"/>
          <w:color w:val="111111"/>
          <w:sz w:val="28"/>
          <w:sz w:val="28"/>
          <w:szCs w:val="28"/>
          <w:rtl w:val="true"/>
          <w:lang w:bidi="fa-IR"/>
        </w:rPr>
        <w:t>وجدان معارض، أو باتّفاقهم علی مسألة اصولیة نقلیة أو عقلیة یستلزم القول بها الحکم فی المسألة المفروضة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الضمائم المتّفق علیها التی یلزم من القول بها مع فرض عدم المعارض حصول العلم بموافقتهم الإمام للناقل علی وجه لو اتفق وقوفنا علی ما وقف علیه الناقل منها لحصل لنا ما حصل للناقل من العلم بقول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فنفس اتّفاق أهل عصر واحد و إن لم یستلزم العلم الضروری بموافقتهم الإمام بمجرّده، إلّا أنّه بضمیمة شی‌ء من الضمائم المتکثّرة الوافرة للمدّعی، کثیرا ما یستلزمه، کما أنّ نفس کلّ واحد من تلک الضمائم بمجرّده و إن لم یستلزم العلم الضروری بصدور الحکم عن الإمام إلّا أنّه بواسطة تراکم بعضها مع بعض، أو انضمام بعضها إلی اتفاق أهل عصر واحد بل و إلی فقیه واحد، کثیرا ما یستلزمه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هذا الاتفاق إخبار عن الإمام علیه السّلام؟</w:t>
      </w:r>
      <w:r>
        <w:rPr>
          <w:rFonts w:eastAsia="IRNazanin" w:cs="IRNazanin"/>
          <w:color w:val="111111"/>
          <w:sz w:val="28"/>
          <w:szCs w:val="28"/>
          <w:rtl w:val="true"/>
          <w:lang w:bidi="fa-IR"/>
        </w:rPr>
        <w:t>».</w:t>
      </w:r>
    </w:p>
    <w:p>
      <w:pPr>
        <w:pStyle w:val="Heading5"/>
        <w:numPr>
          <w:ilvl w:val="4"/>
          <w:numId w:val="1"/>
        </w:numPr>
        <w:rPr/>
      </w:pPr>
      <w:bookmarkStart w:id="440" w:name="__RefHeading___Toc2527320_3224264995"/>
      <w:bookmarkStart w:id="441" w:name="_Toc160"/>
      <w:bookmarkEnd w:id="440"/>
      <w:r>
        <w:rPr>
          <w:rtl w:val="true"/>
        </w:rPr>
        <w:t>[</w:t>
      </w:r>
      <w:r>
        <w:rPr>
          <w:rtl w:val="true"/>
        </w:rPr>
        <w:t>دفع استبعاد الماتن اعتبار الاجماع المنقول بمجرّد احتمال الخطأ فی مدّعیه</w:t>
      </w:r>
      <w:r>
        <w:rPr>
          <w:rtl w:val="true"/>
        </w:rPr>
        <w:t>]</w:t>
      </w:r>
      <w:bookmarkEnd w:id="44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اعتبار الإجماع المنقول بمجرد احتمال الخطأ فی مدّعی الإجماع مدفوع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بکثرة الحوادث اللاحقة بالأخبار من حیث المتن و السند و الدلالة و التعارض و الدسّ و التقیة و الاختلاف و الاضطراب و السهو و الغفلة و النقل بالمعنی، مع الاشتباه فی فهم المقصود، و الإجماع المنقول خال عن أکثر مما ذکر فیبقی مزیّة العلم مرجّحا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لزوم القطع فی الاصول باطلة غیر مقبولة کما سیأتی الإشارة إلیه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أنّ هذا الاختلاف الشدید فی الأخبار غیر قادح فی حجّیة </w:t>
      </w:r>
    </w:p>
    <w:p>
      <w:pPr>
        <w:pStyle w:val="BookText"/>
        <w:rPr/>
      </w:pPr>
      <w:r>
        <w:rPr>
          <w:rFonts w:ascii="IRNazanin" w:hAnsi="IRNazanin" w:eastAsia="IRNazanin"/>
          <w:color w:val="111111"/>
          <w:sz w:val="28"/>
          <w:sz w:val="28"/>
          <w:szCs w:val="28"/>
          <w:rtl w:val="true"/>
          <w:lang w:bidi="fa-IR"/>
        </w:rPr>
        <w:t>خبر الواحد علی ما هو المفروض فکیف یکون الاختلاف الیسیر فی الإجماعات المنقولة الذی لم یبلغ معشارا من ذلک الاختلاف قادحا و موهنا لحجّیة مطلق الإجماعات المنقولة؟</w:t>
      </w:r>
    </w:p>
    <w:p>
      <w:pPr>
        <w:pStyle w:val="BookText"/>
        <w:rPr/>
      </w:pPr>
      <w:r>
        <w:rPr>
          <w:rFonts w:ascii="IRNazanin" w:hAnsi="IRNazanin" w:eastAsia="IRNazanin"/>
          <w:color w:val="111111"/>
          <w:sz w:val="28"/>
          <w:sz w:val="28"/>
          <w:szCs w:val="28"/>
          <w:rtl w:val="true"/>
          <w:lang w:bidi="fa-IR"/>
        </w:rPr>
        <w:t>و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النزاع فی حجّیة الإجماع المنقول علی ما حرّرناه فی صدر البحث إنّما هو فی المنقول المجرد عن أمارات الوهن و الجامع لشرائط القبول لا فی مطلق المنقول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النزاع إنّما هو فی الإجماع المنقول من حیث هو مع الإغماض عن طروّ الموانع الخارجیة الموهنة له، من المعارضة و انکشاف فساد المستند، و عدم ملازمة انکشافه عن قول الإمام و ابتنائه علی مقدّمات اجتهادیة وقفنا علی خطائها، فعدم حجّیة بعض ما ذکره الماتن من مثل تلک الإجماعات الموهونة علی تقدیر تسلیم وهنها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عروض العوارض و تطرّق الموانع الخارجیة التی علمنا حالها من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یورث الوهن فی سائر الإجماعات المنقولة التی لم یعلم من الخارج أنّ حالها کذلک، بعد التفحّص و البحث عن المعارض و الموهن، کما هو الحال فی الأخبار سیما إذا کان المعلوم حاله من الخارج بتطرّق الموانع و العوارض الموهنة له فی غایة القلّة و الندور، بالنسبة إلی الغیر المعلوم أنّ حاله کذلک بحیث لا یصار إلیه إلّا لصارف خارجی کما لا یصار إلی المجازات مع کثرة أنواعها و استعمالها إلّا لصارف خارجی، سیما إذا کان الإجماع المنقول المستند إلی الطرق الموهونة بعد الاطّلاع علی وهنها من الخارج لم یبلغ فی القلّة بالنسبة إلی سائر الإجماعات المستندة إلی الطرق الموصلة الغیر المتبیّن وهنها، بعد الفحص معشارا من قلّة المجاز بالنسبة إلی الحقیقة، و من قلّة التقیید بالنسبة إلی المطلق، و من قلّة التخصیص بالنسبة إلی العام، و من قلّة الشاذّ النادر بالنسبة إلی غیر الشاذّ من الأخبار، فکیف یرفع الید </w:t>
      </w:r>
      <w:bookmarkStart w:id="442" w:name="pg12850_121311"/>
    </w:p>
    <w:p>
      <w:pPr>
        <w:pStyle w:val="BookText"/>
        <w:rPr/>
      </w:pPr>
      <w:bookmarkEnd w:id="442"/>
      <w:r>
        <w:rPr>
          <w:rFonts w:ascii="IRNazanin" w:hAnsi="IRNazanin" w:eastAsia="IRNazanin"/>
          <w:color w:val="111111"/>
          <w:sz w:val="28"/>
          <w:sz w:val="28"/>
          <w:szCs w:val="28"/>
          <w:rtl w:val="true"/>
          <w:lang w:bidi="fa-IR"/>
        </w:rPr>
        <w:t>عن جمیعها بمجرّد الوقوف من الخارج علی وهن بعضها بتلک الموهنات المذکورة؟ و لم یرفع الید عن الإطلاق و العموم مع الوقوف من الخارج علی تقیید أکثر العمومات و الإطلاقات، حتی اشتهر بأنّه ما من عامّ إلّا و قد خصّ</w:t>
      </w:r>
      <w:r>
        <w:rPr>
          <w:rFonts w:eastAsia="IRNazanin" w:cs="IRNazanin"/>
          <w:color w:val="111111"/>
          <w:sz w:val="28"/>
          <w:szCs w:val="28"/>
          <w:rtl w:val="true"/>
          <w:lang w:bidi="fa-IR"/>
        </w:rPr>
        <w:t>.</w:t>
      </w:r>
    </w:p>
    <w:p>
      <w:pPr>
        <w:pStyle w:val="Heading5"/>
        <w:numPr>
          <w:ilvl w:val="4"/>
          <w:numId w:val="1"/>
        </w:numPr>
        <w:rPr/>
      </w:pPr>
      <w:bookmarkStart w:id="443" w:name="__RefHeading___Toc2527322_3224264995"/>
      <w:bookmarkStart w:id="444" w:name="_Toc161"/>
      <w:bookmarkEnd w:id="443"/>
      <w:r>
        <w:rPr>
          <w:rtl w:val="true"/>
        </w:rPr>
        <w:t>[</w:t>
      </w:r>
      <w:r>
        <w:rPr>
          <w:rtl w:val="true"/>
        </w:rPr>
        <w:t>عدم وهن الاجماع المنقول بنفسه بما ذکره الماتن من موهناته</w:t>
      </w:r>
      <w:r>
        <w:rPr>
          <w:rtl w:val="true"/>
        </w:rPr>
        <w:t>]</w:t>
      </w:r>
      <w:bookmarkEnd w:id="444"/>
    </w:p>
    <w:p>
      <w:pPr>
        <w:pStyle w:val="BookText"/>
        <w:rPr/>
      </w:pPr>
      <w:r>
        <w:rPr>
          <w:rFonts w:ascii="IRNazanin" w:hAnsi="IRNazanin" w:eastAsia="IRNazanin"/>
          <w:color w:val="111111"/>
          <w:sz w:val="28"/>
          <w:sz w:val="28"/>
          <w:szCs w:val="28"/>
          <w:rtl w:val="true"/>
          <w:lang w:bidi="fa-IR"/>
        </w:rPr>
        <w:t>هذا کلّه، مضافا إلی أنّ کلّ ما ذکره الماتن</w:t>
      </w:r>
      <w:r>
        <w:rPr>
          <w:rStyle w:val="FootnoteAnchor"/>
          <w:rtl w:val="true"/>
        </w:rPr>
        <w:footnoteReference w:id="304"/>
      </w:r>
      <w:r>
        <w:rPr>
          <w:rFonts w:ascii="IRNazanin" w:hAnsi="IRNazanin" w:eastAsia="IRNazanin"/>
          <w:color w:val="111111"/>
          <w:sz w:val="28"/>
          <w:sz w:val="28"/>
          <w:szCs w:val="28"/>
          <w:rtl w:val="true"/>
          <w:lang w:bidi="fa-IR"/>
        </w:rPr>
        <w:t>من أسباب وهن الإجماع المنقول من اتفاق تعارض الإجماع من شخص واحد، أو من معاصرین أو متقاربی العصرین، و من اتفاق رجوع بعض المدّعین له عن الفتوی الذی ادّعوا الإجماع فیها، و من اتفاق دعوی الإجماع فی مسائل قد اشتهر خلافها بعد المدّعی، بل فی زمانه بل فی ما قبله و من استناد بعضهم فی دعواه إلی مقدّمات اجتهادیة غیر موصلة و لا مصادفة، إنّما یکون موهنیّتها لسائر الإجماعات، مبنیّة علی فساد أنفسها؛ إذ ما یکون موهنا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فساد أنفس تلک المنقولات المتعارضة و الغیر المتحقّقة و المتحقّقة الخلاف مبنیّ علی عدم إمکان صدور الحکم المختلف عن الإمام، علی وجه التعارض و التشابه لأجل تقیّة، أو غیره من سائر المصالح و الأسباب الباعثة لاختلاف الأخبار</w:t>
      </w:r>
      <w:r>
        <w:rPr>
          <w:rFonts w:eastAsia="IRNazanin" w:cs="IRNazanin"/>
          <w:color w:val="111111"/>
          <w:sz w:val="28"/>
          <w:szCs w:val="28"/>
          <w:rtl w:val="true"/>
          <w:lang w:bidi="fa-IR"/>
        </w:rPr>
        <w:t>.</w:t>
      </w:r>
    </w:p>
    <w:p>
      <w:pPr>
        <w:pStyle w:val="Heading5"/>
        <w:numPr>
          <w:ilvl w:val="4"/>
          <w:numId w:val="1"/>
        </w:numPr>
        <w:rPr/>
      </w:pPr>
      <w:bookmarkStart w:id="445" w:name="__RefHeading___Toc2527324_3224264995"/>
      <w:bookmarkStart w:id="446" w:name="_Toc162"/>
      <w:bookmarkEnd w:id="445"/>
      <w:r>
        <w:rPr>
          <w:rtl w:val="true"/>
        </w:rPr>
        <w:t>[</w:t>
      </w:r>
      <w:r>
        <w:rPr>
          <w:rtl w:val="true"/>
        </w:rPr>
        <w:t>صدور الحکم المختلف عن الإمام</w:t>
      </w:r>
      <w:r>
        <w:rPr>
          <w:rtl w:val="true"/>
        </w:rPr>
        <w:t>]</w:t>
      </w:r>
      <w:bookmarkEnd w:id="44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مع إمکان صدور الحکم علی وجه الاختلاف من الإمام، بل و وقوعه فی أکثر الأحکام فلا ریب فی إمکان الاعتذار عن نقلة الإجماعات المتعارضة و الغیر المتحققة و المتحققة الخلاف باستناد اختلافهم إلی اختلاف الحکم الصادر عن الإمام، لا إلی خطائهم و اجتهادهم فی تحصیل تلک الإجماعات من المقدّمات و الأنظار الغیر الموصلة، بل إنّما حصّلوها مع تعارضها و اختلافها من الأسباب و الطرق المستلزم کلّ واحد منها العلم العادی بصدور المسبّب، و ذی الطریق عن الإمام علیه السّلام</w:t>
      </w:r>
      <w:r>
        <w:rPr>
          <w:rFonts w:eastAsia="IRNazanin" w:cs="IRNazanin"/>
          <w:color w:val="111111"/>
          <w:sz w:val="28"/>
          <w:szCs w:val="28"/>
          <w:rtl w:val="true"/>
          <w:lang w:bidi="fa-IR"/>
        </w:rPr>
        <w:t xml:space="preserve">. </w:t>
      </w:r>
      <w:bookmarkStart w:id="447" w:name="pg12850_121312"/>
    </w:p>
    <w:p>
      <w:pPr>
        <w:pStyle w:val="Heading5"/>
        <w:numPr>
          <w:ilvl w:val="4"/>
          <w:numId w:val="1"/>
        </w:numPr>
        <w:rPr/>
      </w:pPr>
      <w:bookmarkStart w:id="448" w:name="__RefHeading___Toc2527326_3224264995"/>
      <w:bookmarkStart w:id="449" w:name="_Toc163"/>
      <w:bookmarkEnd w:id="447"/>
      <w:bookmarkEnd w:id="448"/>
      <w:r>
        <w:rPr>
          <w:rtl w:val="true"/>
        </w:rPr>
        <w:t>[</w:t>
      </w:r>
      <w:r>
        <w:rPr>
          <w:rtl w:val="true"/>
        </w:rPr>
        <w:t>تعارض أخبار المضایقة مع أخبار المواسعة</w:t>
      </w:r>
      <w:r>
        <w:rPr>
          <w:rtl w:val="true"/>
        </w:rPr>
        <w:t>]</w:t>
      </w:r>
      <w:bookmarkEnd w:id="449"/>
    </w:p>
    <w:p>
      <w:pPr>
        <w:pStyle w:val="BookText"/>
        <w:rPr/>
      </w:pPr>
      <w:r>
        <w:rPr>
          <w:rFonts w:ascii="IRNazanin" w:hAnsi="IRNazanin" w:eastAsia="IRNazanin"/>
          <w:color w:val="111111"/>
          <w:sz w:val="28"/>
          <w:sz w:val="28"/>
          <w:szCs w:val="28"/>
          <w:rtl w:val="true"/>
          <w:lang w:bidi="fa-IR"/>
        </w:rPr>
        <w:t>أ لا تری أنّ أخبار المضایقة</w:t>
      </w:r>
      <w:r>
        <w:rPr>
          <w:rStyle w:val="FootnoteAnchor"/>
          <w:rtl w:val="true"/>
        </w:rPr>
        <w:footnoteReference w:id="305"/>
      </w:r>
      <w:r>
        <w:rPr>
          <w:rFonts w:ascii="IRNazanin" w:hAnsi="IRNazanin" w:eastAsia="IRNazanin"/>
          <w:color w:val="111111"/>
          <w:sz w:val="28"/>
          <w:sz w:val="28"/>
          <w:szCs w:val="28"/>
          <w:rtl w:val="true"/>
          <w:lang w:bidi="fa-IR"/>
        </w:rPr>
        <w:t>فی الکثرة و الصحّة و الصراحة بمثابة یحصل للناظر فیها مع الإغماض عن أخبار المواسعة</w:t>
      </w:r>
      <w:r>
        <w:rPr>
          <w:rStyle w:val="FootnoteAnchor"/>
          <w:rtl w:val="true"/>
        </w:rPr>
        <w:footnoteReference w:id="306"/>
      </w:r>
      <w:r>
        <w:rPr>
          <w:rFonts w:ascii="IRNazanin" w:hAnsi="IRNazanin" w:eastAsia="IRNazanin"/>
          <w:color w:val="111111"/>
          <w:sz w:val="28"/>
          <w:sz w:val="28"/>
          <w:szCs w:val="28"/>
          <w:rtl w:val="true"/>
          <w:lang w:bidi="fa-IR"/>
        </w:rPr>
        <w:t>الإجماع القطعی و العلم العادی بموافقتها لقول الإمام علیه السّلام، مع أنّ أخبار المواسعة أیضا فی الکثرة و الصحّة و الصراحة بمثابة یحصل للناظر فیها مع الإغماض عن أخبار المضایقة الإجماع القطعی و العلم العادی بموافقتها لقول الإمام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الحال فی کثیر من الأحکام الصادرة عن الإمام</w:t>
      </w:r>
      <w:r>
        <w:rPr>
          <w:rFonts w:eastAsia="IRNazanin" w:cs="IRNazanin"/>
          <w:color w:val="111111"/>
          <w:sz w:val="28"/>
          <w:szCs w:val="28"/>
          <w:rtl w:val="true"/>
          <w:lang w:bidi="fa-IR"/>
        </w:rPr>
        <w:t>.</w:t>
      </w:r>
    </w:p>
    <w:p>
      <w:pPr>
        <w:pStyle w:val="Heading5"/>
        <w:numPr>
          <w:ilvl w:val="4"/>
          <w:numId w:val="1"/>
        </w:numPr>
        <w:rPr/>
      </w:pPr>
      <w:bookmarkStart w:id="450" w:name="__RefHeading___Toc2527328_3224264995"/>
      <w:bookmarkStart w:id="451" w:name="_Toc164"/>
      <w:bookmarkEnd w:id="450"/>
      <w:r>
        <w:rPr>
          <w:rtl w:val="true"/>
        </w:rPr>
        <w:t>[</w:t>
      </w:r>
      <w:r>
        <w:rPr>
          <w:rtl w:val="true"/>
        </w:rPr>
        <w:t>وجه تعارض الاجماعات</w:t>
      </w:r>
      <w:r>
        <w:rPr>
          <w:rtl w:val="true"/>
        </w:rPr>
        <w:t>]</w:t>
      </w:r>
      <w:bookmarkEnd w:id="451"/>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سبب حصول الاختلاف من جانب الشارع ممکن فی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صرحوا علیهم السّلام به</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فی ما نحن فیه، فربما انعقد إجماع علی مستند صدر قطعا من الإمام علیه السّلام و انعقد إجماع آخر علی مستند آخر بعینه صدر عنه قطعا، و هذا لیس بمستبعد و لا بمستنکر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تقدیر تحقّق هذا الإمکان و انفتاح باب هذا الاحتمال فلا بدّ من حمل تلک الإجماعات المتعارضة و الغیر المتحقّقة و المتحقّقة الخلاف علی هذا المحمل؛ صونا لکلام العدول عن الغفلة و الذهول، أو ارتکاب التدلیس من غیر محصول فی نسبتهم الفتوی إلی العلماء بلفظ الإجماع، الظاهر فی وجدان کلماتهم طرّا أو جلّا علی الوجه المقبول</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هذا من أحسن المحامل للإجماعات المتعارضة و من أصحّ سائر المحامل المنقولة فی المتن</w:t>
      </w:r>
      <w:r>
        <w:rPr>
          <w:rStyle w:val="FootnoteAnchor"/>
          <w:rtl w:val="true"/>
        </w:rPr>
        <w:footnoteReference w:id="308"/>
      </w:r>
      <w:r>
        <w:rPr>
          <w:rFonts w:ascii="IRNazanin" w:hAnsi="IRNazanin" w:eastAsia="IRNazanin"/>
          <w:color w:val="111111"/>
          <w:sz w:val="28"/>
          <w:sz w:val="28"/>
          <w:szCs w:val="28"/>
          <w:rtl w:val="true"/>
          <w:lang w:bidi="fa-IR"/>
        </w:rPr>
        <w:t xml:space="preserve">من حملها علی الشهرة، أو علی عدم الظفر بالمخالف حین دعوی الإجماع، أو علی دعوی الإجماع علی الروایة، أو علی </w:t>
      </w:r>
      <w:bookmarkStart w:id="452" w:name="pg12850_121313"/>
    </w:p>
    <w:p>
      <w:pPr>
        <w:pStyle w:val="BookText"/>
        <w:rPr/>
      </w:pPr>
      <w:bookmarkEnd w:id="452"/>
      <w:r>
        <w:rPr>
          <w:rFonts w:ascii="IRNazanin" w:hAnsi="IRNazanin" w:eastAsia="IRNazanin"/>
          <w:color w:val="111111"/>
          <w:sz w:val="28"/>
          <w:sz w:val="28"/>
          <w:szCs w:val="28"/>
          <w:rtl w:val="true"/>
          <w:lang w:bidi="fa-IR"/>
        </w:rPr>
        <w:t>استناد إجماعاتهم المذکورة إلی اجتهادات و أنظار غیر موصلة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المحامل التی لم نجوّز استناد تحصیل الإجماع إلیها من أنفسنا، بل و لا ممن هو دوننا، فکیف نجوّزه من أعیان مذهبنا و أساطین دیننا؟</w:t>
      </w:r>
    </w:p>
    <w:p>
      <w:pPr>
        <w:pStyle w:val="BookText"/>
        <w:rPr/>
      </w:pPr>
      <w:r>
        <w:rPr>
          <w:rFonts w:ascii="IRNazanin" w:hAnsi="IRNazanin" w:eastAsia="IRNazanin"/>
          <w:color w:val="111111"/>
          <w:sz w:val="28"/>
          <w:sz w:val="28"/>
          <w:szCs w:val="28"/>
          <w:rtl w:val="true"/>
          <w:lang w:bidi="fa-IR"/>
        </w:rPr>
        <w:t>ضرورة أنّه و إن لم یکن تدلیسا من جهة عدم ادّعاء الإجماع لأجل اعتماد الغیر علیه إلّا أنّه تدلیس محض من جهة نسبة الفتوی إلی العلماء الظاهرة فی وجدان کلماتهم بإحدی الحواسّ الظاهریة، أو الباطنیة لا بالاستنباط</w:t>
      </w:r>
      <w:r>
        <w:rPr>
          <w:rFonts w:eastAsia="IRNazanin" w:cs="IRNazanin"/>
          <w:color w:val="111111"/>
          <w:sz w:val="28"/>
          <w:szCs w:val="28"/>
          <w:rtl w:val="true"/>
          <w:lang w:bidi="fa-IR"/>
        </w:rPr>
        <w:t>.</w:t>
      </w:r>
    </w:p>
    <w:p>
      <w:pPr>
        <w:pStyle w:val="Heading5"/>
        <w:numPr>
          <w:ilvl w:val="4"/>
          <w:numId w:val="1"/>
        </w:numPr>
        <w:rPr/>
      </w:pPr>
      <w:bookmarkStart w:id="453" w:name="__RefHeading___Toc2527330_3224264995"/>
      <w:bookmarkStart w:id="454" w:name="_Toc165"/>
      <w:bookmarkEnd w:id="453"/>
      <w:r>
        <w:rPr>
          <w:rtl w:val="true"/>
        </w:rPr>
        <w:t>[</w:t>
      </w:r>
      <w:r>
        <w:rPr>
          <w:rtl w:val="true"/>
        </w:rPr>
        <w:t>دیدن العلماء و سیرتهم فی نقل موارد الشهرة أو عدم الخلاف</w:t>
      </w:r>
      <w:r>
        <w:rPr>
          <w:rtl w:val="true"/>
        </w:rPr>
        <w:t>]</w:t>
      </w:r>
      <w:bookmarkEnd w:id="454"/>
    </w:p>
    <w:p>
      <w:pPr>
        <w:pStyle w:val="BookText"/>
        <w:rPr/>
      </w:pPr>
      <w:r>
        <w:rPr>
          <w:rFonts w:ascii="IRNazanin" w:hAnsi="IRNazanin" w:eastAsia="IRNazanin"/>
          <w:color w:val="111111"/>
          <w:sz w:val="28"/>
          <w:sz w:val="28"/>
          <w:szCs w:val="28"/>
          <w:rtl w:val="true"/>
          <w:lang w:bidi="fa-IR"/>
        </w:rPr>
        <w:t xml:space="preserve">و دعوی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تتّبع الفقه ظهر له أنّ مبنی ذلک علی استنباط المذهب، لا علی وجدانه مأثورا</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التتبّع یشهد بخلاف ما استظهر، و أنّه لو کان استنادهم فی تحصیل تلک الإجماعات المتعارضة و الغیر المتحقّقة عندنا إلی الشهرة، أو إلی عدم الظفر بالمخالف حین دعوی الإجماع، أو إلی إرادة الإجماع علی الروایة، أو إلی اجتهادات و أنظار فاسدة لادّعوا الإجماع فی جمیع موارد الشهرة و عدم الخلاف، و الإجماع علی الروایة و موارد الاجتهاد و النظر</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الحال أنّ من المعلوم الواضح علی المتتبّع الخبیر فی کتب هؤلاء و مصنّفاتهم کطلوع الشمس فی رابعة النهار استمرار دیدنهم و استقرار طریقتهم فی موارد الشهرة علی نقل الشهرة دون الإجماع، و فی موارد عدم الخلاف علی نقل عدم الخلاف دون الإجماع، و فی موارد الإجماع علی الروایة علی نقل الإجماع علی الروایة لا علی الفتوی بمضمونها، و فی موارد ظهور الإجماع علی استظهار الإجماع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أو لعلّه أو لا یبعد الإجماع دون الجزم به، و فی موارد استناد الإجماع إلی الاجتهاد و النظر علی نصب القرینة المعینة لإرادته دون إهمال القرینة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 لا تری أنّ جمیع الموارد التی استشهد بها الماتن</w:t>
      </w:r>
      <w:r>
        <w:rPr>
          <w:rStyle w:val="FootnoteAnchor"/>
          <w:rtl w:val="true"/>
        </w:rPr>
        <w:footnoteReference w:id="310"/>
      </w:r>
      <w:r>
        <w:rPr>
          <w:rFonts w:ascii="IRNazanin" w:hAnsi="IRNazanin" w:eastAsia="IRNazanin"/>
          <w:color w:val="111111"/>
          <w:sz w:val="28"/>
          <w:sz w:val="28"/>
          <w:szCs w:val="28"/>
          <w:rtl w:val="true"/>
          <w:lang w:bidi="fa-IR"/>
        </w:rPr>
        <w:t>علی استناد ادّعائهم الإجماع فیها إلی اجتهاد، أو نظر إنّما هی مکتنفة بالقرائن اللفظیة الظاهرة، بل الصریحة فی استناد إجماعاتهم المدعوّة فیها إلی تلک الاجتهادات و المقدّمات من غیر تطلیقهم الإجماع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تعلیل ادّعاء المفید</w:t>
      </w:r>
      <w:r>
        <w:rPr>
          <w:rStyle w:val="FootnoteAnchor"/>
          <w:rtl w:val="true"/>
        </w:rPr>
        <w:footnoteReference w:id="311"/>
      </w:r>
      <w:r>
        <w:rPr>
          <w:rFonts w:ascii="IRNazanin" w:hAnsi="IRNazanin" w:eastAsia="IRNazanin"/>
          <w:color w:val="111111"/>
          <w:sz w:val="28"/>
          <w:sz w:val="28"/>
          <w:szCs w:val="28"/>
          <w:rtl w:val="true"/>
          <w:lang w:bidi="fa-IR"/>
        </w:rPr>
        <w:t>الإجماع علی إزالة النجاسة بغیر الماء من المائعات بأنّ من أصلنا العمل بالأصل ما لم یثبت الناقل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تعلیل ادّعاء الشیخ الإجماع علی أنّه لو بان فسق الشاهد بما یوجب القتل بعد القتل سقط القود، و کان الدیة من بیت المال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رووا أنّ ما أخطأت القضاة ففی بیت مال المسلمین</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سائر موارد إجماعاتهم المستندة إلی اجتهادات و أنظار فإنّها لا تنفکّ عن القرائن الظاهرة بل الصریحة فی تعیین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نقف إلی الآن علی مورد من الموارد التی استشهد بها الماتن علی استناد بعض الإجماعات إلی الاجتهادات و الأنظار المحتملة الخطأ خالیا عن القرائن الظاهرة فی تعیین استناد الإجماع إلی الاجتهاد و النظر حتی یکون شاهدا علی مدّعاه و موهنا لسائر إجماعاتهم المنقولة لنا علی وجه الإطلاق</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فتعارض بعض الإجماعات المنقولة و عدم تحقّق بعضها بل و تحقّق خلاف بعضها و إن فرض استنادها إلی ما فرض من المسامحة لا یوجب وهن سائر الإجماعات المنقولة التی لم تکن کذلک، کما أنّ تعارض بعض الأخبار و اضطراب بعضها من جهة السند و المتن و غیر ذلک لا یوجب وهنا فی حجّیة سائر الأخبار العاریة عن ذلک؛ لرجوع مضمون الإجماع إلی حکایة الخبر </w:t>
      </w:r>
    </w:p>
    <w:p>
      <w:pPr>
        <w:pStyle w:val="BookText"/>
        <w:rPr/>
      </w:pPr>
      <w:r>
        <w:rPr>
          <w:rFonts w:ascii="IRNazanin" w:hAnsi="IRNazanin" w:eastAsia="IRNazanin"/>
          <w:color w:val="111111"/>
          <w:sz w:val="28"/>
          <w:sz w:val="28"/>
          <w:szCs w:val="28"/>
          <w:rtl w:val="true"/>
          <w:lang w:bidi="fa-IR"/>
        </w:rPr>
        <w:t>فیدخل الإجماع ما یدخل الخبر من الاقسام، کالمتواتر و غیر المتواتر، و الصحیح و الضعیف، و المرسل و المسند، و غیرها، و یلحقه ما یلحقه من الأحکام کالردّ و القبول و التعادل و التراجیح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تعارض الإجماعان المنقولان عن شخص واحد أو شخصین وجب فیهما ما یجب فی تعارض الأخبار من العلاج و الجمع بینهما من جهة الدلالة بحمل الظاهر علی الأظهر، و من جهة السند بحمل العادل علی الأعدل، و الصادق علی الأصدق، و من جهة الخارج بحمل النادر علی الأشهر، و من جهة التساوی من جمیع الوجوه بالحمل علی التخییر، کما هو الحال فی علاج تعارض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الإجماع المنقول سواء کان فی الموضوعات کالإجماع علی عدالة شخص أو شجاعته، أم فی الأحکام کالإجماع علی وجوب شی‌ء أو حرمته، أم فی وسائط الأحکام کالإجماع علی أصالة أصل أو اعتبار روایة أو تصحیح ما یصحّ عن فلان إن خالف اجتهاد المجتهد و قام اجتهاد المجتهد علی خلافه، فلا نزاع فی وهنه و عدم حجّیته و سقوطه عن درجة الاعتبار فی کلّ من أقسامه الثلاثة بالنسبة إلی ذلک المجتهد بخلافه، کما أنّ اعتبار الخبر أیضا فی نظر مجتهد غیر ممضیّ فی حقّ الآخر المجتهد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نزاع فی حجّیته و اعتباره إن وافق اجتهاد المجتهد و لم یقم اجتهاده علی خلافه، و أمّا إن لم یجتهد المجتهد لا علی خلافه و لا علی وفاقه فإن حصل منه الظنّ کان حجّة فی حقّه و إلّا فلا، سواء حصل الظنّ منه بمدرک ظنّی أو بنفس الواقع من غیر وساطة مدرک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الظنّ الحاصل منه بنفس الواقع من غیر وساطة مدرک ملحق بالظنون المطلقة المبتنی اعتبارها علی تقدیر الانسداد</w:t>
      </w:r>
      <w:r>
        <w:rPr>
          <w:rFonts w:eastAsia="IRNazanin" w:cs="IRNazanin"/>
          <w:color w:val="111111"/>
          <w:sz w:val="28"/>
          <w:szCs w:val="28"/>
          <w:rtl w:val="true"/>
          <w:lang w:bidi="fa-IR"/>
        </w:rPr>
        <w:t xml:space="preserve">. </w:t>
      </w:r>
      <w:bookmarkStart w:id="455" w:name="pg12850_121316"/>
    </w:p>
    <w:p>
      <w:pPr>
        <w:pStyle w:val="BookText"/>
        <w:rPr/>
      </w:pPr>
      <w:bookmarkEnd w:id="455"/>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إلحاقه به لقیام الدلیل الخاصّ علی اعتبار هذا الظنّ، و هو عموم قبول قول العادل فی آیة النبأ</w:t>
      </w:r>
      <w:r>
        <w:rPr>
          <w:rStyle w:val="FootnoteAnchor"/>
          <w:rtl w:val="true"/>
        </w:rPr>
        <w:footnoteReference w:id="313"/>
      </w:r>
      <w:r>
        <w:rPr>
          <w:rFonts w:ascii="IRNazanin" w:hAnsi="IRNazanin" w:eastAsia="IRNazanin"/>
          <w:color w:val="111111"/>
          <w:sz w:val="28"/>
          <w:sz w:val="28"/>
          <w:szCs w:val="28"/>
          <w:rtl w:val="true"/>
          <w:lang w:bidi="fa-IR"/>
        </w:rPr>
        <w:t>و السؤال</w:t>
      </w:r>
      <w:r>
        <w:rPr>
          <w:rStyle w:val="FootnoteAnchor"/>
          <w:rtl w:val="true"/>
        </w:rPr>
        <w:footnoteReference w:id="314"/>
      </w:r>
      <w:r>
        <w:rPr>
          <w:rFonts w:ascii="IRNazanin" w:hAnsi="IRNazanin" w:eastAsia="IRNazanin"/>
          <w:color w:val="111111"/>
          <w:sz w:val="28"/>
          <w:sz w:val="28"/>
          <w:szCs w:val="28"/>
          <w:rtl w:val="true"/>
          <w:lang w:bidi="fa-IR"/>
        </w:rPr>
        <w:t>و الإنذار</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نهض عموم الآیات إلی قبول قول العادل حتی فی حدسیّاته المذکورة لنهض إلی قبول قوله مطلقا حتی لو لم یحصل الظنّ منه بشی‌ء، لا بمدرک و لا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ممنوعة بواسطة أنّ خروج هذا الفرض عن تحت العموم إنّما هو من جهة اعتبار ظواهر الألفاظ و سائر الأمارات من باب الطریقیة عندنا بل من باب الظنّ الفعلیّ المفقودان فی هذا الفرض دون سائر الفروض، لا من باب الموضوعیة و صرف التعبّد حتی یتّحد مع سائر الفروض فی مناط الحجّیة و الاعتبار لیلزمه ما یلزمها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فیکون خبره المتضمن لإفتاء جمیع أهل الفتوی بهذا الحکم حجّة فی المسألة</w:t>
      </w:r>
      <w:r>
        <w:rPr>
          <w:rFonts w:eastAsia="IRNazanin" w:cs="IRNazanin"/>
          <w:color w:val="111111"/>
          <w:sz w:val="28"/>
          <w:szCs w:val="28"/>
          <w:rtl w:val="true"/>
          <w:lang w:bidi="fa-IR"/>
        </w:rPr>
        <w:t>».</w:t>
      </w:r>
    </w:p>
    <w:p>
      <w:pPr>
        <w:pStyle w:val="Heading5"/>
        <w:numPr>
          <w:ilvl w:val="4"/>
          <w:numId w:val="1"/>
        </w:numPr>
        <w:rPr/>
      </w:pPr>
      <w:bookmarkStart w:id="456" w:name="__RefHeading___Toc2527332_3224264995"/>
      <w:bookmarkStart w:id="457" w:name="_Toc166"/>
      <w:bookmarkEnd w:id="456"/>
      <w:r>
        <w:rPr>
          <w:rtl w:val="true"/>
        </w:rPr>
        <w:t>[</w:t>
      </w:r>
      <w:r>
        <w:rPr>
          <w:rtl w:val="true"/>
        </w:rPr>
        <w:t>تأمّل فی کلام الماتن حول حجّیة الخبر المتضمّن لافتاء جمیع أهل الفتوی</w:t>
      </w:r>
      <w:r>
        <w:rPr>
          <w:rtl w:val="true"/>
        </w:rPr>
        <w:t>]</w:t>
      </w:r>
      <w:bookmarkEnd w:id="45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معنی الحجّیة هو ترتب ما یدلّ علیه المخبر به، سواء استلزم لترتب أثر شرعی بلا واسطة أو بواسطة انضمام شی‌ء من الأمارات الأخر إلیه، و دلیل حجّیة خبر الواحد بناء علی عدم دلالته علی حجّیة الإجماع المنقول بأکثر من هذا المقدار غایة مفاده هو قبول خبر العادل و تصدیقه فی ما یخبر به، و لا یلزم من تصدیقه فی ما یخبر به أن یترتّب علیه جمیع الآثار المترتبة علیه واقعا حتی الآثار المترتبة علی العلم به الحاصل لناقله منه، کما لا یلزم من حجّیة خبر الواحد و قبول قوله أن یترتّب علیه جمیع الآثار المترتبة علیه واقعا حتی الآثار المترتبة علی العلم به، فالأثر المترتب علی حجّیة الإجماع المنقول من حیث </w:t>
      </w:r>
      <w:bookmarkStart w:id="458" w:name="pg12850_121317"/>
    </w:p>
    <w:p>
      <w:pPr>
        <w:pStyle w:val="BookText"/>
        <w:rPr/>
      </w:pPr>
      <w:bookmarkEnd w:id="458"/>
      <w:r>
        <w:rPr>
          <w:rFonts w:ascii="IRNazanin" w:hAnsi="IRNazanin" w:eastAsia="IRNazanin"/>
          <w:color w:val="111111"/>
          <w:sz w:val="28"/>
          <w:sz w:val="28"/>
          <w:szCs w:val="28"/>
          <w:rtl w:val="true"/>
          <w:lang w:bidi="fa-IR"/>
        </w:rPr>
        <w:t>الکشف حاله حال الأثر المترتب علی حصول العلم بمضمون خبر الواحد فی عدم ترتّبه علی التعبّد بقبوله و تصدیقه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الآثار المترتبة علی حجّیة الإجماع المنقول من حیث الکشف إنّما هی آثار واقعیة نفس الإجماع المنقول، لا آثار صفة العلم به حتی یکون حالها حال الآثار المترتبة علی حصول العلم بمضمون خبر الواحد، فی عدم ترتبها علی مجرّد التعبّد بقبوله و تصدیقه، فالمقایسة المذکورة مغالطة من أخفی مغالطات المنع من حجّیة الإجماع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 و لا تتغلّط بها؛ کما تغلّط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مقدّمات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المقدّمة قد تکون واسطة فی العروض کحرکة السفینة لتحریک من فیها، و قد تکون واسطة فی الثبوت کوجود الحسن و القبح لثبوت الأحکام الشرعیة فی الواقع، و قد تکون واسطة فی الإثبات کوجود الأدلّة الأربعة لإثبات الأحکام الشرعیة فی الظاهر،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مبنیّة من جهتی الثبوت و الإثبات علی مقدّمات</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معناه أنّ المقدّمات الثلاث واسطة فی ثبوت حجّیته فی متن الواقع، و واسطة فی إثبات حجّیته فی مرحلة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المقدّمة الاولی منها لبیان ما هو بمنزلة الصغری لکلّ من الثبوت و الإثبات، و الثانیة لبیان ما هو بمنزلة الکبری لهما، و الثالثة لبیان ما هو المنتج منهما، کما لا یخفی علی من لاحظها</w:t>
      </w:r>
      <w:r>
        <w:rPr>
          <w:rFonts w:eastAsia="IRNazanin" w:cs="IRNazanin"/>
          <w:color w:val="111111"/>
          <w:sz w:val="28"/>
          <w:szCs w:val="28"/>
          <w:rtl w:val="true"/>
          <w:lang w:bidi="fa-IR"/>
        </w:rPr>
        <w:t>.</w:t>
      </w:r>
    </w:p>
    <w:p>
      <w:pPr>
        <w:pStyle w:val="Heading5"/>
        <w:numPr>
          <w:ilvl w:val="4"/>
          <w:numId w:val="1"/>
        </w:numPr>
        <w:rPr/>
      </w:pPr>
      <w:bookmarkStart w:id="459" w:name="__RefHeading___Toc2527334_3224264995"/>
      <w:bookmarkStart w:id="460" w:name="_Toc167"/>
      <w:bookmarkEnd w:id="459"/>
      <w:r>
        <w:rPr>
          <w:rtl w:val="true"/>
        </w:rPr>
        <w:t>[</w:t>
      </w:r>
      <w:r>
        <w:rPr>
          <w:rtl w:val="true"/>
        </w:rPr>
        <w:t>انحاء نقل الإجماع</w:t>
      </w:r>
      <w:r>
        <w:rPr>
          <w:rtl w:val="true"/>
        </w:rPr>
        <w:t>]</w:t>
      </w:r>
      <w:bookmarkEnd w:id="46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تفصیل النتیجة المحصّلة من مقدّماته الثلاث هو أنّ الإجماع المنقول تارة یتضمن نقل الأقوال إجمالا، و تارة یتضمّنها تفصیلا، و تارة ینقل بلفظ لا خلاف، و تارة بلفظ الشهرة</w:t>
      </w:r>
      <w:r>
        <w:rPr>
          <w:rFonts w:eastAsia="IRNazanin" w:cs="IRNazanin"/>
          <w:color w:val="111111"/>
          <w:sz w:val="28"/>
          <w:szCs w:val="28"/>
          <w:rtl w:val="true"/>
          <w:lang w:bidi="fa-IR"/>
        </w:rPr>
        <w:t xml:space="preserve">. </w:t>
      </w:r>
      <w:bookmarkStart w:id="461" w:name="pg12850_121318"/>
    </w:p>
    <w:p>
      <w:pPr>
        <w:pStyle w:val="BookText"/>
        <w:rPr/>
      </w:pPr>
      <w:bookmarkEnd w:id="461"/>
      <w:r>
        <w:rPr>
          <w:rFonts w:ascii="IRNazanin" w:hAnsi="IRNazanin" w:eastAsia="IRNazanin"/>
          <w:color w:val="111111"/>
          <w:sz w:val="28"/>
          <w:sz w:val="28"/>
          <w:szCs w:val="28"/>
          <w:rtl w:val="true"/>
          <w:lang w:bidi="fa-IR"/>
        </w:rPr>
        <w:t>و علی کلّ من هذه الأربعة، إمّا أن یکشف للمنقول إلیه کشفا قطعیا عن مدرک قطعیّ أو ظنّی، أو کشفا ظنّیا عن مدرک ظنّی أو قطعیّ، و قد لا یکشف له عن شی‌ء بنفسه إلّا بانضمام ضمیمة إلیه من التتبّع، أو سائر القرائن و الشواهد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ضربت احتمالات المنقول الأربعة فی احتمالات الکشف و المکشوف عنه و عدم الکشف الخمسة بلغ الحاصل عشرون صورة، أربعة منها مبنیّة علی مجرّد الفرض و لا تحقّق لها، و هو الکشف القطعی عن مدرک قطعیّ فی کلّ من احتمالات نقله الأربعة، لعدم قابلیة النقل من حیث هو نقل واحد للقطع بتحقّق مضمونه للمنقول له، و أربعة اخری منها معقولة غیر 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صور عدم کشف احتمالات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النقل عن شی‌ء للمنقول له؛ لزعمه عدم اندراجها فی أدلّة التعبّد بنقل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سائر الصور الاثنا عشر، و هی حجّة و معتبرة لاندراجها فی أدلّة التعبّد بنقل العادل فمن القول بعدم حجّیة الإجماع المنقول إن خرج الصور الأربع الغیر الکاشفة عن شی‌ء عن الاعتبار، لکن لم یخرج سائر الصور الباقیة الاثنا عشر عن الاعتبار لما فی مقدّماته الثلاث من التصدّی لبیان اعتبارها، و فیها الکفایة بل الغنیة عن حجّیة الإجماع المنقول، فخذها و کن من الشاکرین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ما أورد علیه الماتن</w:t>
      </w:r>
      <w:r>
        <w:rPr>
          <w:rStyle w:val="FootnoteAnchor"/>
          <w:rtl w:val="true"/>
        </w:rPr>
        <w:footnoteReference w:id="317"/>
      </w:r>
      <w:r>
        <w:rPr>
          <w:rFonts w:ascii="IRNazanin" w:hAnsi="IRNazanin" w:eastAsia="IRNazanin"/>
          <w:color w:val="111111"/>
          <w:sz w:val="28"/>
          <w:sz w:val="28"/>
          <w:szCs w:val="28"/>
          <w:rtl w:val="true"/>
          <w:lang w:bidi="fa-IR"/>
        </w:rPr>
        <w:t>من أنّ هذه الفائدة للإجماع المنقول بعد القول بعدم حجّیته کالمعدومة لأنّها مبنیة علی تقدیر الکشف به للمنقول له، و هو تقدیر بعید؛ بعد احتمال أن یکون المنقول إجماع تقییدی مختلف الجهة إلی آخر بیانه</w:t>
      </w:r>
      <w:r>
        <w:rPr>
          <w:rFonts w:eastAsia="IRNazanin" w:cs="IRNazanin"/>
          <w:color w:val="111111"/>
          <w:sz w:val="28"/>
          <w:szCs w:val="28"/>
          <w:rtl w:val="true"/>
          <w:lang w:bidi="fa-IR"/>
        </w:rPr>
        <w:t>.</w:t>
      </w:r>
    </w:p>
    <w:p>
      <w:pPr>
        <w:pStyle w:val="Heading5"/>
        <w:numPr>
          <w:ilvl w:val="4"/>
          <w:numId w:val="1"/>
        </w:numPr>
        <w:rPr/>
      </w:pPr>
      <w:bookmarkStart w:id="462" w:name="__RefHeading___Toc2527336_3224264995"/>
      <w:bookmarkStart w:id="463" w:name="_Toc168"/>
      <w:bookmarkEnd w:id="462"/>
      <w:r>
        <w:rPr>
          <w:rtl w:val="true"/>
        </w:rPr>
        <w:t>[</w:t>
      </w:r>
      <w:r>
        <w:rPr>
          <w:rtl w:val="true"/>
        </w:rPr>
        <w:t>حجیة التواتر</w:t>
      </w:r>
      <w:r>
        <w:rPr>
          <w:rtl w:val="true"/>
        </w:rPr>
        <w:t>]</w:t>
      </w:r>
      <w:bookmarkEnd w:id="463"/>
    </w:p>
    <w:p>
      <w:pPr>
        <w:pStyle w:val="Heading6"/>
        <w:numPr>
          <w:ilvl w:val="5"/>
          <w:numId w:val="1"/>
        </w:numPr>
        <w:rPr/>
      </w:pPr>
      <w:bookmarkStart w:id="464" w:name="__RefHeading___Toc2527338_3224264995"/>
      <w:bookmarkStart w:id="465" w:name="_Toc169"/>
      <w:bookmarkEnd w:id="464"/>
      <w:r>
        <w:rPr>
          <w:rtl w:val="true"/>
        </w:rPr>
        <w:t>[</w:t>
      </w:r>
      <w:r>
        <w:rPr>
          <w:rtl w:val="true"/>
        </w:rPr>
        <w:t>التواتر المنقول، الضرورة المنقولة، الشهرة المنقولة الاستفاضة المنقولة و غیر ذلک من اوصاف الخبر</w:t>
      </w:r>
      <w:r>
        <w:rPr>
          <w:rtl w:val="true"/>
        </w:rPr>
        <w:t>]</w:t>
      </w:r>
      <w:bookmarkEnd w:id="46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من جمیع ما ذکرنا یظهر الکلام فی التواتر المنقول، و الضرورة المنقولة، و الشهرة المنقولة، و الاستفاضة المنقولة، بل فی کلّ وصف منقول من </w:t>
      </w:r>
      <w:bookmarkStart w:id="466" w:name="pg12850_121319"/>
    </w:p>
    <w:p>
      <w:pPr>
        <w:pStyle w:val="BookText"/>
        <w:rPr/>
      </w:pPr>
      <w:bookmarkEnd w:id="466"/>
      <w:r>
        <w:rPr>
          <w:rFonts w:ascii="IRNazanin" w:hAnsi="IRNazanin" w:eastAsia="IRNazanin"/>
          <w:color w:val="111111"/>
          <w:sz w:val="28"/>
          <w:sz w:val="28"/>
          <w:szCs w:val="28"/>
          <w:rtl w:val="true"/>
          <w:lang w:bidi="fa-IR"/>
        </w:rPr>
        <w:t>أوصاف الخبر، ککونه صحیحا أو ضعیفا أو موثّقا أو منجبرا أو شاذّا أو مرسلا أو مقطوعا، إلی غیر ذلک من الأوصاف، فالکلام الکلام من النقض و الإبرام فی النقصان و الإتمام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لنفصّل الکلام فی التواتر المنقول اقتفاء بآثار الماتن، و توضیحا لبعض ما وقع فیه من کلام الأعلام فی ضمن مقدّمتین</w:t>
      </w:r>
      <w:r>
        <w:rPr>
          <w:rFonts w:eastAsia="IRNazanin" w:cs="IRNazanin"/>
          <w:color w:val="111111"/>
          <w:sz w:val="28"/>
          <w:szCs w:val="28"/>
          <w:rtl w:val="true"/>
          <w:lang w:bidi="fa-IR"/>
        </w:rPr>
        <w:t>:</w:t>
      </w:r>
    </w:p>
    <w:p>
      <w:pPr>
        <w:pStyle w:val="Heading6"/>
        <w:numPr>
          <w:ilvl w:val="5"/>
          <w:numId w:val="1"/>
        </w:numPr>
        <w:rPr/>
      </w:pPr>
      <w:bookmarkStart w:id="467" w:name="__RefHeading___Toc2527340_3224264995"/>
      <w:bookmarkStart w:id="468" w:name="_Toc170"/>
      <w:bookmarkEnd w:id="467"/>
      <w:r>
        <w:rPr>
          <w:rtl w:val="true"/>
        </w:rPr>
        <w:t>[</w:t>
      </w:r>
      <w:r>
        <w:rPr>
          <w:rtl w:val="true"/>
        </w:rPr>
        <w:t>معنی المتواتر</w:t>
      </w:r>
      <w:r>
        <w:rPr>
          <w:rtl w:val="true"/>
        </w:rPr>
        <w:t>]</w:t>
      </w:r>
      <w:bookmarkEnd w:id="468"/>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المتواتر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تلقّوه بالقبول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جماعة یفید بنفسه العلم بصدقه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التقیید بالجماعة مخرج لخبر غیر الجماعة المفید لما یفیده الجماعة من العلم کخبر المخبر الصادق من أحد المعصومین، فإنّه و إن أفاد العلم و دخل فی حکمه إلّا أنّه خارج عن التسمیة، و التقیید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 للمفید للعلم لا بنفسه بل بمعونة القرائن الخارجیة کخبر المخبر بموت من انضمّ إلیه الصراخ و العویل، و خروج المخدّرات علی حال منکر، و غیر ذلک من القرائن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القرائن الداخلیة فهی داخلة فی نفس الخبر، و هی قد توجد فی نفس الخبر ککونه مترقّب الوقوع، أو فی المخبرین ککونهم کثیری الصدق و غیره، أو فی السامعین ککونهم غیر مسبوقین بالشبهة و التقلید أو مسبوقین، و جمیع هذه الأنواع الثلاثة من القرائن داخلة فی المفید بنفسه لا بغیره</w:t>
      </w:r>
      <w:r>
        <w:rPr>
          <w:rFonts w:eastAsia="IRNazanin" w:cs="IRNazanin"/>
          <w:color w:val="111111"/>
          <w:sz w:val="28"/>
          <w:szCs w:val="28"/>
          <w:rtl w:val="true"/>
          <w:lang w:bidi="fa-IR"/>
        </w:rPr>
        <w:t>.</w:t>
      </w:r>
    </w:p>
    <w:p>
      <w:pPr>
        <w:pStyle w:val="Heading6"/>
        <w:numPr>
          <w:ilvl w:val="5"/>
          <w:numId w:val="1"/>
        </w:numPr>
        <w:rPr/>
      </w:pPr>
      <w:bookmarkStart w:id="469" w:name="__RefHeading___Toc2527342_3224264995"/>
      <w:bookmarkStart w:id="470" w:name="_Toc171"/>
      <w:bookmarkEnd w:id="469"/>
      <w:r>
        <w:rPr>
          <w:rtl w:val="true"/>
        </w:rPr>
        <w:t>[</w:t>
      </w:r>
      <w:r>
        <w:rPr>
          <w:rtl w:val="true"/>
        </w:rPr>
        <w:t>محل النزاع فی التواتر المنقول</w:t>
      </w:r>
      <w:r>
        <w:rPr>
          <w:rtl w:val="true"/>
        </w:rPr>
        <w:t>]</w:t>
      </w:r>
      <w:bookmarkEnd w:id="470"/>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تحریر محلّ النزاع فی التواتر المنقول، و الکلام فی تحریر محلّ النزاع فیه هو الکلام فی تحریر محلّ النزاع فی الإجماع المنقول، من الجهات الثمان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النزاع فی حجّیة التواتر المنقول من الجهة المتنازع فی حجّیة الإجماع المنقول، أعنی من حیث المنکشف و المسبب کالإخبار عن نفس التواتر،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من غیر نقل السبب و الکاشف</w:t>
      </w:r>
      <w:r>
        <w:rPr>
          <w:rFonts w:eastAsia="IRNazanin" w:cs="IRNazanin"/>
          <w:color w:val="111111"/>
          <w:sz w:val="28"/>
          <w:szCs w:val="28"/>
          <w:rtl w:val="true"/>
          <w:lang w:bidi="fa-IR"/>
        </w:rPr>
        <w:t xml:space="preserve">. </w:t>
      </w:r>
      <w:bookmarkStart w:id="471" w:name="pg12850_121320"/>
    </w:p>
    <w:p>
      <w:pPr>
        <w:pStyle w:val="BookText"/>
        <w:rPr/>
      </w:pPr>
      <w:bookmarkEnd w:id="471"/>
      <w:r>
        <w:rPr>
          <w:rFonts w:ascii="IRNazanin" w:hAnsi="IRNazanin" w:eastAsia="IRNazanin"/>
          <w:color w:val="111111"/>
          <w:sz w:val="28"/>
          <w:sz w:val="28"/>
          <w:szCs w:val="28"/>
          <w:rtl w:val="true"/>
          <w:lang w:bidi="fa-IR"/>
        </w:rPr>
        <w:t>و أمّا من حیث الکاشف و السبب کالإخبار عن عدد التواتر و سببه فلا ینبغی الإشکال فی حجّیته عند القائل بحجّیة خبر الواحد کما لم یکن إشکال فی حجّیة الإجماع المنقول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النزاع فی حجّیته مبنیّا علی ما بنی علیه النزاع فی حجّیة الإجماع المنقول من إفادة نقله الظنّ بالواقع، لا فی ما إذا لم یفده، نظرا إلی أنّ اعتبار الظواهر و الأمارات عندنا من باب الظنّ و الکشف لا التعبّد و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النزاع فی حجّیة التواتر المنقول بالمعنی، المعنیّ به النزاع فی حجّیة الإجماع المنقول من کون المراد بحجّیة التواتر المنقول أن یترتّب علی نقله جمیع الآثار المترتبة علی تحققه فی الواقع، و أمّا الآثار المترتبة علی العلم به فلا إشکال فی دوران ترتبها مدار وجود العلم، فإن کانت من الآثار المترتبة علی علم المنقول إلیه کما لو کان المنقول إلیه ناذرا أو حالفا بکتابة کلّ خبر علم بتواتره، فلا یترتّب تلک الآثار علی مجرد نقل تواتر خبر ما لم یفد النقل للمنقول إلیه العلم بالمنقول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من الآثار المترتبة علی العلم به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عند بعض کالآثار المترتبة شرعا علی تحقّق طلاق المخالف الزاعم صحّته فی حقّنا و إن علمنا بفساده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مترتبة علی مجرد نقل الناقل للتواتر، کما أنّ الآثار المفروض ترتّبها علی العلم بالإجماع أو بخبر الواحد أو بغیر ذلک من أوصاف الخبر لا تترتب أیضا علی مجرد نقل الإجماع و الخبر علی القول بحجّیة النقل أیضا بل یدور ترتّبها مدار حصول العلم بالمنقول لشخص المنقول إلیه، إن فرض کون الآثار من آثار علم هذا الشخص، أو مطلقا إن فرض کونه من آثار العلم مطلقا</w:t>
      </w:r>
      <w:r>
        <w:rPr>
          <w:rFonts w:eastAsia="IRNazanin" w:cs="IRNazanin"/>
          <w:color w:val="111111"/>
          <w:sz w:val="28"/>
          <w:szCs w:val="28"/>
          <w:rtl w:val="true"/>
          <w:lang w:bidi="fa-IR"/>
        </w:rPr>
        <w:t>.</w:t>
      </w:r>
    </w:p>
    <w:p>
      <w:pPr>
        <w:pStyle w:val="Heading6"/>
        <w:numPr>
          <w:ilvl w:val="5"/>
          <w:numId w:val="1"/>
        </w:numPr>
        <w:rPr/>
      </w:pPr>
      <w:bookmarkStart w:id="472" w:name="__RefHeading___Toc2527344_3224264995"/>
      <w:bookmarkStart w:id="473" w:name="_Toc172"/>
      <w:bookmarkEnd w:id="472"/>
      <w:r>
        <w:rPr>
          <w:rtl w:val="true"/>
        </w:rPr>
        <w:t>[</w:t>
      </w:r>
      <w:r>
        <w:rPr>
          <w:rtl w:val="true"/>
        </w:rPr>
        <w:t>إشارة إلی النظر فی اعتبار التواتر فی القراءة</w:t>
      </w:r>
      <w:r>
        <w:rPr>
          <w:rtl w:val="true"/>
        </w:rPr>
        <w:t>]</w:t>
      </w:r>
      <w:bookmarkEnd w:id="47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المطلب أمر واضح، و الغرض من بیانه تبعا للمتن التنبیه علی أنّ </w:t>
      </w:r>
      <w:bookmarkStart w:id="474" w:name="pg12850_121321"/>
    </w:p>
    <w:p>
      <w:pPr>
        <w:pStyle w:val="BookText"/>
        <w:rPr/>
      </w:pPr>
      <w:bookmarkEnd w:id="474"/>
      <w:r>
        <w:rPr>
          <w:rFonts w:ascii="IRNazanin" w:hAnsi="IRNazanin" w:eastAsia="IRNazanin"/>
          <w:color w:val="111111"/>
          <w:sz w:val="28"/>
          <w:sz w:val="28"/>
          <w:szCs w:val="28"/>
          <w:rtl w:val="true"/>
          <w:lang w:bidi="fa-IR"/>
        </w:rPr>
        <w:t>تجویز الثانیین</w:t>
      </w:r>
      <w:r>
        <w:rPr>
          <w:rStyle w:val="FootnoteAnchor"/>
          <w:rtl w:val="true"/>
        </w:rPr>
        <w:footnoteReference w:id="318"/>
      </w:r>
      <w:r>
        <w:rPr>
          <w:rFonts w:ascii="IRNazanin" w:hAnsi="IRNazanin" w:eastAsia="IRNazanin"/>
          <w:color w:val="111111"/>
          <w:sz w:val="28"/>
          <w:sz w:val="28"/>
          <w:szCs w:val="28"/>
          <w:rtl w:val="true"/>
          <w:lang w:bidi="fa-IR"/>
        </w:rPr>
        <w:t>القراءة بقراءة أبی جعفر و أخویه استنادا إلی نقل تواترها عن العلّامة</w:t>
      </w:r>
      <w:r>
        <w:rPr>
          <w:rStyle w:val="FootnoteAnchor"/>
          <w:rtl w:val="true"/>
        </w:rPr>
        <w:footnoteReference w:id="319"/>
      </w:r>
      <w:r>
        <w:rPr>
          <w:rFonts w:ascii="IRNazanin" w:hAnsi="IRNazanin" w:eastAsia="IRNazanin"/>
          <w:color w:val="111111"/>
          <w:sz w:val="28"/>
          <w:sz w:val="28"/>
          <w:szCs w:val="28"/>
          <w:rtl w:val="true"/>
          <w:lang w:bidi="fa-IR"/>
        </w:rPr>
        <w:t>و الشهید</w:t>
      </w:r>
      <w:r>
        <w:rPr>
          <w:rStyle w:val="FootnoteAnchor"/>
          <w:rtl w:val="true"/>
        </w:rPr>
        <w:footnoteReference w:id="320"/>
      </w:r>
      <w:r>
        <w:rPr>
          <w:rFonts w:ascii="IRNazanin" w:hAnsi="IRNazanin" w:eastAsia="IRNazanin"/>
          <w:color w:val="111111"/>
          <w:sz w:val="28"/>
          <w:sz w:val="28"/>
          <w:szCs w:val="28"/>
          <w:rtl w:val="true"/>
          <w:lang w:bidi="fa-IR"/>
        </w:rPr>
        <w:t>، ناظر إلی أنّ جواز القراءة من آثار کون المقروء قرآنا واقعیّا، أو قرآنا و لو بزعم غیر القارئ، و أنّ اعتراض الأردبیلی</w:t>
      </w:r>
      <w:r>
        <w:rPr>
          <w:rStyle w:val="FootnoteAnchor"/>
          <w:rtl w:val="true"/>
        </w:rPr>
        <w:footnoteReference w:id="321"/>
      </w:r>
      <w:r>
        <w:rPr>
          <w:rFonts w:ascii="IRNazanin" w:hAnsi="IRNazanin" w:eastAsia="IRNazanin"/>
          <w:color w:val="111111"/>
          <w:sz w:val="28"/>
          <w:sz w:val="28"/>
          <w:szCs w:val="28"/>
          <w:rtl w:val="true"/>
          <w:lang w:bidi="fa-IR"/>
        </w:rPr>
        <w:t>و المدارک</w:t>
      </w:r>
      <w:r>
        <w:rPr>
          <w:rStyle w:val="FootnoteAnchor"/>
          <w:rtl w:val="true"/>
        </w:rPr>
        <w:footnoteReference w:id="322"/>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تجویز القراءة بمجرد نقل تواترها رجوع عن اشتراط التواتر فی القراءة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متواتر فما لیس بمتواتر لیس بقرآن، ناظر إلی فرض جواز القراءة من آثار علم القارئ بتواترها، لا من آثار القرآن الواقعی، و لا من آثار العلم به فی الجملة و لو عند غیر القارئ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یخلو نظرهما من نظر کما سیأتی وجهه إن شاء اللّه تعالی</w:t>
      </w:r>
      <w:r>
        <w:rPr>
          <w:rFonts w:eastAsia="IRNazanin" w:cs="IRNazanin"/>
          <w:color w:val="111111"/>
          <w:sz w:val="28"/>
          <w:szCs w:val="28"/>
          <w:rtl w:val="true"/>
          <w:lang w:bidi="fa-IR"/>
        </w:rPr>
        <w:t>.</w:t>
      </w:r>
    </w:p>
    <w:p>
      <w:pPr>
        <w:pStyle w:val="Heading6"/>
        <w:numPr>
          <w:ilvl w:val="5"/>
          <w:numId w:val="1"/>
        </w:numPr>
        <w:rPr/>
      </w:pPr>
      <w:bookmarkStart w:id="475" w:name="__RefHeading___Toc2527346_3224264995"/>
      <w:bookmarkStart w:id="476" w:name="_Toc173"/>
      <w:bookmarkEnd w:id="475"/>
      <w:r>
        <w:rPr>
          <w:rtl w:val="true"/>
        </w:rPr>
        <w:t>[</w:t>
      </w:r>
      <w:r>
        <w:rPr>
          <w:rtl w:val="true"/>
        </w:rPr>
        <w:t>حجّیة التواتر المنقول</w:t>
      </w:r>
      <w:r>
        <w:rPr>
          <w:rtl w:val="true"/>
        </w:rPr>
        <w:t>]</w:t>
      </w:r>
      <w:bookmarkEnd w:id="476"/>
    </w:p>
    <w:p>
      <w:pPr>
        <w:pStyle w:val="BookText"/>
        <w:rPr/>
      </w:pPr>
      <w:r>
        <w:rPr>
          <w:rFonts w:ascii="IRNazanin" w:hAnsi="IRNazanin" w:eastAsia="IRNazanin"/>
          <w:color w:val="111111"/>
          <w:sz w:val="28"/>
          <w:sz w:val="28"/>
          <w:szCs w:val="28"/>
          <w:rtl w:val="true"/>
          <w:lang w:bidi="fa-IR"/>
        </w:rPr>
        <w:t>و إذ قد عرفت ذلک فاعلم أنّا لمّا کنّا من المثبتین لحجّیة الإجماع المنقول فلا بدّ و أن نکون من المثبتین أیضا لحجّیة التواتر المنقول، کما أنّ الماتن لما کان من المانعین ثمّة کان من المانعین هنا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تفصیلنا الکلام فی دفع موهمات المنع ثمة و إن کان یغنی المراجع عن تفصیل دفع موهماته هنا إلا أنّ الإعادة مع ذلک لا یخلو من مزیّة توضیح و فائدة،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جملة محالّ الأنظار من کلام الماتن فی المضمار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لیس کلّ تواتر ثبت لشخص مما یستلزم فی نفس الأمر عادة تحقق المخبر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6"/>
        <w:numPr>
          <w:ilvl w:val="5"/>
          <w:numId w:val="1"/>
        </w:numPr>
        <w:rPr/>
      </w:pPr>
      <w:bookmarkStart w:id="477" w:name="__RefHeading___Toc2527348_3224264995"/>
      <w:bookmarkStart w:id="478" w:name="_Toc174"/>
      <w:bookmarkEnd w:id="477"/>
      <w:r>
        <w:rPr>
          <w:rtl w:val="true"/>
        </w:rPr>
        <w:t>[</w:t>
      </w:r>
      <w:r>
        <w:rPr>
          <w:rtl w:val="true"/>
        </w:rPr>
        <w:t>الردّ علی ما ذهب إلیه الماتن من عدم حجّیة التواتر المنقول بدعوی عدم استلزام ثبوته لشخص لثبوته فی نفس الأمر</w:t>
      </w:r>
      <w:r>
        <w:rPr>
          <w:rtl w:val="true"/>
        </w:rPr>
        <w:t>]</w:t>
      </w:r>
      <w:bookmarkEnd w:id="47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حجّیة التواتر المنقول بعدم استلزام ثبوته لشخص للثبوت فی </w:t>
      </w:r>
    </w:p>
    <w:p>
      <w:pPr>
        <w:pStyle w:val="BookText"/>
        <w:rPr/>
      </w:pPr>
      <w:r>
        <w:rPr>
          <w:rFonts w:ascii="Amiri" w:hAnsi="Amiri" w:eastAsia="Amiri" w:cs="Amiri"/>
          <w:color w:val="111111"/>
          <w:sz w:val="28"/>
          <w:sz w:val="28"/>
          <w:szCs w:val="28"/>
          <w:rtl w:val="true"/>
          <w:lang w:bidi="ar-SA"/>
        </w:rPr>
        <w:t>نفس الأمر 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مدفوع 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استلزام ثبوت العدالة و الاجتهاد و السماع و الخبر و الفتوی عند شخص لثبوتها فی نفس الأمر عادة، فما هو الدلیل علی قبول قول العادل فیها و ترتیب آثار ثبوته فی الواقع علیها هو الدلیل علی قبول قول المخبر عن التواتر و ترتیب آثار ثبوته فی الواقع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ثبوت التواتر عند شخص و إن لم یستلزم ثبوته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ثبوت اخبار سائر المخبرین عند أنفسهم لا یستلزم ثبوتها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أدلّة قبول قول العادل کما یقتضی قبول إخباره بسائر الملازمات الغیر المستلزم ثبوتها عندهم لثبوتها فی الواقع عادة من الإخبار بالعدالة و الاجتهاد و النسب و السماع و الرؤیة و الفتوی و غیرها کذلک یقتضی قبول إخباره عن ملازمة إخبار المخبرین للتواتر و حصول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منع إطلاق أدلّة قبول قول العادل لمثله، أو دعوی انصراف الإطلاق عن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فی خلاف أصل أصیل من غیر بیّنة و لا دلیل، کما مرّ مرارا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احتمال أن یکون المخبر عن التواتر مخبرا عن حصول التواتر و العلم لنفسه لا فی الواقع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باحتمال أن یکون المخبر عن العدالة و الاجتهاد و الأنساب و الفتوی بل السماع و الرؤیة، مخبر عن ثبوت المخبر به لنفسه، لا فی الواقع، فالجواب الجواب</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المتّبع ظاهر لفظ المخبر فی کلّ ما یخبر به مما هو ممکن الحصول فی حقّه؛ لأنّ الألفاظ موضوعة للمعانی الواقعیة النفس الأمریة، لا للمعلومات الإضافیة المختصّة بنفس المخبر، و لهذا استقر دیدنهم و استمرّ </w:t>
      </w:r>
      <w:bookmarkStart w:id="479" w:name="pg12850_121323"/>
    </w:p>
    <w:p>
      <w:pPr>
        <w:pStyle w:val="BookText"/>
        <w:rPr/>
      </w:pPr>
      <w:bookmarkEnd w:id="479"/>
      <w:r>
        <w:rPr>
          <w:rFonts w:ascii="IRNazanin" w:hAnsi="IRNazanin" w:eastAsia="IRNazanin"/>
          <w:color w:val="111111"/>
          <w:sz w:val="28"/>
          <w:sz w:val="28"/>
          <w:szCs w:val="28"/>
          <w:rtl w:val="true"/>
          <w:lang w:bidi="fa-IR"/>
        </w:rPr>
        <w:t>طریقتهم علی نصب القرینة الصارفة عن إرادة المعنی الواقعی عند عدم قطع المخبر بما یخبر به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أو رأیت، أو اعتقدت کذا و کذا علی ظنّی، أو علی فهمی، أو علی احتمالی، أو علی وجه، الی غیر ذلک من القرائن الصارفة عن تبادر المعانی الواقعیة من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یخلو نظرهما من نظر</w:t>
      </w:r>
      <w:r>
        <w:rPr>
          <w:rFonts w:eastAsia="IRNazanin" w:cs="IRNazanin"/>
          <w:color w:val="111111"/>
          <w:sz w:val="28"/>
          <w:szCs w:val="28"/>
          <w:rtl w:val="true"/>
          <w:lang w:bidi="fa-IR"/>
        </w:rPr>
        <w:t>».</w:t>
      </w:r>
    </w:p>
    <w:p>
      <w:pPr>
        <w:pStyle w:val="Heading6"/>
        <w:numPr>
          <w:ilvl w:val="5"/>
          <w:numId w:val="1"/>
        </w:numPr>
        <w:rPr/>
      </w:pPr>
      <w:bookmarkStart w:id="480" w:name="__RefHeading___Toc2527350_3224264995"/>
      <w:bookmarkStart w:id="481" w:name="_Toc175"/>
      <w:bookmarkEnd w:id="480"/>
      <w:r>
        <w:rPr>
          <w:rtl w:val="true"/>
        </w:rPr>
        <w:t>[</w:t>
      </w:r>
      <w:r>
        <w:rPr>
          <w:rtl w:val="true"/>
        </w:rPr>
        <w:t>النظر فی اعتراض المحقّق الأردبیلی و صاحب المدارک علی المحقّق و الشهید الثانیین</w:t>
      </w:r>
      <w:r>
        <w:rPr>
          <w:rtl w:val="true"/>
        </w:rPr>
        <w:t>]</w:t>
      </w:r>
      <w:bookmarkEnd w:id="481"/>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فی حیّز المنع جدا؛ ضرورة أنّ القرآن موضوع من سائر الموضوعات الواقعیة کالصلاة و الزکاة و الصوم و الحج الثابتة من أحد الطرق الواقعیة الغیر المختصّة بالعلم، فاختصاصها بالطریق العلمی سدّ لسائر أبواب الطرق الشرعیة المجعولة شرعا لتشخیص الوقائع و الموضوعات، و هو خلاف 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اعتراضهما علی الثانیین ناظرا إلی منع حجّیة نقل 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وجه غیر بعید لا إلی إناطة جواز قراءة القرآن بالمعلوم قرآنیّته عند القارئ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فی نظرهما نظر و منع اتفاقی، بل کان نظر و منع خلافی مبنیا علی القول بحجّیة المتواتر المنقول دون القول بمنع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لو أبدلا اعتراضهما الناظر إلی أحد الوجهین المذکورین بالاعتراض الناظر إلی منع أصل تواتر القراءات الثلاث لرجع نظرهما إلی نظر متین، نظرا إلی ما أسلفنا فی تنبیهات حجّیة القرآن من أنّ فی تواتر سائر القراءات مع شهرتها ألف کلام؛ فکیف بتواتر غیرها؟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القدر المتیقّن الثابت عندنا من الإجماع و تقریر المعصومین علیهم السّلام هو تجویزهم القراءة المتداولة بین الناس من باب التوسیع علی المکلفین، و رفع المشقّة عنهم، إلی أن یظهر أمرهم و ترتفع التقیة عن دین ربّهم، عجّل اللّه فرجهم</w:t>
      </w:r>
      <w:r>
        <w:rPr>
          <w:rFonts w:eastAsia="IRNazanin" w:cs="IRNazanin"/>
          <w:color w:val="111111"/>
          <w:sz w:val="28"/>
          <w:szCs w:val="28"/>
          <w:rtl w:val="true"/>
          <w:lang w:bidi="fa-IR"/>
        </w:rPr>
        <w:t xml:space="preserve">. </w:t>
      </w:r>
      <w:bookmarkStart w:id="482" w:name="pg12850_121324"/>
    </w:p>
    <w:p>
      <w:pPr>
        <w:pStyle w:val="Heading4"/>
        <w:numPr>
          <w:ilvl w:val="3"/>
          <w:numId w:val="1"/>
        </w:numPr>
        <w:rPr/>
      </w:pPr>
      <w:bookmarkStart w:id="483" w:name="__RefHeading___Toc2527352_3224264995"/>
      <w:bookmarkStart w:id="484" w:name="_Toc176"/>
      <w:bookmarkEnd w:id="482"/>
      <w:bookmarkEnd w:id="483"/>
      <w:r>
        <w:rPr>
          <w:rtl w:val="true"/>
        </w:rPr>
        <w:t>[</w:t>
      </w:r>
      <w:r>
        <w:rPr>
          <w:rtl w:val="true"/>
        </w:rPr>
        <w:t>و منها الشهرة</w:t>
      </w:r>
      <w:r>
        <w:rPr>
          <w:rtl w:val="true"/>
        </w:rPr>
        <w:t>]</w:t>
      </w:r>
      <w:bookmarkEnd w:id="484"/>
    </w:p>
    <w:p>
      <w:pPr>
        <w:pStyle w:val="Heading5"/>
        <w:numPr>
          <w:ilvl w:val="4"/>
          <w:numId w:val="1"/>
        </w:numPr>
        <w:rPr/>
      </w:pPr>
      <w:bookmarkStart w:id="485" w:name="__RefHeading___Toc2527354_3224264995"/>
      <w:bookmarkStart w:id="486" w:name="_Toc177"/>
      <w:bookmarkEnd w:id="485"/>
      <w:r>
        <w:rPr>
          <w:rtl w:val="true"/>
        </w:rPr>
        <w:t>اشارة</w:t>
      </w:r>
      <w:bookmarkEnd w:id="48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قال المصنف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جملة الظنون التی توهم حجّیتها بالخصوص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Heading5"/>
        <w:numPr>
          <w:ilvl w:val="4"/>
          <w:numId w:val="1"/>
        </w:numPr>
        <w:rPr/>
      </w:pPr>
      <w:bookmarkStart w:id="487" w:name="__RefHeading___Toc2527356_3224264995"/>
      <w:bookmarkStart w:id="488" w:name="_Toc178"/>
      <w:bookmarkEnd w:id="487"/>
      <w:r>
        <w:rPr>
          <w:rtl w:val="true"/>
        </w:rPr>
        <w:t>[</w:t>
      </w:r>
      <w:r>
        <w:rPr>
          <w:rtl w:val="true"/>
        </w:rPr>
        <w:t>مراحل البحث فی حجیة الشهرة</w:t>
      </w:r>
      <w:r>
        <w:rPr>
          <w:rtl w:val="true"/>
        </w:rPr>
        <w:t>]</w:t>
      </w:r>
      <w:bookmarkEnd w:id="48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حجّیة الشهرة یقع فی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المرحلة الاولی ففی تشخیص الموضوع، أعنی ماهیة الشهرة و حسیمها</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ظهور الشی‌ء فی شنعة حتی یشهره الناس، و منه الحدیث من لبس ثوبا یشهره ألبسه اللّه ثوب مذلّة، و شهر 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سلّه و جرده عن الغمد، و هو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معروف</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فتطلق عرفا علی الشهرة الفتوائیة و الروایتیة، سواء کان فی مقابلها خلاف من فتوی أو روایة أم لم یکن خلاف و سواء کشف کشفا قطعیا عن مدرک قطعی أو ظنی لیکون إجماعا، أم کشفا ظنّیا عن مدرک قطعی أو ظنی لیکون من الظنون الخاصّة، أم کشف عن الواقع من وساطة مدرک بأحد الکشفین عن أحد المکشوفین، أم لم یکشف عن شی‌ء فعلا و إن کان من شأنه الکشف، و ذلک لصحّة الحمل و التقسیم و عدم صحّة السلب و أصالة عدم النقل و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یعلم أنّ النسبة بین الإجماع المصطلح و الشهرة عموم مطلق، و العموم من طرف الشهرة</w:t>
      </w:r>
      <w:r>
        <w:rPr>
          <w:rFonts w:eastAsia="IRNazanin" w:cs="IRNazanin"/>
          <w:color w:val="111111"/>
          <w:sz w:val="28"/>
          <w:szCs w:val="28"/>
          <w:rtl w:val="true"/>
          <w:lang w:bidi="fa-IR"/>
        </w:rPr>
        <w:t xml:space="preserve">. </w:t>
      </w:r>
      <w:bookmarkStart w:id="489" w:name="pg12850_121325"/>
    </w:p>
    <w:p>
      <w:pPr>
        <w:pStyle w:val="Heading5"/>
        <w:numPr>
          <w:ilvl w:val="4"/>
          <w:numId w:val="1"/>
        </w:numPr>
        <w:rPr/>
      </w:pPr>
      <w:bookmarkStart w:id="490" w:name="__RefHeading___Toc2527358_3224264995"/>
      <w:bookmarkStart w:id="491" w:name="_Toc179"/>
      <w:bookmarkEnd w:id="489"/>
      <w:bookmarkEnd w:id="490"/>
      <w:r>
        <w:rPr>
          <w:rtl w:val="true"/>
        </w:rPr>
        <w:t>[</w:t>
      </w:r>
      <w:r>
        <w:rPr>
          <w:rtl w:val="true"/>
        </w:rPr>
        <w:t>معنی الحجّیة المتنازع فی ثبوتها للشهرة</w:t>
      </w:r>
      <w:r>
        <w:rPr>
          <w:rtl w:val="true"/>
        </w:rPr>
        <w:t>]</w:t>
      </w:r>
      <w:bookmarkEnd w:id="491"/>
    </w:p>
    <w:p>
      <w:pPr>
        <w:pStyle w:val="BookText"/>
        <w:rPr/>
      </w:pPr>
      <w:r>
        <w:rPr>
          <w:rFonts w:ascii="IRNazanin" w:hAnsi="IRNazanin" w:eastAsia="IRNazanin"/>
          <w:color w:val="111111"/>
          <w:sz w:val="28"/>
          <w:sz w:val="28"/>
          <w:szCs w:val="28"/>
          <w:rtl w:val="true"/>
          <w:lang w:bidi="fa-IR"/>
        </w:rPr>
        <w:t>و أمّا المرحلة الثانیة ففی تشخیص حال الحجّیة المتنازع فی ثبوتها للشهرة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أصل حجّیة الشهرة فمعناها ترتیب آثار تحقق مضمونها فی الواقع علیها و عدّها فی عداد المتحقّق مضمونه فی الواقع واقعا و فی عرض الواقع، کما هو الحال فی معنی حجّیة سائر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حال الحجّیة المتنازع فی ثبوتها للشهرة فی هذا المبحث فإنّما هو الحجّیة الخاصّة لا الحجّیة المطلقة؛ فإنّه و إن کان فی حجّیتها المطلقة علی تقدیر الانسداد نزاع أیضا إلّا أنّه نزاع آخر سیأتی فی تنبیهات برهان الانسداد غیر النزاع المعقود له هذا المبحث</w:t>
      </w:r>
      <w:r>
        <w:rPr>
          <w:rFonts w:eastAsia="IRNazanin" w:cs="IRNazanin"/>
          <w:color w:val="111111"/>
          <w:sz w:val="28"/>
          <w:szCs w:val="28"/>
          <w:rtl w:val="true"/>
          <w:lang w:bidi="fa-IR"/>
        </w:rPr>
        <w:t>.</w:t>
      </w:r>
    </w:p>
    <w:p>
      <w:pPr>
        <w:pStyle w:val="Heading5"/>
        <w:numPr>
          <w:ilvl w:val="4"/>
          <w:numId w:val="1"/>
        </w:numPr>
        <w:rPr/>
      </w:pPr>
      <w:bookmarkStart w:id="492" w:name="__RefHeading___Toc2527360_3224264995"/>
      <w:bookmarkStart w:id="493" w:name="_Toc180"/>
      <w:bookmarkEnd w:id="492"/>
      <w:r>
        <w:rPr>
          <w:rtl w:val="true"/>
        </w:rPr>
        <w:t>[</w:t>
      </w:r>
      <w:r>
        <w:rPr>
          <w:rtl w:val="true"/>
        </w:rPr>
        <w:t>الأقوال فی حجّیة الشهرة</w:t>
      </w:r>
      <w:r>
        <w:rPr>
          <w:rtl w:val="true"/>
        </w:rPr>
        <w:t>]</w:t>
      </w:r>
      <w:bookmarkEnd w:id="493"/>
    </w:p>
    <w:p>
      <w:pPr>
        <w:pStyle w:val="BookText"/>
        <w:rPr/>
      </w:pPr>
      <w:r>
        <w:rPr>
          <w:rFonts w:ascii="IRNazanin" w:hAnsi="IRNazanin" w:eastAsia="IRNazanin"/>
          <w:color w:val="111111"/>
          <w:sz w:val="28"/>
          <w:sz w:val="28"/>
          <w:szCs w:val="28"/>
          <w:rtl w:val="true"/>
          <w:lang w:bidi="fa-IR"/>
        </w:rPr>
        <w:t>و من هنا یعلم أنّ الأقوال فی حجّیة الشهرة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بحجّیتها بالخصوص حتی عند انفتاح باب العلم، و هو خیرة صاحب الریاض و الضوابط</w:t>
      </w:r>
      <w:r>
        <w:rPr>
          <w:rStyle w:val="FootnoteAnchor"/>
          <w:rtl w:val="true"/>
        </w:rPr>
        <w:footnoteReference w:id="325"/>
      </w:r>
      <w:r>
        <w:rPr>
          <w:rFonts w:ascii="IRNazanin" w:hAnsi="IRNazanin" w:eastAsia="IRNazanin"/>
          <w:color w:val="111111"/>
          <w:sz w:val="28"/>
          <w:sz w:val="28"/>
          <w:szCs w:val="28"/>
          <w:rtl w:val="true"/>
          <w:lang w:bidi="fa-IR"/>
        </w:rPr>
        <w:t>و الشهید فی أول الذکری</w:t>
      </w:r>
      <w:r>
        <w:rPr>
          <w:rStyle w:val="FootnoteAnchor"/>
          <w:rtl w:val="true"/>
        </w:rPr>
        <w:footnoteReference w:id="326"/>
      </w:r>
      <w:r>
        <w:rPr>
          <w:rFonts w:ascii="IRNazanin" w:hAnsi="IRNazanin" w:eastAsia="IRNazanin"/>
          <w:color w:val="111111"/>
          <w:sz w:val="28"/>
          <w:sz w:val="28"/>
          <w:szCs w:val="28"/>
          <w:rtl w:val="true"/>
          <w:lang w:bidi="fa-IR"/>
        </w:rPr>
        <w:t>، و المحکی عن العلّامة فی المختلف</w:t>
      </w:r>
      <w:r>
        <w:rPr>
          <w:rStyle w:val="FootnoteAnchor"/>
          <w:rtl w:val="true"/>
        </w:rPr>
        <w:footnoteReference w:id="327"/>
      </w:r>
      <w:r>
        <w:rPr>
          <w:rFonts w:ascii="IRNazanin" w:hAnsi="IRNazanin" w:eastAsia="IRNazanin"/>
          <w:color w:val="111111"/>
          <w:sz w:val="28"/>
          <w:sz w:val="28"/>
          <w:szCs w:val="28"/>
          <w:rtl w:val="true"/>
          <w:lang w:bidi="fa-IR"/>
        </w:rPr>
        <w:t>و جمال الدین</w:t>
      </w:r>
      <w:r>
        <w:rPr>
          <w:rStyle w:val="FootnoteAnchor"/>
          <w:rtl w:val="true"/>
        </w:rPr>
        <w:footnoteReference w:id="328"/>
      </w:r>
      <w:r>
        <w:rPr>
          <w:rFonts w:ascii="IRNazanin" w:hAnsi="IRNazanin" w:eastAsia="IRNazanin"/>
          <w:color w:val="111111"/>
          <w:sz w:val="28"/>
          <w:sz w:val="28"/>
          <w:szCs w:val="28"/>
          <w:rtl w:val="true"/>
          <w:lang w:bidi="fa-IR"/>
        </w:rPr>
        <w:t>و والده</w:t>
      </w:r>
      <w:r>
        <w:rPr>
          <w:rStyle w:val="FootnoteAnchor"/>
          <w:rtl w:val="true"/>
        </w:rPr>
        <w:footnoteReference w:id="329"/>
      </w:r>
      <w:r>
        <w:rPr>
          <w:rFonts w:ascii="IRNazanin" w:hAnsi="IRNazanin" w:eastAsia="IRNazanin"/>
          <w:color w:val="111111"/>
          <w:sz w:val="28"/>
          <w:sz w:val="28"/>
          <w:szCs w:val="28"/>
          <w:rtl w:val="true"/>
          <w:lang w:bidi="fa-IR"/>
        </w:rPr>
        <w:t>و غیرهم، و مال إلیه استاذنا العلّامة دام ظلّه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بحجّیتها من باب الظنّ المطلق المبتنی علی تقدیر انسداد باب العلم، و هو خیرة الماتن</w:t>
      </w:r>
      <w:r>
        <w:rPr>
          <w:rStyle w:val="FootnoteAnchor"/>
          <w:rtl w:val="true"/>
        </w:rPr>
        <w:footnoteReference w:id="330"/>
      </w:r>
      <w:r>
        <w:rPr>
          <w:rFonts w:ascii="IRNazanin" w:hAnsi="IRNazanin" w:eastAsia="IRNazanin"/>
          <w:color w:val="111111"/>
          <w:sz w:val="28"/>
          <w:sz w:val="28"/>
          <w:szCs w:val="28"/>
          <w:rtl w:val="true"/>
          <w:lang w:bidi="fa-IR"/>
        </w:rPr>
        <w:t>، و المحکی عن العلّامة فی النهایة</w:t>
      </w:r>
      <w:r>
        <w:rPr>
          <w:rStyle w:val="FootnoteAnchor"/>
          <w:rtl w:val="true"/>
        </w:rPr>
        <w:footnoteReference w:id="331"/>
      </w:r>
      <w:r>
        <w:rPr>
          <w:rFonts w:ascii="IRNazanin" w:hAnsi="IRNazanin" w:eastAsia="IRNazanin"/>
          <w:color w:val="111111"/>
          <w:sz w:val="28"/>
          <w:sz w:val="28"/>
          <w:szCs w:val="28"/>
          <w:rtl w:val="true"/>
          <w:lang w:bidi="fa-IR"/>
        </w:rPr>
        <w:t>، و الحلّی فی السرائر</w:t>
      </w:r>
      <w:r>
        <w:rPr>
          <w:rStyle w:val="FootnoteAnchor"/>
          <w:rtl w:val="true"/>
        </w:rPr>
        <w:footnoteReference w:id="332"/>
      </w:r>
      <w:r>
        <w:rPr>
          <w:rFonts w:ascii="IRNazanin" w:hAnsi="IRNazanin" w:eastAsia="IRNazanin"/>
          <w:color w:val="111111"/>
          <w:sz w:val="28"/>
          <w:sz w:val="28"/>
          <w:szCs w:val="28"/>
          <w:rtl w:val="true"/>
          <w:lang w:bidi="fa-IR"/>
        </w:rPr>
        <w:t>، و الأردبیلی فی شرحه الإرشاد</w:t>
      </w:r>
      <w:r>
        <w:rPr>
          <w:rStyle w:val="FootnoteAnchor"/>
          <w:rtl w:val="true"/>
        </w:rPr>
        <w:footnoteReference w:id="333"/>
      </w:r>
      <w:r>
        <w:rPr>
          <w:rFonts w:ascii="IRNazanin" w:hAnsi="IRNazanin" w:eastAsia="IRNazanin"/>
          <w:color w:val="111111"/>
          <w:sz w:val="28"/>
          <w:sz w:val="28"/>
          <w:szCs w:val="28"/>
          <w:rtl w:val="true"/>
          <w:lang w:bidi="fa-IR"/>
        </w:rPr>
        <w:t>، و بحر العلوم</w:t>
      </w:r>
      <w:r>
        <w:rPr>
          <w:rStyle w:val="FootnoteAnchor"/>
          <w:rtl w:val="true"/>
        </w:rPr>
        <w:footnoteReference w:id="334"/>
      </w:r>
      <w:r>
        <w:rPr>
          <w:rFonts w:ascii="IRNazanin" w:hAnsi="IRNazanin" w:eastAsia="IRNazanin"/>
          <w:color w:val="111111"/>
          <w:sz w:val="28"/>
          <w:sz w:val="28"/>
          <w:szCs w:val="28"/>
          <w:rtl w:val="true"/>
          <w:lang w:bidi="fa-IR"/>
        </w:rPr>
        <w:t>فی بعض رسائله، و الشهید الثانی</w:t>
      </w:r>
      <w:r>
        <w:rPr>
          <w:rStyle w:val="FootnoteAnchor"/>
          <w:rtl w:val="true"/>
        </w:rPr>
        <w:footnoteReference w:id="335"/>
      </w:r>
      <w:r>
        <w:rPr>
          <w:rFonts w:ascii="IRNazanin" w:hAnsi="IRNazanin" w:eastAsia="IRNazanin"/>
          <w:color w:val="111111"/>
          <w:sz w:val="28"/>
          <w:sz w:val="28"/>
          <w:szCs w:val="28"/>
          <w:rtl w:val="true"/>
          <w:lang w:bidi="fa-IR"/>
        </w:rPr>
        <w:t>و والد البهائی</w:t>
      </w:r>
      <w:r>
        <w:rPr>
          <w:rStyle w:val="FootnoteAnchor"/>
          <w:rtl w:val="true"/>
        </w:rPr>
        <w:footnoteReference w:id="336"/>
      </w:r>
      <w:r>
        <w:rPr>
          <w:rFonts w:ascii="IRNazanin" w:hAnsi="IRNazanin" w:eastAsia="IRNazanin"/>
          <w:color w:val="111111"/>
          <w:sz w:val="28"/>
          <w:sz w:val="28"/>
          <w:szCs w:val="28"/>
          <w:rtl w:val="true"/>
          <w:lang w:bidi="fa-IR"/>
        </w:rPr>
        <w:t>، بل قد نسب إلی الشهرة أیضا</w:t>
      </w:r>
      <w:r>
        <w:rPr>
          <w:rFonts w:eastAsia="IRNazanin" w:cs="IRNazanin"/>
          <w:color w:val="111111"/>
          <w:sz w:val="28"/>
          <w:szCs w:val="28"/>
          <w:rtl w:val="true"/>
          <w:lang w:bidi="fa-IR"/>
        </w:rPr>
        <w:t xml:space="preserve">. </w:t>
      </w:r>
      <w:bookmarkStart w:id="494" w:name="pg12850_121326"/>
    </w:p>
    <w:p>
      <w:pPr>
        <w:pStyle w:val="BookText"/>
        <w:rPr/>
      </w:pPr>
      <w:bookmarkEnd w:id="494"/>
      <w:r>
        <w:rPr>
          <w:rFonts w:ascii="IRNazanin" w:hAnsi="IRNazanin" w:eastAsia="IRNazanin"/>
          <w:color w:val="111111"/>
          <w:sz w:val="28"/>
          <w:sz w:val="28"/>
          <w:szCs w:val="28"/>
          <w:rtl w:val="true"/>
          <w:lang w:bidi="fa-IR"/>
        </w:rPr>
        <w:t>و قول بعدم حجّیتها مطلقا، لا عند انفتاح باب العلم، و لا عند انسداده، کما هو خیرة المعالم</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5" w:name="__RefHeading___Toc2527362_3224264995"/>
      <w:bookmarkStart w:id="496" w:name="_Toc181"/>
      <w:bookmarkEnd w:id="495"/>
      <w:r>
        <w:rPr>
          <w:rtl w:val="true"/>
        </w:rPr>
        <w:t>[</w:t>
      </w:r>
      <w:r>
        <w:rPr>
          <w:rtl w:val="true"/>
        </w:rPr>
        <w:t>محل النزاع من أقسام الشهرة هو الشهرة الفتوائیة</w:t>
      </w:r>
      <w:r>
        <w:rPr>
          <w:rtl w:val="true"/>
        </w:rPr>
        <w:t>]</w:t>
      </w:r>
      <w:bookmarkEnd w:id="496"/>
    </w:p>
    <w:p>
      <w:pPr>
        <w:pStyle w:val="BookText"/>
        <w:rPr/>
      </w:pPr>
      <w:r>
        <w:rPr>
          <w:rFonts w:ascii="IRNazanin" w:hAnsi="IRNazanin" w:eastAsia="IRNazanin"/>
          <w:color w:val="111111"/>
          <w:sz w:val="28"/>
          <w:sz w:val="28"/>
          <w:szCs w:val="28"/>
          <w:rtl w:val="true"/>
          <w:lang w:bidi="fa-IR"/>
        </w:rPr>
        <w:t>و أمّا المرحلة الثالثة ففی تشخیص محلّ النزاع من أقسام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النزاع هنا لیس فی الشهرة الروایتیة، أعنی الشهرة المنضمّة إلی روایة ضعیفة، و لا فی الکاشفة بالکشف القطعیّ عن أحد المکشوفین، و لا فی الغیر الکاشفة، أعنی الغیر المفیدة فعلا للظن و إن کان من شأنها الإفادة؛ ضرورة أنّه لا خلاف فی حجّیة الأوّلین ممّن یعبأ به، کما لا خلاف فی عدم حجّیة الثالث کذلک، إنّما الخلاف و النزاع فی الشهرة الفتوائیة الکاشفة بالکشف الظنّی عن أحد المکشوفین سواء کان فی مقابلها خلاف أم لم یکن، إلّا أنّ الأوفی مع ذلک التعرض لکلّ واحد من أقسام الشهرة بالتفصیل، طردا للباب فنقول</w:t>
      </w:r>
      <w:r>
        <w:rPr>
          <w:rFonts w:eastAsia="IRNazanin" w:cs="IRNazanin"/>
          <w:color w:val="111111"/>
          <w:sz w:val="28"/>
          <w:szCs w:val="28"/>
          <w:rtl w:val="true"/>
          <w:lang w:bidi="fa-IR"/>
        </w:rPr>
        <w:t>:</w:t>
      </w:r>
    </w:p>
    <w:p>
      <w:pPr>
        <w:pStyle w:val="Heading5"/>
        <w:numPr>
          <w:ilvl w:val="4"/>
          <w:numId w:val="1"/>
        </w:numPr>
        <w:rPr/>
      </w:pPr>
      <w:bookmarkStart w:id="497" w:name="__RefHeading___Toc2527364_3224264995"/>
      <w:bookmarkStart w:id="498" w:name="_Toc182"/>
      <w:bookmarkEnd w:id="497"/>
      <w:r>
        <w:rPr>
          <w:rtl w:val="true"/>
        </w:rPr>
        <w:t>[</w:t>
      </w:r>
      <w:r>
        <w:rPr>
          <w:rtl w:val="true"/>
        </w:rPr>
        <w:t>عدم حجّیة الشهرة الفتوائیة غیر المقیدة للظن</w:t>
      </w:r>
      <w:r>
        <w:rPr>
          <w:rtl w:val="true"/>
        </w:rPr>
        <w:t>]</w:t>
      </w:r>
      <w:bookmarkEnd w:id="498"/>
    </w:p>
    <w:p>
      <w:pPr>
        <w:pStyle w:val="BookText"/>
        <w:rPr/>
      </w:pPr>
      <w:r>
        <w:rPr>
          <w:rFonts w:ascii="IRNazanin" w:hAnsi="IRNazanin" w:eastAsia="IRNazanin"/>
          <w:color w:val="111111"/>
          <w:sz w:val="28"/>
          <w:sz w:val="28"/>
          <w:szCs w:val="28"/>
          <w:rtl w:val="true"/>
          <w:lang w:bidi="fa-IR"/>
        </w:rPr>
        <w:t>أمّا الشهرة الفتوائیة الغیر المفیدة ظنّا فلا إشکال و لا خلاف فی عدم حجّیتها، لا عند انفتاح باب العلم، و لا عند انسداده بالأدلّة الأربعة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من الکتاب فیکفی التوبیخ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یَعْبُدُ اللَّهَ عَلی حَرْفٍ</w:t>
      </w:r>
      <w:r>
        <w:rPr>
          <w:rStyle w:val="FootnoteAnchor"/>
          <w:rtl w:val="true"/>
        </w:rPr>
        <w:footnoteReference w:id="338"/>
      </w:r>
      <w:r>
        <w:rPr>
          <w:rFonts w:ascii="IRNazanin" w:hAnsi="IRNazanin" w:eastAsia="IRNazanin"/>
          <w:color w:val="111111"/>
          <w:sz w:val="28"/>
          <w:sz w:val="28"/>
          <w:szCs w:val="28"/>
          <w:rtl w:val="true"/>
          <w:lang w:bidi="fa-IR"/>
        </w:rPr>
        <w:t>أی شکّ، و فحوی الآیات الناهیة عن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من السنّة فیکفی الأخبار الدالّة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حقّ اللّه علی عباده أن یقولوا ما یعلمون، و یکفّوا عما لا یعلمون</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ما عن العالم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أخذ دینه من أفواه الرجال ردّه 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و إن خصّص عمومه بإرادة الأخذ بالأشهر الغیر المفید للظنّ إلّا أنّ العامّ المخصّص حجّة فی الباقی عندنا</w:t>
      </w:r>
      <w:r>
        <w:rPr>
          <w:rFonts w:eastAsia="IRNazanin" w:cs="IRNazanin"/>
          <w:color w:val="111111"/>
          <w:sz w:val="28"/>
          <w:szCs w:val="28"/>
          <w:rtl w:val="true"/>
          <w:lang w:bidi="fa-IR"/>
        </w:rPr>
        <w:t>.</w:t>
      </w:r>
      <w:bookmarkStart w:id="499" w:name="pg12850_121327"/>
    </w:p>
    <w:p>
      <w:pPr>
        <w:pStyle w:val="BookText"/>
        <w:rPr/>
      </w:pPr>
      <w:bookmarkEnd w:id="499"/>
      <w:r>
        <w:rPr>
          <w:rFonts w:ascii="IRNazanin" w:hAnsi="IRNazanin" w:eastAsia="IRNazanin"/>
          <w:color w:val="111111"/>
          <w:sz w:val="28"/>
          <w:sz w:val="28"/>
          <w:szCs w:val="28"/>
          <w:rtl w:val="true"/>
          <w:lang w:bidi="fa-IR"/>
        </w:rPr>
        <w:t>و أمّا من الإجماع و العقل فیکفی ما یحصل للمتتبّع الخبیر من اتفاق جمیع العلماء و استقرار بناء العقلاء علی عدم جواز الترجیح بلا مرجّح، و من المبیّن أنّ العمل بالمشهور مع عدم إفادته الظنّ عمل بأحد طرفی الشکّ من غیر مرجّح؛ لعدم مرجّحیة الشهرة مع وصف عدم إفادته الظنّ، أمّا عقلا فواضح، و أمّا تعبّدا فلأنّ التعبّد بالشهرة علی تقدیر تسلیمه لا ینهض دلیله إلی هذا القسم منه بالتخصّص أو التخصیص</w:t>
      </w:r>
      <w:r>
        <w:rPr>
          <w:rFonts w:eastAsia="IRNazanin" w:cs="IRNazanin"/>
          <w:color w:val="111111"/>
          <w:sz w:val="28"/>
          <w:szCs w:val="28"/>
          <w:rtl w:val="true"/>
          <w:lang w:bidi="fa-IR"/>
        </w:rPr>
        <w:t>.</w:t>
      </w:r>
    </w:p>
    <w:p>
      <w:pPr>
        <w:pStyle w:val="Heading5"/>
        <w:numPr>
          <w:ilvl w:val="4"/>
          <w:numId w:val="1"/>
        </w:numPr>
        <w:rPr/>
      </w:pPr>
      <w:bookmarkStart w:id="500" w:name="__RefHeading___Toc2527366_3224264995"/>
      <w:bookmarkStart w:id="501" w:name="_Toc183"/>
      <w:bookmarkEnd w:id="500"/>
      <w:r>
        <w:rPr>
          <w:rtl w:val="true"/>
        </w:rPr>
        <w:t>[</w:t>
      </w:r>
      <w:r>
        <w:rPr>
          <w:rtl w:val="true"/>
        </w:rPr>
        <w:t>حجّیة الشهرة الکاشفة قطعا</w:t>
      </w:r>
      <w:r>
        <w:rPr>
          <w:rtl w:val="true"/>
        </w:rPr>
        <w:t>]</w:t>
      </w:r>
      <w:bookmarkEnd w:id="501"/>
    </w:p>
    <w:p>
      <w:pPr>
        <w:pStyle w:val="BookText"/>
        <w:rPr/>
      </w:pPr>
      <w:r>
        <w:rPr>
          <w:rFonts w:ascii="IRNazanin" w:hAnsi="IRNazanin" w:eastAsia="IRNazanin"/>
          <w:color w:val="111111"/>
          <w:sz w:val="28"/>
          <w:sz w:val="28"/>
          <w:szCs w:val="28"/>
          <w:rtl w:val="true"/>
          <w:lang w:bidi="fa-IR"/>
        </w:rPr>
        <w:t>کما لا إشکال و لا خلاف فی حجّیة الشهرة الکاشفة بالکشف القطعی عن نفس الواقع، أو عن مدرک قطعی الدلالة و السند، أو ظنّیّهما أو مختلفهما بالأدلّة الأربعة أیضا</w:t>
      </w:r>
      <w:r>
        <w:rPr>
          <w:rFonts w:eastAsia="IRNazanin" w:cs="IRNazanin"/>
          <w:color w:val="111111"/>
          <w:sz w:val="28"/>
          <w:szCs w:val="28"/>
          <w:rtl w:val="true"/>
          <w:lang w:bidi="fa-IR"/>
        </w:rPr>
        <w:t>.</w:t>
      </w:r>
    </w:p>
    <w:p>
      <w:pPr>
        <w:pStyle w:val="Heading5"/>
        <w:numPr>
          <w:ilvl w:val="4"/>
          <w:numId w:val="1"/>
        </w:numPr>
        <w:rPr/>
      </w:pPr>
      <w:bookmarkStart w:id="502" w:name="__RefHeading___Toc2527368_3224264995"/>
      <w:bookmarkStart w:id="503" w:name="_Toc184"/>
      <w:bookmarkEnd w:id="502"/>
      <w:r>
        <w:rPr>
          <w:rtl w:val="true"/>
        </w:rPr>
        <w:t>[</w:t>
      </w:r>
      <w:r>
        <w:rPr>
          <w:rtl w:val="true"/>
        </w:rPr>
        <w:t>تفصیل الکلام فی حجّیة الشهرة الفتوائیة الکاشفة ظنّا</w:t>
      </w:r>
      <w:r>
        <w:rPr>
          <w:rtl w:val="true"/>
        </w:rPr>
        <w:t>]</w:t>
      </w:r>
      <w:bookmarkEnd w:id="503"/>
    </w:p>
    <w:p>
      <w:pPr>
        <w:pStyle w:val="BookText"/>
        <w:rPr/>
      </w:pPr>
      <w:r>
        <w:rPr>
          <w:rFonts w:ascii="IRNazanin" w:hAnsi="IRNazanin" w:eastAsia="IRNazanin"/>
          <w:color w:val="111111"/>
          <w:sz w:val="28"/>
          <w:sz w:val="28"/>
          <w:szCs w:val="28"/>
          <w:rtl w:val="true"/>
          <w:lang w:bidi="fa-IR"/>
        </w:rPr>
        <w:t>و أمّا الشهرة الفتوائیة الکاشفة عن الواقع کشفا ظنیا فقد عرفت أنّه المحلّ للنزاع فی حجّیتها من باب الظنّ الخاصّ، أو من باب الظنّ المطلق، أو عدم حجّیتها مطلقا علی أقوال ثلاثة، أمّا حجّیتها من باب الظنّ الخاصّ فیمکن أن یکون کلّ من الأدلّة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العقل فیتوقف بیانه علی رسم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معنی بناء العقلاء و مستند حجّیته، و أقسامه من التنجیزی و التعلیقی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أنّ جملة من مصادیق بناء العقلاء و أمثلته التعلیقیة، هو العمل بجملة من الظنون بحیث توقّف نظام العالم و عیش بنی آدم علی العمل بها من باب تنزیلها منزلة العلم؛ بل و یحسبونها علما بحیث یستندون العمل بها إلی العمل بالعلم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أنّ طریق المنع عن العمل بتلک الظنون علی تقدیر عدم إمضائها شرعا منحصر فی تنصیصه علی المنع منها بالخصوص، کتنصیصه علی المنع من العمل بالظنون القیاسیة بالخصوص، بحیث لا یصحّ اکتفاؤه فی المنع </w:t>
      </w:r>
      <w:bookmarkStart w:id="504" w:name="pg12850_121328"/>
    </w:p>
    <w:p>
      <w:pPr>
        <w:pStyle w:val="BookText"/>
        <w:rPr/>
      </w:pPr>
      <w:bookmarkEnd w:id="504"/>
      <w:r>
        <w:rPr>
          <w:rFonts w:ascii="IRNazanin" w:hAnsi="IRNazanin" w:eastAsia="IRNazanin"/>
          <w:color w:val="111111"/>
          <w:sz w:val="28"/>
          <w:sz w:val="28"/>
          <w:szCs w:val="28"/>
          <w:rtl w:val="true"/>
          <w:lang w:bidi="fa-IR"/>
        </w:rPr>
        <w:t>عنهما بالإحالة إلی العقول؛ لأنّ الاکتفاء فی بیان الأحکام بالإحالة إلی العقول إنّما هو إلی بدیهات العقل لا إلی نظریاته، کما فی ما نحن فیه، و لا بالإحالة إلی الاصول، أعنی أصالة عدم حجّیة الظنّ لزعمهم ورود السیرة علی الأصل، بل لزعمهم خروجها عن الظنّ اسما، مضافا إلی خروجها عنه حکما، و لا بالإحالة إلی عموم الآیات</w:t>
      </w:r>
      <w:r>
        <w:rPr>
          <w:rStyle w:val="FootnoteAnchor"/>
          <w:rtl w:val="true"/>
        </w:rPr>
        <w:footnoteReference w:id="340"/>
      </w:r>
      <w:r>
        <w:rPr>
          <w:rFonts w:ascii="IRNazanin" w:hAnsi="IRNazanin" w:eastAsia="IRNazanin"/>
          <w:color w:val="111111"/>
          <w:sz w:val="28"/>
          <w:sz w:val="28"/>
          <w:szCs w:val="28"/>
          <w:rtl w:val="true"/>
          <w:lang w:bidi="fa-IR"/>
        </w:rPr>
        <w:t>الناهیة عن العمل بالظنّ لزعمهم خروجها عنه حکما بل و اسما، مضافا إلی ما فی دلالتها من النقض و الإبرام، بل لا محالة ینحصر سبیل بیان الشارع لعدم إمضاء حجّیة مثل تلک الظنون المحسوب کونها علما من حیث الحکم بل الاسم علی تقدیر عدم حجّیتها واقعا، فی تنصیصه بموضوعه الخاصّ بالخصوص، لا بالأصول و لا بالعقول و لا بالعموم حذرا عن لزوم الإهمال فی بیان الأحکام، المخالف لوجوب اللطف علی الملک العلّام، أو الإهمال فی تبلیغ الأحکام المخالف لشأن امنائه الکرام علی الوجه القاطع لعذر المعتذرین من الأنام</w:t>
      </w:r>
      <w:r>
        <w:rPr>
          <w:rFonts w:eastAsia="IRNazanin" w:cs="IRNazanin"/>
          <w:color w:val="111111"/>
          <w:sz w:val="28"/>
          <w:szCs w:val="28"/>
          <w:rtl w:val="true"/>
          <w:lang w:bidi="fa-IR"/>
        </w:rPr>
        <w:t>.</w:t>
      </w:r>
    </w:p>
    <w:p>
      <w:pPr>
        <w:pStyle w:val="Heading5"/>
        <w:numPr>
          <w:ilvl w:val="4"/>
          <w:numId w:val="1"/>
        </w:numPr>
        <w:rPr/>
      </w:pPr>
      <w:bookmarkStart w:id="505" w:name="__RefHeading___Toc2527370_3224264995"/>
      <w:bookmarkStart w:id="506" w:name="_Toc185"/>
      <w:bookmarkEnd w:id="505"/>
      <w:r>
        <w:rPr>
          <w:rtl w:val="true"/>
        </w:rPr>
        <w:t>[</w:t>
      </w:r>
      <w:r>
        <w:rPr>
          <w:rtl w:val="true"/>
        </w:rPr>
        <w:t>الکلام فی بناء العقلاء</w:t>
      </w:r>
      <w:r>
        <w:rPr>
          <w:rtl w:val="true"/>
        </w:rPr>
        <w:t>]</w:t>
      </w:r>
      <w:bookmarkEnd w:id="50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المقدّمة الاولی فالکلام فی بناء العقلاء، أمّا من حیث الموضوع و الصغری فظاهره عبارة عن جمیع العقلاء من آدم إلی الخاتم، و من جملة مصادیقه و أمثلته المنجّزة بناؤهم علی قبح الظلم و حسن الإحسان، و وجوب شکر المنعم، و وجود الصانع، لاقتضاء فطرة کلّ عاقل علی وجود من هو أعقل منه، و فطرة کلّ عالم علی وجود من هو أعلم منه، و فطرة کلّ قادر علی من هو أقدر منه، کما یشهد علیه توجّه نفوسهم إلیه جبلّة، عند انقطاع الأسباب، کما یوحی إلیه أیضا بعض الآثار الواردة فی طریق معرفة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من أمثلة معاقد بناء العقلاء المنجّزة الغیر القابلة للتخصیص، و ورود وارد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جملة معاقده المعلّقة علی عدم ورود وارد و مخصّص هو بناء العقلاء علی إباحة الأشیاء </w:t>
      </w:r>
      <w:bookmarkStart w:id="507" w:name="pg12850_121329"/>
    </w:p>
    <w:p>
      <w:pPr>
        <w:pStyle w:val="BookText"/>
        <w:rPr/>
      </w:pPr>
      <w:bookmarkEnd w:id="507"/>
      <w:r>
        <w:rPr>
          <w:rFonts w:ascii="IRNazanin" w:hAnsi="IRNazanin" w:eastAsia="IRNazanin"/>
          <w:color w:val="111111"/>
          <w:sz w:val="28"/>
          <w:sz w:val="28"/>
          <w:szCs w:val="28"/>
          <w:rtl w:val="true"/>
          <w:lang w:bidi="fa-IR"/>
        </w:rPr>
        <w:t>النافعة الخالیة عن أمارة المضرّة، خلافا للحظریة</w:t>
      </w:r>
      <w:r>
        <w:rPr>
          <w:rFonts w:eastAsia="IRNazanin" w:cs="IRNazanin"/>
          <w:color w:val="111111"/>
          <w:sz w:val="28"/>
          <w:szCs w:val="28"/>
          <w:rtl w:val="true"/>
          <w:lang w:bidi="fa-IR"/>
        </w:rPr>
        <w:t>.</w:t>
      </w:r>
    </w:p>
    <w:p>
      <w:pPr>
        <w:pStyle w:val="Heading5"/>
        <w:numPr>
          <w:ilvl w:val="4"/>
          <w:numId w:val="1"/>
        </w:numPr>
        <w:rPr/>
      </w:pPr>
      <w:bookmarkStart w:id="508" w:name="__RefHeading___Toc2527372_3224264995"/>
      <w:bookmarkStart w:id="509" w:name="_Toc186"/>
      <w:bookmarkEnd w:id="508"/>
      <w:r>
        <w:rPr>
          <w:rtl w:val="true"/>
        </w:rPr>
        <w:t>[</w:t>
      </w:r>
      <w:r>
        <w:rPr>
          <w:rtl w:val="true"/>
        </w:rPr>
        <w:t>حجیة بناء العقلاء</w:t>
      </w:r>
      <w:r>
        <w:rPr>
          <w:rtl w:val="true"/>
        </w:rPr>
        <w:t>]</w:t>
      </w:r>
      <w:bookmarkEnd w:id="509"/>
    </w:p>
    <w:p>
      <w:pPr>
        <w:pStyle w:val="BookText"/>
        <w:rPr/>
      </w:pPr>
      <w:r>
        <w:rPr>
          <w:rFonts w:ascii="IRNazanin" w:hAnsi="IRNazanin" w:eastAsia="IRNazanin"/>
          <w:color w:val="111111"/>
          <w:sz w:val="28"/>
          <w:sz w:val="28"/>
          <w:szCs w:val="28"/>
          <w:rtl w:val="true"/>
          <w:lang w:bidi="fa-IR"/>
        </w:rPr>
        <w:t>و أمّا من حیث الحکم و الکبری فلا إشکال و لا خلاف فی حجّیته لاستکشافه عن مصدره و هو العقل، کاستکشاف بناء المرءوسین و التابعین عن بناء مصدرهم الرئیس و المتبوع، و استکشاف بناء العرف عن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موهم لمنع حجّیته سوی ما حکی عن رسالة آقا حسین فی مقدّمة الواجب من احتمال تطرّق الخطأ علی بناء العقلاء من جانب العقل، و أمّا من جانب العصمة الموجودة فی بعض العقلاء فهو و إن استحیل إلّا أنّه من هذا الحیث خارج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هذا 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تطرّق الخطأ علی عقول جمیع العقلاء من المحالات العادیة التی تقتضی العادة خلافه، بعد تحقّق الموضوع و الصغری أعنی تحقّق بناء جمیع العقلاء من آدم إلی الخاتم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کان موهم فهو فی تحقّق موضوعه و صغراه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مراد محتمل الخطأ احتماله فی الصغری أیضا لا الکبری، و إن کان موهم عدم تحقّق صغراه بما أوهم امتناع تحقق الإجماع أو امتناع الاطّلاع علیه أیضا مدفوعا 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أسلفنا فی الإجماع و التبادرات العرفیة من إمکانهما و إمکان الاطّلاع علیهما، بدفع موهمات الخلاف بأبلغ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 من ذلک أنّ بناء العقلاء نظیر الإجماع فی إمکان تحقّقه، و إمکان الاطّلاع علیه، و حجّیته من باب الکشف عن مصدره و طریق استکشافه عنه، فالکلام الکلام، و الوجه الوجه، و الوهم الوهم، و الدفع الدفع</w:t>
      </w:r>
      <w:r>
        <w:rPr>
          <w:rFonts w:eastAsia="IRNazanin" w:cs="IRNazanin"/>
          <w:color w:val="111111"/>
          <w:sz w:val="28"/>
          <w:szCs w:val="28"/>
          <w:rtl w:val="true"/>
          <w:lang w:bidi="fa-IR"/>
        </w:rPr>
        <w:t>.</w:t>
      </w:r>
    </w:p>
    <w:p>
      <w:pPr>
        <w:pStyle w:val="Heading5"/>
        <w:numPr>
          <w:ilvl w:val="4"/>
          <w:numId w:val="1"/>
        </w:numPr>
        <w:rPr/>
      </w:pPr>
      <w:bookmarkStart w:id="510" w:name="__RefHeading___Toc2527374_3224264995"/>
      <w:bookmarkStart w:id="511" w:name="_Toc187"/>
      <w:bookmarkEnd w:id="510"/>
      <w:r>
        <w:rPr>
          <w:rtl w:val="true"/>
        </w:rPr>
        <w:t>[</w:t>
      </w:r>
      <w:r>
        <w:rPr>
          <w:rtl w:val="true"/>
        </w:rPr>
        <w:t>تقریب آخر فی حجّیة بناء العقلاء</w:t>
      </w:r>
      <w:r>
        <w:rPr>
          <w:rtl w:val="true"/>
        </w:rPr>
        <w:t>]</w:t>
      </w:r>
      <w:bookmarkEnd w:id="51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ربما قیل فی تقریب حجّیة بناء العقلاء بأنّه عبارة عن بناء العقلاء الراجع بالقهقری إلی الزمان السابق، و منه إلی الأسبق منه، و هکذا إلی أن یتّصل بزمان حضور أحد المعصومین المستلزم تقریره له، عند عدم ردعه مع علمه </w:t>
      </w:r>
      <w:bookmarkStart w:id="512" w:name="pg12850_121330"/>
    </w:p>
    <w:p>
      <w:pPr>
        <w:pStyle w:val="BookText"/>
        <w:rPr/>
      </w:pPr>
      <w:bookmarkEnd w:id="512"/>
      <w:r>
        <w:rPr>
          <w:rFonts w:ascii="IRNazanin" w:hAnsi="IRNazanin" w:eastAsia="IRNazanin"/>
          <w:color w:val="111111"/>
          <w:sz w:val="28"/>
          <w:sz w:val="28"/>
          <w:szCs w:val="28"/>
          <w:rtl w:val="true"/>
          <w:lang w:bidi="fa-IR"/>
        </w:rPr>
        <w:t>بالبناء و تمکّنه من الردع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یبعّده بأنّ هذا المعنی من شئون السیرة و خلاف الظاهر من بناء العقلاء</w:t>
      </w:r>
      <w:r>
        <w:rPr>
          <w:rFonts w:eastAsia="IRNazanin" w:cs="IRNazanin"/>
          <w:color w:val="111111"/>
          <w:sz w:val="28"/>
          <w:szCs w:val="28"/>
          <w:rtl w:val="true"/>
          <w:lang w:bidi="fa-IR"/>
        </w:rPr>
        <w:t>.</w:t>
      </w:r>
    </w:p>
    <w:p>
      <w:pPr>
        <w:pStyle w:val="Heading5"/>
        <w:numPr>
          <w:ilvl w:val="4"/>
          <w:numId w:val="1"/>
        </w:numPr>
        <w:rPr/>
      </w:pPr>
      <w:bookmarkStart w:id="513" w:name="__RefHeading___Toc2527376_3224264995"/>
      <w:bookmarkStart w:id="514" w:name="_Toc188"/>
      <w:bookmarkEnd w:id="513"/>
      <w:r>
        <w:rPr>
          <w:rtl w:val="true"/>
        </w:rPr>
        <w:t>[</w:t>
      </w:r>
      <w:r>
        <w:rPr>
          <w:rtl w:val="true"/>
        </w:rPr>
        <w:t>افتراق بناء العرف عن بناء العقلاء</w:t>
      </w:r>
      <w:r>
        <w:rPr>
          <w:rtl w:val="true"/>
        </w:rPr>
        <w:t>]</w:t>
      </w:r>
      <w:bookmarkEnd w:id="514"/>
    </w:p>
    <w:p>
      <w:pPr>
        <w:pStyle w:val="BookText"/>
        <w:rPr/>
      </w:pPr>
      <w:r>
        <w:rPr>
          <w:rFonts w:ascii="IRNazanin" w:hAnsi="IRNazanin" w:eastAsia="IRNazanin"/>
          <w:color w:val="111111"/>
          <w:sz w:val="28"/>
          <w:sz w:val="28"/>
          <w:szCs w:val="28"/>
          <w:rtl w:val="true"/>
          <w:lang w:bidi="fa-IR"/>
        </w:rPr>
        <w:t>کما یبعد أیضا ما قیل من أنّ بناء العقلاء عبارة عن بناء العرف المحکّم اعتباره، بأنّه خلاف الظاهر أیضا من بناء العقلاء و أنّ اعتبار بناء العرف لا یختصّ ببناء عقلائهم، بل قد یحصل ببناء سفهائهم و جهّالهم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من جمیع ذلک أنّ الحقّ من المعانی الثلاثة المذکورة لبناء العقلاء هو المعنی الأول، و أنّه لا موهم لمنع حجّیته بعد کشفه عن مصدره العقل، کما لا موهم لمنع حجّیة الإجماع بعد کشفه عن مصدره، و هو المعصوم، و أنّه إن کان موهم فهو فی إثبات صغراه، و إن کان موهم إثبات الصغری أیضا مندفعا، و أنّه إن کان بناء العقلاء منجّزا فلا یقبل التخصیص و ورود وارد علیه، و إن کان معلّقا علی عدم بیان فهو قابل لورود البیان علیه البتّة</w:t>
      </w:r>
      <w:r>
        <w:rPr>
          <w:rFonts w:eastAsia="IRNazanin" w:cs="IRNazanin"/>
          <w:color w:val="111111"/>
          <w:sz w:val="28"/>
          <w:szCs w:val="28"/>
          <w:rtl w:val="true"/>
          <w:lang w:bidi="fa-IR"/>
        </w:rPr>
        <w:t>.</w:t>
      </w:r>
    </w:p>
    <w:p>
      <w:pPr>
        <w:pStyle w:val="Heading5"/>
        <w:numPr>
          <w:ilvl w:val="4"/>
          <w:numId w:val="1"/>
        </w:numPr>
        <w:rPr/>
      </w:pPr>
      <w:bookmarkStart w:id="515" w:name="__RefHeading___Toc2527378_3224264995"/>
      <w:bookmarkStart w:id="516" w:name="_Toc189"/>
      <w:bookmarkEnd w:id="515"/>
      <w:r>
        <w:rPr>
          <w:rtl w:val="true"/>
        </w:rPr>
        <w:t>[</w:t>
      </w:r>
      <w:r>
        <w:rPr>
          <w:rtl w:val="true"/>
        </w:rPr>
        <w:t>استقرار بناء العقلاء علی وجه التعلیق علی العمل بجملة من الظنون</w:t>
      </w:r>
      <w:r>
        <w:rPr>
          <w:rtl w:val="true"/>
        </w:rPr>
        <w:t>]</w:t>
      </w:r>
      <w:bookmarkEnd w:id="516"/>
    </w:p>
    <w:p>
      <w:pPr>
        <w:pStyle w:val="BookText"/>
        <w:rPr/>
      </w:pPr>
      <w:r>
        <w:rPr>
          <w:rFonts w:ascii="IRNazanin" w:hAnsi="IRNazanin" w:eastAsia="IRNazanin"/>
          <w:color w:val="111111"/>
          <w:sz w:val="28"/>
          <w:sz w:val="28"/>
          <w:szCs w:val="28"/>
          <w:rtl w:val="true"/>
          <w:lang w:bidi="fa-IR"/>
        </w:rPr>
        <w:t>و أمّا المقدّمة الثانیة فلا إشکال و لا ریب فی أنّ بناء العقلاء علی وجه التعلیق بل و نظام العالم و عیش بنی آدم من مبدأ خلقة آدم إلی یومنا هذا مستقرّ و مستمرّ علی العمل بجملة من الظنون</w:t>
      </w:r>
      <w:r>
        <w:rPr>
          <w:rFonts w:eastAsia="IRNazanin" w:cs="IRNazanin"/>
          <w:color w:val="111111"/>
          <w:sz w:val="28"/>
          <w:szCs w:val="28"/>
          <w:rtl w:val="true"/>
          <w:lang w:bidi="fa-IR"/>
        </w:rPr>
        <w:t>:</w:t>
      </w:r>
    </w:p>
    <w:p>
      <w:pPr>
        <w:pStyle w:val="Heading5"/>
        <w:numPr>
          <w:ilvl w:val="4"/>
          <w:numId w:val="1"/>
        </w:numPr>
        <w:rPr/>
      </w:pPr>
      <w:bookmarkStart w:id="517" w:name="__RefHeading___Toc2527380_3224264995"/>
      <w:bookmarkStart w:id="518" w:name="_Toc190"/>
      <w:bookmarkEnd w:id="517"/>
      <w:r>
        <w:rPr>
          <w:rtl w:val="true"/>
        </w:rPr>
        <w:t>[</w:t>
      </w:r>
      <w:r>
        <w:rPr>
          <w:rtl w:val="true"/>
        </w:rPr>
        <w:t>بناء العقلاء علی العمل بالظن الحاصل من قول أهل الخبرة</w:t>
      </w:r>
      <w:r>
        <w:rPr>
          <w:rtl w:val="true"/>
        </w:rPr>
        <w:t>]</w:t>
      </w:r>
      <w:bookmarkEnd w:id="51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الظنون الحاصلة من قول أهل الخبرة، کما یشهد علیه ما عن المحقّق السبزواری من أنّ صحّة المراجعة إلی أصحاب الصناعات المبارزین فی صنعتهم البارعین فی فنّهم فی ما اختصّ بصناعتهم، ممّا اتفق علیه العقلاء فی کلّ عصر و زمان</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قرّبه استاذنا العلّامة أیضا بأنّ جمیع أرباب الفنون و الحرف و الصنائع و أهل المذاهب المختلفة حتی البراهمة و الملاحدة، و أرباب العلوم المختلفة من الصرف و النحو و اللغة و البیان و المنطق و الحکمة و الطب و الهیئة و النجوم و الاصول و الرجال إنّما یستندون و یعتمدون علی مطلق ما ترکن إلیه النفس من الظنون </w:t>
      </w:r>
      <w:bookmarkStart w:id="519" w:name="pg12850_121331"/>
    </w:p>
    <w:p>
      <w:pPr>
        <w:pStyle w:val="BookText"/>
        <w:rPr/>
      </w:pPr>
      <w:bookmarkEnd w:id="519"/>
      <w:r>
        <w:rPr>
          <w:rFonts w:ascii="IRNazanin" w:hAnsi="IRNazanin" w:eastAsia="IRNazanin"/>
          <w:color w:val="111111"/>
          <w:sz w:val="28"/>
          <w:sz w:val="28"/>
          <w:szCs w:val="28"/>
          <w:rtl w:val="true"/>
          <w:lang w:bidi="fa-IR"/>
        </w:rPr>
        <w:t>العقلائیة، فی کلّ ما یتعلق بعلومهم و فنونهم و حرفهم و صنائعهم و مذاهبهم، و أدیانهم و أفعالهم و أطوارهم معادا و معاشا، بحیث استقرّت آراء العقلاء من جمیع الامم خلفا عن سلف علی طریقیة الظنّ و إعماله فی جمیع امورهم معادا و معاشا</w:t>
      </w:r>
      <w:r>
        <w:rPr>
          <w:rFonts w:eastAsia="IRNazanin" w:cs="IRNazanin"/>
          <w:color w:val="111111"/>
          <w:sz w:val="28"/>
          <w:szCs w:val="28"/>
          <w:rtl w:val="true"/>
          <w:lang w:bidi="fa-IR"/>
        </w:rPr>
        <w:t>.</w:t>
      </w:r>
    </w:p>
    <w:p>
      <w:pPr>
        <w:pStyle w:val="Heading5"/>
        <w:numPr>
          <w:ilvl w:val="4"/>
          <w:numId w:val="1"/>
        </w:numPr>
        <w:rPr/>
      </w:pPr>
      <w:bookmarkStart w:id="520" w:name="__RefHeading___Toc2527382_3224264995"/>
      <w:bookmarkStart w:id="521" w:name="_Toc191"/>
      <w:bookmarkEnd w:id="520"/>
      <w:r>
        <w:rPr>
          <w:rtl w:val="true"/>
        </w:rPr>
        <w:t>[</w:t>
      </w:r>
      <w:r>
        <w:rPr>
          <w:rtl w:val="true"/>
        </w:rPr>
        <w:t>بناء العقلاء علی العمل بالظنون المعمولة لتشخیص کلّ مذهب و رویّة من مذاهب الرؤساء</w:t>
      </w:r>
      <w:r>
        <w:rPr>
          <w:rtl w:val="true"/>
        </w:rPr>
        <w:t>]</w:t>
      </w:r>
      <w:bookmarkEnd w:id="521"/>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الظنون المعمولة لتشخیص کلّ مذهب و رویة من مذاهب الرؤساء و المشایخ و رویّاتهم بالتضافرات و الاستفاضات و الشیوعات و التسالمات الظنّیة التی ینزّلها العقلاء منزلة العلم، بل و یعدّونها و یحسبونها علما محضا بحیث یستندون عملهم لو سألوا عن مستنده إلی العلم مع العلم برجوعه إلی الظنّ بالتأمل</w:t>
      </w:r>
      <w:r>
        <w:rPr>
          <w:rFonts w:eastAsia="IRNazanin" w:cs="IRNazanin"/>
          <w:color w:val="111111"/>
          <w:sz w:val="28"/>
          <w:szCs w:val="28"/>
          <w:rtl w:val="true"/>
          <w:lang w:bidi="fa-IR"/>
        </w:rPr>
        <w:t>.</w:t>
      </w:r>
    </w:p>
    <w:p>
      <w:pPr>
        <w:pStyle w:val="Heading5"/>
        <w:numPr>
          <w:ilvl w:val="4"/>
          <w:numId w:val="1"/>
        </w:numPr>
        <w:rPr/>
      </w:pPr>
      <w:bookmarkStart w:id="522" w:name="__RefHeading___Toc2527384_3224264995"/>
      <w:bookmarkStart w:id="523" w:name="_Toc192"/>
      <w:bookmarkEnd w:id="522"/>
      <w:r>
        <w:rPr>
          <w:rtl w:val="true"/>
        </w:rPr>
        <w:t>[</w:t>
      </w:r>
      <w:r>
        <w:rPr>
          <w:rtl w:val="true"/>
        </w:rPr>
        <w:t>استمرار بناء العقلاء من العلماء علی ابتناء اجتهاداتهم الفرعیّة علی مبانی ظنیّة</w:t>
      </w:r>
      <w:r>
        <w:rPr>
          <w:rtl w:val="true"/>
        </w:rPr>
        <w:t>]</w:t>
      </w:r>
      <w:bookmarkEnd w:id="523"/>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بناء العقلاء من العلماء خلفا عن سلف علی ابتناء جمیع اجتهاداتهم الفرعیة و فتاویهم الفقهیة فضلا عن مبادئهم الاصولیة علی مبانی ظنّیة، یعبّرون عنها فی کلّ باب من أبواب الفقه بالأقربیة و الأقوائیة و الأشبهیة و الأظهریة الراجعة کلّها إلی مطلق الظنّ لا محالة؛ فإنّ ما عدا الإجماع و التواتر و العقل من سائر الأدلّة و لو کان خبرا صحیحا أعلائیا لا بدّ و أن یرجع إلی الظنّ المطلق من جهة السند، أو من جهة الدلالة، أو من جهة الترجیح و دفع المعارضات و الموانع إن لم یکن راجعا إلیه من جمیع الجهات، إلی غیر ذلک من موارد بناء العقلاء التعلیقیة علی حجّیة الظنون و العمل بها من باب تنزیلها منزلة العلم، بل و حسبان کونها حقیقیة العلم</w:t>
      </w:r>
      <w:r>
        <w:rPr>
          <w:rFonts w:eastAsia="IRNazanin" w:cs="IRNazanin"/>
          <w:color w:val="111111"/>
          <w:sz w:val="28"/>
          <w:szCs w:val="28"/>
          <w:rtl w:val="true"/>
          <w:lang w:bidi="fa-IR"/>
        </w:rPr>
        <w:t>.</w:t>
      </w:r>
    </w:p>
    <w:p>
      <w:pPr>
        <w:pStyle w:val="Heading5"/>
        <w:numPr>
          <w:ilvl w:val="4"/>
          <w:numId w:val="1"/>
        </w:numPr>
        <w:rPr/>
      </w:pPr>
      <w:bookmarkStart w:id="524" w:name="__RefHeading___Toc2527386_3224264995"/>
      <w:bookmarkStart w:id="525" w:name="_Toc193"/>
      <w:bookmarkEnd w:id="524"/>
      <w:r>
        <w:rPr>
          <w:rtl w:val="true"/>
        </w:rPr>
        <w:t>[</w:t>
      </w:r>
      <w:r>
        <w:rPr>
          <w:rtl w:val="true"/>
        </w:rPr>
        <w:t>انحصار طریق المنع عن بناء العقلاء فی التنصیص بالنصوص المتضافرة بل المتواترة</w:t>
      </w:r>
      <w:r>
        <w:rPr>
          <w:rtl w:val="true"/>
        </w:rPr>
        <w:t>]</w:t>
      </w:r>
      <w:bookmarkEnd w:id="52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المقدّمة الثالثة فلا ریب و لا إشکال فی أنّ طریق المنع عن حجّیة ما استقرّ علیه بناء العقلاء علی تقدیر عدم إمضائه واقعا منحصر فی ما منع به حجّیة القیاس من التنصیص بالنصوص</w:t>
      </w:r>
      <w:r>
        <w:rPr>
          <w:rStyle w:val="FootnoteAnchor"/>
          <w:rtl w:val="true"/>
        </w:rPr>
        <w:footnoteReference w:id="342"/>
      </w:r>
      <w:r>
        <w:rPr>
          <w:rFonts w:ascii="IRNazanin" w:hAnsi="IRNazanin" w:eastAsia="IRNazanin"/>
          <w:color w:val="111111"/>
          <w:sz w:val="28"/>
          <w:sz w:val="28"/>
          <w:szCs w:val="28"/>
          <w:rtl w:val="true"/>
          <w:lang w:bidi="fa-IR"/>
        </w:rPr>
        <w:t xml:space="preserve">المتضافرة، بل المتواترة التی صیّرت بطلان </w:t>
      </w:r>
    </w:p>
    <w:p>
      <w:pPr>
        <w:pStyle w:val="BookText"/>
        <w:rPr/>
      </w:pPr>
      <w:r>
        <w:rPr>
          <w:rFonts w:ascii="IRNazanin" w:hAnsi="IRNazanin" w:eastAsia="IRNazanin"/>
          <w:color w:val="111111"/>
          <w:sz w:val="28"/>
          <w:sz w:val="28"/>
          <w:szCs w:val="28"/>
          <w:rtl w:val="true"/>
          <w:lang w:bidi="fa-IR"/>
        </w:rPr>
        <w:t>القیاس من ضروریات المذهب و بدیهیاته، و فی أنّه لا یکتفی فی المنع عن مثل ذلک بالإحالة إلی العقول؛ لعدم کون منعه من بدیهیات العقل و مستقلّاته، و لا بالإحالة إلی الاصول أعنی أصالة حرمة العمل بالظنّ لزعمهم خروج الموارد المذکورة عن تحتها حکما بورود قیام السیرة المستمرّة، و بناء العقلاء علی عموم الاصول بل و اسما لزعم تسمیتها علما حقیقیا، و لا بالإحالة إلی عموم آیات</w:t>
      </w:r>
      <w:r>
        <w:rPr>
          <w:rStyle w:val="FootnoteAnchor"/>
          <w:rtl w:val="true"/>
        </w:rPr>
        <w:footnoteReference w:id="343"/>
      </w:r>
      <w:r>
        <w:rPr>
          <w:rFonts w:ascii="IRNazanin" w:hAnsi="IRNazanin" w:eastAsia="IRNazanin"/>
          <w:color w:val="111111"/>
          <w:sz w:val="28"/>
          <w:sz w:val="28"/>
          <w:szCs w:val="28"/>
          <w:rtl w:val="true"/>
          <w:lang w:bidi="fa-IR"/>
        </w:rPr>
        <w:t>تحریم العمل بالظنون لما فی دلالتها ألف کلام من النقض و الإبرام، و لا بمفهوم أدلّة حجّیة خبر العادل و إمضاء طریقیته إلی الواقع لأنّها إن لم تدلّ بالأولویة و فحوی الخطاب علی حجّیة تلک الظنون و أقوائیة طریقتها إلی الواقع فلا أقلّ من سکوتها، و عدم مفهوم للألقاب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بدّ من انحصار سبیل الردع و المنع عن مثل ما استقرّ علیه بناء العقلاء التعلیقی من الموارد المذکورة فی التنصیص بالنصوص الخاصّة، الصحیحة الصریحة فی الدلالة علی المنع بالخصوص علی تقدیر المنع واقعا بحیث یصیّر منعه کمنع العمل بالقیاس فی بلوغ المنع إلی حدّ الضرورة، و العمل إلی حدّ الشناعة حذرا عن الإهمال فی بیان الأحکام من الملک العلّام، أو امنائه الکرام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ثبت من المقدّمة الاولی حجّیة بناء العقلاء و طریقیّته، و من المقدّمة الثانیة استقراره علی جملة من الظنون بحیث یحسبون أنّ العمل بها عمل بالعلم، و من المقدّمة الثالثة عدم ردع أحد المعصومین، و منعه عن العمل بها فی شی‌ء من الآثار و لا من الأخبار الواصلة إلینا عنهم، مع کثرتها و عدم إحصائها و طول زمانهم، و قضاء العادة بالوصول إلی المنع لو صدر عنهم، مع أنّه لو کان فیه منع فی الواقع لکان ینبغی أن یبلغ منعهم عنه مبلغ منعهم عن العمل بالقیاس فی بلوغه إلی حدّ الشیاع و الذیاع، و خرق الأسماع، و إذ لیس فلیس؛ ثبت حجّیة مطلق الظن </w:t>
      </w:r>
      <w:bookmarkStart w:id="526" w:name="pg12850_121333"/>
    </w:p>
    <w:p>
      <w:pPr>
        <w:pStyle w:val="BookText"/>
        <w:rPr/>
      </w:pPr>
      <w:bookmarkEnd w:id="526"/>
      <w:r>
        <w:rPr>
          <w:rFonts w:ascii="IRNazanin" w:hAnsi="IRNazanin" w:eastAsia="IRNazanin"/>
          <w:color w:val="111111"/>
          <w:sz w:val="28"/>
          <w:sz w:val="28"/>
          <w:szCs w:val="28"/>
          <w:rtl w:val="true"/>
          <w:lang w:bidi="fa-IR"/>
        </w:rPr>
        <w:t>فضلا عن الشهرة الفتوائیة بالخصوص من باب الظنّ الخاصّ بلا ریب و لا وسواس، للأصل الأصیل الذی لم یقم علی خلافه دلیل</w:t>
      </w:r>
      <w:r>
        <w:rPr>
          <w:rFonts w:eastAsia="IRNazanin" w:cs="IRNazanin"/>
          <w:color w:val="111111"/>
          <w:sz w:val="28"/>
          <w:szCs w:val="28"/>
          <w:rtl w:val="true"/>
          <w:lang w:bidi="fa-IR"/>
        </w:rPr>
        <w:t>.</w:t>
      </w:r>
    </w:p>
    <w:p>
      <w:pPr>
        <w:pStyle w:val="Heading5"/>
        <w:numPr>
          <w:ilvl w:val="4"/>
          <w:numId w:val="1"/>
        </w:numPr>
        <w:rPr/>
      </w:pPr>
      <w:bookmarkStart w:id="527" w:name="__RefHeading___Toc2527388_3224264995"/>
      <w:bookmarkStart w:id="528" w:name="_Toc194"/>
      <w:bookmarkEnd w:id="527"/>
      <w:r>
        <w:rPr>
          <w:rtl w:val="true"/>
        </w:rPr>
        <w:t>[</w:t>
      </w:r>
      <w:r>
        <w:rPr>
          <w:rtl w:val="true"/>
        </w:rPr>
        <w:t>تقویة اکتفاء صاحب القوانین بمجرّد عدم الدلیل علی المنع فی حجّیة الشهرة و سائر الظنون</w:t>
      </w:r>
      <w:r>
        <w:rPr>
          <w:rtl w:val="true"/>
        </w:rPr>
        <w:t>]</w:t>
      </w:r>
      <w:bookmarkEnd w:id="528"/>
    </w:p>
    <w:p>
      <w:pPr>
        <w:pStyle w:val="BookText"/>
        <w:rPr/>
      </w:pPr>
      <w:r>
        <w:rPr>
          <w:rFonts w:ascii="IRNazanin" w:hAnsi="IRNazanin" w:eastAsia="IRNazanin"/>
          <w:color w:val="111111"/>
          <w:sz w:val="28"/>
          <w:sz w:val="28"/>
          <w:szCs w:val="28"/>
          <w:rtl w:val="true"/>
          <w:lang w:bidi="fa-IR"/>
        </w:rPr>
        <w:t>و من هذه المقدّمات تظهر قوّة اکتفاء صاحب القوانین</w:t>
      </w:r>
      <w:r>
        <w:rPr>
          <w:rStyle w:val="FootnoteAnchor"/>
          <w:rtl w:val="true"/>
        </w:rPr>
        <w:footnoteReference w:id="344"/>
      </w:r>
      <w:r>
        <w:rPr>
          <w:rFonts w:ascii="IRNazanin" w:hAnsi="IRNazanin" w:eastAsia="IRNazanin"/>
          <w:color w:val="111111"/>
          <w:sz w:val="28"/>
          <w:sz w:val="28"/>
          <w:szCs w:val="28"/>
          <w:rtl w:val="true"/>
          <w:lang w:bidi="fa-IR"/>
        </w:rPr>
        <w:t>، و من وافقه فی حجّیة الشهرة و سائر الظنون بمجرّد عدم الدلیل علی المنع، و عدم دلالة أدلّة حجّیة خبر العادل علی المنع إن لم تدل علی الإثبات من باب الأولویة، و دلالة الفحوی، و ضعف إیراد الموردین علیه بأنّه و إن لم یکن دلیل علی المنع إلّا أنّه لا دلیل علی الإثبات أیضا، فیرجع إلی أصالة حرمة العمل بالظنّ، و ذلک لما عرفت من المقدّمتین الأخیرتین عدم احتیاج الإثبات إلی المثبت بعد ثبوته ببناء العقلاء و لو تعلیقا، و أنّ المحتاج إلی البیان إنّما هو المنع فی مثله</w:t>
      </w:r>
      <w:r>
        <w:rPr>
          <w:rFonts w:eastAsia="IRNazanin" w:cs="IRNazanin"/>
          <w:color w:val="111111"/>
          <w:sz w:val="28"/>
          <w:szCs w:val="28"/>
          <w:rtl w:val="true"/>
          <w:lang w:bidi="fa-IR"/>
        </w:rPr>
        <w:t>.</w:t>
      </w:r>
    </w:p>
    <w:p>
      <w:pPr>
        <w:pStyle w:val="Heading5"/>
        <w:numPr>
          <w:ilvl w:val="4"/>
          <w:numId w:val="1"/>
        </w:numPr>
        <w:rPr/>
      </w:pPr>
      <w:bookmarkStart w:id="529" w:name="__RefHeading___Toc2527390_3224264995"/>
      <w:bookmarkStart w:id="530" w:name="_Toc195"/>
      <w:bookmarkEnd w:id="529"/>
      <w:r>
        <w:rPr>
          <w:rtl w:val="true"/>
        </w:rPr>
        <w:t>[</w:t>
      </w:r>
      <w:r>
        <w:rPr>
          <w:rtl w:val="true"/>
        </w:rPr>
        <w:t>تقویة توجیه الشهید الثانی فی حجّیة الشیاع الظنی</w:t>
      </w:r>
      <w:r>
        <w:rPr>
          <w:rtl w:val="true"/>
        </w:rPr>
        <w:t>]</w:t>
      </w:r>
      <w:bookmarkEnd w:id="530"/>
    </w:p>
    <w:p>
      <w:pPr>
        <w:pStyle w:val="BookText"/>
        <w:rPr/>
      </w:pPr>
      <w:r>
        <w:rPr>
          <w:rFonts w:ascii="IRNazanin" w:hAnsi="IRNazanin" w:eastAsia="IRNazanin"/>
          <w:color w:val="111111"/>
          <w:sz w:val="28"/>
          <w:sz w:val="28"/>
          <w:szCs w:val="28"/>
          <w:rtl w:val="true"/>
          <w:lang w:bidi="fa-IR"/>
        </w:rPr>
        <w:t>و کذا یظهر من تلک المقدّمات المفیدة للأصل الأصیل الذی لم یقم علی خلافه دلیل قوّة توجیه الشهید الثانی فی المسالک</w:t>
      </w:r>
      <w:r>
        <w:rPr>
          <w:rStyle w:val="FootnoteAnchor"/>
          <w:rtl w:val="true"/>
        </w:rPr>
        <w:footnoteReference w:id="345"/>
      </w:r>
      <w:r>
        <w:rPr>
          <w:rFonts w:ascii="IRNazanin" w:hAnsi="IRNazanin" w:eastAsia="IRNazanin"/>
          <w:color w:val="111111"/>
          <w:sz w:val="28"/>
          <w:sz w:val="28"/>
          <w:szCs w:val="28"/>
          <w:rtl w:val="true"/>
          <w:lang w:bidi="fa-IR"/>
        </w:rPr>
        <w:t>حجّیة الشیاع الظنّی بکون الظنّ الحاصل منه أقوی من الحاصل من شهادة عدلین، و ضعّف تضعیفه بأنّ الأولویة الظنّیة أوهن بمراتب من الشهرة؛ لإمکان القول بحجّیة الشهرة بدلیل الانسداد مع عدم حجّیة الأولویة الظنّیة بادراجه فی القیاس، و عموم الأخبار الدالّة علی حرمة العمل به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استبعاد الشهید الثانی من القول بعدم حجّیة الشیاع فی مثل إثبات الأنساب و العدالة و الموت و الحیاة مع حجّیة شهادة عدلین منهم به مبنیّ علی کون الأصل الأصیل المستفاد من تلک المقدّمات هو جواز العمل بالظنّ ما لم یقم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و أنّ تضعیفه بأنّ الأولویة الظنّیة أوهن بمراتب من الشهرة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مبنیّ علی منع أصیلیة الأصل المذکور بمنع أحد مقدّماته </w:t>
      </w:r>
    </w:p>
    <w:p>
      <w:pPr>
        <w:pStyle w:val="BookText"/>
        <w:rPr/>
      </w:pPr>
      <w:r>
        <w:rPr>
          <w:rFonts w:ascii="IRNazanin" w:hAnsi="IRNazanin" w:eastAsia="IRNazanin"/>
          <w:color w:val="111111"/>
          <w:sz w:val="28"/>
          <w:sz w:val="28"/>
          <w:szCs w:val="28"/>
          <w:rtl w:val="true"/>
          <w:lang w:bidi="fa-IR"/>
        </w:rPr>
        <w:t>الثلاث، کمنع المقدّمة الثانیة بأنّ المتیقّن من اتّفاق العلماء و بناء العقلاء هو الرجوع إلی الظنّ فی مقام اجتماع شروط الشهادة فیه، أو فی مقام انسداد باب العلم فیه، أو فی مقام یتسامح فیه لعدم التکلیف الشرعی بتحصیل العلم بالواقع فیه، أو تعلّق التکلیف بحکم شرعی غیر إلزامی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الاقتصار علی القدر المتیقّن إنّما یتأتّی فی معاقد الاتّفاقات المهملة، لا المصرّحة المنصوصة المبیّنة، کما فی 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قدّمناه فی رفع مجال المنع من اعتبار الظنّ فی إثبات الظواهر بالرجوع إلی قول اللغوی و نحوه، علی أبلغ وجه و أبسط، و من شاء راجعه فلا نطیل بالإعادة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فبان من تلک المقدّمات الثلاث مع مراجعة ما إلی مسألة اعتبارنا قول اللغوی فی إثبات الظواهر حجّیة الشهرة الفتوائیة بالخصوص بأحد الأدلّة الأربعة، و هو العقل المتکشّف عن بناء العقلاء</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من الإجماع فیکفی ما یظهر من العلماء، منهم الشهید الثانی فی خاتمة باب التعارض و التراجیح من تمهید القواعد من أنّ الأصل و الظاهر و هو المساوق للمظنون قد یتعارض، و لا ریب فی حکمهم بتقدیم الأصل علی الظاهر فی جملة من الموارد، و لا فی حکمهم بتقدیم الظاهر علی الأصل فی جملة اخری من الموارد، کالید و السوق و الشهادة بأقسامها بالنسبة إلی مواردها المفصّلة، و قول المنکر مع یمینه، و قول المدّعی مع یمینه المردودة، أو نکول المنکر علی الخلاف، و کحکمه بالبناء علی وقوع المشکوک فیه بعد تجاوز المحلّ، و علی ظاهر إقرار المسلم الکامل و وصایاه و عقوده و إیقاعاته و أعماله، و بإسلام من یوجد فی دار الإسلام، إلی غیر ذلک ممّا لا یحصی، و کما لا ریب فی أنّ لتعارض الأصل و الظاهر موارد مشکلة محوّلة ترجیحها عندهم إلی فهم المجتهد، کما فی نجاسة غسالة الحمّام و طین الطریق بعد ثلاثة أیّام، و بقول المرأة </w:t>
      </w:r>
      <w:bookmarkStart w:id="531" w:name="pg12850_121335"/>
    </w:p>
    <w:p>
      <w:pPr>
        <w:pStyle w:val="BookText"/>
        <w:rPr/>
      </w:pPr>
      <w:bookmarkEnd w:id="531"/>
      <w:r>
        <w:rPr>
          <w:rFonts w:ascii="IRNazanin" w:hAnsi="IRNazanin" w:eastAsia="IRNazanin"/>
          <w:color w:val="111111"/>
          <w:sz w:val="28"/>
          <w:sz w:val="28"/>
          <w:szCs w:val="28"/>
          <w:rtl w:val="true"/>
          <w:lang w:bidi="fa-IR"/>
        </w:rPr>
        <w:t>فی استحقاقها تمام المهر بعد أن خلی بها زوجها فادّعت وقوع الموجب و أنکره الزوج، و بقول من یدّعی من الزوجین مهر المثل إذا تنازعا فی مقداره، و بقول البائع فی تمام المبیع المقبوض إذا ادّعی المشتری نقصانه مع حضوره لوقت الاعتبار، إلی غیر ذلک من الموارد المشکلة المختلفة فیها فی تقدیم الأصل علی الظاهر، أو العکس المحوّلة إلی ما یؤدّی إلیه نظر الفقیه و ظنّه</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5"/>
        <w:numPr>
          <w:ilvl w:val="4"/>
          <w:numId w:val="1"/>
        </w:numPr>
        <w:rPr/>
      </w:pPr>
      <w:bookmarkStart w:id="532" w:name="__RefHeading___Toc2527392_3224264995"/>
      <w:bookmarkStart w:id="533" w:name="_Toc196"/>
      <w:bookmarkEnd w:id="532"/>
      <w:r>
        <w:rPr>
          <w:rtl w:val="true"/>
        </w:rPr>
        <w:t>[</w:t>
      </w:r>
      <w:r>
        <w:rPr>
          <w:rtl w:val="true"/>
        </w:rPr>
        <w:t>استظهار الاجماع علی حجّیة الشهرة من عبارة الشهید فی التمهید</w:t>
      </w:r>
      <w:r>
        <w:rPr>
          <w:rtl w:val="true"/>
        </w:rPr>
        <w:t>]</w:t>
      </w:r>
      <w:bookmarkEnd w:id="533"/>
    </w:p>
    <w:p>
      <w:pPr>
        <w:pStyle w:val="BookText"/>
        <w:rPr/>
      </w:pPr>
      <w:r>
        <w:rPr>
          <w:rFonts w:ascii="IRNazanin" w:hAnsi="IRNazanin" w:eastAsia="IRNazanin"/>
          <w:color w:val="111111"/>
          <w:sz w:val="28"/>
          <w:sz w:val="28"/>
          <w:szCs w:val="28"/>
          <w:rtl w:val="true"/>
          <w:lang w:bidi="fa-IR"/>
        </w:rPr>
        <w:t>و وجه استظهار الاتّفاق و الإجماع علی اعتبار الشهرة ممّا ذکر هو ظهور تعبیرهم بتعارض الأصل و الظاهر عن تنافیهما فی حجّیة الظاهر، کحجّیة الأصل عندهم؛ نظرا إلی أنّ الأصل من الأدلّة الشرعیة، و لا یعقل معارضة الظاهر له إلّا مع کونه دلیلا، و أنّ حکمهم بتقدیم الظاهر علی الأصل فی جملة من موارد تعارضهما و بحوالتهم موارد الاختلاف و الإشکال إلی ما یؤدّی إلیه ظنّ المجتهد صریح فی اعتبار الظنّ و حجّیته فی تلک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ثبت من ذلک الاجماع علی اعتبار الظنّ المطلق فی الجملة أعنی فی تلک الموارد، فإمّا أن یتعدّی منها إلی اعتبار سائر موارد الظنّ المطلق التی من جملتها الشهرة بالاجماع المرکّب و عدم القول بالفصل بین الظنون المطلقة، و إمّا أن یتعدّی منها إلی خصوص الشهرة بأقوائیة الظنّ الحاصل منها من الظنّ الحاصل من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ثبت حجّیة الشهرة بالخصوص، أو فی ضمن مطلق الظنّ</w:t>
      </w:r>
      <w:r>
        <w:rPr>
          <w:rFonts w:eastAsia="IRNazanin" w:cs="IRNazanin"/>
          <w:color w:val="111111"/>
          <w:sz w:val="28"/>
          <w:szCs w:val="28"/>
          <w:rtl w:val="true"/>
          <w:lang w:bidi="fa-IR"/>
        </w:rPr>
        <w:t>.</w:t>
      </w:r>
    </w:p>
    <w:p>
      <w:pPr>
        <w:pStyle w:val="Heading5"/>
        <w:numPr>
          <w:ilvl w:val="4"/>
          <w:numId w:val="1"/>
        </w:numPr>
        <w:rPr/>
      </w:pPr>
      <w:bookmarkStart w:id="534" w:name="__RefHeading___Toc2527394_3224264995"/>
      <w:bookmarkStart w:id="535" w:name="_Toc197"/>
      <w:bookmarkEnd w:id="534"/>
      <w:r>
        <w:rPr>
          <w:rtl w:val="true"/>
        </w:rPr>
        <w:t>[</w:t>
      </w:r>
      <w:r>
        <w:rPr>
          <w:rtl w:val="true"/>
        </w:rPr>
        <w:t>الاستدلال بالکتاب علی حجّیة الشهرة</w:t>
      </w:r>
      <w:r>
        <w:rPr>
          <w:rtl w:val="true"/>
        </w:rPr>
        <w:t>]</w:t>
      </w:r>
      <w:bookmarkEnd w:id="53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الکتاب فیکفی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جاءَکُمْ فاسِقٌ بِنَبَإٍ فَتَبَیَّنُوا أَنْ تُصِیبُوا قَوْماً بِجَهالَةٍ فَتُصْبِحُوا عَلی ما فَعَلْتُمْ نادِمِینَ</w:t>
      </w:r>
      <w:r>
        <w:rPr>
          <w:rStyle w:val="FootnoteAnchor"/>
          <w:rtl w:val="true"/>
        </w:rPr>
        <w:footnoteReference w:id="347"/>
      </w:r>
      <w:r>
        <w:rPr>
          <w:rFonts w:ascii="IRNazanin" w:hAnsi="IRNazanin" w:eastAsia="IRNazanin"/>
          <w:color w:val="111111"/>
          <w:sz w:val="28"/>
          <w:sz w:val="28"/>
          <w:szCs w:val="28"/>
          <w:rtl w:val="true"/>
          <w:lang w:bidi="fa-IR"/>
        </w:rPr>
        <w:t xml:space="preserve">لکن الاستدلال لیس بمفهوم الوصف منه حتی یمنع ثبوت مفهوم للوصف، و لا بمفهوم شرطه،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یجئکم فاسق بنبإ فلا تتبیّنوا عن نبأه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یمنع دلالته علی المطلق </w:t>
      </w:r>
      <w:bookmarkStart w:id="536" w:name="pg12850_121336"/>
    </w:p>
    <w:p>
      <w:pPr>
        <w:pStyle w:val="BookText"/>
        <w:rPr/>
      </w:pPr>
      <w:bookmarkEnd w:id="536"/>
      <w:r>
        <w:rPr>
          <w:rFonts w:ascii="IRNazanin" w:hAnsi="IRNazanin" w:eastAsia="IRNazanin"/>
          <w:color w:val="111111"/>
          <w:sz w:val="28"/>
          <w:sz w:val="28"/>
          <w:szCs w:val="28"/>
          <w:rtl w:val="true"/>
          <w:lang w:bidi="fa-IR"/>
        </w:rPr>
        <w:t>لکونه سلبا بانتفاء الموضوع لا المحمول، و لا بضمیمة الأولویة الظنّیة التی هی أوهن بمراتب من الشهرة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یتمسّک بها فی حجّیتها،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الأولویة من رأس بدعوی أنّ المناط و العلّة فی حجّیة الأصل لیس مجرّد إفادة الظنّ</w:t>
      </w:r>
      <w:r>
        <w:rPr>
          <w:rFonts w:eastAsia="IRNazanin" w:cs="IRNazanin"/>
          <w:color w:val="111111"/>
          <w:sz w:val="28"/>
          <w:szCs w:val="28"/>
          <w:rtl w:val="true"/>
          <w:lang w:bidi="fa-IR"/>
        </w:rPr>
        <w:t>.</w:t>
      </w:r>
    </w:p>
    <w:p>
      <w:pPr>
        <w:pStyle w:val="Heading5"/>
        <w:numPr>
          <w:ilvl w:val="4"/>
          <w:numId w:val="1"/>
        </w:numPr>
        <w:rPr/>
      </w:pPr>
      <w:bookmarkStart w:id="537" w:name="__RefHeading___Toc2527396_3224264995"/>
      <w:bookmarkStart w:id="538" w:name="_Toc198"/>
      <w:bookmarkEnd w:id="537"/>
      <w:r>
        <w:rPr>
          <w:rtl w:val="true"/>
        </w:rPr>
        <w:t>[</w:t>
      </w:r>
      <w:r>
        <w:rPr>
          <w:rtl w:val="true"/>
        </w:rPr>
        <w:t>بحث فی مفاد آیة النبأ</w:t>
      </w:r>
      <w:r>
        <w:rPr>
          <w:rtl w:val="true"/>
        </w:rPr>
        <w:t>]</w:t>
      </w:r>
      <w:bookmarkEnd w:id="538"/>
    </w:p>
    <w:p>
      <w:pPr>
        <w:pStyle w:val="BookText"/>
        <w:rPr/>
      </w:pPr>
      <w:r>
        <w:rPr>
          <w:rFonts w:ascii="IRNazanin" w:hAnsi="IRNazanin" w:eastAsia="IRNazanin"/>
          <w:color w:val="111111"/>
          <w:sz w:val="28"/>
          <w:sz w:val="28"/>
          <w:szCs w:val="28"/>
          <w:rtl w:val="true"/>
          <w:lang w:bidi="fa-IR"/>
        </w:rPr>
        <w:t>بل الاستدلال إنّما هو بمنطوق الآیة و مفهومه الموافقة،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سیاق الآیة بالنظر إلی ما یفهم من أشباهها و نظائرها فی المحاورات العرفیة هو اشتراط قبول قول الفاسق بالتبیّن، أو التثبّت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اختلاف 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 من تحصیل الظنّ بصدقه، أو العلم علی ما فی کتب اللغة</w:t>
      </w:r>
      <w:r>
        <w:rPr>
          <w:rStyle w:val="FootnoteAnchor"/>
          <w:rtl w:val="true"/>
        </w:rPr>
        <w:footnoteReference w:id="348"/>
      </w:r>
      <w:r>
        <w:rPr>
          <w:rFonts w:ascii="IRNazanin" w:hAnsi="IRNazanin" w:eastAsia="IRNazanin"/>
          <w:color w:val="111111"/>
          <w:sz w:val="28"/>
          <w:sz w:val="28"/>
          <w:szCs w:val="28"/>
          <w:rtl w:val="true"/>
          <w:lang w:bidi="fa-IR"/>
        </w:rPr>
        <w:t>من تفسیر التبیّن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بطلب ظهوره و وضوحه، و الثبات فی الأمر بالأخذ فیه من غیر تعجیل حذرا عن فعل الجهلاء و السفهاء، و الوقوع بواسطته فی معرض تندیم العقلاء، فلیس المراد التحذیر عن مطلق حصول الندامة؛ فإنّ مجرد حصول الندامة أمر لا ینفکّ عن السالک طریقا لم یوصله إلی الواقع و لو کان طریقا قطعیّا من أقوی طرق الواقع، بل المراد إنّما هو التحذیر عن الوقوع فی معرض تندیم العقلاء و استحقاقه الملامة بواسطة فعل الجهلاء</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فمفاد الآیة حینئذ نظیر مفاد ما هو المتداول فی المحاورات العرفیة من قول التّجار لعمّالهم، و الحکّام لخدّامهم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جاءک کتاب من قبلی فلا تعجل فی الاقتحام علی ما فیه من قبل أن تستظهر واقعیته، من اختتامه بالخاتم، أو بغیره من الأمارات المحصّلة للظنّ بصدقه، حذرا من إیقاع نفسک فی معرض تندیم العقلاء و ملامتهم بواسطة فعل الجهلاء و السفهاء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یفهم من هذا المثال العرفی جواز الأخذ بما فی الکتاب بعد الاستظهار و الاستئمان عن الوقوع فی معرض تندیم العقلاء و ملامتهم بما یصحّ الاعتذار به عندهم لو انکشف الخلاف کذلک </w:t>
      </w:r>
      <w:bookmarkStart w:id="539" w:name="pg12850_121337"/>
    </w:p>
    <w:p>
      <w:pPr>
        <w:pStyle w:val="BookText"/>
        <w:rPr/>
      </w:pPr>
      <w:bookmarkEnd w:id="539"/>
      <w:r>
        <w:rPr>
          <w:rFonts w:ascii="IRNazanin" w:hAnsi="IRNazanin" w:eastAsia="IRNazanin"/>
          <w:color w:val="111111"/>
          <w:sz w:val="28"/>
          <w:sz w:val="28"/>
          <w:szCs w:val="28"/>
          <w:rtl w:val="true"/>
          <w:lang w:bidi="fa-IR"/>
        </w:rPr>
        <w:t>یفهم من الآیة جواز الأخذ بمضمون النبأ بعد الاستظهار و الاستئمان عن وقوعه فی معرض تندیم العقلاء و ملامتهم بما یصحّ اعتذاره به عندهم لو انکشف الخلاف و عدم المصادفة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بظاهره و إن اختصّ بحجّیة الشهرة الروایتیة دون الفتوائیة إلّا أنّ الظاهر من إطلاق التعلیل الحاکم علی ظهور المعلول هو جواز الأخذ بمطلق ما یستأمن به عن تندیم العقلاء، و یستعذر به عن ملامتهم عند کشف الخلاف و عدم المصادفة، سواء کان روایة أو فتوی؛ ضرورة أنّ الأخذ بالمشهور من حیث إنّه مشهور مطلقا لیس ممّا یختصّ بفعل الجهلاء و السفهاء، حتی یکون معرضا لتندیم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من المظنون بل المعلوم عدم مدخلیة حیثیة النبأ، و أنّ المناط و العلّة فی القبول إنّما هو الاستئمان عن تندیم العقلاء و الاستعذار عن ملامتهم لو انکشف الخلاف لا غیر، فیدلّ منطوق الآیة و مفهومها الموافقة بملاحظة ما یفهم من سیاقه و تعلیله فی المحاورات العرفیة علی عدم جواز الأخذ بما لم یستأمن معه من الوقوع فی معرض تندیم العقلاء، و جواز الأخذ بمطلق ما یستأمن معه عن معرضیة تندیمهم، سواء کان روایة أو فتوی، نظیر دلالة حرمة التأفیف للأبوین بمنطوقها و مفهومها الموافقة علی حرمة مطلق الأذیّة</w:t>
      </w:r>
      <w:r>
        <w:rPr>
          <w:rFonts w:eastAsia="IRNazanin" w:cs="IRNazanin"/>
          <w:color w:val="111111"/>
          <w:sz w:val="28"/>
          <w:szCs w:val="28"/>
          <w:rtl w:val="true"/>
          <w:lang w:bidi="fa-IR"/>
        </w:rPr>
        <w:t>.</w:t>
      </w:r>
    </w:p>
    <w:p>
      <w:pPr>
        <w:pStyle w:val="Heading5"/>
        <w:numPr>
          <w:ilvl w:val="4"/>
          <w:numId w:val="1"/>
        </w:numPr>
        <w:rPr/>
      </w:pPr>
      <w:bookmarkStart w:id="540" w:name="__RefHeading___Toc2527398_3224264995"/>
      <w:bookmarkStart w:id="541" w:name="_Toc199"/>
      <w:bookmarkEnd w:id="540"/>
      <w:r>
        <w:rPr>
          <w:rtl w:val="true"/>
        </w:rPr>
        <w:t>[</w:t>
      </w:r>
      <w:r>
        <w:rPr>
          <w:rtl w:val="true"/>
        </w:rPr>
        <w:t>دفع الأوهام عن دلالة الآیة علی حجّیة الشهرة</w:t>
      </w:r>
      <w:r>
        <w:rPr>
          <w:rtl w:val="true"/>
        </w:rPr>
        <w:t>]</w:t>
      </w:r>
      <w:bookmarkEnd w:id="54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وجاهة توجیه دلالة آیة النبأ علی حجّیة الشیاع و الشهرة بهذا التوجیه غیر خفیّ علی من له خبرة بسبک التعابیر، و خصوصیاتها، و ذلک لأنّه؛ إن کان الموهم لمنع دلالتها علیه هو توقّف دلالتها علی أخذ المفهوم المخالف من الوصف أو من التعلیل فقد عرفت من التقریب المذکور دلالة منطوقها الصریح علی عدم جواز الأخذ بقول الفاسق قبل التبیّن، لکونه معرض تندیم العقلاء و إن صادف الواقع، و جواز الأخذ بقوله بعد التبیّن لسلامته عن معرضیة التندیم و الملامة و إن لم یصادف الواقع،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جاءَکُمْ فاسِقٌ بِنَبَإٍ </w:t>
      </w:r>
      <w:bookmarkStart w:id="542" w:name="pg12850_121338"/>
    </w:p>
    <w:p>
      <w:pPr>
        <w:pStyle w:val="BookText"/>
        <w:rPr/>
      </w:pPr>
      <w:bookmarkEnd w:id="542"/>
      <w:r>
        <w:rPr>
          <w:rFonts w:ascii="Amiri" w:hAnsi="Amiri" w:eastAsia="Amiri" w:cs="Amiri"/>
          <w:color w:val="111111"/>
          <w:sz w:val="28"/>
          <w:sz w:val="28"/>
          <w:szCs w:val="28"/>
          <w:rtl w:val="true"/>
          <w:lang w:bidi="ar-SA"/>
        </w:rPr>
        <w:t>فَتَبَیَّنُوا</w:t>
      </w:r>
      <w:r>
        <w:rPr>
          <w:rStyle w:val="FootnoteAnchor"/>
          <w:rtl w:val="true"/>
        </w:rPr>
        <w:footnoteReference w:id="349"/>
      </w:r>
      <w:r>
        <w:rPr>
          <w:rFonts w:ascii="IRNazanin" w:hAnsi="IRNazanin" w:eastAsia="IRNazanin"/>
          <w:color w:val="111111"/>
          <w:sz w:val="28"/>
          <w:sz w:val="28"/>
          <w:szCs w:val="28"/>
          <w:rtl w:val="true"/>
          <w:lang w:bidi="fa-IR"/>
        </w:rPr>
        <w:t>أی إلی أن تستأمنوا بمأمن عقلائیّ یصحّ اعتذار المعتذر به لرفع التندیم و ملامة العقلاء عن نفسه، و لم یقل تعالی لا تعملوا به قبل التبیّن حتی یحتاج دلالته علی العمل به بعد التبیّن إلی أخذ المفهوم المخالف ممّا لا مفهوم له، بل دلالته علی جواز العمل به بعد التبیّن بالمطابقة، و علی عدم جواز العمل به قبله بالملازمة، من قبیل دلالة الأمر بالشی‌ء علی النهی عن ترک ضدّه، لا من قبیل دلالة الوصف أو اللّقب علی المفهوم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الموهم لمنع دلالتها علی حجّیة الشیاع هو توقّف دلالتها علی ضمیمة الأولویة الظنّیة بها فیدفعه أیضا أنّ الأولویة المنضمّة هنا و إن کانت ظنّیة إلّا أنّها من الظنّیات الخاصّة المستندة إلی ظهور الألفاظ، کأولویّة حرمة الضرب من حرمة التأفیف المستند إلی الظاهر فَلا تَقُلْ لَهُما أُفٍ</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 الموهم لمنع دلالتها علی حجیة الشهرة الفتوائیة هو عدم إطلاق النبأ علی الأنباء الحدسیة، أو انصراف إطلاقه عنها، فقد عرفت دفعه فی ما قرّرناه فی مبحث الإجماع المنقول من صحّة الإطلاق، و منع الانصراف بالنقض و الحلّ علی أبلغ وجه، و من شاء راجع فلا نطیل بالإعادة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الموهم لمنع دلالتها علی حجّیة الشهرة هو منع دلالتها علی حجّیة الخبر رأسا فمضافا إلی أنّ الکلام فی حجّیة الشهرة مبنیّ علی تقدیر الفراغ عن حجّیة الخبر، سیأتی رفع هذا الوهم فی محلّه مستقصیا، فانتظره</w:t>
      </w:r>
      <w:r>
        <w:rPr>
          <w:rFonts w:eastAsia="IRNazanin" w:cs="IRNazanin"/>
          <w:color w:val="111111"/>
          <w:sz w:val="28"/>
          <w:szCs w:val="28"/>
          <w:rtl w:val="true"/>
          <w:lang w:bidi="fa-IR"/>
        </w:rPr>
        <w:t>.</w:t>
      </w:r>
    </w:p>
    <w:p>
      <w:pPr>
        <w:pStyle w:val="Heading5"/>
        <w:numPr>
          <w:ilvl w:val="4"/>
          <w:numId w:val="1"/>
        </w:numPr>
        <w:rPr/>
      </w:pPr>
      <w:bookmarkStart w:id="543" w:name="__RefHeading___Toc2527400_3224264995"/>
      <w:bookmarkStart w:id="544" w:name="_Toc200"/>
      <w:bookmarkEnd w:id="543"/>
      <w:r>
        <w:rPr>
          <w:rtl w:val="true"/>
        </w:rPr>
        <w:t>[</w:t>
      </w:r>
      <w:r>
        <w:rPr>
          <w:rtl w:val="true"/>
        </w:rPr>
        <w:t>المحتملات فی مراد مانعی حجّیة الشهرة</w:t>
      </w:r>
      <w:r>
        <w:rPr>
          <w:rtl w:val="true"/>
        </w:rPr>
        <w:t>]</w:t>
      </w:r>
      <w:bookmarkEnd w:id="544"/>
    </w:p>
    <w:p>
      <w:pPr>
        <w:pStyle w:val="BookText"/>
        <w:rPr/>
      </w:pPr>
      <w:r>
        <w:rPr>
          <w:rFonts w:ascii="IRNazanin" w:hAnsi="IRNazanin" w:eastAsia="IRNazanin"/>
          <w:color w:val="111111"/>
          <w:sz w:val="28"/>
          <w:sz w:val="28"/>
          <w:szCs w:val="28"/>
          <w:rtl w:val="true"/>
          <w:lang w:bidi="fa-IR"/>
        </w:rPr>
        <w:t>و إن کان الموهم لمنع دلالتها علی حجّیة الشهرة ما قیل من أنّ اللازم من حجّیة الشهرة الفتوائیة هو عدم حجّیتها، و ما یلزم من وجوده عدمه فهو باطل</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فیدفعه منع الملازمة لاحتمال أن یکون مراد المشهور من عدم حجّیة الشهرة هو </w:t>
      </w:r>
      <w:bookmarkStart w:id="545" w:name="pg12850_121339"/>
    </w:p>
    <w:p>
      <w:pPr>
        <w:pStyle w:val="BookText"/>
        <w:rPr/>
      </w:pPr>
      <w:bookmarkEnd w:id="545"/>
      <w:r>
        <w:rPr>
          <w:rFonts w:ascii="IRNazanin" w:hAnsi="IRNazanin" w:eastAsia="IRNazanin"/>
          <w:color w:val="111111"/>
          <w:sz w:val="28"/>
          <w:sz w:val="28"/>
          <w:szCs w:val="28"/>
          <w:rtl w:val="true"/>
          <w:lang w:bidi="fa-IR"/>
        </w:rPr>
        <w:t>عدم حجّیتها علی تقدیر انفتاح باب العلم، و مراد غیرهم من حجّیتها حجّیتها علی تقدیر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یکون مراد المشهور عدم حجّیتها من باب الأصل، و مراد غیرهم حجّیتها من باب الدلیل الوارد علی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یکون مراد المشهور عدم حجّیتها علی تقدیر عدم إفادتها الظنّ بالواقع أو الوقوف علی فساد مدرکها، و مراد غیرهم هو حجّیتها علی تقدیر حصول الظنّ منها بالواقع و عدم الوقوف علی فساد مدرکها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إمکان منع الملازمة المذکورة بأنّ اللازم من قول المشهور بعدم حجّیة الشهرة المذکورة هو عدم حجّیة قولهم، و ما یلزم من وجوده عدم نفسه فهو باطل لا یصحّ التمسک به، حسبما تعرّضنا لتفصیله، و تفصیل دفع سائر الموهمات الأخر فی رسالة اخری المعقودة لحجّیة الإجماع و الشهرة مستقلّا و من شاء راجعها</w:t>
      </w:r>
      <w:r>
        <w:rPr>
          <w:rFonts w:eastAsia="IRNazanin" w:cs="IRNazanin"/>
          <w:color w:val="111111"/>
          <w:sz w:val="28"/>
          <w:szCs w:val="28"/>
          <w:rtl w:val="true"/>
          <w:lang w:bidi="fa-IR"/>
        </w:rPr>
        <w:t>.</w:t>
      </w:r>
    </w:p>
    <w:p>
      <w:pPr>
        <w:pStyle w:val="Heading5"/>
        <w:numPr>
          <w:ilvl w:val="4"/>
          <w:numId w:val="1"/>
        </w:numPr>
        <w:rPr/>
      </w:pPr>
      <w:bookmarkStart w:id="546" w:name="__RefHeading___Toc2527402_3224264995"/>
      <w:bookmarkStart w:id="547" w:name="_Toc201"/>
      <w:bookmarkEnd w:id="546"/>
      <w:r>
        <w:rPr>
          <w:rtl w:val="true"/>
        </w:rPr>
        <w:t>[</w:t>
      </w:r>
      <w:r>
        <w:rPr>
          <w:rtl w:val="true"/>
        </w:rPr>
        <w:t>الاستدلال بالاخبار علی حجیة الشهرة</w:t>
      </w:r>
      <w:r>
        <w:rPr>
          <w:rtl w:val="true"/>
        </w:rPr>
        <w:t>]</w:t>
      </w:r>
      <w:bookmarkEnd w:id="547"/>
    </w:p>
    <w:p>
      <w:pPr>
        <w:pStyle w:val="BookText"/>
        <w:rPr/>
      </w:pPr>
      <w:r>
        <w:rPr>
          <w:rFonts w:ascii="IRNazanin" w:hAnsi="IRNazanin" w:eastAsia="IRNazanin"/>
          <w:color w:val="111111"/>
          <w:sz w:val="28"/>
          <w:sz w:val="28"/>
          <w:szCs w:val="28"/>
          <w:rtl w:val="true"/>
          <w:lang w:bidi="fa-IR"/>
        </w:rPr>
        <w:t>و أمّا من السنّة فیکفی دلالة الأخبار</w:t>
      </w:r>
      <w:r>
        <w:rPr>
          <w:rStyle w:val="FootnoteAnchor"/>
          <w:rtl w:val="true"/>
        </w:rPr>
        <w:footnoteReference w:id="351"/>
      </w:r>
      <w:r>
        <w:rPr>
          <w:rFonts w:ascii="IRNazanin" w:hAnsi="IRNazanin" w:eastAsia="IRNazanin"/>
          <w:color w:val="111111"/>
          <w:sz w:val="28"/>
          <w:sz w:val="28"/>
          <w:szCs w:val="28"/>
          <w:rtl w:val="true"/>
          <w:lang w:bidi="fa-IR"/>
        </w:rPr>
        <w:t>الدالّة علی حجّیة فتوی الفقیه علی حجّیة فتوی المشهور بالفحوی و الأولویة، و إن أبیت عن دلالتها بأصالة حرمة التقلید و أنّ القدر المتیقّن من مفاد أخبار جوازه هو جوازه بالنسبة إلی العامی الصرف الغیر المتمکّن ممّا عدا التقلید فلا نأبی من الاستدلال علی حجّیة الشهرة الفتوائیة بمقبولة ابن حنظلة</w:t>
      </w:r>
      <w:r>
        <w:rPr>
          <w:rStyle w:val="FootnoteAnchor"/>
          <w:rtl w:val="true"/>
        </w:rPr>
        <w:footnoteReference w:id="352"/>
      </w:r>
      <w:r>
        <w:rPr>
          <w:rFonts w:ascii="IRNazanin" w:hAnsi="IRNazanin" w:eastAsia="IRNazanin"/>
          <w:color w:val="111111"/>
          <w:sz w:val="28"/>
          <w:sz w:val="28"/>
          <w:szCs w:val="28"/>
          <w:rtl w:val="true"/>
          <w:lang w:bidi="fa-IR"/>
        </w:rPr>
        <w:t>، و یتم الاستدلال بها علی تشخیص صحّة سندها و وفاء دلالتها، و بیان عدم معارض لها، فالکلام فیها إذن فی جهات ثلاث</w:t>
      </w:r>
      <w:r>
        <w:rPr>
          <w:rFonts w:eastAsia="IRNazanin" w:cs="IRNazanin"/>
          <w:color w:val="111111"/>
          <w:sz w:val="28"/>
          <w:szCs w:val="28"/>
          <w:rtl w:val="true"/>
          <w:lang w:bidi="fa-IR"/>
        </w:rPr>
        <w:t>:</w:t>
      </w:r>
    </w:p>
    <w:p>
      <w:pPr>
        <w:pStyle w:val="Heading5"/>
        <w:numPr>
          <w:ilvl w:val="4"/>
          <w:numId w:val="1"/>
        </w:numPr>
        <w:rPr/>
      </w:pPr>
      <w:bookmarkStart w:id="548" w:name="__RefHeading___Toc2527404_3224264995"/>
      <w:bookmarkStart w:id="549" w:name="_Toc202"/>
      <w:bookmarkEnd w:id="548"/>
      <w:r>
        <w:rPr>
          <w:rtl w:val="true"/>
        </w:rPr>
        <w:t>[</w:t>
      </w:r>
      <w:r>
        <w:rPr>
          <w:rtl w:val="true"/>
        </w:rPr>
        <w:t>البحث فی سند مقبولة عمر بن حنظلة</w:t>
      </w:r>
      <w:r>
        <w:rPr>
          <w:rtl w:val="true"/>
        </w:rPr>
        <w:t>]</w:t>
      </w:r>
      <w:bookmarkEnd w:id="54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من جهة السند فتفصیله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المقبولة قد رواها المشایخ الثلاثة </w:t>
      </w:r>
      <w:bookmarkStart w:id="550" w:name="pg12850_121340"/>
    </w:p>
    <w:p>
      <w:pPr>
        <w:pStyle w:val="BookText"/>
        <w:rPr/>
      </w:pPr>
      <w:bookmarkEnd w:id="550"/>
      <w:r>
        <w:rPr>
          <w:rFonts w:ascii="IRNazanin" w:hAnsi="IRNazanin" w:eastAsia="IRNazanin"/>
          <w:color w:val="111111"/>
          <w:sz w:val="28"/>
          <w:sz w:val="28"/>
          <w:szCs w:val="28"/>
          <w:rtl w:val="true"/>
          <w:lang w:bidi="fa-IR"/>
        </w:rPr>
        <w:t>الکلینی قدّس سرّه فی الکافی</w:t>
      </w:r>
      <w:r>
        <w:rPr>
          <w:rStyle w:val="FootnoteAnchor"/>
          <w:rtl w:val="true"/>
        </w:rPr>
        <w:footnoteReference w:id="353"/>
      </w:r>
      <w:r>
        <w:rPr>
          <w:rFonts w:ascii="IRNazanin" w:hAnsi="IRNazanin" w:eastAsia="IRNazanin"/>
          <w:color w:val="111111"/>
          <w:sz w:val="28"/>
          <w:sz w:val="28"/>
          <w:szCs w:val="28"/>
          <w:rtl w:val="true"/>
          <w:lang w:bidi="fa-IR"/>
        </w:rPr>
        <w:t>، و الطوسی قدّس سرّه فی التهذیب</w:t>
      </w:r>
      <w:r>
        <w:rPr>
          <w:rStyle w:val="FootnoteAnchor"/>
          <w:rtl w:val="true"/>
        </w:rPr>
        <w:footnoteReference w:id="354"/>
      </w:r>
      <w:r>
        <w:rPr>
          <w:rFonts w:ascii="IRNazanin" w:hAnsi="IRNazanin" w:eastAsia="IRNazanin"/>
          <w:color w:val="111111"/>
          <w:sz w:val="28"/>
          <w:sz w:val="28"/>
          <w:szCs w:val="28"/>
          <w:rtl w:val="true"/>
          <w:lang w:bidi="fa-IR"/>
        </w:rPr>
        <w:t>بإسنادهما عن صفوان الجمّال، عن داود، عن عمر بن حنظلة، عن أبی عبد اللّه علیه السّلام، و الصدوق فی من لا یحضره</w:t>
      </w:r>
      <w:r>
        <w:rPr>
          <w:rStyle w:val="FootnoteAnchor"/>
          <w:rtl w:val="true"/>
        </w:rPr>
        <w:footnoteReference w:id="355"/>
      </w:r>
      <w:r>
        <w:rPr>
          <w:rFonts w:ascii="IRNazanin" w:hAnsi="IRNazanin" w:eastAsia="IRNazanin"/>
          <w:color w:val="111111"/>
          <w:sz w:val="28"/>
          <w:sz w:val="28"/>
          <w:szCs w:val="28"/>
          <w:rtl w:val="true"/>
          <w:lang w:bidi="fa-IR"/>
        </w:rPr>
        <w:t>بإسناده عن الأخیرین دون صفوان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إشکال فی مقبولیة سنده، أمّا من جهة المشایخ فواضح</w:t>
      </w:r>
      <w:r>
        <w:rPr>
          <w:rFonts w:eastAsia="IRNazanin" w:cs="IRNazanin"/>
          <w:color w:val="111111"/>
          <w:sz w:val="28"/>
          <w:szCs w:val="28"/>
          <w:rtl w:val="true"/>
          <w:lang w:bidi="fa-IR"/>
        </w:rPr>
        <w:t>.</w:t>
      </w:r>
    </w:p>
    <w:p>
      <w:pPr>
        <w:pStyle w:val="Heading5"/>
        <w:numPr>
          <w:ilvl w:val="4"/>
          <w:numId w:val="1"/>
        </w:numPr>
        <w:rPr/>
      </w:pPr>
      <w:bookmarkStart w:id="551" w:name="__RefHeading___Toc2527406_3224264995"/>
      <w:bookmarkStart w:id="552" w:name="_Toc203"/>
      <w:bookmarkEnd w:id="551"/>
      <w:r>
        <w:rPr>
          <w:rtl w:val="true"/>
        </w:rPr>
        <w:t>[</w:t>
      </w:r>
      <w:r>
        <w:rPr>
          <w:rtl w:val="true"/>
        </w:rPr>
        <w:t>المراد من کون الراوی من أصحاب الإجماع</w:t>
      </w:r>
      <w:r>
        <w:rPr>
          <w:rtl w:val="true"/>
        </w:rPr>
        <w:t>]</w:t>
      </w:r>
      <w:bookmarkEnd w:id="552"/>
    </w:p>
    <w:p>
      <w:pPr>
        <w:pStyle w:val="BookText"/>
        <w:rPr/>
      </w:pPr>
      <w:r>
        <w:rPr>
          <w:rFonts w:ascii="Amiri" w:hAnsi="Amiri" w:eastAsia="Amiri" w:cs="Amiri"/>
          <w:color w:val="111111"/>
          <w:sz w:val="28"/>
          <w:sz w:val="28"/>
          <w:szCs w:val="28"/>
          <w:rtl w:val="true"/>
          <w:lang w:bidi="ar-SA"/>
        </w:rPr>
        <w:t>و أمّا من جهة صفوان الجمّال</w:t>
      </w:r>
      <w:r>
        <w:rPr>
          <w:rStyle w:val="FootnoteAnchor"/>
          <w:rtl w:val="true"/>
        </w:rPr>
        <w:footnoteReference w:id="356"/>
      </w:r>
      <w:r>
        <w:rPr>
          <w:rFonts w:ascii="IRNazanin" w:hAnsi="IRNazanin" w:eastAsia="IRNazanin"/>
          <w:color w:val="111111"/>
          <w:sz w:val="28"/>
          <w:sz w:val="28"/>
          <w:szCs w:val="28"/>
          <w:rtl w:val="true"/>
          <w:lang w:bidi="fa-IR"/>
        </w:rPr>
        <w:t>فلأنّه من أصحاب الإجماع، مضافا إلی أنّ شدّة تورّعه فی التقوی و الإیمان و الورع أکثر من أن یوصف، و معنی کونه من أصحاب الإجماع و إن احتمل بعض کصاحب المفاتیح و الریاض فی ما حکی عن أواخر ریاضه رجوعه عمّا علیه فی أوائله أنّه الإجماع علی تصدیق ما یروی عنه، إلّا أنّ المشهور المعروف القریب من الاتّفاق عند علماء الرجال أنّ معناه الإجماع علی تصحیح ما یصحّ عنه، أعنی ترتیب آثار الصحّة علی ما صحّ الروایة عنه، لإحراز المجمعین من عادته الغالبة بالاستقراء أنّه لا یروی إلّا ما یعلم صحّته و صدق راویه و لو من القرائن الخارجیة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هذا المقدار من الظنّ الحاصل من الشهرة فی علم الرجال الکفایة فی إثبات أنّ معنی کون الرجل من أصحاب الإجماع هو الإجماع علی تصحیح ما یصحّ عنه، و الحکم بصدور ما یروی عنه عن المعصوم علیه السّلام، و دفع احتمال أن یکون معناه هو مجرّد تصدیقه فی ما یروی مطلقا، أو التفصیل بین أن یکون معنی التصدیق بالنسبة إلی بعض أصحاب الإجماع و التصحیح بالنسبة إلی بعض آخر منهم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 ذلک یسهل الخطب فی المقبولة من جهة داود بن الحصین بسبب ما نقل عن بعض من کونه واقفیا، مع معارضة نقله بما نقل عن الشیخ فی الفهرست</w:t>
      </w:r>
      <w:r>
        <w:rPr>
          <w:rStyle w:val="FootnoteAnchor"/>
          <w:rtl w:val="true"/>
        </w:rPr>
        <w:footnoteReference w:id="357"/>
      </w:r>
      <w:r>
        <w:rPr>
          <w:rFonts w:ascii="IRNazanin" w:hAnsi="IRNazanin" w:eastAsia="IRNazanin"/>
          <w:color w:val="111111"/>
          <w:sz w:val="28"/>
          <w:sz w:val="28"/>
          <w:szCs w:val="28"/>
          <w:rtl w:val="true"/>
          <w:lang w:bidi="fa-IR"/>
        </w:rPr>
        <w:t>من أنّه ثقة صاحب کتب، فإنّ مقتضی الجمع بین النقلین کونه واقفیا موثّقا، و لا ریب عندنا فی عموم أدلّة حجّیة الاخبار لأخبار الموثّق فیکون حجّیة المقبولة من جهتین من جهة تصحیح ما یصحّ عن صفوان، و من جهة توثیق داود ابن الحصین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یسهل الخطب فیها من جهة عمرو بن حنظلة فإنّه و إن صرّح الشهید الثانی</w:t>
      </w:r>
      <w:r>
        <w:rPr>
          <w:rStyle w:val="FootnoteAnchor"/>
          <w:rtl w:val="true"/>
        </w:rPr>
        <w:footnoteReference w:id="358"/>
      </w:r>
      <w:r>
        <w:rPr>
          <w:rFonts w:ascii="IRNazanin" w:hAnsi="IRNazanin" w:eastAsia="IRNazanin"/>
          <w:color w:val="111111"/>
          <w:sz w:val="28"/>
          <w:sz w:val="28"/>
          <w:szCs w:val="28"/>
          <w:rtl w:val="true"/>
          <w:lang w:bidi="fa-IR"/>
        </w:rPr>
        <w:t>بتوثیقه فی بعض الحواشی علی الهوامش إلّا أنّه ضعیف جدّا، من جهة أنّه لم یصرّح أحد بتوثیقه ممّن تقدّم الشهید الثانی فیما یقرب من مضی ألف من الهجرة، بل عدّوه فی طول هذا الزمان فی عداد المهملین، أو المجهولین الحال</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جهة تشنیع صاحب المعالم علی أبیه الشهید الثانی فی بعض کتبه</w:t>
      </w:r>
      <w:r>
        <w:rPr>
          <w:rStyle w:val="FootnoteAnchor"/>
          <w:rtl w:val="true"/>
        </w:rPr>
        <w:footnoteReference w:id="359"/>
      </w:r>
      <w:r>
        <w:rPr>
          <w:rFonts w:ascii="IRNazanin" w:hAnsi="IRNazanin" w:eastAsia="IRNazanin"/>
          <w:color w:val="111111"/>
          <w:sz w:val="28"/>
          <w:sz w:val="28"/>
          <w:szCs w:val="28"/>
          <w:rtl w:val="true"/>
          <w:lang w:bidi="fa-IR"/>
        </w:rPr>
        <w:t xml:space="preserve">باستناده فی توثیق عمرو بن حنظلة إلی خبر لا دلالة فیه علی توثیقه أصلا، و هو خبر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عمّا بلّغه إلینا عمرو بن حنظلة فی تحدید وقت الصلوات،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یکذب</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 xml:space="preserve">نظرا إلی أنّ نفی الکذب عنه فی الحال المذکور مشعر بکذبه فی غیره إن لم یکن مدلّا علیه، و استصحاب نفی الکذب عنه فی اللاحق لا یعیّن صدور المقبولة عنه فی اللاحق دون السابق، و أصالة تأخر المقبولة عن نفی الکذب عنه، مضافا إلی معارضته بأصالة تأخّر نفی </w:t>
      </w:r>
      <w:bookmarkStart w:id="553" w:name="pg12850_121342"/>
    </w:p>
    <w:p>
      <w:pPr>
        <w:pStyle w:val="BookText"/>
        <w:rPr/>
      </w:pPr>
      <w:bookmarkEnd w:id="553"/>
      <w:r>
        <w:rPr>
          <w:rFonts w:ascii="IRNazanin" w:hAnsi="IRNazanin" w:eastAsia="IRNazanin"/>
          <w:color w:val="111111"/>
          <w:sz w:val="28"/>
          <w:sz w:val="28"/>
          <w:szCs w:val="28"/>
          <w:rtl w:val="true"/>
          <w:lang w:bidi="fa-IR"/>
        </w:rPr>
        <w:t>الکذب عن صدور المقبولة مدفوعة بأنّ الجهل بتاریخ إحدی حالتیه مع العلم الإجمالی بصدور بعض الأخبار عنه فی حالة کذبه مانع من اعتبار الأصل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فیکفی فی اعتبار سند الروایة روایته عمّن هو من أصحاب الإجماع</w:t>
      </w:r>
      <w:r>
        <w:rPr>
          <w:rFonts w:eastAsia="IRNazanin" w:cs="IRNazanin"/>
          <w:color w:val="111111"/>
          <w:sz w:val="28"/>
          <w:szCs w:val="28"/>
          <w:rtl w:val="true"/>
          <w:lang w:bidi="fa-IR"/>
        </w:rPr>
        <w:t>.</w:t>
      </w:r>
    </w:p>
    <w:p>
      <w:pPr>
        <w:pStyle w:val="Heading5"/>
        <w:numPr>
          <w:ilvl w:val="4"/>
          <w:numId w:val="1"/>
        </w:numPr>
        <w:rPr/>
      </w:pPr>
      <w:bookmarkStart w:id="554" w:name="__RefHeading___Toc2527408_3224264995"/>
      <w:bookmarkStart w:id="555" w:name="_Toc204"/>
      <w:bookmarkEnd w:id="554"/>
      <w:r>
        <w:rPr>
          <w:rtl w:val="true"/>
        </w:rPr>
        <w:t>[</w:t>
      </w:r>
      <w:r>
        <w:rPr>
          <w:rtl w:val="true"/>
        </w:rPr>
        <w:t>کیفیة الاستدلال بالمقبولة علی حجیة الشهرة</w:t>
      </w:r>
      <w:r>
        <w:rPr>
          <w:rtl w:val="true"/>
        </w:rPr>
        <w:t>]</w:t>
      </w:r>
      <w:bookmarkEnd w:id="555"/>
    </w:p>
    <w:p>
      <w:pPr>
        <w:pStyle w:val="BookText"/>
        <w:rPr/>
      </w:pPr>
      <w:r>
        <w:rPr>
          <w:rFonts w:ascii="IRNazanin" w:hAnsi="IRNazanin" w:eastAsia="IRNazanin"/>
          <w:color w:val="111111"/>
          <w:sz w:val="28"/>
          <w:sz w:val="28"/>
          <w:szCs w:val="28"/>
          <w:rtl w:val="true"/>
          <w:lang w:bidi="fa-IR"/>
        </w:rPr>
        <w:t>و أمّا الکلام فی دلالتها فالظاهر من قوله علیه السّلام بعد فرض السائل تساوی الروایتین فی العدالة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إلی ما کان من روایتهم عنّا فی ذلک الذی حکما به المجمع علیه بین أصحابک فیؤخذ به، و یترک الشاذّ الذی لیس بمشهور عند أصحابک؛ فإنّ المجمع علیه لا ریب فیه</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إلی آخر الروایة الدالّة علی حجّیة مطلق المشهور، روایته کانت مشهورة أو فتواه؟</w:t>
      </w:r>
    </w:p>
    <w:p>
      <w:pPr>
        <w:pStyle w:val="BookText"/>
        <w:rPr/>
      </w:pPr>
      <w:r>
        <w:rPr>
          <w:rFonts w:ascii="IRNazanin" w:hAnsi="IRNazanin" w:eastAsia="IRNazanin"/>
          <w:color w:val="111111"/>
          <w:sz w:val="28"/>
          <w:sz w:val="28"/>
          <w:szCs w:val="28"/>
          <w:rtl w:val="true"/>
          <w:lang w:bidi="fa-IR"/>
        </w:rPr>
        <w:t>لکن الاستظهار لیس من إطلاق الموصول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یردّه التفسیر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اترک الشاذّ الذی لیس بمشهور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یضعّفه ضعف مفهوم الوصف، و أنّه مجرّد إشعار و إنّما هو من عموم التعلیل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للروایة و الفتوی بناء علی کون المراد من المجمع علیه المشهور بالقرائن المذکورة فی المتن، فإنّ مورد التعلیل و إن کان الشهرة فی الروایة إلّا أنّ المورد غیر مخصّص للعموم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العهد الذکریّ خلاف الظاهر من المسبوق بغیر اللفظ المنکّر</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حمله علی العهد الذکری یستلزم الرجوع إلی نوع من المصادرة أو التأکید؛ لرجوعه إلی مثل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بالمجمع علیه لأنه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إن أراد من نفی الریب عنه نفیه عند السائل فهو مفروض الخلاف من </w:t>
      </w:r>
      <w:bookmarkStart w:id="556" w:name="pg12850_121343"/>
    </w:p>
    <w:p>
      <w:pPr>
        <w:pStyle w:val="BookText"/>
        <w:rPr/>
      </w:pPr>
      <w:bookmarkEnd w:id="556"/>
      <w:r>
        <w:rPr>
          <w:rFonts w:ascii="IRNazanin" w:hAnsi="IRNazanin" w:eastAsia="IRNazanin"/>
          <w:color w:val="111111"/>
          <w:sz w:val="28"/>
          <w:sz w:val="28"/>
          <w:szCs w:val="28"/>
          <w:rtl w:val="true"/>
          <w:lang w:bidi="fa-IR"/>
        </w:rPr>
        <w:t>السؤال، و إن أراد منه نفیه عند نفسه تعبّدا فهو مستدرک من التعبّد بأخذ المجمع علیه بدلالة الالتزام، 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التعلیل لا بدّ أن یکون أعمّ من معلوله، بل</w:t>
      </w:r>
    </w:p>
    <w:p>
      <w:pPr>
        <w:pStyle w:val="Heading5"/>
        <w:numPr>
          <w:ilvl w:val="4"/>
          <w:numId w:val="1"/>
        </w:numPr>
        <w:rPr/>
      </w:pPr>
      <w:bookmarkStart w:id="557" w:name="__RefHeading___Toc2527410_3224264995"/>
      <w:bookmarkStart w:id="558" w:name="_Toc205"/>
      <w:bookmarkEnd w:id="557"/>
      <w:r>
        <w:rPr>
          <w:rtl w:val="true"/>
        </w:rPr>
        <w:t>[</w:t>
      </w:r>
      <w:r>
        <w:rPr>
          <w:rtl w:val="true"/>
        </w:rPr>
        <w:t>لا بدّ للتعلیل من زیادة الفائدة علی المعلول عند المخاطب</w:t>
      </w:r>
      <w:r>
        <w:rPr>
          <w:rtl w:val="true"/>
        </w:rPr>
        <w:t>]</w:t>
      </w:r>
      <w:bookmarkEnd w:id="55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التعلیل لا بدّ و أن یفید المخاطب فائدة زائدة علی المعلول، و ذلک لا یحصل إلّا بأعمّیة موضوعه من المعلول أو بمغایرة حکمه لحکم المعلول، و لمّا کان المفروض مساواة نفی الریب عن المجمع علیه تعبّدا لمفاد الأخذ به تعبّدا بدلالة الالتزام، فلا محالة ینحصر فائدة التعلیل فی أعمّیة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الفتوی و الاستنباط أمر مستحدث فی الأزمنة المتأخّرة، لا أقلّ من ندوره فی زمن الصحابة علی وجه یشمله إطلاق التعلیل، لأنّ المتداول الکثیر فی زمن الصحابة هو اقتصارهم علی الروایات غایة تصرّفهم فیها هو النقل بالمعنی</w:t>
      </w:r>
      <w:r>
        <w:rPr>
          <w:rFonts w:eastAsia="IRNazanin" w:cs="IRNazanin"/>
          <w:color w:val="111111"/>
          <w:sz w:val="28"/>
          <w:szCs w:val="28"/>
          <w:rtl w:val="true"/>
          <w:lang w:bidi="fa-IR"/>
        </w:rPr>
        <w:t>.</w:t>
      </w:r>
    </w:p>
    <w:p>
      <w:pPr>
        <w:pStyle w:val="Heading5"/>
        <w:numPr>
          <w:ilvl w:val="4"/>
          <w:numId w:val="1"/>
        </w:numPr>
        <w:rPr/>
      </w:pPr>
      <w:bookmarkStart w:id="559" w:name="__RefHeading___Toc2527412_3224264995"/>
      <w:bookmarkStart w:id="560" w:name="_Toc206"/>
      <w:bookmarkEnd w:id="559"/>
      <w:r>
        <w:rPr>
          <w:rtl w:val="true"/>
        </w:rPr>
        <w:t>[</w:t>
      </w:r>
      <w:r>
        <w:rPr>
          <w:rtl w:val="true"/>
        </w:rPr>
        <w:t>شیوع الفتوی و الاستنباط بین الصحابة</w:t>
      </w:r>
      <w:r>
        <w:rPr>
          <w:rtl w:val="true"/>
        </w:rPr>
        <w:t>]</w:t>
      </w:r>
      <w:bookmarkEnd w:id="560"/>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نمنع ندور الفتوی و ندور تصرّفهم فی الروایات بما عدا النقل بالمعنی بل الفتوی، و تصرّفهم فی العمومات بإعطاء حکم العامّ لکلّ واحد من أفراده، و فی الکلّیات کقاعدة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نحوهما بإعطاء الحکم لکلّ واحد من جزئیّاته حسب ما هو المتداول فی زماننا من غیر فرق، کما صرّح به الاستاذ أیضا، و علی ذلک فلا مانع من تعمیم العموم لکلّ من الشهرتین روایة کانت أو فتوی، و کما یمکن الشهرة فی الروایة فی زمانهم کذلک یمکن الشهرة فی الفتوی، و کما یمکن أن یکون الشهرة الروایة</w:t>
      </w:r>
      <w:r>
        <w:rPr>
          <w:rStyle w:val="FootnoteAnchor"/>
          <w:rtl w:val="true"/>
        </w:rPr>
        <w:footnoteReference w:id="362"/>
      </w:r>
      <w:r>
        <w:rPr>
          <w:rFonts w:ascii="IRNazanin" w:hAnsi="IRNazanin" w:eastAsia="IRNazanin"/>
          <w:color w:val="111111"/>
          <w:sz w:val="28"/>
          <w:sz w:val="28"/>
          <w:szCs w:val="28"/>
          <w:rtl w:val="true"/>
          <w:lang w:bidi="fa-IR"/>
        </w:rPr>
        <w:t>فی طرفی المسألة کذلک الشهرة الفتوائیة یمکن أن یکون فی طرفی المسألة بأقسامه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الشهرة الروایتیة فی أحد طرفی المسألة و الشهرة الفتوائیة فی طرفها الآخر</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الشهرة الفتوائیة فی کلّ من طرفی المسألة بأن یکون کلّ </w:t>
      </w:r>
      <w:bookmarkStart w:id="561" w:name="pg12850_121344"/>
    </w:p>
    <w:p>
      <w:pPr>
        <w:pStyle w:val="BookText"/>
        <w:rPr/>
      </w:pPr>
      <w:bookmarkEnd w:id="561"/>
      <w:r>
        <w:rPr>
          <w:rFonts w:ascii="IRNazanin" w:hAnsi="IRNazanin" w:eastAsia="IRNazanin"/>
          <w:color w:val="111111"/>
          <w:sz w:val="28"/>
          <w:sz w:val="28"/>
          <w:szCs w:val="28"/>
          <w:rtl w:val="true"/>
          <w:lang w:bidi="fa-IR"/>
        </w:rPr>
        <w:t>القائلین بأحد طرفی المسألة قائلین بطرفها الآخر، لأجل تقیّة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الشهرة الفتوائیة علی کلّ من طرفی المسألة، علی معنی أن یکون القائلون بأحد طرفی المسألة مساوین للقائلین بطرفها الآخر فی العدد لا فی الأشخاص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القائلون بأحد طرفیها أقلّ من القائلین بطرفها الآخر بیسیر علی وجه لا یلحق بالشاذّ النادر بالنسبة إلیه بل یصحّ أن یصدق علیهما سؤال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هما معا مشهوران</w:t>
      </w:r>
      <w:r>
        <w:rPr>
          <w:rFonts w:eastAsia="IRNazanin" w:cs="IRNazanin"/>
          <w:color w:val="111111"/>
          <w:sz w:val="28"/>
          <w:szCs w:val="28"/>
          <w:rtl w:val="true"/>
          <w:lang w:bidi="fa-IR"/>
        </w:rPr>
        <w:t>».</w:t>
      </w:r>
    </w:p>
    <w:p>
      <w:pPr>
        <w:pStyle w:val="Heading5"/>
        <w:numPr>
          <w:ilvl w:val="4"/>
          <w:numId w:val="1"/>
        </w:numPr>
        <w:rPr/>
      </w:pPr>
      <w:bookmarkStart w:id="562" w:name="__RefHeading___Toc2527414_3224264995"/>
      <w:bookmarkStart w:id="563" w:name="_Toc207"/>
      <w:bookmarkEnd w:id="562"/>
      <w:r>
        <w:rPr>
          <w:rtl w:val="true"/>
        </w:rPr>
        <w:t>[</w:t>
      </w:r>
      <w:r>
        <w:rPr>
          <w:rtl w:val="true"/>
        </w:rPr>
        <w:t>تمامیة دلالة المقبولة علی حجیة الشهرة الفتوائیة و الروائیة</w:t>
      </w:r>
      <w:r>
        <w:rPr>
          <w:rtl w:val="true"/>
        </w:rPr>
        <w:t>]</w:t>
      </w:r>
      <w:bookmarkEnd w:id="563"/>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وجود الشهرة الفتوائیة فی زمن الصحابة إلّا أنّها ممّا لا تقبل أن تکون فی طرفی المسألة، فقول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معا مشهوران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 شاهد علی أنّ المراد الشهرة الروایتیة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الإیراد و إن أورده الماتن</w:t>
      </w:r>
      <w:r>
        <w:rPr>
          <w:rStyle w:val="FootnoteAnchor"/>
          <w:rtl w:val="true"/>
        </w:rPr>
        <w:footnoteReference w:id="363"/>
      </w:r>
      <w:r>
        <w:rPr>
          <w:rFonts w:ascii="IRNazanin" w:hAnsi="IRNazanin" w:eastAsia="IRNazanin"/>
          <w:color w:val="111111"/>
          <w:sz w:val="28"/>
          <w:sz w:val="28"/>
          <w:szCs w:val="28"/>
          <w:rtl w:val="true"/>
          <w:lang w:bidi="fa-IR"/>
        </w:rPr>
        <w:t>إلّا أنّه مدفوع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کالإیراد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الشهرة لا تفید الظنّ الفعلی حتی یکون قیامها فی طرفی المسألة مستلزما للتعارض بین الظنین الفعلیین الغیر الممکن تعارضهما کالعلمین؛ لأنّه فرع الاجتماع و هو غیر معقول، بل إنّما تفید الظنّ الشأنی الممکن تعارضه و اجتماعه مع ظنّ شأنی آخر، فالتعارض المتصوّر بینهما کالتعارض المتصوّر بین الروایتین تعارض بین الظنّیین لا الظنّین، کما أنّ التعارض بین المتواترین تعارض بین العلمیین لا العلمین حتی یکون غیر معقول، فلا یخفی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الشهرة الروایتیة أعمّ من أن یکون الشهرة فی روایة الروایة، أو فی الإفتاء بها و إن کان راویها واحدا، کما أنّ إشهار الرجل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إشهار وصفه العنوانی، أعنی رجولیة الرجل أو وصف آخر من أوصافه، و منه یعلم دلالة عموم التعلیل فی المقبولة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المجمع </w:t>
      </w:r>
      <w:bookmarkStart w:id="564" w:name="pg12850_121345"/>
    </w:p>
    <w:p>
      <w:pPr>
        <w:pStyle w:val="BookText"/>
        <w:rPr/>
      </w:pPr>
      <w:bookmarkEnd w:id="564"/>
      <w:r>
        <w:rPr>
          <w:rFonts w:ascii="IRNazanin" w:hAnsi="IRNazanin" w:eastAsia="IRNazanin"/>
          <w:color w:val="111111"/>
          <w:sz w:val="28"/>
          <w:sz w:val="28"/>
          <w:szCs w:val="28"/>
          <w:rtl w:val="true"/>
          <w:lang w:bidi="fa-IR"/>
        </w:rPr>
        <w:t>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حجّیة مطلق الشهرة، سواء کانت روائیة أو فتوائیة، و سواء کانت الروایة شهرتها من جهة الروایة أم من جهة الفتوی و العمل بها، کما أنّ الفتوائیة أعمّ من أن یکون کشفها عن الواقع کشفا قطعیّا أو ظنّیا</w:t>
      </w:r>
      <w:r>
        <w:rPr>
          <w:rFonts w:eastAsia="IRNazanin" w:cs="IRNazanin"/>
          <w:color w:val="111111"/>
          <w:sz w:val="28"/>
          <w:szCs w:val="28"/>
          <w:rtl w:val="true"/>
          <w:lang w:bidi="fa-IR"/>
        </w:rPr>
        <w:t>.</w:t>
      </w:r>
    </w:p>
    <w:p>
      <w:pPr>
        <w:pStyle w:val="Heading5"/>
        <w:numPr>
          <w:ilvl w:val="4"/>
          <w:numId w:val="1"/>
        </w:numPr>
        <w:rPr/>
      </w:pPr>
      <w:bookmarkStart w:id="565" w:name="__RefHeading___Toc2527416_3224264995"/>
      <w:bookmarkStart w:id="566" w:name="_Toc208"/>
      <w:bookmarkEnd w:id="565"/>
      <w:r>
        <w:rPr>
          <w:rtl w:val="true"/>
        </w:rPr>
        <w:t>[</w:t>
      </w:r>
      <w:r>
        <w:rPr>
          <w:rtl w:val="true"/>
        </w:rPr>
        <w:t>دفع توهّم اختصاص حجّیتها بصورة الکشف القطعی عن الواقع</w:t>
      </w:r>
      <w:r>
        <w:rPr>
          <w:rtl w:val="true"/>
        </w:rPr>
        <w:t>]</w:t>
      </w:r>
      <w:bookmarkEnd w:id="566"/>
    </w:p>
    <w:p>
      <w:pPr>
        <w:pStyle w:val="BookText"/>
        <w:rPr/>
      </w:pPr>
      <w:r>
        <w:rPr>
          <w:rFonts w:ascii="IRNazanin" w:hAnsi="IRNazanin" w:eastAsia="IRNazanin"/>
          <w:color w:val="111111"/>
          <w:sz w:val="28"/>
          <w:sz w:val="28"/>
          <w:szCs w:val="28"/>
          <w:rtl w:val="true"/>
          <w:lang w:bidi="fa-IR"/>
        </w:rPr>
        <w:t>و دعوی اختصاص حجّیتها بصورة الکشف القطعی عن الواقع، مدفوعة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اختصاصها بتلک الصورة، إن کان من باب التخصیص فالمفروض عدم المخصّص و 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من باب التخصّص، فإن کان سببه غلبة صورة الکشف القطعی علی الوجه الموجب لانصراف إطلاق المشهور إلیه، فهو ممنوع إن لم یکن معکوسا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سببه ظهور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الإجماع المصطلح فیدفعه القرائن المکتنفة به الدالّة علی أنّ المراد منه المشهور لا الإجماع المصطلح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تقابله بالشاذّ النادر الذی لیس بمشهور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المعنی المصطلح للإجماع فی الکشف القطعی اصطلاح مستحدث خاصّ بالاصولیین لا یحمل علیه الصادر عن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المراد منه الإجماع المصطلح لما کان ریب فی بطلان خلافه، مع أنّ الإمام علیه السّلام جعل مقابله ممّا فیه الریب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بیان تمامیة الاستدلال بالمقبولة</w:t>
      </w:r>
      <w:r>
        <w:rPr>
          <w:rFonts w:eastAsia="IRNazanin" w:cs="IRNazanin"/>
          <w:color w:val="111111"/>
          <w:sz w:val="28"/>
          <w:szCs w:val="28"/>
          <w:rtl w:val="true"/>
          <w:lang w:bidi="fa-IR"/>
        </w:rPr>
        <w:t>.</w:t>
      </w:r>
    </w:p>
    <w:p>
      <w:pPr>
        <w:pStyle w:val="Heading5"/>
        <w:numPr>
          <w:ilvl w:val="4"/>
          <w:numId w:val="1"/>
        </w:numPr>
        <w:rPr/>
      </w:pPr>
      <w:bookmarkStart w:id="567" w:name="__RefHeading___Toc2527418_3224264995"/>
      <w:bookmarkStart w:id="568" w:name="_Toc209"/>
      <w:bookmarkEnd w:id="567"/>
      <w:r>
        <w:rPr>
          <w:rtl w:val="true"/>
        </w:rPr>
        <w:t>[</w:t>
      </w:r>
      <w:r>
        <w:rPr>
          <w:rtl w:val="true"/>
        </w:rPr>
        <w:t>الاستدلال بمرفوعة زرارة</w:t>
      </w:r>
      <w:r>
        <w:rPr>
          <w:rtl w:val="true"/>
        </w:rPr>
        <w:t>]</w:t>
      </w:r>
      <w:bookmarkEnd w:id="568"/>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الاستدلال بمرفوعة زرارة</w:t>
      </w:r>
      <w:r>
        <w:rPr>
          <w:rStyle w:val="FootnoteAnchor"/>
          <w:rtl w:val="true"/>
        </w:rPr>
        <w:footnoteReference w:id="364"/>
      </w:r>
      <w:r>
        <w:rPr>
          <w:rFonts w:ascii="IRNazanin" w:hAnsi="IRNazanin" w:eastAsia="IRNazanin"/>
          <w:color w:val="111111"/>
          <w:sz w:val="28"/>
          <w:sz w:val="28"/>
          <w:szCs w:val="28"/>
          <w:rtl w:val="true"/>
          <w:lang w:bidi="fa-IR"/>
        </w:rPr>
        <w:t>المرویة عن العلّامة فی کتاب الغوالی اللآلی لابن جمهور، مرفوعا إلی زرارة فهی و إن کان ضعف سندها مجبورا بموافقتها لسیرة العلماء فی باب التراجیح علی العمل بطبقها فی الترجیح، و بموافقة مضمونها لمضمون المقبولة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فی کلّ من موافقتیها نوع </w:t>
      </w:r>
      <w:bookmarkStart w:id="569" w:name="pg12850_121346"/>
    </w:p>
    <w:p>
      <w:pPr>
        <w:pStyle w:val="BookText"/>
        <w:rPr/>
      </w:pPr>
      <w:bookmarkEnd w:id="569"/>
      <w:r>
        <w:rPr>
          <w:rFonts w:ascii="Amiri" w:hAnsi="Amiri" w:eastAsia="Amiri" w:cs="Amiri"/>
          <w:color w:val="111111"/>
          <w:sz w:val="28"/>
          <w:sz w:val="28"/>
          <w:szCs w:val="28"/>
          <w:rtl w:val="true"/>
          <w:lang w:bidi="ar-SA"/>
        </w:rPr>
        <w:t>تبیّن جابر،</w:t>
      </w:r>
    </w:p>
    <w:p>
      <w:pPr>
        <w:pStyle w:val="Heading5"/>
        <w:numPr>
          <w:ilvl w:val="4"/>
          <w:numId w:val="1"/>
        </w:numPr>
        <w:rPr/>
      </w:pPr>
      <w:bookmarkStart w:id="570" w:name="__RefHeading___Toc2527420_3224264995"/>
      <w:bookmarkStart w:id="571" w:name="_Toc210"/>
      <w:bookmarkEnd w:id="570"/>
      <w:r>
        <w:rPr>
          <w:rtl w:val="true"/>
        </w:rPr>
        <w:t>[</w:t>
      </w:r>
      <w:r>
        <w:rPr>
          <w:rtl w:val="true"/>
        </w:rPr>
        <w:t>وجه مناقشة المحدّث البحرانی فی سند مرفوعة زرارة</w:t>
      </w:r>
      <w:r>
        <w:rPr>
          <w:rtl w:val="true"/>
        </w:rPr>
        <w:t>]</w:t>
      </w:r>
      <w:bookmarkEnd w:id="571"/>
    </w:p>
    <w:p>
      <w:pPr>
        <w:pStyle w:val="BookText"/>
        <w:rPr/>
      </w:pPr>
      <w:r>
        <w:rPr>
          <w:rFonts w:ascii="IRNazanin" w:hAnsi="IRNazanin" w:eastAsia="IRNazanin"/>
          <w:color w:val="111111"/>
          <w:sz w:val="28"/>
          <w:sz w:val="28"/>
          <w:szCs w:val="28"/>
          <w:rtl w:val="true"/>
          <w:lang w:bidi="fa-IR"/>
        </w:rPr>
        <w:t>و مبالغة الماتن فی ضعفها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أنّه ردّها من لیس دأبه الخدشة فی سند الروایات کالمحدّث البحرانی</w:t>
      </w:r>
      <w:r>
        <w:rPr>
          <w:rFonts w:eastAsia="IRNazanin" w:cs="IRNazanin"/>
          <w:color w:val="111111"/>
          <w:sz w:val="28"/>
          <w:szCs w:val="28"/>
          <w:rtl w:val="true"/>
          <w:lang w:bidi="fa-IR"/>
        </w:rPr>
        <w:t>»</w:t>
      </w:r>
      <w:r>
        <w:rPr>
          <w:rStyle w:val="FootnoteAnchor"/>
          <w:rtl w:val="true"/>
        </w:rPr>
        <w:footnoteReference w:id="365"/>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خدشة المحدّث و هو صاحب الحدائق</w:t>
      </w:r>
      <w:r>
        <w:rPr>
          <w:rStyle w:val="FootnoteAnchor"/>
          <w:rtl w:val="true"/>
        </w:rPr>
        <w:footnoteReference w:id="366"/>
      </w:r>
      <w:r>
        <w:rPr>
          <w:rFonts w:ascii="IRNazanin" w:hAnsi="IRNazanin" w:eastAsia="IRNazanin"/>
          <w:color w:val="111111"/>
          <w:sz w:val="28"/>
          <w:sz w:val="28"/>
          <w:szCs w:val="28"/>
          <w:rtl w:val="true"/>
          <w:lang w:bidi="fa-IR"/>
        </w:rPr>
        <w:t>فی سندها إنّما هو من جهة عدم کونها مرویّة فی شی‌ء من جوامع الأخبار التی یزعم قطعیة صدورها و یقتصر فی العمل علی ما فیها و لو کان سنده ضعیفا، دون ما فی غیرها و لو کان صحیحا أعلائیا، لا من جهة شدّة ضعف سندها؛ فإنّ بناءه علی عدم العمل بما لیس فی شی‌ء من جوامع الأخبار المعروفة و لو کان صحیحا أعلائیا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دأبه الخدشة فی السند إنّما هو فی سند ما فی تلک الجوامع، لا مطلق السند حتی یکون خدشته فی سند المرفوعة دلیل مبالغة ضعف 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دلالتها قاصرة عن النهوض إلی اعتبار ما عدا الشهرة الروایتیة ممّا هو محطّ النظر، و محلّ النزاع من الشهرة الفتوائیة حسبما أشار إلی وجه قصور دلالتها فی المتن، فلیس دلالتها کدلالة المقبولة فی وفاء إطلاقها باعتبار الشهرة الفتوائیة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کلّه فی بیان حجّیة الشهرة الفتوائیة الکاشفة عن الواقع بالکشف الظنّی، و قد عرفت بحمد اللّه تعالی إثبات حجّیتها بالخصوص بالأدلّة الاربعة مستقصیا</w:t>
      </w:r>
      <w:r>
        <w:rPr>
          <w:rFonts w:eastAsia="IRNazanin" w:cs="IRNazanin"/>
          <w:color w:val="111111"/>
          <w:sz w:val="28"/>
          <w:szCs w:val="28"/>
          <w:rtl w:val="true"/>
          <w:lang w:bidi="fa-IR"/>
        </w:rPr>
        <w:t>.</w:t>
      </w:r>
    </w:p>
    <w:p>
      <w:pPr>
        <w:pStyle w:val="Heading5"/>
        <w:numPr>
          <w:ilvl w:val="4"/>
          <w:numId w:val="1"/>
        </w:numPr>
        <w:rPr/>
      </w:pPr>
      <w:bookmarkStart w:id="572" w:name="__RefHeading___Toc2527422_3224264995"/>
      <w:bookmarkStart w:id="573" w:name="_Toc211"/>
      <w:bookmarkEnd w:id="572"/>
      <w:r>
        <w:rPr>
          <w:rtl w:val="true"/>
        </w:rPr>
        <w:t>[</w:t>
      </w:r>
      <w:r>
        <w:rPr>
          <w:rtl w:val="true"/>
        </w:rPr>
        <w:t>الشهرة الفتوائیة الکاشفة عن مدرک ظنّی أو قطعی</w:t>
      </w:r>
      <w:r>
        <w:rPr>
          <w:rtl w:val="true"/>
        </w:rPr>
        <w:t>]</w:t>
      </w:r>
      <w:bookmarkEnd w:id="57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الشهرة الفتوائیة الکاشفة بالکشف الظنّی عن مدرک ظنّی أو قطعی فحالها حال الشهرة الفتوائیة الکاشفة بالکشف الظنّی عن نفس الواقع من غیر وساطة مدرک، فی الاختلاف فی حجّیتها علی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البیان البیان، و المختار المختار سواء فرض المکشوف عنه قطعی الدلالة و السند، أو ظنّیهما، أو مختلفهما، ضرورة استتباع النتیجة لأخسّ المقدّمتین، فقطعیّة سند المکشوف عنه </w:t>
      </w:r>
      <w:bookmarkStart w:id="574" w:name="pg12850_121347"/>
    </w:p>
    <w:p>
      <w:pPr>
        <w:pStyle w:val="BookText"/>
        <w:rPr/>
      </w:pPr>
      <w:bookmarkEnd w:id="574"/>
      <w:r>
        <w:rPr>
          <w:rFonts w:ascii="IRNazanin" w:hAnsi="IRNazanin" w:eastAsia="IRNazanin"/>
          <w:color w:val="111111"/>
          <w:sz w:val="28"/>
          <w:sz w:val="28"/>
          <w:szCs w:val="28"/>
          <w:rtl w:val="true"/>
          <w:lang w:bidi="fa-IR"/>
        </w:rPr>
        <w:t>و دلالته لا یصیّرانه مقطوعا بعد ظنّیة سببه الکاشف عنه، فلا فرق بین هذا القسم و سابقه سوی تعلّق الظنّ ثمّة بنفس الواقع و هنا بطریق الواقع</w:t>
      </w:r>
      <w:r>
        <w:rPr>
          <w:rFonts w:eastAsia="IRNazanin" w:cs="IRNazanin"/>
          <w:color w:val="111111"/>
          <w:sz w:val="28"/>
          <w:szCs w:val="28"/>
          <w:rtl w:val="true"/>
          <w:lang w:bidi="fa-IR"/>
        </w:rPr>
        <w:t>.</w:t>
      </w:r>
    </w:p>
    <w:p>
      <w:pPr>
        <w:pStyle w:val="Heading5"/>
        <w:numPr>
          <w:ilvl w:val="4"/>
          <w:numId w:val="1"/>
        </w:numPr>
        <w:rPr/>
      </w:pPr>
      <w:bookmarkStart w:id="575" w:name="__RefHeading___Toc2527424_3224264995"/>
      <w:bookmarkStart w:id="576" w:name="_Toc212"/>
      <w:bookmarkEnd w:id="575"/>
      <w:r>
        <w:rPr>
          <w:rtl w:val="true"/>
        </w:rPr>
        <w:t>[</w:t>
      </w:r>
      <w:r>
        <w:rPr>
          <w:rtl w:val="true"/>
        </w:rPr>
        <w:t>الظن الطریقی و الظن غیر الطریقی</w:t>
      </w:r>
      <w:r>
        <w:rPr>
          <w:rtl w:val="true"/>
        </w:rPr>
        <w:t>]</w:t>
      </w:r>
      <w:bookmarkEnd w:id="576"/>
    </w:p>
    <w:p>
      <w:pPr>
        <w:pStyle w:val="BookText"/>
        <w:rPr/>
      </w:pPr>
      <w:r>
        <w:rPr>
          <w:rFonts w:ascii="IRNazanin" w:hAnsi="IRNazanin" w:eastAsia="IRNazanin"/>
          <w:color w:val="111111"/>
          <w:sz w:val="28"/>
          <w:sz w:val="28"/>
          <w:szCs w:val="28"/>
          <w:rtl w:val="true"/>
          <w:lang w:bidi="fa-IR"/>
        </w:rPr>
        <w:t>و فی کون هذا المقدار من الفرق، فارقا موجبا لحجّیة الظنّ الطریقی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لم نقل بحجّیة ما عداه به کما علیه الفصول</w:t>
      </w:r>
      <w:r>
        <w:rPr>
          <w:rStyle w:val="FootnoteAnchor"/>
          <w:rtl w:val="true"/>
        </w:rPr>
        <w:footnoteReference w:id="367"/>
      </w:r>
      <w:r>
        <w:rPr>
          <w:rFonts w:ascii="IRNazanin" w:hAnsi="IRNazanin" w:eastAsia="IRNazanin"/>
          <w:color w:val="111111"/>
          <w:sz w:val="28"/>
          <w:sz w:val="28"/>
          <w:szCs w:val="28"/>
          <w:rtl w:val="true"/>
          <w:lang w:bidi="fa-IR"/>
        </w:rPr>
        <w:t>و الهدایة</w:t>
      </w:r>
      <w:r>
        <w:rPr>
          <w:rStyle w:val="FootnoteAnchor"/>
          <w:rtl w:val="true"/>
        </w:rPr>
        <w:footnoteReference w:id="368"/>
      </w:r>
      <w:r>
        <w:rPr>
          <w:rFonts w:ascii="IRNazanin" w:hAnsi="IRNazanin" w:eastAsia="IRNazanin"/>
          <w:color w:val="111111"/>
          <w:sz w:val="28"/>
          <w:sz w:val="28"/>
          <w:szCs w:val="28"/>
          <w:rtl w:val="true"/>
          <w:lang w:bidi="fa-IR"/>
        </w:rPr>
        <w:t>أو غیر فارق و لا موجب لحجّیته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بالأدلّة الدالّة علی حجّیة الظنّ الغیر الطریقی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 المظنون الأول و هو فارقیة الظنّ الطریقی عن غیر الطریقی، بإمکان القول بحجّیة الطریقی بالخصوص مطلقا أی و لو لم نقل بحجّیة الغیر الطریقی و لا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فارقیة الظنّ الطریقی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الظنّ بالمدرک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غیره لیس من جهة ما توهم من رجوع الطریقی إلی الخبر المتبیّن الصدق، فیشمله أدلّة حجّیة الخبر المتبیّن صدقه، لاندفاع هذا الوهم بانصراف الخبر کسائر الموضوعات إلی الموضوع الواقعی الذی لا یثبت بما لم یثبت حجّیته، فکیف یشمل حکم الموضوع الواقعی للموضوع المظنون موضوعیته بالظنّ المفروض عدم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آیة النبأ</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بالتقریب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مدخلیة حیث الخبر و النبأ التفصیلی فی حجّیة المتبیّن، و أنّ المناط فی حجّیته هو التبیّن القاطع لمعرضیة تندیم العقلاء سواء تعلّق التبیّن بالخبر التفصیلی المعلوم خبریته، أم تعلّق بالخبر الإجمالی المظنون خبریته، کما فی ما نحن فیه، أم لم یتعلّق بالخبر و المدرک مطلقا، بأن تعلّق بنفس الواقع من غیر وساطة الخبر و المدرک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مفروض کلامنا فی فارقیة الظنّ الطریقی عن الظنّ الغیر الطریقی مبنیّ علی تقدیر عدم حجّیة الظنّ الغیر الطریقی بالخصوص، فلو بنینا علی </w:t>
      </w:r>
      <w:bookmarkStart w:id="577" w:name="pg12850_121348"/>
    </w:p>
    <w:p>
      <w:pPr>
        <w:pStyle w:val="BookText"/>
        <w:rPr/>
      </w:pPr>
      <w:bookmarkEnd w:id="577"/>
      <w:r>
        <w:rPr>
          <w:rFonts w:ascii="IRNazanin" w:hAnsi="IRNazanin" w:eastAsia="IRNazanin"/>
          <w:color w:val="111111"/>
          <w:sz w:val="28"/>
          <w:sz w:val="28"/>
          <w:szCs w:val="28"/>
          <w:rtl w:val="true"/>
          <w:lang w:bidi="fa-IR"/>
        </w:rPr>
        <w:t>استفادة حجّیة مطلق الأمر المتبیّن من الآیة لم یحصل الفرق المفروض، و هو حجّیة الظنّ الطریقی حتی علی تقدیر عدم حجّیة الظنّ الغیر الطریقی، بل الفرق الموعود علیه إنّما هو من جهة انسداد باب العلم فی تشخیص طرق الأحکام و تشخیص خبریة الخبر و سنده، و دفع معارضه و موانعه</w:t>
      </w:r>
      <w:r>
        <w:rPr>
          <w:rFonts w:eastAsia="IRNazanin" w:cs="IRNazanin"/>
          <w:color w:val="111111"/>
          <w:sz w:val="28"/>
          <w:szCs w:val="28"/>
          <w:rtl w:val="true"/>
          <w:lang w:bidi="fa-IR"/>
        </w:rPr>
        <w:t>.</w:t>
      </w:r>
    </w:p>
    <w:p>
      <w:pPr>
        <w:pStyle w:val="Heading5"/>
        <w:numPr>
          <w:ilvl w:val="4"/>
          <w:numId w:val="1"/>
        </w:numPr>
        <w:rPr/>
      </w:pPr>
      <w:bookmarkStart w:id="578" w:name="__RefHeading___Toc2527426_3224264995"/>
      <w:bookmarkStart w:id="579" w:name="_Toc213"/>
      <w:bookmarkEnd w:id="578"/>
      <w:r>
        <w:rPr>
          <w:rtl w:val="true"/>
        </w:rPr>
        <w:t>[</w:t>
      </w:r>
      <w:r>
        <w:rPr>
          <w:rtl w:val="true"/>
        </w:rPr>
        <w:t>السیرة فی تشخیص خبریة الأخبار الموقوفة و المضمرة و جبر الضعف و الإرسال</w:t>
      </w:r>
      <w:r>
        <w:rPr>
          <w:rtl w:val="true"/>
        </w:rPr>
        <w:t>]</w:t>
      </w:r>
      <w:bookmarkEnd w:id="579"/>
    </w:p>
    <w:p>
      <w:pPr>
        <w:pStyle w:val="BookText"/>
        <w:rPr/>
      </w:pPr>
      <w:r>
        <w:rPr>
          <w:rFonts w:ascii="IRNazanin" w:hAnsi="IRNazanin" w:eastAsia="IRNazanin"/>
          <w:color w:val="111111"/>
          <w:sz w:val="28"/>
          <w:sz w:val="28"/>
          <w:szCs w:val="28"/>
          <w:rtl w:val="true"/>
          <w:lang w:bidi="fa-IR"/>
        </w:rPr>
        <w:t>و لهذا استقرّ دیدن المشهور علی تشخیص خبریة الأخبار الموقوفة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المنقولة عن أصحاب المعصومین علی الظنّ بتلقّیها من المعصوم، و فی تشخیص خبریة الأخبار المضمرة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المستندة إلی المضمر کقول الصحابی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الظنّ بإرادته المعصوم، دون من عداه من أقرانه الصحابة؛ لأنّ شأنه الاستناد غالبا إلی المعصوم دون غیره من أصحابه، و کذا فی تشخیص خبریة الأخبار الضعیفة و المرسلة و المعلّقة بالظنون الحاصلة من الشهرات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من استقرار بناء المشهور علی تشخیصهم خبریة الأخبار الموقوفة، و المضمرة، و جبران الأخبار الضعیفة و المرسلة و المعلّقة، بالظنون و الشهرات، حجّیة الظنون الطریقیة بالخصوص مطلقا، أی و لو لم نقل بحجّیة الظنّ الغیر الطریقی، إلّا أن نمنع الظهور بأنّ الظنّ الطریقی لا ینحصر بالظنّ فی خبریة الخبر، و لا فی عدم المانع له بل هو عبارة عن الظنّ بالخبر من جمیع جهاته الثلاث، من جهة السند، و الدلالة، و عدم المعارض و استقرار بناء المشهور علی جبران الأخبار المذکورة بالظنّ إنّما یدلّ علی اعتبار الظنّ من جهة السند فقط، أو مع جهة عدم المعارض أیضا، دون اعتباره من الجهات الثلاث</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ینحصر سبیل منع المانع عن حجّیة الظنّ الطریقی بالخصوص، إما فی فرض الظنّ الطریقی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الظنّ المتعلّق بما عدا الدلالة من جهات الخبر کالظنون الجابرة لضعف الخبر، أو إرساله، أو إضماره، أو ضعفه، أو غیر ذلک من الظنون الجابرة للمجبورات المعلومة بالتفصیل، دون الظنون الجابرة لجمیع جهات </w:t>
      </w:r>
      <w:bookmarkStart w:id="580" w:name="pg12850_121349"/>
    </w:p>
    <w:p>
      <w:pPr>
        <w:pStyle w:val="BookText"/>
        <w:rPr/>
      </w:pPr>
      <w:bookmarkEnd w:id="580"/>
      <w:r>
        <w:rPr>
          <w:rFonts w:ascii="IRNazanin" w:hAnsi="IRNazanin" w:eastAsia="IRNazanin"/>
          <w:color w:val="111111"/>
          <w:sz w:val="28"/>
          <w:sz w:val="28"/>
          <w:szCs w:val="28"/>
          <w:rtl w:val="true"/>
          <w:lang w:bidi="fa-IR"/>
        </w:rPr>
        <w:t>الخبر الثلاث، کما فی ما نحن فیه من الظنون الکاشفة بالکشف الظنّی عن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الفرض خلاف ما صرّح به القائلون بحجّیة الظنّ الطریقی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کالفصول</w:t>
      </w:r>
      <w:r>
        <w:rPr>
          <w:rStyle w:val="FootnoteAnchor"/>
          <w:rtl w:val="true"/>
        </w:rPr>
        <w:footnoteReference w:id="370"/>
      </w:r>
      <w:r>
        <w:rPr>
          <w:rFonts w:ascii="IRNazanin" w:hAnsi="IRNazanin" w:eastAsia="IRNazanin"/>
          <w:color w:val="111111"/>
          <w:sz w:val="28"/>
          <w:sz w:val="28"/>
          <w:szCs w:val="28"/>
          <w:rtl w:val="true"/>
          <w:lang w:bidi="fa-IR"/>
        </w:rPr>
        <w:t>و الهدایة</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الظن الطریقی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الظنّ بطریق الحکم سواء تعلّق بجمیع جهاته الثلاث، أو بما عدا الدلالة من سائر جهاته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فی إثبات جابریة الظنّ للدلالة أیضا حسبما تقرّر بیانه فی مسألة إثبات اللغات بظنون أهل الخبرة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أبیت عن ذلک أیضا کما أبیت عن حجّیة الظنّ الغیر الطریقی بالفرض فلا مناص من اندراج الظنّ الطریقی فی مطلق الظنّ المبتنی اعتباره علی برهان الانسداد و تمامیته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هذا کلّه فی بیان حجّیة ما عدا الشهرة المنضمّة إلی روایة ضعیفة</w:t>
      </w:r>
      <w:r>
        <w:rPr>
          <w:rFonts w:eastAsia="IRNazanin" w:cs="IRNazanin"/>
          <w:color w:val="111111"/>
          <w:sz w:val="28"/>
          <w:szCs w:val="28"/>
          <w:rtl w:val="true"/>
          <w:lang w:bidi="fa-IR"/>
        </w:rPr>
        <w:t>.</w:t>
      </w:r>
    </w:p>
    <w:p>
      <w:pPr>
        <w:pStyle w:val="Heading5"/>
        <w:numPr>
          <w:ilvl w:val="4"/>
          <w:numId w:val="1"/>
        </w:numPr>
        <w:rPr/>
      </w:pPr>
      <w:bookmarkStart w:id="581" w:name="__RefHeading___Toc2527428_3224264995"/>
      <w:bookmarkStart w:id="582" w:name="_Toc214"/>
      <w:bookmarkEnd w:id="581"/>
      <w:r>
        <w:rPr>
          <w:rtl w:val="true"/>
        </w:rPr>
        <w:t>[</w:t>
      </w:r>
      <w:r>
        <w:rPr>
          <w:rtl w:val="true"/>
        </w:rPr>
        <w:t>الشهرة المنضمّة إلی روایة ضعیفة</w:t>
      </w:r>
      <w:r>
        <w:rPr>
          <w:rtl w:val="true"/>
        </w:rPr>
        <w:t>]</w:t>
      </w:r>
      <w:bookmarkEnd w:id="582"/>
    </w:p>
    <w:p>
      <w:pPr>
        <w:pStyle w:val="BookText"/>
        <w:rPr/>
      </w:pPr>
      <w:r>
        <w:rPr>
          <w:rFonts w:ascii="IRNazanin" w:hAnsi="IRNazanin" w:eastAsia="IRNazanin"/>
          <w:color w:val="111111"/>
          <w:sz w:val="28"/>
          <w:sz w:val="28"/>
          <w:szCs w:val="28"/>
          <w:rtl w:val="true"/>
          <w:lang w:bidi="fa-IR"/>
        </w:rPr>
        <w:t>و أمّا الشهرة المنضمّة إلیها فاختلفوا فی حجّیتها بالخصوص و عدم حجّیتها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هو الأول وفاقا للمشهور؛ لما مرّ من دلالة سیاق منطوق آیة النبأ</w:t>
      </w:r>
      <w:r>
        <w:rPr>
          <w:rStyle w:val="FootnoteAnchor"/>
          <w:rtl w:val="true"/>
        </w:rPr>
        <w:footnoteReference w:id="372"/>
      </w:r>
      <w:r>
        <w:rPr>
          <w:rFonts w:ascii="IRNazanin" w:hAnsi="IRNazanin" w:eastAsia="IRNazanin"/>
          <w:color w:val="111111"/>
          <w:sz w:val="28"/>
          <w:sz w:val="28"/>
          <w:szCs w:val="28"/>
          <w:rtl w:val="true"/>
          <w:lang w:bidi="fa-IR"/>
        </w:rPr>
        <w:t>علی حجّیتها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منع دلالتها علیه باستظهار الیقین من التبیّن قد عرفت و ستعرف منعه، بما لا مزید علیه من الأدلّة و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توهّم استلزام حجّیة الشهرة المنضمّة إلی الروایة للدور، بتقریب توقّف حجّیة الشهرة علی حجّیة الروایة و حجّیة الروایة علی حجّیة الشهرة أیضا مدفوع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بالتفکیک و أنّ حجّیة الشهرة موقوفة علی انضمامها بالروایة، لا علی حجّیة الروایة، کما أنّ حجّیة الروایة موقوفة علی انضمامها بالشهرة، لا علی حجّیة الشهرة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 لو سلّمنا التوقّف من الطرفین إلّا أنّ الدور معیّ لا ضیر فیه</w:t>
      </w:r>
      <w:r>
        <w:rPr>
          <w:rFonts w:eastAsia="Amiri" w:cs="Amiri" w:ascii="Amiri" w:hAnsi="Amiri"/>
          <w:color w:val="111111"/>
          <w:sz w:val="28"/>
          <w:szCs w:val="28"/>
          <w:rtl w:val="true"/>
          <w:lang w:bidi="ar-SA"/>
        </w:rPr>
        <w:t xml:space="preserve">. </w:t>
      </w:r>
      <w:bookmarkStart w:id="583" w:name="pg12850_121350"/>
    </w:p>
    <w:p>
      <w:pPr>
        <w:pStyle w:val="Heading5"/>
        <w:numPr>
          <w:ilvl w:val="4"/>
          <w:numId w:val="1"/>
        </w:numPr>
        <w:rPr/>
      </w:pPr>
      <w:bookmarkStart w:id="584" w:name="__RefHeading___Toc2527430_3224264995"/>
      <w:bookmarkStart w:id="585" w:name="_Toc215"/>
      <w:bookmarkEnd w:id="583"/>
      <w:bookmarkEnd w:id="584"/>
      <w:r>
        <w:rPr>
          <w:rtl w:val="true"/>
        </w:rPr>
        <w:t>[</w:t>
      </w:r>
      <w:r>
        <w:rPr>
          <w:rtl w:val="true"/>
        </w:rPr>
        <w:t>حجّیة الروایة المنضمّة إلی الشهرة لا الشهرة المنضمة إلیها</w:t>
      </w:r>
      <w:r>
        <w:rPr>
          <w:rtl w:val="true"/>
        </w:rPr>
        <w:t>]</w:t>
      </w:r>
      <w:bookmarkEnd w:id="585"/>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کلام فی أصل الحجّیة و إنّما الکلام فی أنّ الحجّة هی الشهرة المنضمّة إلی الروایة، کما علیه صاحب الریاض، أو الروایة المنضمّة إلی الشهرة، کما علیه المشهور؟ وجهان، أقربهما الثانی، و ذلک لما عرفت من أنّ المندرج فی النبأ المتبیّن عنه هو الخبر المنجبر بالشهرة، لا الشهرة المنضمّة إلی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قال بحجّیة الشهرة المجرّدة بأحد الأدلّة الأربعة المتقدّمة له لزمه القول بحجّیة الشهرة المنضمّة إلی الروایة بالخصوص أیضا بالأولویّة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بعدم حجّیة الشهرة المجرّدة فلا وجه لحجّیة الشهرة المنضمّة إلی الروایة أصلا، سوی ما قد یوجّه به منع ملازمة القول بحجّیة الشهرة للقول بعدم حجّیتها من منع حجّیة الشهرة المجرّدة، لا المنضمّة إلی روایة، و لکن قد عرفت عدم توقّف منع الملازمة علی هذا التوجیه و أنّ لمنعها وجوه أخر</w:t>
      </w:r>
      <w:r>
        <w:rPr>
          <w:rFonts w:eastAsia="IRNazanin" w:cs="IRNazanin"/>
          <w:color w:val="111111"/>
          <w:sz w:val="28"/>
          <w:szCs w:val="28"/>
          <w:rtl w:val="true"/>
          <w:lang w:bidi="fa-IR"/>
        </w:rPr>
        <w:t>.</w:t>
      </w:r>
    </w:p>
    <w:p>
      <w:pPr>
        <w:pStyle w:val="Heading5"/>
        <w:numPr>
          <w:ilvl w:val="4"/>
          <w:numId w:val="1"/>
        </w:numPr>
        <w:rPr/>
      </w:pPr>
      <w:bookmarkStart w:id="586" w:name="__RefHeading___Toc2527432_3224264995"/>
      <w:bookmarkStart w:id="587" w:name="_Toc216"/>
      <w:bookmarkEnd w:id="586"/>
      <w:r>
        <w:rPr>
          <w:rtl w:val="true"/>
        </w:rPr>
        <w:t>[</w:t>
      </w:r>
      <w:r>
        <w:rPr>
          <w:rtl w:val="true"/>
        </w:rPr>
        <w:t>الثمرة بین القولین</w:t>
      </w:r>
      <w:r>
        <w:rPr>
          <w:rtl w:val="true"/>
        </w:rPr>
        <w:t>]</w:t>
      </w:r>
      <w:bookmarkEnd w:id="587"/>
    </w:p>
    <w:p>
      <w:pPr>
        <w:pStyle w:val="BookText"/>
        <w:rPr/>
      </w:pPr>
      <w:r>
        <w:rPr>
          <w:rFonts w:ascii="IRNazanin" w:hAnsi="IRNazanin" w:eastAsia="IRNazanin"/>
          <w:color w:val="111111"/>
          <w:sz w:val="28"/>
          <w:sz w:val="28"/>
          <w:szCs w:val="28"/>
          <w:rtl w:val="true"/>
          <w:lang w:bidi="fa-IR"/>
        </w:rPr>
        <w:t>ثمّ إنّه تظهر الثمرة بین القول بحجّیة الشهرة المنضمّة إلی الروایة، و بین القول بحجّیة الروایة المنجبرة بها فی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العمل بمضمون الشهرة المنضمّة إلی الخبر الموقوف علی تقدیر حجّیة الشهرة المنضمّة دون تقدیر العکس، و المراد من الخبر الموقوف الموقوف صدوره علی غیر الإمام ممّن کان شأنه الأخذ من الإمام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جواز العمل بالشهرة المنضمّة إلی ذلک علی التقدیر الأوّل فلعدم الفرق بین الموقوف و المرفوع فی کون کلّ منهما محتمل الصدور عن المعصوم، مع أنّ اللازم علی هذا القول الاکتفاء فی حجّیة الشهرة بمطلق الضمیمة المخرجة إیّاها عن التجرّد من غیر مدخلیة الصدور عن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أورد فی المناهل علی ما نقل عن أبیه من ردّه الخبر الموقوف المنضمّ إلیه الشهرة فی موضع من الریاض بأن اللازم علی قوله بحجّیة الشهرة المنضمّة إلی الروایة هو الاکتفاء بمطلق الضمیمة المخرجة إیّاها عن التجرّد، و ذلک لأنّ حامله علی اعتبار الضمیمة فی </w:t>
      </w:r>
      <w:bookmarkStart w:id="588" w:name="pg12850_121351"/>
    </w:p>
    <w:p>
      <w:pPr>
        <w:pStyle w:val="BookText"/>
        <w:rPr/>
      </w:pPr>
      <w:bookmarkEnd w:id="588"/>
      <w:r>
        <w:rPr>
          <w:rFonts w:ascii="IRNazanin" w:hAnsi="IRNazanin" w:eastAsia="IRNazanin"/>
          <w:color w:val="111111"/>
          <w:sz w:val="28"/>
          <w:sz w:val="28"/>
          <w:szCs w:val="28"/>
          <w:rtl w:val="true"/>
          <w:lang w:bidi="fa-IR"/>
        </w:rPr>
        <w:t>حجّیة الشهرة هو منع استلزام القول بحجّیة الشهرة للقول بعدم حجّیتها بحمل إرادة المانع علی منع حجّیة الشهرة المجرّدة، و لا ریب أنّ مقتضاه الاکتفاء بمطلق الضمیمة من غیر مدخلیة نسبة الضمیمة إلی المعصوم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جواز العمل بالشهرة علی التقدیر الثانی، أعنی تقدیر حجّیة الروایة المنجبرة بالشهرة لا الشهرة المنضمّة إلیها فلعدم تحقّق مناط حجّیة الأخبار، و هو الاشتمال علی نقل الحجّة و هو قول المعصوم فی الأخبار الموقوفة، ضرورة أنّ الخبر الموقوف لیس مستندا إلی المعصوم صریحا فلیس فی الحقیقة خبرا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العمل بجمیع فقرات الروایة الضعیفة علی تقدیر حجّیة المنجبر و عدم جواز العمل بما عدا معقد الشهرة من سائر فقراته علی تقدیر حجّیة الجابر، دون المنجبر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ذلک أنّ الشهرة و إن قامت علی بعض فقرات الخبر إلّا أنّها علی التقدیر الأول لما کانت نوعا من التبیّن المشروط به اعتبار الخبر کان مجرّد حصولها کاف فی اعتبار مجموع فقراته بعد فرض الملازمة بینهما فی الصدق من الخارج، بخلافها علی تقدیر العکس، فإنّها لمّا لم تکن شرطا بل کانت مشروطة بضمیمة الخبر لم یبق وجه لاعتبار مجموع الفقرات و إن فرض الملازمة بینهما فی الصدق، فإنّ الملازمة فی الصدق إنّما تجدی سرایة اعتبار بعض الفقرات إلی اعتبار کلّها لو کان اعتبار البعض من جهة الصدق، لا من جهة اعتبار 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Heading5"/>
        <w:numPr>
          <w:ilvl w:val="4"/>
          <w:numId w:val="1"/>
        </w:numPr>
        <w:rPr/>
      </w:pPr>
      <w:bookmarkStart w:id="589" w:name="__RefHeading___Toc2527434_3224264995"/>
      <w:bookmarkStart w:id="590" w:name="_Toc217"/>
      <w:bookmarkEnd w:id="589"/>
      <w:r>
        <w:rPr>
          <w:rtl w:val="true"/>
        </w:rPr>
        <w:t>[</w:t>
      </w:r>
      <w:r>
        <w:rPr>
          <w:rtl w:val="true"/>
        </w:rPr>
        <w:t>جواز العمل بکل ما طابق الشهرة من فقرات کتاب فقه الرضا علیه السلام علی تقدیر حجّیة الشهرة الجابرة و عدمه علی القول الآخر</w:t>
      </w:r>
      <w:r>
        <w:rPr>
          <w:rtl w:val="true"/>
        </w:rPr>
        <w:t>]</w:t>
      </w:r>
      <w:bookmarkEnd w:id="59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العمل بکلّ ما طابق الشهرة من فقرات کتاب فقه الرضا علیه السّلام علی تقدیر حجّیة الشهرة الجابرة، و عدم جواز العمل بشی‌ء من فقراته علی تقدیر حجّیة الخبر المنجبر بها، ضرورة أنّ الجابر لضعف سند الخبر هی الشهرة الناشئة عن العمل بالخبر، لا مجرّد الشهرة المتّفق مصادفتها للروایة و لم یعلم من </w:t>
      </w:r>
      <w:bookmarkStart w:id="591" w:name="pg12850_121352"/>
    </w:p>
    <w:p>
      <w:pPr>
        <w:pStyle w:val="BookText"/>
        <w:rPr/>
      </w:pPr>
      <w:bookmarkEnd w:id="591"/>
      <w:r>
        <w:rPr>
          <w:rFonts w:ascii="IRNazanin" w:hAnsi="IRNazanin" w:eastAsia="IRNazanin"/>
          <w:color w:val="111111"/>
          <w:sz w:val="28"/>
          <w:sz w:val="28"/>
          <w:szCs w:val="28"/>
          <w:rtl w:val="true"/>
          <w:lang w:bidi="fa-IR"/>
        </w:rPr>
        <w:t>المتقدّمین استناد عملهم إلی فقه الرضا الذین بعملهم یتحقق جبران ضعف السند، لأنّ مبدأ حدوث المعرفة بکتاب فقه الرضا علیه السّلام إنّما نشأ من سبط المحقّق الثانی، و إن احتمل معرفة المتقدّمین به أیضا و صدور شهرتهم من العمل به أیضا، إلّا أنّ مجرّد احتمال عملهم به غیر کاف فی جبران ضعف سنده إلّا علی ما سیأتی آنفا</w:t>
      </w:r>
      <w:r>
        <w:rPr>
          <w:rFonts w:eastAsia="IRNazanin" w:cs="IRNazanin"/>
          <w:color w:val="111111"/>
          <w:sz w:val="28"/>
          <w:szCs w:val="28"/>
          <w:rtl w:val="true"/>
          <w:lang w:bidi="fa-IR"/>
        </w:rPr>
        <w:t>.</w:t>
      </w:r>
    </w:p>
    <w:p>
      <w:pPr>
        <w:pStyle w:val="Heading5"/>
        <w:numPr>
          <w:ilvl w:val="4"/>
          <w:numId w:val="1"/>
        </w:numPr>
        <w:rPr/>
      </w:pPr>
      <w:bookmarkStart w:id="592" w:name="__RefHeading___Toc2527436_3224264995"/>
      <w:bookmarkStart w:id="593" w:name="_Toc218"/>
      <w:bookmarkEnd w:id="592"/>
      <w:r>
        <w:rPr>
          <w:rtl w:val="true"/>
        </w:rPr>
        <w:t>[</w:t>
      </w:r>
      <w:r>
        <w:rPr>
          <w:rtl w:val="true"/>
        </w:rPr>
        <w:t>محصّل الکلام فی بحث الشهرة</w:t>
      </w:r>
      <w:r>
        <w:rPr>
          <w:rtl w:val="true"/>
        </w:rPr>
        <w:t>]</w:t>
      </w:r>
      <w:bookmarkEnd w:id="593"/>
    </w:p>
    <w:p>
      <w:pPr>
        <w:pStyle w:val="BookText"/>
        <w:rPr/>
      </w:pPr>
      <w:r>
        <w:rPr>
          <w:rFonts w:ascii="IRNazanin" w:hAnsi="IRNazanin" w:eastAsia="IRNazanin"/>
          <w:color w:val="111111"/>
          <w:sz w:val="28"/>
          <w:sz w:val="28"/>
          <w:szCs w:val="28"/>
          <w:rtl w:val="true"/>
          <w:lang w:bidi="fa-IR"/>
        </w:rPr>
        <w:t>و محصّل الکلام فی تفصیل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الشهرة الکاشفة بالکشف الظنّی عن معقدها إمّا أن تنعقد علی الدلیل و المدلول، أعنی الروایة و الحکم، أو علی الدلیل دون المدلول، أو علی المدلول دون الدلیل، أو علی الدلالة دون طرفیها، و علی کلّ من هذه الأقسام الأربعة إمّا أن تنطبق علی مجموع الدلیل، أعنی الروایة، أو علی بعض فقرات لفظه، أو علی بعض أفراد مضمونه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الشهرة فی القسمین الأوّلین المسمّاة بالشهرة السندیة و الروایتیة فلا إشکال فی اعتبار معقدها لاندراج ذلک المعقد فی النبأ المتبیّن عنه، و مقتضاه اعتبار مقدار ما هو معقد الشهرة من الروایة إن مجموعا فمجموع، و إن أبعاضا فأبعاض، و إن أفرادا فأفراد، إلّا أن یفرض الملازمة الخارجیة بین ذلک البعض و سائر الأبعاض، أو ذلک الفرد و سائر الأفراد و کان المفروض اعتبار الشهرة من باب اعتبار الروایة المنجبرة بالشهرة لا من باب العکس، و إلّا فلا یتعدّی عن اعتبار ما هو معقد الشهرة من مقدار الروایة إلی سائر أبعاض ذلک المعقد، أو أفراد مضمونه و إن فرض وجود الملازمة الخارجیة بینهما، فإنّ فرض الملازمة علی تقدیر اعتبار الشهرة المنضمّة إلی الروایة دون تقدیر العکس إنّما یجدی اعتبار اللازم من سائر الأبعاض أو الأفراد من باب الملازمة، لا من باب نفس اعتبار الشهرة کما کان یجدی اعتباره من باب نفس اعتبار الروایة علی التقدیر الآخر</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لا إشکال عندنا فی عدم الدلیل علی اعتبار معقد الشهرة الدلالتیة فضلا عن اعتبار غیر معقده، نظرا إلی أنّ اعتبار الظنّ بالمراد إنّما هو إذا حصل من </w:t>
      </w:r>
      <w:bookmarkStart w:id="594" w:name="pg12850_121353"/>
    </w:p>
    <w:p>
      <w:pPr>
        <w:pStyle w:val="BookText"/>
        <w:rPr/>
      </w:pPr>
      <w:bookmarkEnd w:id="594"/>
      <w:r>
        <w:rPr>
          <w:rFonts w:ascii="IRNazanin" w:hAnsi="IRNazanin" w:eastAsia="IRNazanin"/>
          <w:color w:val="111111"/>
          <w:sz w:val="28"/>
          <w:sz w:val="28"/>
          <w:szCs w:val="28"/>
          <w:rtl w:val="true"/>
          <w:lang w:bidi="fa-IR"/>
        </w:rPr>
        <w:t>عموم أو إطلاق أو غیرهما من القرائن الداخلیة لا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دلیل أیضا علی اعتبار معقد الشهرة فی القسم الثالث، أعنی المصادفة لمضمون الروایة الضعیفة المسمّاة بالشهرة المضمونیة، لکن لا للبناء علی أنّ المراد من التبیّن المنوط به اعتبار نبأ الفاسق خصوص التبیّن العلمی حتی یستظهر منه تعمیمه التبیّن الظنّی أیضا بل إنّما هو للبناء علی أنّ التبیّن المنوط به اعتبار النبأ هو التبیّن عن مطابقة مضمون النبأ للواقع من حیث إنّه نبأ صادر عن الحجّة، لا من حیث إنّه مطابق للواقع و لو لم یصدر عن الحجّة بل کان من حیث الإنباء و الصدور عن الحجّة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المنوط به اعتبار النبأ هو التبیّن عن الحکم من حیث دلیله المفروض کونه نبأ، لا من حیث مطابقته للواقع و إن کان دلیله کذبا مجعولا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یستظهر من آیة النبأ</w:t>
      </w:r>
      <w:r>
        <w:rPr>
          <w:rStyle w:val="FootnoteAnchor"/>
          <w:rtl w:val="true"/>
        </w:rPr>
        <w:footnoteReference w:id="373"/>
      </w:r>
      <w:r>
        <w:rPr>
          <w:rFonts w:ascii="IRNazanin" w:hAnsi="IRNazanin" w:eastAsia="IRNazanin"/>
          <w:color w:val="111111"/>
          <w:sz w:val="28"/>
          <w:sz w:val="28"/>
          <w:szCs w:val="28"/>
          <w:rtl w:val="true"/>
          <w:lang w:bidi="fa-IR"/>
        </w:rPr>
        <w:t>إناطة اعتبار النبأ بأیّ واحد من قسمی التبیّن، أو من الغلبة ملازمة مطابقة الحکم للواقع لمطابقة دلیله للواقع أیضا، نظرا إلی أنّ الأخبار المجعولة بالنسبة إلی الأخبار الغیر المجعولة أقلّ قلیل سیما فی أحکام الفروع فإنّ أغلب دواعی الجعالة إنّما هو جعل الأحکام علی خلاف الواقع لا جعل الأدلّة علی خلافه، علی وجه یوافق حکمها للواقع</w:t>
      </w:r>
      <w:r>
        <w:rPr>
          <w:rFonts w:eastAsia="IRNazanin" w:cs="IRNazanin"/>
          <w:color w:val="111111"/>
          <w:sz w:val="28"/>
          <w:szCs w:val="28"/>
          <w:rtl w:val="true"/>
          <w:lang w:bidi="fa-IR"/>
        </w:rPr>
        <w:t>.</w:t>
      </w:r>
    </w:p>
    <w:p>
      <w:pPr>
        <w:pStyle w:val="Heading5"/>
        <w:numPr>
          <w:ilvl w:val="4"/>
          <w:numId w:val="1"/>
        </w:numPr>
        <w:rPr/>
      </w:pPr>
      <w:bookmarkStart w:id="595" w:name="__RefHeading___Toc2527438_3224264995"/>
      <w:bookmarkStart w:id="596" w:name="_Toc219"/>
      <w:bookmarkEnd w:id="595"/>
      <w:r>
        <w:rPr>
          <w:rtl w:val="true"/>
        </w:rPr>
        <w:t>[</w:t>
      </w:r>
      <w:r>
        <w:rPr>
          <w:rtl w:val="true"/>
        </w:rPr>
        <w:t>تجرّد الدعوی من دواعی الکذب و الجعل عند العقلاء یوجب القبول من الفاسق</w:t>
      </w:r>
      <w:r>
        <w:rPr>
          <w:rtl w:val="true"/>
        </w:rPr>
        <w:t>]</w:t>
      </w:r>
      <w:bookmarkEnd w:id="59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استظهار إناطة اعتبار النّبأ بأیّ واحد من قسمی التبیّن من نفس الآیة و إن کان ضعیفا مبنیّا علی اعتبار الأولویة الظنّیة أو مفهوم التعلیل و اللقب إلّا أنّ استظهاره من ضمیمة الغلبة المذکورة قویّ فی النظر، و مرضیّ استاذنا العلّامة دام ظلّه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جعل الأدلّة علی خلاف الواقع علی الوجه الموافق حکمها للواقع ممّا لا داعی للکذب فیه عند العقلاء، و کلّما تجرّد من الدعاوی عن دواعی الکذب و الجعل عند العقلاء فهو مقبول من الفاسق، أمّا الصغری فبالوجدان، و أمّا </w:t>
      </w:r>
      <w:bookmarkStart w:id="597" w:name="pg12850_121354"/>
    </w:p>
    <w:p>
      <w:pPr>
        <w:pStyle w:val="BookText"/>
        <w:rPr/>
      </w:pPr>
      <w:bookmarkEnd w:id="597"/>
      <w:r>
        <w:rPr>
          <w:rFonts w:ascii="IRNazanin" w:hAnsi="IRNazanin" w:eastAsia="IRNazanin"/>
          <w:color w:val="111111"/>
          <w:sz w:val="28"/>
          <w:sz w:val="28"/>
          <w:szCs w:val="28"/>
          <w:rtl w:val="true"/>
          <w:lang w:bidi="fa-IR"/>
        </w:rPr>
        <w:t>الکبری فلأنّ المانع إن کان مجرّد فسقه و لو علم بصدقه فهو ضروریّ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احتمال سهوه و نسیانه، فهو مدفوع بندوره و مخالفته الأصل و 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احتمال تعمّده الکذب فالمفروض عدم الداعی العقلائیّ له علی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المانع هو عدم المقتضی لقبول قوله فهو مدفوع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بقبول قوله المتبیّن، و قبول إقراره علی نفسه، و قد صرّحوا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ملک شیئا ملک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العموم الشامل لإقرار الفاسق</w:t>
      </w:r>
      <w:r>
        <w:rPr>
          <w:rFonts w:eastAsia="IRNazanin" w:cs="IRNazanin"/>
          <w:color w:val="111111"/>
          <w:sz w:val="28"/>
          <w:szCs w:val="28"/>
          <w:rtl w:val="true"/>
          <w:lang w:bidi="fa-IR"/>
        </w:rPr>
        <w:t>.</w:t>
      </w:r>
    </w:p>
    <w:p>
      <w:pPr>
        <w:pStyle w:val="Heading5"/>
        <w:numPr>
          <w:ilvl w:val="4"/>
          <w:numId w:val="1"/>
        </w:numPr>
        <w:rPr/>
      </w:pPr>
      <w:bookmarkStart w:id="598" w:name="__RefHeading___Toc2527440_3224264995"/>
      <w:bookmarkStart w:id="599" w:name="_Toc220"/>
      <w:bookmarkEnd w:id="598"/>
      <w:r>
        <w:rPr>
          <w:rtl w:val="true"/>
        </w:rPr>
        <w:t>[</w:t>
      </w:r>
      <w:r>
        <w:rPr>
          <w:rtl w:val="true"/>
        </w:rPr>
        <w:t>دلالة منطوق آیة النبأ علی قبول قول الفاسق بعد التبیّن</w:t>
      </w:r>
      <w:r>
        <w:rPr>
          <w:rtl w:val="true"/>
        </w:rPr>
        <w:t>]</w:t>
      </w:r>
      <w:bookmarkEnd w:id="599"/>
    </w:p>
    <w:p>
      <w:pPr>
        <w:pStyle w:val="BookText"/>
        <w:rPr/>
      </w:pPr>
      <w:r>
        <w:rPr>
          <w:rFonts w:ascii="IRNazanin" w:hAnsi="IRNazanin" w:eastAsia="IRNazanin"/>
          <w:color w:val="111111"/>
          <w:sz w:val="28"/>
          <w:sz w:val="28"/>
          <w:szCs w:val="28"/>
          <w:rtl w:val="true"/>
          <w:lang w:bidi="fa-IR"/>
        </w:rPr>
        <w:t>و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عرفت من دلالة منطوق آیة النبأ</w:t>
      </w:r>
      <w:r>
        <w:rPr>
          <w:rStyle w:val="FootnoteAnchor"/>
          <w:rtl w:val="true"/>
        </w:rPr>
        <w:footnoteReference w:id="374"/>
      </w:r>
      <w:r>
        <w:rPr>
          <w:rFonts w:ascii="IRNazanin" w:hAnsi="IRNazanin" w:eastAsia="IRNazanin"/>
          <w:color w:val="111111"/>
          <w:sz w:val="28"/>
          <w:sz w:val="28"/>
          <w:szCs w:val="28"/>
          <w:rtl w:val="true"/>
          <w:lang w:bidi="fa-IR"/>
        </w:rPr>
        <w:t>علی قبول قوله بعد التبیّن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بناء الأصحاب علی حجّیة الأخبار الضعیفة المجبورة بالشهرة و تصریحهم باستناد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عدم داعی الکذب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ما عدا الشهرة الدلالتیّة و الغیر المفیدة للظنّ من سائر أقسام الشهرة جمیعا، و جبران ضعف سند الروایات بما عدا الغیر المفیدة للظنّ من سائر أنواع الشهرة جمیعا حتی بالشهرة المضمونیة حسبما ذکر</w:t>
      </w:r>
      <w:r>
        <w:rPr>
          <w:rFonts w:eastAsia="IRNazanin" w:cs="IRNazanin"/>
          <w:color w:val="111111"/>
          <w:sz w:val="28"/>
          <w:szCs w:val="28"/>
          <w:rtl w:val="true"/>
          <w:lang w:bidi="fa-IR"/>
        </w:rPr>
        <w:t>.</w:t>
      </w:r>
    </w:p>
    <w:p>
      <w:pPr>
        <w:pStyle w:val="Heading5"/>
        <w:numPr>
          <w:ilvl w:val="4"/>
          <w:numId w:val="1"/>
        </w:numPr>
        <w:rPr/>
      </w:pPr>
      <w:bookmarkStart w:id="600" w:name="__RefHeading___Toc2527442_3224264995"/>
      <w:bookmarkStart w:id="601" w:name="_Toc221"/>
      <w:bookmarkEnd w:id="600"/>
      <w:r>
        <w:rPr>
          <w:rtl w:val="true"/>
        </w:rPr>
        <w:t>[</w:t>
      </w:r>
      <w:r>
        <w:rPr>
          <w:rtl w:val="true"/>
        </w:rPr>
        <w:t>تعارض شهرة القدماء لشهرة المتأخرین</w:t>
      </w:r>
      <w:r>
        <w:rPr>
          <w:rtl w:val="true"/>
        </w:rPr>
        <w:t>]</w:t>
      </w:r>
      <w:bookmarkEnd w:id="60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تعارض شهرة القدماء لشهرة المتأخّرین ففی ترجیح أیّهما علی الآخر وجوه،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ما إذا تعلّقتا بالسند فیرجّح شهرة المتقدّمین علی المتأخرین، و بین ما إذا تعلقتا بالدلالة فبالعکس فیرجّح شهرة القدماء من حیث المنقول؛ لکونهم أقرب إلی زمن المعصوم، و أمکن من تحصیل القرائن الموجبة للقطع، و أطلع علی الأخبار و الآثار و حال الرجال فی الجرح و التعدیل، </w:t>
      </w:r>
      <w:bookmarkStart w:id="602" w:name="pg12850_121355"/>
    </w:p>
    <w:p>
      <w:pPr>
        <w:pStyle w:val="BookText"/>
        <w:rPr/>
      </w:pPr>
      <w:bookmarkEnd w:id="602"/>
      <w:r>
        <w:rPr>
          <w:rFonts w:ascii="IRNazanin" w:hAnsi="IRNazanin" w:eastAsia="IRNazanin"/>
          <w:color w:val="111111"/>
          <w:sz w:val="28"/>
          <w:sz w:val="28"/>
          <w:szCs w:val="28"/>
          <w:rtl w:val="true"/>
          <w:lang w:bidi="fa-IR"/>
        </w:rPr>
        <w:t xml:space="preserve">و یرجّح شهرة المتأخرین من حیث المعقول؛ لکونهم أدقّ نظرا و أعرف بوجوه الاستنباط و مجاری الاصول و القواعد و قد ورد فی تعلیل النهی عن تغییر الناقل اسلوب الحدیث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حامل فقه إلی من هو أفقه منه</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3" w:name="__RefHeading___Toc2527444_3224264995"/>
      <w:bookmarkStart w:id="604" w:name="_Toc222"/>
      <w:bookmarkEnd w:id="603"/>
      <w:r>
        <w:rPr>
          <w:rtl w:val="true"/>
        </w:rPr>
        <w:t>[</w:t>
      </w:r>
      <w:r>
        <w:rPr>
          <w:rtl w:val="true"/>
        </w:rPr>
        <w:t>تقدیم شهرة المتأخرین</w:t>
      </w:r>
      <w:r>
        <w:rPr>
          <w:rtl w:val="true"/>
        </w:rPr>
        <w:t>]</w:t>
      </w:r>
      <w:bookmarkEnd w:id="604"/>
    </w:p>
    <w:p>
      <w:pPr>
        <w:pStyle w:val="BookText"/>
        <w:rPr/>
      </w:pPr>
      <w:r>
        <w:rPr>
          <w:rFonts w:ascii="IRNazanin" w:hAnsi="IRNazanin" w:eastAsia="IRNazanin"/>
          <w:color w:val="111111"/>
          <w:sz w:val="28"/>
          <w:sz w:val="28"/>
          <w:szCs w:val="28"/>
          <w:rtl w:val="true"/>
          <w:lang w:bidi="fa-IR"/>
        </w:rPr>
        <w:t xml:space="preserve">و لکنّ التحقیق ما ارتضاه استاذنا العلّامة من أنّ الترجیح لشهرة المتأخرین مطلقا، بل لا تعارض لشهرة القدماء معها؛ و ذلک لأنّ شهرة الآخر من قبیل الحاکم علی شهرة الأوائل و المزیل لها، فکأنّ شهرة الأواخر بمدلوله و لسانه متعرّض لبیان حال شهرة الأوائل و لا عکس، کما أنّ عموم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بمدلوله اللفظی متعرّض لبیان حال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تخصیص عمومها و لا عکس</w:t>
      </w:r>
      <w:r>
        <w:rPr>
          <w:rFonts w:eastAsia="IRNazanin" w:cs="IRNazanin"/>
          <w:color w:val="111111"/>
          <w:sz w:val="28"/>
          <w:szCs w:val="28"/>
          <w:rtl w:val="true"/>
          <w:lang w:bidi="fa-IR"/>
        </w:rPr>
        <w:t>.</w:t>
      </w:r>
    </w:p>
    <w:p>
      <w:pPr>
        <w:pStyle w:val="Heading5"/>
        <w:numPr>
          <w:ilvl w:val="4"/>
          <w:numId w:val="1"/>
        </w:numPr>
        <w:rPr/>
      </w:pPr>
      <w:bookmarkStart w:id="605" w:name="__RefHeading___Toc2527446_3224264995"/>
      <w:bookmarkStart w:id="606" w:name="_Toc223"/>
      <w:bookmarkEnd w:id="605"/>
      <w:r>
        <w:rPr>
          <w:rtl w:val="true"/>
        </w:rPr>
        <w:t>[</w:t>
      </w:r>
      <w:r>
        <w:rPr>
          <w:rtl w:val="true"/>
        </w:rPr>
        <w:t>تعریض بما فی الفصول و القوانین فی هذا الباب</w:t>
      </w:r>
      <w:r>
        <w:rPr>
          <w:rtl w:val="true"/>
        </w:rPr>
        <w:t>]</w:t>
      </w:r>
      <w:bookmarkEnd w:id="606"/>
    </w:p>
    <w:p>
      <w:pPr>
        <w:pStyle w:val="BookText"/>
        <w:rPr/>
      </w:pPr>
      <w:r>
        <w:rPr>
          <w:rFonts w:ascii="IRNazanin" w:hAnsi="IRNazanin" w:eastAsia="IRNazanin"/>
          <w:color w:val="111111"/>
          <w:sz w:val="28"/>
          <w:sz w:val="28"/>
          <w:szCs w:val="28"/>
          <w:rtl w:val="true"/>
          <w:lang w:bidi="fa-IR"/>
        </w:rPr>
        <w:t>و أمّا ما فی الفصول</w:t>
      </w:r>
      <w:r>
        <w:rPr>
          <w:rStyle w:val="FootnoteAnchor"/>
          <w:rtl w:val="true"/>
        </w:rPr>
        <w:footnoteReference w:id="376"/>
      </w:r>
      <w:r>
        <w:rPr>
          <w:rFonts w:ascii="IRNazanin" w:hAnsi="IRNazanin" w:eastAsia="IRNazanin"/>
          <w:color w:val="111111"/>
          <w:sz w:val="28"/>
          <w:sz w:val="28"/>
          <w:szCs w:val="28"/>
          <w:rtl w:val="true"/>
          <w:lang w:bidi="fa-IR"/>
        </w:rPr>
        <w:t>و القوانین</w:t>
      </w:r>
      <w:r>
        <w:rPr>
          <w:rStyle w:val="FootnoteAnchor"/>
          <w:rtl w:val="true"/>
        </w:rPr>
        <w:footnoteReference w:id="377"/>
      </w:r>
      <w:r>
        <w:rPr>
          <w:rFonts w:ascii="IRNazanin" w:hAnsi="IRNazanin" w:eastAsia="IRNazanin"/>
          <w:color w:val="111111"/>
          <w:sz w:val="28"/>
          <w:sz w:val="28"/>
          <w:szCs w:val="28"/>
          <w:rtl w:val="true"/>
          <w:lang w:bidi="fa-IR"/>
        </w:rPr>
        <w:t>من تقویتهما الرجوع إلی ما یکون الظنّ معه أقوی المختلف باختلاف الموارد و المقامات، إذ ربّ مشهور لا أصل له فی مقام، و لا مناصّ عنه فی مقام آخر، تخریج للمسألة عمّا هو وظیفة سائر مسائل الاصول من البحث عن کلّ منهما مع الغضّ عن الخصوصیات الخارجیة المختلفة باختلاف الموارد و المقامات، فوظیفة الکلام فی المسألة علی الوجه الموظّف فی سائر مسائل الاصول هو فرض التساوی بین الشهرتین من کلّ جهة إلّا التقدّم و التأخّر</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المسألة تنبیه آخر قد تعرّضنا لتفصیله فی رسالتنا المتقدّمة المشتملة علی مبحث الإجماع و الشهرة بالاستقلال، و من شاء راجع، فلا نطیل بالإعادة</w:t>
      </w:r>
      <w:r>
        <w:rPr>
          <w:rFonts w:eastAsia="IRNazanin" w:cs="IRNazanin"/>
          <w:color w:val="111111"/>
          <w:sz w:val="28"/>
          <w:szCs w:val="28"/>
          <w:rtl w:val="true"/>
          <w:lang w:bidi="fa-IR"/>
        </w:rPr>
        <w:t xml:space="preserve">. </w:t>
      </w:r>
      <w:bookmarkStart w:id="607" w:name="pg12850_121356"/>
    </w:p>
    <w:p>
      <w:pPr>
        <w:pStyle w:val="BookText"/>
        <w:rPr/>
      </w:pPr>
      <w:bookmarkEnd w:id="607"/>
      <w:r>
        <w:rPr>
          <w:rFonts w:ascii="Amiri" w:hAnsi="Amiri" w:eastAsia="Amiri" w:cs="Amiri"/>
          <w:color w:val="111111"/>
          <w:sz w:val="28"/>
          <w:sz w:val="28"/>
          <w:szCs w:val="28"/>
          <w:rtl w:val="true"/>
          <w:lang w:bidi="ar-SA"/>
        </w:rPr>
        <w:t>بسم اللّه الرّحمن الرّحیم</w:t>
      </w:r>
    </w:p>
    <w:p>
      <w:pPr>
        <w:pStyle w:val="Heading5"/>
        <w:numPr>
          <w:ilvl w:val="4"/>
          <w:numId w:val="1"/>
        </w:numPr>
        <w:rPr/>
      </w:pPr>
      <w:bookmarkStart w:id="608" w:name="__RefHeading___Toc2527448_3224264995"/>
      <w:bookmarkStart w:id="609" w:name="_Toc224"/>
      <w:bookmarkEnd w:id="608"/>
      <w:r>
        <w:rPr>
          <w:rtl w:val="true"/>
        </w:rPr>
        <w:t>الکلام فی الأخبار</w:t>
      </w:r>
      <w:bookmarkEnd w:id="609"/>
    </w:p>
    <w:p>
      <w:pPr>
        <w:pStyle w:val="Heading6"/>
        <w:numPr>
          <w:ilvl w:val="5"/>
          <w:numId w:val="1"/>
        </w:numPr>
        <w:rPr/>
      </w:pPr>
      <w:bookmarkStart w:id="610" w:name="__RefHeading___Toc2527450_3224264995"/>
      <w:bookmarkStart w:id="611" w:name="_Toc225"/>
      <w:bookmarkEnd w:id="610"/>
      <w:r>
        <w:rPr>
          <w:rtl w:val="true"/>
        </w:rPr>
        <w:t>[</w:t>
      </w:r>
      <w:r>
        <w:rPr>
          <w:rtl w:val="true"/>
        </w:rPr>
        <w:t>جهات البحث فی الأخبار</w:t>
      </w:r>
      <w:r>
        <w:rPr>
          <w:rtl w:val="true"/>
        </w:rPr>
        <w:t>]</w:t>
      </w:r>
      <w:bookmarkEnd w:id="611"/>
    </w:p>
    <w:p>
      <w:pPr>
        <w:pStyle w:val="BookText"/>
        <w:rPr/>
      </w:pPr>
      <w:r>
        <w:rPr>
          <w:rFonts w:ascii="IRNazanin" w:hAnsi="IRNazanin" w:eastAsia="IRNazanin"/>
          <w:color w:val="111111"/>
          <w:sz w:val="28"/>
          <w:sz w:val="28"/>
          <w:szCs w:val="28"/>
          <w:rtl w:val="true"/>
          <w:lang w:bidi="fa-IR"/>
        </w:rPr>
        <w:t>و للکلام فیها جهات و حیثیّات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جهة الراوی یسمّی بعلم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الروایة یسمّی بعلم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الدلالة یسمّی بأحد العلوم الأدبیة من اللغة و البیان و غیرهما علی اختلاف جهة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الحکم علیه بالحجّیة و عدم الحجّیة یسمی بالاصول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الاقتصار علی التکلّم فیها من الجهة الأخیرة فقط و إن کان هو محطّ النظر الأصلیّ الموضوع له هذه الرسالة إلّا أنّ العراء الکلّی عن سائر الجهات و الإغماض عنها بالمرّة ممّا لا ینبغی، مع أنّ ارتباط بعض جهات الکلام من الجهة الأخیرة بسائر الجهات لا محالة یستدعی التعرّض هنا لبعض الکلام فی سائر الجهات علی وجه التبعیة و الإجمال، لیتّضح به الحال و إن لم یکن هنا للتفصیل مجال فإنّ ما لا یدرک کلّه لا یترک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إذن فی مطالب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تشخیص الفرق بین جهتی علم الرجال و الدرایة، و هو من جهات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منهما و إن تکلّم فی الخبر من حیث سنده إلّا أنّ تکلّم أهل الرجال من حیث الراوی و الدرایة من حیث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تکلّم الرجال من حیث تشخیص الصغریات فعلا، ککون الراوی الفلانی موثّقا عادلا أم </w:t>
      </w:r>
      <w:bookmarkStart w:id="612" w:name="pg12850_121357"/>
    </w:p>
    <w:p>
      <w:pPr>
        <w:pStyle w:val="BookText"/>
        <w:rPr/>
      </w:pPr>
      <w:bookmarkEnd w:id="612"/>
      <w:r>
        <w:rPr>
          <w:rFonts w:ascii="IRNazanin" w:hAnsi="IRNazanin" w:eastAsia="IRNazanin"/>
          <w:color w:val="111111"/>
          <w:sz w:val="28"/>
          <w:sz w:val="28"/>
          <w:szCs w:val="28"/>
          <w:rtl w:val="true"/>
          <w:lang w:bidi="fa-IR"/>
        </w:rPr>
        <w:t>لا، و تکلّم أهل الدرایة من حیث تشخیص الکبریات الکلّیة المعلّقة علی فرض تحقّق صغریاتها، ککون الروایة إذا کانت کذا یعنی موثّقة أو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فحکمه کذا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منهما و إن تکلّم فی السند إلّا أنّ تکلّم الرجال منحصر فی جهة السند، و الدرایة کما یشتمل علی التکلّم من جهة السند کذلک یشتمل علی التکلّم فیها من جهة المتن، و من جهة أنحاء تحمّل الحدیث، و من جهة بیان آداب النقل للحدیث، و من هنا یعلم أنّ النسبة بین علم الرجال و الدرایة عموم مطلق، و العموم من طرف الدرایة</w:t>
      </w:r>
      <w:r>
        <w:rPr>
          <w:rFonts w:eastAsia="IRNazanin" w:cs="IRNazanin"/>
          <w:color w:val="111111"/>
          <w:sz w:val="28"/>
          <w:szCs w:val="28"/>
          <w:rtl w:val="true"/>
          <w:lang w:bidi="fa-IR"/>
        </w:rPr>
        <w:t>.</w:t>
      </w:r>
    </w:p>
    <w:p>
      <w:pPr>
        <w:pStyle w:val="Heading6"/>
        <w:numPr>
          <w:ilvl w:val="5"/>
          <w:numId w:val="1"/>
        </w:numPr>
        <w:rPr/>
      </w:pPr>
      <w:bookmarkStart w:id="613" w:name="__RefHeading___Toc2527452_3224264995"/>
      <w:bookmarkStart w:id="614" w:name="_Toc226"/>
      <w:bookmarkEnd w:id="613"/>
      <w:r>
        <w:rPr>
          <w:rtl w:val="true"/>
        </w:rPr>
        <w:t>[</w:t>
      </w:r>
      <w:r>
        <w:rPr>
          <w:rtl w:val="true"/>
        </w:rPr>
        <w:t>بعض أقسام الخبر</w:t>
      </w:r>
      <w:r>
        <w:rPr>
          <w:rtl w:val="true"/>
        </w:rPr>
        <w:t>]</w:t>
      </w:r>
      <w:bookmarkEnd w:id="614"/>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أقسام الخبر،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ینقسم الخبر باعتبار حال المخبر کثرة و قلّة إلی متواتر و غیر متواتر،</w:t>
      </w:r>
    </w:p>
    <w:p>
      <w:pPr>
        <w:pStyle w:val="Heading6"/>
        <w:numPr>
          <w:ilvl w:val="5"/>
          <w:numId w:val="1"/>
        </w:numPr>
        <w:rPr/>
      </w:pPr>
      <w:bookmarkStart w:id="615" w:name="__RefHeading___Toc2527454_3224264995"/>
      <w:bookmarkStart w:id="616" w:name="_Toc227"/>
      <w:bookmarkEnd w:id="615"/>
      <w:r>
        <w:rPr>
          <w:rtl w:val="true"/>
        </w:rPr>
        <w:t>[</w:t>
      </w:r>
      <w:r>
        <w:rPr>
          <w:rtl w:val="true"/>
        </w:rPr>
        <w:t>تعریف الخبر المتواتر</w:t>
      </w:r>
      <w:r>
        <w:rPr>
          <w:rtl w:val="true"/>
        </w:rPr>
        <w:t>]</w:t>
      </w:r>
      <w:bookmarkEnd w:id="616"/>
    </w:p>
    <w:p>
      <w:pPr>
        <w:pStyle w:val="BookText"/>
        <w:rPr/>
      </w:pPr>
      <w:r>
        <w:rPr>
          <w:rFonts w:ascii="IRNazanin" w:hAnsi="IRNazanin" w:eastAsia="IRNazanin"/>
          <w:color w:val="111111"/>
          <w:sz w:val="28"/>
          <w:sz w:val="28"/>
          <w:szCs w:val="28"/>
          <w:rtl w:val="true"/>
          <w:lang w:bidi="fa-IR"/>
        </w:rPr>
        <w:t>و المتواتر علی ما عن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خبر جماعة یفید بنفسه العلم بصدقه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احترز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عن خبر جماعة علم بصدقهم بالقرائن الزائدة علی الأحوال التی لا تکون فی الخبر و المخبر و المخبر عنه، فإنّه لا یسمّی متواترا، و أمّا إذا علم صدقهم بالقرائن الراجعة إلی الامور المذکورة کلّا أو بعضا سمّی متواترا، فالقرائن الداخلة فی الخبر و المخبر و المخبر عنه راجعة إلی خصوصیة الخبر، فلا یقدح اعتبارها فی العلم، و لهذا یختلف عدد التواتر باختلاف الأحوال ضعفا و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المراد من إفادته العلم إفادته العلم شأنا، أعنی لو خلّی و طبعه، فلا ینافی تواتر الخبر عدم إفادته العلم فعلا لو عارضه معارض، أو مانع من الموانع الخارجیة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اشکل علی حدّهم المذکور، بصدقه مع قلّة المخبرین، کما إذا کانوا ثلاثة و حصل العلم بخبرهم بضمیمة القرائن الداخلة لقوّتها، مع أنّه لا یسمّی عرفا متواترا، إذ الظاهر اعتبار استناد العلم إلی کثرة المخبرین</w:t>
      </w:r>
      <w:r>
        <w:rPr>
          <w:rFonts w:eastAsia="IRNazanin" w:cs="IRNazanin"/>
          <w:color w:val="111111"/>
          <w:sz w:val="28"/>
          <w:szCs w:val="28"/>
          <w:rtl w:val="true"/>
          <w:lang w:bidi="fa-IR"/>
        </w:rPr>
        <w:t xml:space="preserve">. </w:t>
      </w:r>
      <w:bookmarkStart w:id="617" w:name="pg12850_121358"/>
    </w:p>
    <w:p>
      <w:pPr>
        <w:pStyle w:val="BookText"/>
        <w:rPr/>
      </w:pPr>
      <w:bookmarkEnd w:id="617"/>
      <w:r>
        <w:rPr>
          <w:rFonts w:ascii="IRNazanin" w:hAnsi="IRNazanin" w:eastAsia="IRNazanin"/>
          <w:color w:val="111111"/>
          <w:sz w:val="28"/>
          <w:sz w:val="28"/>
          <w:szCs w:val="28"/>
          <w:rtl w:val="true"/>
          <w:lang w:bidi="fa-IR"/>
        </w:rPr>
        <w:t>و یمکن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بالأحوال الداخلة الأحوال التی تکون فی أغلب الأخبار عادة، و یمنع حصول العلم من أغلب الأخبار عادة إلّا بضمیمة الکثرة</w:t>
      </w:r>
      <w:r>
        <w:rPr>
          <w:rFonts w:eastAsia="IRNazanin" w:cs="IRNazanin"/>
          <w:color w:val="111111"/>
          <w:sz w:val="28"/>
          <w:szCs w:val="28"/>
          <w:rtl w:val="true"/>
          <w:lang w:bidi="fa-IR"/>
        </w:rPr>
        <w:t>.</w:t>
      </w:r>
    </w:p>
    <w:p>
      <w:pPr>
        <w:pStyle w:val="Heading6"/>
        <w:numPr>
          <w:ilvl w:val="5"/>
          <w:numId w:val="1"/>
        </w:numPr>
        <w:rPr/>
      </w:pPr>
      <w:bookmarkStart w:id="618" w:name="__RefHeading___Toc2527456_3224264995"/>
      <w:bookmarkStart w:id="619" w:name="_Toc228"/>
      <w:bookmarkEnd w:id="618"/>
      <w:r>
        <w:rPr>
          <w:rtl w:val="true"/>
        </w:rPr>
        <w:t>[</w:t>
      </w:r>
      <w:r>
        <w:rPr>
          <w:rtl w:val="true"/>
        </w:rPr>
        <w:t>اشکال صاحب القوانین علی التمثیل للمتواتر و دفعه</w:t>
      </w:r>
      <w:r>
        <w:rPr>
          <w:rtl w:val="true"/>
        </w:rPr>
        <w:t>]</w:t>
      </w:r>
      <w:bookmarkEnd w:id="619"/>
    </w:p>
    <w:p>
      <w:pPr>
        <w:pStyle w:val="BookText"/>
        <w:rPr/>
      </w:pPr>
      <w:r>
        <w:rPr>
          <w:rFonts w:ascii="IRNazanin" w:hAnsi="IRNazanin" w:eastAsia="IRNazanin"/>
          <w:color w:val="111111"/>
          <w:sz w:val="28"/>
          <w:sz w:val="28"/>
          <w:szCs w:val="28"/>
          <w:rtl w:val="true"/>
          <w:lang w:bidi="fa-IR"/>
        </w:rPr>
        <w:t>و قد أشکل صاحب القوانین إشکالا آخر علی تمثیلهم للمتواتر بتسامع الهند و الصین و حاتم و نحوها من الأمثلة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العلم الحاصل منها إنّما هو من جهة التسامع و التضافر، و عدم المخالف، لا من جهة التواتر، لأنّا لم نسمع ذلک إلّا من أهل عصرنا و لم یرووا لنا عن سلفهم أصلا فضلا عن عدد یحصل به التواتر، و ذلک و إن لم یستلزم عدم حصول التواتر فی نفس الأمر إلّا أنّ علمنا لم یحصل من جهته، بل الظاهر أنّه من إجماع أهل العصر و عدم نقل مخالف عمّن سلف، و ذلک نظیر الإجماع علی المسألة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الأمثلة التی تذکر فی الباب من هذا القبیل، و لیس من باب التواتر، و کم من 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المثال المناسب بهذا العصر نقل زلزلة تتّفق فی بلد و یتضافر المشاهدون لها فی الإخبار عنها حتی یحصل القطع بها</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مدفوع بما أشار إلیه الفصول من أنّ تحقیق التواتر فی الأمثلة التی ذکرها و نظائرها ممّا لا مجال لإنکاره، و دعوی استناد العلم فیها إلی مجرّد الاتّفاق ممّا لا إشکال فی فساده، و منشأ هذا الوهم عدم الفرق بین نفس التواتر و بین الطریق الموصل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حقّقه الفصول</w:t>
      </w:r>
      <w:r>
        <w:rPr>
          <w:rStyle w:val="FootnoteAnchor"/>
          <w:rtl w:val="true"/>
        </w:rPr>
        <w:footnoteReference w:id="379"/>
      </w:r>
      <w:r>
        <w:rPr>
          <w:rFonts w:ascii="IRNazanin" w:hAnsi="IRNazanin" w:eastAsia="IRNazanin"/>
          <w:color w:val="111111"/>
          <w:sz w:val="28"/>
          <w:sz w:val="28"/>
          <w:szCs w:val="28"/>
          <w:rtl w:val="true"/>
          <w:lang w:bidi="fa-IR"/>
        </w:rPr>
        <w:t>بأبلغ وجه</w:t>
      </w:r>
      <w:r>
        <w:rPr>
          <w:rFonts w:eastAsia="IRNazanin" w:cs="IRNazanin"/>
          <w:color w:val="111111"/>
          <w:sz w:val="28"/>
          <w:szCs w:val="28"/>
          <w:rtl w:val="true"/>
          <w:lang w:bidi="fa-IR"/>
        </w:rPr>
        <w:t>.</w:t>
      </w:r>
    </w:p>
    <w:p>
      <w:pPr>
        <w:pStyle w:val="Heading6"/>
        <w:numPr>
          <w:ilvl w:val="5"/>
          <w:numId w:val="1"/>
        </w:numPr>
        <w:rPr/>
      </w:pPr>
      <w:bookmarkStart w:id="620" w:name="__RefHeading___Toc2527458_3224264995"/>
      <w:bookmarkStart w:id="621" w:name="_Toc229"/>
      <w:bookmarkEnd w:id="620"/>
      <w:r>
        <w:rPr>
          <w:rtl w:val="true"/>
        </w:rPr>
        <w:t>[</w:t>
      </w:r>
      <w:r>
        <w:rPr>
          <w:rtl w:val="true"/>
        </w:rPr>
        <w:t>اشکال صاحب المنتقی علی تواتر بعض ما یدّعی تواتره من اخبار الکتب الأربعة</w:t>
      </w:r>
      <w:r>
        <w:rPr>
          <w:rtl w:val="true"/>
        </w:rPr>
        <w:t>]</w:t>
      </w:r>
      <w:bookmarkEnd w:id="621"/>
    </w:p>
    <w:p>
      <w:pPr>
        <w:pStyle w:val="BookText"/>
        <w:rPr/>
      </w:pPr>
      <w:r>
        <w:rPr>
          <w:rFonts w:ascii="IRNazanin" w:hAnsi="IRNazanin" w:eastAsia="IRNazanin"/>
          <w:color w:val="111111"/>
          <w:sz w:val="28"/>
          <w:sz w:val="28"/>
          <w:szCs w:val="28"/>
          <w:rtl w:val="true"/>
          <w:lang w:bidi="fa-IR"/>
        </w:rPr>
        <w:t>و یقرب من إشکال صاحب القوانین فی تواتر تلک البلاد ما عن صاحب المعالم فی منتقی الجمان</w:t>
      </w:r>
      <w:r>
        <w:rPr>
          <w:rStyle w:val="FootnoteAnchor"/>
          <w:rtl w:val="true"/>
        </w:rPr>
        <w:footnoteReference w:id="380"/>
      </w:r>
      <w:r>
        <w:rPr>
          <w:rFonts w:ascii="IRNazanin" w:hAnsi="IRNazanin" w:eastAsia="IRNazanin"/>
          <w:color w:val="111111"/>
          <w:sz w:val="28"/>
          <w:sz w:val="28"/>
          <w:szCs w:val="28"/>
          <w:rtl w:val="true"/>
          <w:lang w:bidi="fa-IR"/>
        </w:rPr>
        <w:t>من الاستشکال فی تواتر بعض ما یدّعی تواتره من أخبار کتب الأربعة بواسطة انتهاء طبقاتها إلی المشایخ الثلاث</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یندفع هذا الوهم أیضا، أمّا علی کفاف أقلّ الجمع فی صدق التواتر </w:t>
      </w:r>
      <w:bookmarkStart w:id="622" w:name="pg12850_121359"/>
    </w:p>
    <w:p>
      <w:pPr>
        <w:pStyle w:val="BookText"/>
        <w:rPr/>
      </w:pPr>
      <w:bookmarkEnd w:id="622"/>
      <w:r>
        <w:rPr>
          <w:rFonts w:ascii="IRNazanin" w:hAnsi="IRNazanin" w:eastAsia="IRNazanin"/>
          <w:color w:val="111111"/>
          <w:sz w:val="28"/>
          <w:sz w:val="28"/>
          <w:szCs w:val="28"/>
          <w:rtl w:val="true"/>
          <w:lang w:bidi="fa-IR"/>
        </w:rPr>
        <w:t>فواضح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عدم کفافه و اعتبار وصف الکثرة فی صدق التواتر فلأنّه و إن سلّم عدم کفاف المشایخ الثلاث فی صدق التواتر بالنسبة إلینا إلّا أنّه لا إشکال فی کفاف إخبارهم عن التواتر فی حصول العلم العادی لنا بذلک التواتر، ضرورة أنّ مثل المشایخ الثلاث إذا نقلوا لنا خبرا متواترا فی کلّ واحد من کتبهم الأربعة المحفوفة بشواهد الصدق و الصحّة حصل لنا العلم العادی بصدقهم، و تواتر ذلک الخبر فی الواقع، فمجرّد قولهم و إن لم یکف فی حصول صدق التواتر لنا إلّا أنّه لا إشکال فی طریقیته إلی القطع العادی بحصوله فی الواقع، فیرتّب علیه جمیع آثار الواقع</w:t>
      </w:r>
      <w:r>
        <w:rPr>
          <w:rFonts w:eastAsia="IRNazanin" w:cs="IRNazanin"/>
          <w:color w:val="111111"/>
          <w:sz w:val="28"/>
          <w:szCs w:val="28"/>
          <w:rtl w:val="true"/>
          <w:lang w:bidi="fa-IR"/>
        </w:rPr>
        <w:t>.</w:t>
      </w:r>
    </w:p>
    <w:p>
      <w:pPr>
        <w:pStyle w:val="Heading6"/>
        <w:numPr>
          <w:ilvl w:val="5"/>
          <w:numId w:val="1"/>
        </w:numPr>
        <w:rPr/>
      </w:pPr>
      <w:bookmarkStart w:id="623" w:name="__RefHeading___Toc2527460_3224264995"/>
      <w:bookmarkStart w:id="624" w:name="_Toc230"/>
      <w:bookmarkEnd w:id="623"/>
      <w:r>
        <w:rPr>
          <w:rtl w:val="true"/>
        </w:rPr>
        <w:t>[</w:t>
      </w:r>
      <w:r>
        <w:rPr>
          <w:rtl w:val="true"/>
        </w:rPr>
        <w:t>انقسام المتواتر</w:t>
      </w:r>
      <w:r>
        <w:rPr>
          <w:rtl w:val="true"/>
        </w:rPr>
        <w:t>]</w:t>
      </w:r>
      <w:bookmarkEnd w:id="624"/>
    </w:p>
    <w:p>
      <w:pPr>
        <w:pStyle w:val="BookText"/>
        <w:rPr/>
      </w:pPr>
      <w:r>
        <w:rPr>
          <w:rFonts w:ascii="Amiri" w:hAnsi="Amiri" w:eastAsia="Amiri" w:cs="Amiri"/>
          <w:color w:val="111111"/>
          <w:sz w:val="28"/>
          <w:sz w:val="28"/>
          <w:szCs w:val="28"/>
          <w:rtl w:val="true"/>
          <w:lang w:bidi="ar-SA"/>
        </w:rPr>
        <w:t>ثمّ المتواتر إمّا لفظی، أو معنویّ،</w:t>
      </w:r>
    </w:p>
    <w:p>
      <w:pPr>
        <w:pStyle w:val="Heading6"/>
        <w:numPr>
          <w:ilvl w:val="5"/>
          <w:numId w:val="1"/>
        </w:numPr>
        <w:rPr/>
      </w:pPr>
      <w:bookmarkStart w:id="625" w:name="__RefHeading___Toc2527462_3224264995"/>
      <w:bookmarkStart w:id="626" w:name="_Toc231"/>
      <w:bookmarkEnd w:id="625"/>
      <w:r>
        <w:rPr>
          <w:rtl w:val="true"/>
        </w:rPr>
        <w:t>[</w:t>
      </w:r>
      <w:r>
        <w:rPr>
          <w:rtl w:val="true"/>
        </w:rPr>
        <w:t>الفارق بین المتواتر اللفظی و المعنوی</w:t>
      </w:r>
      <w:r>
        <w:rPr>
          <w:rtl w:val="true"/>
        </w:rPr>
        <w:t>]</w:t>
      </w:r>
      <w:bookmarkEnd w:id="626"/>
    </w:p>
    <w:p>
      <w:pPr>
        <w:pStyle w:val="BookText"/>
        <w:rPr/>
      </w:pPr>
      <w:r>
        <w:rPr>
          <w:rFonts w:ascii="IRNazanin" w:hAnsi="IRNazanin" w:eastAsia="IRNazanin"/>
          <w:color w:val="111111"/>
          <w:sz w:val="28"/>
          <w:sz w:val="28"/>
          <w:szCs w:val="28"/>
          <w:rtl w:val="true"/>
          <w:lang w:bidi="fa-IR"/>
        </w:rPr>
        <w:t>و المعیار المائز بینهما علی ما اصطلح علیه أهل الدرایة و الاصول و منتخب ما فی القوانین</w:t>
      </w:r>
      <w:r>
        <w:rPr>
          <w:rStyle w:val="FootnoteAnchor"/>
          <w:rtl w:val="true"/>
        </w:rPr>
        <w:footnoteReference w:id="381"/>
      </w:r>
      <w:r>
        <w:rPr>
          <w:rFonts w:ascii="IRNazanin" w:hAnsi="IRNazanin" w:eastAsia="IRNazanin"/>
          <w:color w:val="111111"/>
          <w:sz w:val="28"/>
          <w:sz w:val="28"/>
          <w:szCs w:val="28"/>
          <w:rtl w:val="true"/>
          <w:lang w:bidi="fa-IR"/>
        </w:rPr>
        <w:t>و الفصول</w:t>
      </w:r>
      <w:r>
        <w:rPr>
          <w:rStyle w:val="FootnoteAnchor"/>
          <w:rtl w:val="true"/>
        </w:rPr>
        <w:footnoteReference w:id="382"/>
      </w:r>
      <w:r>
        <w:rPr>
          <w:rFonts w:ascii="IRNazanin" w:hAnsi="IRNazanin" w:eastAsia="IRNazanin"/>
          <w:color w:val="111111"/>
          <w:sz w:val="28"/>
          <w:sz w:val="28"/>
          <w:szCs w:val="28"/>
          <w:rtl w:val="true"/>
          <w:lang w:bidi="fa-IR"/>
        </w:rPr>
        <w:t>أنّ المعیار المائز بینهما کون التواتر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المتعلّق بالخبر بالنسبة إلی مدلوله المطابقی، و المعنوی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المتعلّق به بالنسبة إلی مدلوله التضمّنی أو الالتزامی، حسبما فصّل فی الکتب المألوفة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الالتزام الذی یعدّ تواتره من التواترات المعنویة هو الالتزام العقلی، أعنی ما کان الاستفادة و المستفاد کلاهما تبعیّا کدلالة وجوب الشی‌ء علی وجوب مقدّمته الغیر المنفکّة عنه فی الوجود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الالتزام اللفظی الذی یکون الاستفادة فیه تبعیا و المستفاد أمرا مستقلّا أصلیّا فی الوجود کالمفاهیم اللازمة لمناطیقها عرفا مع استقلالها فی الوجود، فلا إشکال فی عدّ تواترها من التواترات اللفظیة، لا المعنویة فی الاصطلاح</w:t>
      </w:r>
      <w:r>
        <w:rPr>
          <w:rFonts w:eastAsia="IRNazanin" w:cs="IRNazanin"/>
          <w:color w:val="111111"/>
          <w:sz w:val="28"/>
          <w:szCs w:val="28"/>
          <w:rtl w:val="true"/>
          <w:lang w:bidi="fa-IR"/>
        </w:rPr>
        <w:t xml:space="preserve">. </w:t>
      </w:r>
      <w:bookmarkStart w:id="627" w:name="pg12850_121360"/>
    </w:p>
    <w:p>
      <w:pPr>
        <w:pStyle w:val="BookText"/>
        <w:rPr/>
      </w:pPr>
      <w:bookmarkEnd w:id="627"/>
      <w:r>
        <w:rPr>
          <w:rFonts w:ascii="IRNazanin" w:hAnsi="IRNazanin" w:eastAsia="IRNazanin"/>
          <w:color w:val="111111"/>
          <w:sz w:val="28"/>
          <w:sz w:val="28"/>
          <w:szCs w:val="28"/>
          <w:rtl w:val="true"/>
          <w:lang w:bidi="fa-IR"/>
        </w:rPr>
        <w:t>فالمحصّل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المعیار المائز بینهما فی الاستقلال و عدم 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استقلّ مدلوله من الاخبار کان التواتر بالنسبة إلی ذلک المدلول لفظیا سواء تواتر الإخبار باللفظ الواحد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علی القول بتواتره، أم بالألفاظ المترادفة، و علی کلّ منهما سواء حصل تواتره بدلالة المنطوق أم المفهوم أم المرکّب منهما،</w:t>
      </w:r>
    </w:p>
    <w:p>
      <w:pPr>
        <w:pStyle w:val="Heading6"/>
        <w:numPr>
          <w:ilvl w:val="5"/>
          <w:numId w:val="1"/>
        </w:numPr>
        <w:rPr/>
      </w:pPr>
      <w:bookmarkStart w:id="628" w:name="__RefHeading___Toc2527464_3224264995"/>
      <w:bookmarkStart w:id="629" w:name="_Toc232"/>
      <w:bookmarkEnd w:id="628"/>
      <w:r>
        <w:rPr>
          <w:rtl w:val="true"/>
        </w:rPr>
        <w:t>[</w:t>
      </w:r>
      <w:r>
        <w:rPr>
          <w:rtl w:val="true"/>
        </w:rPr>
        <w:t>تواتر حدیثی الثقلین و الغدیر</w:t>
      </w:r>
      <w:r>
        <w:rPr>
          <w:rtl w:val="true"/>
        </w:rPr>
        <w:t>]</w:t>
      </w:r>
      <w:bookmarkEnd w:id="629"/>
    </w:p>
    <w:p>
      <w:pPr>
        <w:pStyle w:val="BookText"/>
        <w:rPr/>
      </w:pPr>
      <w:r>
        <w:rPr>
          <w:rFonts w:ascii="IRNazanin" w:hAnsi="IRNazanin" w:eastAsia="IRNazanin"/>
          <w:color w:val="111111"/>
          <w:sz w:val="28"/>
          <w:sz w:val="28"/>
          <w:szCs w:val="28"/>
          <w:rtl w:val="true"/>
          <w:lang w:bidi="fa-IR"/>
        </w:rPr>
        <w:t xml:space="preserve">و علی کلّ من هذه الفروض الستّة سواء حصل التواتر فی تمام الخبر أم فی بعض فقراته، کتواتر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3788</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الغدیر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لم یستقل مدلوله من الإخبار کان التواتر بالنسبة إلیه معنویا سواء کان مدلوله تضمّنیا أم التزامیا، و علی الثانی سواء کانت الدلالة علی اللازم مقصودة للمتکلم أم غیر مقصودة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أنّ المراد من استقلال المدلول هو انفکاک وجوده عن وجود آخر، أعنی ما کان المستفاد فیه أصلیا مستقلا فی الوجود و لو کانت الاستفادة فیه تبعیا، و أنّ المراد من عدم استقلاله هو عدم انفکاک وجوده عن وجود آخر، أعنی ما کان الاستفادة و المستفاد فیه کلاهما تبعیا منتزعا من آخر</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تعمیم کلّ منهما بتلک التعمیمات و إن لم یحتاج إلیها البصیر إلّا أنّه لأجل الاقتفاء بتعمیم القوانین</w:t>
      </w:r>
      <w:r>
        <w:rPr>
          <w:rStyle w:val="FootnoteAnchor"/>
          <w:rtl w:val="true"/>
        </w:rPr>
        <w:footnoteReference w:id="385"/>
      </w:r>
      <w:r>
        <w:rPr>
          <w:rFonts w:ascii="IRNazanin" w:hAnsi="IRNazanin" w:eastAsia="IRNazanin"/>
          <w:color w:val="111111"/>
          <w:sz w:val="28"/>
          <w:sz w:val="28"/>
          <w:szCs w:val="28"/>
          <w:rtl w:val="true"/>
          <w:lang w:bidi="fa-IR"/>
        </w:rPr>
        <w:t>بها، و لعلّه لأجل دفع ما لعلّه یتوهم عدم التعمیم لبعضها و إن کان توهّما بعیدا، و إلّا فلا وجه لتکثیر الأقسام المشوّشة للأفهام من غیر إرادة دفع الأوهام فی نظر الأعلام</w:t>
      </w:r>
      <w:r>
        <w:rPr>
          <w:rFonts w:eastAsia="IRNazanin" w:cs="IRNazanin"/>
          <w:color w:val="111111"/>
          <w:sz w:val="28"/>
          <w:szCs w:val="28"/>
          <w:rtl w:val="true"/>
          <w:lang w:bidi="fa-IR"/>
        </w:rPr>
        <w:t xml:space="preserve">. </w:t>
      </w:r>
      <w:bookmarkStart w:id="630" w:name="pg12850_121361"/>
    </w:p>
    <w:p>
      <w:pPr>
        <w:pStyle w:val="Heading6"/>
        <w:numPr>
          <w:ilvl w:val="5"/>
          <w:numId w:val="1"/>
        </w:numPr>
        <w:rPr/>
      </w:pPr>
      <w:bookmarkStart w:id="631" w:name="__RefHeading___Toc2527466_3224264995"/>
      <w:bookmarkStart w:id="632" w:name="_Toc233"/>
      <w:bookmarkEnd w:id="630"/>
      <w:bookmarkEnd w:id="631"/>
      <w:r>
        <w:rPr>
          <w:rtl w:val="true"/>
        </w:rPr>
        <w:t>[</w:t>
      </w:r>
      <w:r>
        <w:rPr>
          <w:rtl w:val="true"/>
        </w:rPr>
        <w:t>تعمیم صاحب القوانین المدلول الالتزامی من أنواع التواتر المعنوی</w:t>
      </w:r>
      <w:r>
        <w:rPr>
          <w:rtl w:val="true"/>
        </w:rPr>
        <w:t>]</w:t>
      </w:r>
      <w:bookmarkEnd w:id="632"/>
    </w:p>
    <w:p>
      <w:pPr>
        <w:pStyle w:val="BookText"/>
        <w:rPr/>
      </w:pPr>
      <w:r>
        <w:rPr>
          <w:rFonts w:ascii="IRNazanin" w:hAnsi="IRNazanin" w:eastAsia="IRNazanin"/>
          <w:color w:val="111111"/>
          <w:sz w:val="28"/>
          <w:sz w:val="28"/>
          <w:szCs w:val="28"/>
          <w:rtl w:val="true"/>
          <w:lang w:bidi="fa-IR"/>
        </w:rPr>
        <w:t>هذا و لکن عمّم القوانین المدلول الالتزامی من أنواع التواتر المعنوی من جهة اخری حیث صرح بأنّ المراد من المدلول الالتزامی المندرج فی التواتر المعنوی أعمّ ممّا کان الدالّ علی اللازم کلّ واحد من العدد المحصل للتواتر و العلم بصدق اللازم، کما فی ذکر غزوة خیبر بالتفصیل الذی وقع علی وجه لا یمکن صدورها بذلک التفصیل و التطویل و المقام الطویل و الکراریة من دون الفرار، إلّا عن شجاع بطل قویّ بالغ أعلی درجة الشجاعة، و هکذا غزوة احد و الأحزاب و غیرها فباجتماع هذه الأدلّة یحصل العلم بثبوت أصل الشجاعة التی هی منشأ لهذه الآثار، و ممّا إذا کان الدالّ علی اللازم هو مجموع العدد المحصّل للتواتر و العلم، کما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قتل فی حرب کذا رجلا، و 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قتل فی حرب آخر رجلا، و هکذا فبعد ملاحظة المجموع یحصل الدلالة علی اللازم و هو الشجاعة، لأنّ کلّ واحد من الوقائع لا یدلّ بنفسه علی اللازم و هو الشجاعة، لاحتمال صدور کلّ واحد من تلک الوقائع عنه بمحض الاتّفاق أو مع الجبن أو لأجل القصاص و نحو ذلک</w:t>
      </w:r>
      <w:r>
        <w:rPr>
          <w:rStyle w:val="FootnoteAnchor"/>
          <w:rtl w:val="true"/>
        </w:rPr>
        <w:footnoteReference w:id="386"/>
      </w:r>
      <w:r>
        <w:rPr>
          <w:rFonts w:ascii="IRNazanin" w:hAnsi="IRNazanin" w:eastAsia="IRNazanin"/>
          <w:color w:val="111111"/>
          <w:sz w:val="28"/>
          <w:sz w:val="28"/>
          <w:szCs w:val="28"/>
          <w:rtl w:val="true"/>
          <w:lang w:bidi="fa-IR"/>
        </w:rPr>
        <w:t>، بل مجموع الوقائع المذکورة بوصف المجموع دالّة علی اللازم و هو الشجاعة، و أنّه لیس بمحض الاتّفاق أو مع الجبن أو لأجل القصاص، بخلاف الصورة الاولی فإنّ کلّ واحد من الوقائع فیها دالّة علی اللازم، و الحاصل من مجموعها هو العلم باللازم لا نفس اللازم</w:t>
      </w:r>
      <w:r>
        <w:rPr>
          <w:rFonts w:eastAsia="IRNazanin" w:cs="IRNazanin"/>
          <w:color w:val="111111"/>
          <w:sz w:val="28"/>
          <w:szCs w:val="28"/>
          <w:rtl w:val="true"/>
          <w:lang w:bidi="fa-IR"/>
        </w:rPr>
        <w:t>.</w:t>
      </w:r>
    </w:p>
    <w:p>
      <w:pPr>
        <w:pStyle w:val="Heading6"/>
        <w:numPr>
          <w:ilvl w:val="5"/>
          <w:numId w:val="1"/>
        </w:numPr>
        <w:rPr/>
      </w:pPr>
      <w:bookmarkStart w:id="633" w:name="__RefHeading___Toc2527468_3224264995"/>
      <w:bookmarkStart w:id="634" w:name="_Toc234"/>
      <w:bookmarkEnd w:id="633"/>
      <w:r>
        <w:rPr>
          <w:rtl w:val="true"/>
        </w:rPr>
        <w:t>[</w:t>
      </w:r>
      <w:r>
        <w:rPr>
          <w:rtl w:val="true"/>
        </w:rPr>
        <w:t>الردّ علی صاحب القوانین</w:t>
      </w:r>
      <w:r>
        <w:rPr>
          <w:rtl w:val="true"/>
        </w:rPr>
        <w:t>]</w:t>
      </w:r>
      <w:bookmarkEnd w:id="634"/>
    </w:p>
    <w:p>
      <w:pPr>
        <w:pStyle w:val="BookText"/>
        <w:rPr/>
      </w:pPr>
      <w:r>
        <w:rPr>
          <w:rFonts w:ascii="IRNazanin" w:hAnsi="IRNazanin" w:eastAsia="IRNazanin"/>
          <w:color w:val="111111"/>
          <w:sz w:val="28"/>
          <w:sz w:val="28"/>
          <w:szCs w:val="28"/>
          <w:rtl w:val="true"/>
          <w:lang w:bidi="fa-IR"/>
        </w:rPr>
        <w:t>و لکن یندفع هذا التعمیم من تلک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تصریح أحد من أهل اصطلاح هذا الفن بدخول تلک الصورة الثانیة فی التواتر المعنوی، بل لا یظهر ذلک من کلام أحد منهم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استظهار صاحب القوانین إیّاه عن کلام العضدی، بل استظهار حصر العضدی التواتر المعنوی فیه غیر ظاهر من کلامه؛ فإنّ کلامه الذی نقله فی </w:t>
      </w:r>
    </w:p>
    <w:p>
      <w:pPr>
        <w:pStyle w:val="BookText"/>
        <w:rPr/>
      </w:pPr>
      <w:r>
        <w:rPr>
          <w:rFonts w:ascii="IRNazanin" w:hAnsi="IRNazanin" w:eastAsia="IRNazanin"/>
          <w:color w:val="111111"/>
          <w:sz w:val="28"/>
          <w:sz w:val="28"/>
          <w:szCs w:val="28"/>
          <w:rtl w:val="true"/>
          <w:lang w:bidi="fa-IR"/>
        </w:rPr>
        <w:t>القوانین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الواقعة الواحدة لا تتضمّن السخاوة و لا الشجاعة، بل القدر المشترک الحاصل من الجزئیّات ذلک و هو المتواتر، لا لأنّ آحادها صدق قطعا، بل بالعادة</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القدر المشترک الحاصل من الجزئیات تتضمن 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یحتمل لإرادته تضمنها الدلالة علی الشجاعة، کذلک یحتمل لإرادته تضمنها العلم و القطع بالشجاعة علی أن یکون الدلالة حاصلة من کلّ واحد من جزئیات الوقائع المتعدّدة، و حینئذ إن لم نقل بظهورها فی إرادة الثانی فلا أقلّ من صلوحها لکلیهما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مراد الفصول</w:t>
      </w:r>
      <w:r>
        <w:rPr>
          <w:rStyle w:val="FootnoteAnchor"/>
          <w:rtl w:val="true"/>
        </w:rPr>
        <w:footnoteReference w:id="388"/>
      </w:r>
      <w:r>
        <w:rPr>
          <w:rFonts w:ascii="IRNazanin" w:hAnsi="IRNazanin" w:eastAsia="IRNazanin"/>
          <w:color w:val="111111"/>
          <w:sz w:val="28"/>
          <w:sz w:val="28"/>
          <w:szCs w:val="28"/>
          <w:rtl w:val="true"/>
          <w:lang w:bidi="fa-IR"/>
        </w:rPr>
        <w:t>من صلوح تنزیل کلام العضدی علی غیر ما استظهره القوانین هو المعنی الثانی من المعنیین المذکورین و إن لم یصرّح به هو</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الدالّ علی الشجاعة إذا کان هو مجموع العدد المحصّل للتواتر کان حصول التواتر و حصول العلم بالشجاعة فی مثلة متوقّفا علی اعتبار عدد آخر محصّل لصفة التواتر و حصول العلم به، ضرورة أنّ الحاصل من العدد الأول هو أصل الدلالة علی الشجاعة، و هو بمنزلة الحاصل من خبر الواحد، فیحتاج فی حصول العلم بمدلول هذه الدلالة و صدق قائله علی اعتبار العدد المحصّل للعلم وراء العدد المحصّل لأصل الدلالة مرّة اخری، کما یحتاج الخبر الواحد الدالّ علی الشجاعة فی حصول العلم به إلی حصول التعدّد المحصّل للعلم به وراء نفسه، و مع عدم حصول التعدّد مرّة اخری المحصّل للعلم به کیف یمکن أن یدرج فی المتواتر؟ فإدراجه فیه مع هذا الحال من متفرّدات القوانین الغیر القابلة للاصلاح</w:t>
      </w:r>
      <w:r>
        <w:rPr>
          <w:rFonts w:eastAsia="IRNazanin" w:cs="IRNazanin"/>
          <w:color w:val="111111"/>
          <w:sz w:val="28"/>
          <w:szCs w:val="28"/>
          <w:rtl w:val="true"/>
          <w:lang w:bidi="fa-IR"/>
        </w:rPr>
        <w:t xml:space="preserve">. </w:t>
      </w:r>
      <w:bookmarkStart w:id="635" w:name="pg12850_121363"/>
    </w:p>
    <w:p>
      <w:pPr>
        <w:pStyle w:val="Heading6"/>
        <w:numPr>
          <w:ilvl w:val="5"/>
          <w:numId w:val="1"/>
        </w:numPr>
        <w:rPr/>
      </w:pPr>
      <w:bookmarkStart w:id="636" w:name="__RefHeading___Toc2527470_3224264995"/>
      <w:bookmarkStart w:id="637" w:name="_Toc235"/>
      <w:bookmarkEnd w:id="635"/>
      <w:bookmarkEnd w:id="636"/>
      <w:r>
        <w:rPr>
          <w:rtl w:val="true"/>
        </w:rPr>
        <w:t>[</w:t>
      </w:r>
      <w:r>
        <w:rPr>
          <w:rtl w:val="true"/>
        </w:rPr>
        <w:t>دراسة تمثیل القوانین للتواتر المعنوی بأخبار نجاسة الماء القلیل</w:t>
      </w:r>
      <w:r>
        <w:rPr>
          <w:rtl w:val="true"/>
        </w:rPr>
        <w:t>]</w:t>
      </w:r>
      <w:bookmarkEnd w:id="637"/>
    </w:p>
    <w:p>
      <w:pPr>
        <w:pStyle w:val="BookText"/>
        <w:rPr/>
      </w:pPr>
      <w:r>
        <w:rPr>
          <w:rFonts w:ascii="IRNazanin" w:hAnsi="IRNazanin" w:eastAsia="IRNazanin"/>
          <w:color w:val="111111"/>
          <w:sz w:val="28"/>
          <w:sz w:val="28"/>
          <w:szCs w:val="28"/>
          <w:rtl w:val="true"/>
          <w:lang w:bidi="fa-IR"/>
        </w:rPr>
        <w:t>ثمّ إنّه قدّس سرّه قال فی القوانین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یمکن أن یمثّل للتواتر المعنوی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الدالّ بالالتزام علی اللازم فیه هو مجموع الوقائع، لا کلّ واحد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بالأخبار الواردة فی نجاسة الماء القلیل بالخصوصیات المعیّنة من جهة النجاسة، و من جهة الماء معا</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 xml:space="preserve">، کما لو نهی الشارع عن التوضّی بماء آنیة لاقاها العذرة، و عن الشرب ممّا ولغ فیه الکلب، و عن الاغتسال بآنیة لاقاها المیتة،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ذلک من حیث تشخیص الحکم الکبروی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من الماء و النجاسة فی کلّ واحد من تلک الأخبار هو مطلق الماء و النجاسة کان المثال مثالا للقسم الثانی من التواتر اللفظی، أعنی المتواتر بالألفاظ المترادفة و الدلالة المطابقة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فی صورة العکس، أعنی فی ما لو ارید من کلّ من الأخبار الخصوصیات المعیّنة من جهة الماء، و من جهة النجاسة معا بأن یراد من الماء فی کلّ من تلک الأخبار هو خصوص الماء المظروف فی ظرفه الخاص لا غیره، و من النجاسة فی کلّ من تلک الأخبار أیضا هو خصوص الفرد المذکور فیها لا غیره، کان المثال مثالا لما تفرّد به صاحب القوانین</w:t>
      </w:r>
      <w:r>
        <w:rPr>
          <w:rStyle w:val="FootnoteAnchor"/>
          <w:rtl w:val="true"/>
        </w:rPr>
        <w:footnoteReference w:id="390"/>
      </w:r>
      <w:r>
        <w:rPr>
          <w:rFonts w:ascii="IRNazanin" w:hAnsi="IRNazanin" w:eastAsia="IRNazanin"/>
          <w:color w:val="111111"/>
          <w:sz w:val="28"/>
          <w:sz w:val="28"/>
          <w:szCs w:val="28"/>
          <w:rtl w:val="true"/>
          <w:lang w:bidi="fa-IR"/>
        </w:rPr>
        <w:t>من اندراجه فی المتواتر المعنوی؛ فإنّ الدالّ بالالتزام علی نجاسة مطلق الماء القلیل بمطلق النجاسة هو مجموع خصوصیات الأخبار المفروضة، لا کلّ واحد منها 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لو کان الحکم بالنجاسات المخصوصة واردا فی مطلق الماء القلیل، فإنّ عموم الموضوع لا ینفع مع خصوص الحکم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صورة عکسه، أعنی فی ما لو ارید من النجاسة فی کلّ منها هو مطلق النجاسة، و من الماء هو الماء الخاصّ بموردة الخاصّ، کان المثال مثالا للقسم الأول من قسمی الالتزام المندرج عند الکلّ فی المتواتر المعنوی، و هو ما کان </w:t>
      </w:r>
      <w:bookmarkStart w:id="638" w:name="pg12850_121364"/>
    </w:p>
    <w:p>
      <w:pPr>
        <w:pStyle w:val="BookText"/>
        <w:rPr/>
      </w:pPr>
      <w:bookmarkEnd w:id="638"/>
      <w:r>
        <w:rPr>
          <w:rFonts w:ascii="IRNazanin" w:hAnsi="IRNazanin" w:eastAsia="IRNazanin"/>
          <w:color w:val="111111"/>
          <w:sz w:val="28"/>
          <w:sz w:val="28"/>
          <w:szCs w:val="28"/>
          <w:rtl w:val="true"/>
          <w:lang w:bidi="fa-IR"/>
        </w:rPr>
        <w:t>الدالّ فیه علی اللازم، و هو نجاسة الماء الخاصّ بمطلق النجاسة هو کلّ واحد من الوقائع المتعدّدة لا مجموعها و إن کان استفادة نجاسة مطلق الماء من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فی هذا المثال یعرف أنّ الحال فی سائر الأمثلة الممثّل بها للتواتر یختلف باختلاف قصد المتکلّم بها إلی الاختلافات الأربعة المندرج علی کلّ تقدیر فی ما لم یندرج فیه علی التقدیر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من حیث تشخیص حکمه الکبرویّ باعتبار قصد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حیث تشخیص صغراه و تعیین کون اللفظ ظاهر فی أیّ واحد من القصود الأربعة فهو تابع لخصوصیات ألفاظ الأمثلة و مواردها الخاصّة، ففی المثال المذکور للأخبار الواردة فی نجاسة الماء القلیل اللفظ ظاهر فی قصد الخصوصیات المعیّنة من جهة الماء و من جهة النجاسة معا</w:t>
      </w:r>
      <w:r>
        <w:rPr>
          <w:rFonts w:eastAsia="IRNazanin" w:cs="IRNazanin"/>
          <w:color w:val="111111"/>
          <w:sz w:val="28"/>
          <w:szCs w:val="28"/>
          <w:rtl w:val="true"/>
          <w:lang w:bidi="fa-IR"/>
        </w:rPr>
        <w:t>.</w:t>
      </w:r>
    </w:p>
    <w:p>
      <w:pPr>
        <w:pStyle w:val="Heading6"/>
        <w:numPr>
          <w:ilvl w:val="5"/>
          <w:numId w:val="1"/>
        </w:numPr>
        <w:rPr/>
      </w:pPr>
      <w:bookmarkStart w:id="639" w:name="__RefHeading___Toc2527472_3224264995"/>
      <w:bookmarkStart w:id="640" w:name="_Toc236"/>
      <w:bookmarkEnd w:id="639"/>
      <w:r>
        <w:rPr>
          <w:rtl w:val="true"/>
        </w:rPr>
        <w:t>[</w:t>
      </w:r>
      <w:r>
        <w:rPr>
          <w:rtl w:val="true"/>
        </w:rPr>
        <w:t>المراد من التواتر فی محاورات العلماء</w:t>
      </w:r>
      <w:r>
        <w:rPr>
          <w:rtl w:val="true"/>
        </w:rPr>
        <w:t>]</w:t>
      </w:r>
      <w:bookmarkEnd w:id="640"/>
    </w:p>
    <w:p>
      <w:pPr>
        <w:pStyle w:val="BookText"/>
        <w:rPr/>
      </w:pPr>
      <w:r>
        <w:rPr>
          <w:rFonts w:ascii="IRNazanin" w:hAnsi="IRNazanin" w:eastAsia="IRNazanin"/>
          <w:color w:val="111111"/>
          <w:sz w:val="28"/>
          <w:sz w:val="28"/>
          <w:szCs w:val="28"/>
          <w:rtl w:val="true"/>
          <w:lang w:bidi="fa-IR"/>
        </w:rPr>
        <w:t>ثمّ إنّ التواتر المطلق فی محاورات العلماء هل هو حقیقة فی خصوص التواتر اللفظی؟ لیحمل علیه إطلاق ما یدّعی من المتواترات، أم فی الأعمّ من اللفظی و المعنوی، وجهان، أظهرهما الثانی لصحّة التقسیم، و عدم صحة السلب، و تبادر الأعمّ من تحدید المتواتر بخبر جماعة یفید بنفسه العلم بصدقه، إذ المراد من الخبر علی ما صرّحوا به ما یتناول الصریح و غیره و إخبارهم عن الکلّ أو الملزوم فی قوّة الإخبار عن الجزء أو اللازم</w:t>
      </w:r>
      <w:r>
        <w:rPr>
          <w:rFonts w:eastAsia="IRNazanin" w:cs="IRNazanin"/>
          <w:color w:val="111111"/>
          <w:sz w:val="28"/>
          <w:szCs w:val="28"/>
          <w:rtl w:val="true"/>
          <w:lang w:bidi="fa-IR"/>
        </w:rPr>
        <w:t>.</w:t>
      </w:r>
    </w:p>
    <w:p>
      <w:pPr>
        <w:pStyle w:val="Heading6"/>
        <w:numPr>
          <w:ilvl w:val="5"/>
          <w:numId w:val="1"/>
        </w:numPr>
        <w:rPr/>
      </w:pPr>
      <w:bookmarkStart w:id="641" w:name="__RefHeading___Toc2527474_3224264995"/>
      <w:bookmarkStart w:id="642" w:name="_Toc237"/>
      <w:bookmarkEnd w:id="641"/>
      <w:r>
        <w:rPr>
          <w:rtl w:val="true"/>
        </w:rPr>
        <w:t>[</w:t>
      </w:r>
      <w:r>
        <w:rPr>
          <w:rtl w:val="true"/>
        </w:rPr>
        <w:t>ما اعتبر فی تحقق التواتر</w:t>
      </w:r>
      <w:r>
        <w:rPr>
          <w:rtl w:val="true"/>
        </w:rPr>
        <w:t>]</w:t>
      </w:r>
      <w:bookmarkEnd w:id="642"/>
    </w:p>
    <w:p>
      <w:pPr>
        <w:pStyle w:val="BookText"/>
        <w:rPr/>
      </w:pPr>
      <w:r>
        <w:rPr>
          <w:rFonts w:ascii="IRNazanin" w:hAnsi="IRNazanin" w:eastAsia="IRNazanin"/>
          <w:color w:val="111111"/>
          <w:sz w:val="28"/>
          <w:sz w:val="28"/>
          <w:szCs w:val="28"/>
          <w:rtl w:val="true"/>
          <w:lang w:bidi="fa-IR"/>
        </w:rPr>
        <w:t>ثمّ إنّهم اعتبروا فی تحقّق التواتر شروط فی المخبرین، و شروط فی السامع، و شروط فی نفس الخبر، قد أفصح الحدّ عن کلّها</w:t>
      </w:r>
      <w:r>
        <w:rPr>
          <w:rFonts w:eastAsia="IRNazanin" w:cs="IRNazanin"/>
          <w:color w:val="111111"/>
          <w:sz w:val="28"/>
          <w:szCs w:val="28"/>
          <w:rtl w:val="true"/>
          <w:lang w:bidi="fa-IR"/>
        </w:rPr>
        <w:t>.</w:t>
      </w:r>
    </w:p>
    <w:p>
      <w:pPr>
        <w:pStyle w:val="Heading6"/>
        <w:numPr>
          <w:ilvl w:val="5"/>
          <w:numId w:val="1"/>
        </w:numPr>
        <w:rPr/>
      </w:pPr>
      <w:bookmarkStart w:id="643" w:name="__RefHeading___Toc2527476_3224264995"/>
      <w:bookmarkStart w:id="644" w:name="_Toc238"/>
      <w:bookmarkEnd w:id="643"/>
      <w:r>
        <w:rPr>
          <w:rtl w:val="true"/>
        </w:rPr>
        <w:t>[</w:t>
      </w:r>
      <w:r>
        <w:rPr>
          <w:rtl w:val="true"/>
        </w:rPr>
        <w:t>البحث فی اعتبارهم استناد المخبر إلی الحسّ</w:t>
      </w:r>
      <w:r>
        <w:rPr>
          <w:rtl w:val="true"/>
        </w:rPr>
        <w:t>]</w:t>
      </w:r>
      <w:bookmarkEnd w:id="644"/>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فممّا اعتبروه فی المخبرین استناد خبرهم إلی الحسّ و مرادهم من محسوسیّته علی ما یظهر من اصطلاحهم و تمثیلهم له بسخاوة حاتم، و شجاعة علی علیه السّلام هو محسوسیّته و لو بحسب الآثار و اللوازم البیّنة، و لهذا مثّلوا للمتواتر المعنوی بشجاعة علی علیه السّلام، و سخاوة حاتم، مع أنّ الشجاعة و السخاوة لم یکونا </w:t>
      </w:r>
    </w:p>
    <w:p>
      <w:pPr>
        <w:pStyle w:val="BookText"/>
        <w:rPr/>
      </w:pPr>
      <w:r>
        <w:rPr>
          <w:rFonts w:ascii="Amiri" w:hAnsi="Amiri" w:eastAsia="Amiri" w:cs="Amiri"/>
          <w:color w:val="111111"/>
          <w:sz w:val="28"/>
          <w:sz w:val="28"/>
          <w:szCs w:val="28"/>
          <w:rtl w:val="true"/>
          <w:lang w:bidi="ar-SA"/>
        </w:rPr>
        <w:t>من الامور المحسوسة إلّا بواسطة الآثار و اللوازم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فی القوانین</w:t>
      </w:r>
      <w:r>
        <w:rPr>
          <w:rStyle w:val="FootnoteAnchor"/>
          <w:rtl w:val="true"/>
        </w:rPr>
        <w:footnoteReference w:id="391"/>
      </w:r>
      <w:r>
        <w:rPr>
          <w:rFonts w:ascii="IRNazanin" w:hAnsi="IRNazanin" w:eastAsia="IRNazanin"/>
          <w:color w:val="111111"/>
          <w:sz w:val="28"/>
          <w:sz w:val="28"/>
          <w:szCs w:val="28"/>
          <w:rtl w:val="true"/>
          <w:lang w:bidi="fa-IR"/>
        </w:rPr>
        <w:t>من إمکان أن یکون مراد القوم من التمثیل للمتواتر المعنوی بسخاوة حاتم، و شجاعة علی علیه السّلام، هو تواتر آثاره و لوازمه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فیستلزم أن یکون تمثیلهم له بنفس السخاوة و الشجاعة من باب المسامحة و المجاز، و هو خلاف الظاهر من اصطلاحهم و تمثیلهم، بل الظاهر من اصطلاحهم و تمثیلهم بل و تصریحهم هو کون المراد من اعتبارهم الحسّ فی تواتر الخبر هو محسوسیّته و لو بحسب الآثار و اللوازم، لا خصوص المحسوس بنفسه حتی یکون تمثیلهم له بالمحسوس آثاره من باب المسامحة 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فمراد صاحب القوانین من إمکان أن یکون المراد من تواتر الشجاعة و السخاوة هو تواتر آثارهما إن کان هو الإمکان العقلی فلا مسرح له فی ما نحن بصدده، من تشخیص ما هو المصطلح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هو الإمکان بحسب اصطلاح القوم فقد عرفت إباء اصطلاح القوم و ظهور تمثیلاتهم عنه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صرّح غیر واحد من الفحول کأستاذنا العلّامة و صاحب الفصول</w:t>
      </w:r>
      <w:r>
        <w:rPr>
          <w:rStyle w:val="FootnoteAnchor"/>
          <w:rtl w:val="true"/>
        </w:rPr>
        <w:footnoteReference w:id="392"/>
      </w:r>
      <w:r>
        <w:rPr>
          <w:rFonts w:ascii="IRNazanin" w:hAnsi="IRNazanin" w:eastAsia="IRNazanin"/>
          <w:color w:val="111111"/>
          <w:sz w:val="28"/>
          <w:sz w:val="28"/>
          <w:szCs w:val="28"/>
          <w:rtl w:val="true"/>
          <w:lang w:bidi="fa-IR"/>
        </w:rPr>
        <w:t>بأنّ مرادهم من اعتبار المحسوسیة فی تواتر الخبر لیس إخراج ما لم یکن محسوسا بنفسه و لو کان محسوسا بالآثار</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ذلک یندفع الإشکال الذی أورده المحقّق البهائی</w:t>
      </w:r>
      <w:r>
        <w:rPr>
          <w:rStyle w:val="FootnoteAnchor"/>
          <w:rtl w:val="true"/>
        </w:rPr>
        <w:footnoteReference w:id="393"/>
      </w:r>
      <w:r>
        <w:rPr>
          <w:rFonts w:ascii="IRNazanin" w:hAnsi="IRNazanin" w:eastAsia="IRNazanin"/>
          <w:color w:val="111111"/>
          <w:sz w:val="28"/>
          <w:sz w:val="28"/>
          <w:szCs w:val="28"/>
          <w:rtl w:val="true"/>
          <w:lang w:bidi="fa-IR"/>
        </w:rPr>
        <w:t xml:space="preserve">علی الإجماع المنقول بالخبر المتواتر لصیرورة الإجماع المنقول بالخبر المتواتر، و الإجماع المتواتر من قبیل أصل الإجماع فی کون نفس المنقول و إن کان من المدرک بالعقل إلّا أنّ آثاره و هو اتّفاق الآراء و الأقوال من المدرک بالحسّ، فیکون تواتره من </w:t>
      </w:r>
    </w:p>
    <w:p>
      <w:pPr>
        <w:pStyle w:val="BookText"/>
        <w:rPr/>
      </w:pPr>
      <w:r>
        <w:rPr>
          <w:rFonts w:ascii="IRNazanin" w:hAnsi="IRNazanin" w:eastAsia="IRNazanin"/>
          <w:color w:val="111111"/>
          <w:sz w:val="28"/>
          <w:sz w:val="28"/>
          <w:szCs w:val="28"/>
          <w:rtl w:val="true"/>
          <w:lang w:bidi="fa-IR"/>
        </w:rPr>
        <w:t>قبیل تواتر الشّجاعة و السّخاوة من التواترات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إنّما المراد من اعتبارهم المحسوسیة فی تواتر الخبر هو إخراج ما لم یکن محسوسا لا من جهة نفسه، و لا من جهة الآثار و اللوازم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کالإخبار عن الأحکام العقلیة ضروریة کانت، ککون الکلّ أعظم من الجزء، أو نظریة کحدوث العالم أو قدمه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بمعنی أنّ العلم لا یحصل من أقوال أهلها و إن کثروا لوضوح أنّ العلم قد یحصل کما نجده من أنفسنا بالنسبة إلی بعض المسائل المنطقیة و المباحث الحسابیة و الهندسیة، التی لم نزاول مقدّماتها و وجدنا أربابها قاطعین بها متسالمین علیها، و ذلک بعد علمنا بمدارک تلک العلوم و طرق استنباطها إجمالا و بعلوّ مرتبة أربابها فیها، فإنّ العادة قد تحیل تظافر مثلهم علی الخطأ فی الاستنباط عن مثل تلک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صرّح بعض المحقّقین بأنّ إطباق جمیع من یعتدّ به من العقلاء الأولین و الآخرین علی وجود صانع مبدع للأنام مدیر للنظام، ممّا یفید العلم العادی بصدقهم و عدم تواردهم علی الخطأ فی ذلک، بل بمعنی أنّ اتّفاقهم و تسالمهم علی قول واحد لا یسمّی متواترا فی الاصطلاح و إن أفاد العلم بصحّته</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هذا کلّه فی بیان أصل المراد من اعتبار المحسوسیة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الکلام فی صحّة ما أراد و عدمه فتفصیله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حصول العلم من کثرة الأقوال المأخوذ فی حدّ التواتر من کلا قسمی الخبر المحسوس بأحد جهتیه، و من غیر المحسوس أصلا لا وجه لإخراج الغیر المحسوس أصلا عن حدّ التواتر، مع صدق الحدّ علیه علی نهج صدقه علی غیره، إلّا أن یستند إخراجه إلی مجرد التعبّد بمجرد الاصطلاح الذی لا مشاحّة فیه، لکن لم یثبت من اشتراطهم الحسّ فی تواتر الخبر کونه شرطا خارجا عن حدّ التواتر لأجل إخراج </w:t>
      </w:r>
      <w:bookmarkStart w:id="645" w:name="pg12850_121367"/>
    </w:p>
    <w:p>
      <w:pPr>
        <w:pStyle w:val="BookText"/>
        <w:rPr/>
      </w:pPr>
      <w:bookmarkEnd w:id="645"/>
      <w:r>
        <w:rPr>
          <w:rFonts w:ascii="IRNazanin" w:hAnsi="IRNazanin" w:eastAsia="IRNazanin"/>
          <w:color w:val="111111"/>
          <w:sz w:val="28"/>
          <w:sz w:val="28"/>
          <w:szCs w:val="28"/>
          <w:rtl w:val="true"/>
          <w:lang w:bidi="fa-IR"/>
        </w:rPr>
        <w:t>الغیر المحسوس عن تحته لمجرّد التعبّد بالاصطلاح، بل الظاهر المصرّح به فی کلام غیر واحد من الأعلام کونه شرطا داخلا فی الحدّ لأجل تشخیص مصداق الحدّ لا تخصیصه و تقییده</w:t>
      </w:r>
      <w:r>
        <w:rPr>
          <w:rFonts w:eastAsia="IRNazanin" w:cs="IRNazanin"/>
          <w:color w:val="111111"/>
          <w:sz w:val="28"/>
          <w:szCs w:val="28"/>
          <w:rtl w:val="true"/>
          <w:lang w:bidi="fa-IR"/>
        </w:rPr>
        <w:t>.</w:t>
      </w:r>
    </w:p>
    <w:p>
      <w:pPr>
        <w:pStyle w:val="Heading6"/>
        <w:numPr>
          <w:ilvl w:val="5"/>
          <w:numId w:val="1"/>
        </w:numPr>
        <w:rPr/>
      </w:pPr>
      <w:bookmarkStart w:id="646" w:name="__RefHeading___Toc2527478_3224264995"/>
      <w:bookmarkStart w:id="647" w:name="_Toc239"/>
      <w:bookmarkEnd w:id="646"/>
      <w:r>
        <w:rPr>
          <w:rtl w:val="true"/>
        </w:rPr>
        <w:t>[</w:t>
      </w:r>
      <w:r>
        <w:rPr>
          <w:rtl w:val="true"/>
        </w:rPr>
        <w:t>الأقرب عدم اعتبار الحس فی الخبر المتواتر</w:t>
      </w:r>
      <w:r>
        <w:rPr>
          <w:rtl w:val="true"/>
        </w:rPr>
        <w:t>]</w:t>
      </w:r>
      <w:bookmarkEnd w:id="647"/>
    </w:p>
    <w:p>
      <w:pPr>
        <w:pStyle w:val="BookText"/>
        <w:rPr/>
      </w:pPr>
      <w:r>
        <w:rPr>
          <w:rFonts w:ascii="IRNazanin" w:hAnsi="IRNazanin" w:eastAsia="IRNazanin"/>
          <w:color w:val="111111"/>
          <w:sz w:val="28"/>
          <w:sz w:val="28"/>
          <w:szCs w:val="28"/>
          <w:rtl w:val="true"/>
          <w:lang w:bidi="fa-IR"/>
        </w:rPr>
        <w:t>و علی ذلک فلا وجه لإخراج الغیر المحسوس بعد حصول العلم من کثرة الأقوال فیه عن حدّ التواتر؛ لعدم الفرق بین المحسوس و غیره من حیث صدق الحدّ، و هو حصول العلم من کثرة الأقوال</w:t>
      </w:r>
      <w:r>
        <w:rPr>
          <w:rFonts w:eastAsia="IRNazanin" w:cs="IRNazanin"/>
          <w:color w:val="111111"/>
          <w:sz w:val="28"/>
          <w:szCs w:val="28"/>
          <w:rtl w:val="true"/>
          <w:lang w:bidi="fa-IR"/>
        </w:rPr>
        <w:t>.</w:t>
      </w:r>
    </w:p>
    <w:p>
      <w:pPr>
        <w:pStyle w:val="Heading6"/>
        <w:numPr>
          <w:ilvl w:val="5"/>
          <w:numId w:val="1"/>
        </w:numPr>
        <w:rPr/>
      </w:pPr>
      <w:bookmarkStart w:id="648" w:name="__RefHeading___Toc2527480_3224264995"/>
      <w:bookmarkStart w:id="649" w:name="_Toc240"/>
      <w:bookmarkEnd w:id="648"/>
      <w:r>
        <w:rPr>
          <w:rtl w:val="true"/>
        </w:rPr>
        <w:t>[</w:t>
      </w:r>
      <w:r>
        <w:rPr>
          <w:rtl w:val="true"/>
        </w:rPr>
        <w:t>اعتبار کثرة المخبرین إلی حدّ یمتنع تواطؤهم</w:t>
      </w:r>
      <w:r>
        <w:rPr>
          <w:rtl w:val="true"/>
        </w:rPr>
        <w:t>]</w:t>
      </w:r>
      <w:bookmarkEnd w:id="649"/>
    </w:p>
    <w:p>
      <w:pPr>
        <w:pStyle w:val="BookText"/>
        <w:rPr/>
      </w:pPr>
      <w:r>
        <w:rPr>
          <w:rFonts w:ascii="IRNazanin" w:hAnsi="IRNazanin" w:eastAsia="IRNazanin"/>
          <w:color w:val="111111"/>
          <w:sz w:val="28"/>
          <w:sz w:val="28"/>
          <w:szCs w:val="28"/>
          <w:rtl w:val="true"/>
          <w:lang w:bidi="fa-IR"/>
        </w:rPr>
        <w:t>نعم، غایة الفرق بینهما علی تقدیر التسلیم هو کون الکثرة المحصّلة للعلم فی غیر المحسوس أکثر عددا من الکثرة المحصّلة للعلم بالمحسوس، و مجرّد هذا الفرق غیر فارق؛ لدخول المحسوس و خروج غیره بعد عدم اعتبار عدد معیّن فی حصول التواتر، و إحالتهم العدد المحصّل له إلی اختلاف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الخلاف المعروف فی عدد التواتر فإنّما هو فی تعیین أقلّ ما یحصل منه لا فی تعیینه مطلقا، فإنّ لأکثره لا 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بأنّ کثرة الأخبار عن غیر المحسوس لا یفید العلم و إن بلغ ما بلغ، کان إخراجه عن حدّ التواتر باعتبار الحسّ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نظر معتبری الحسّ مبنیّ علی ذلک القول و إن کان مبنی فاسدا، أو مبنیّ علی التعبّد الاصطلاحی و إن کان ظاهر الاصطلاح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من ذلک کلّه أنّ الأقرب عدم اعتبار الحسّ فی الخبر المتواتر و أن اعتباره ناشئ عن أحد مبنیین فاسدین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ما اعتبروه أیضا فی المخبرین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کثرتهم إلی حدّ یمتنع تواطؤهم علی الکذب عادة و لو علی سبیل السهو و الخطأ، لیخرج عن حدّ التواتر إخبار جماعة قلیلة و إن أفاد العلم من جهة القرائن الداخلة، الراجعة إلی خصوصیة الخبر</w:t>
      </w:r>
      <w:r>
        <w:rPr>
          <w:rFonts w:eastAsia="IRNazanin" w:cs="IRNazanin"/>
          <w:color w:val="111111"/>
          <w:sz w:val="28"/>
          <w:szCs w:val="28"/>
          <w:rtl w:val="true"/>
          <w:lang w:bidi="fa-IR"/>
        </w:rPr>
        <w:t xml:space="preserve">. </w:t>
      </w:r>
      <w:bookmarkStart w:id="650" w:name="pg12850_121368"/>
    </w:p>
    <w:p>
      <w:pPr>
        <w:pStyle w:val="BookText"/>
        <w:rPr/>
      </w:pPr>
      <w:bookmarkEnd w:id="650"/>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اعتبار حصول العلم من وصف کثرة المخبرین مستندا إلی التعبّد بالاصطلاح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مشاحّة فیه، و إلّا فلا وجه له بعد کون المدار فی تواتر الخبر علی إفادته العلم بنفسه المفروض الحصول</w:t>
      </w:r>
      <w:r>
        <w:rPr>
          <w:rFonts w:eastAsia="IRNazanin" w:cs="IRNazanin"/>
          <w:color w:val="111111"/>
          <w:sz w:val="28"/>
          <w:szCs w:val="28"/>
          <w:rtl w:val="true"/>
          <w:lang w:bidi="fa-IR"/>
        </w:rPr>
        <w:t>.</w:t>
      </w:r>
    </w:p>
    <w:p>
      <w:pPr>
        <w:pStyle w:val="Heading6"/>
        <w:numPr>
          <w:ilvl w:val="5"/>
          <w:numId w:val="1"/>
        </w:numPr>
        <w:rPr/>
      </w:pPr>
      <w:bookmarkStart w:id="651" w:name="__RefHeading___Toc2527482_3224264995"/>
      <w:bookmarkStart w:id="652" w:name="_Toc241"/>
      <w:bookmarkEnd w:id="651"/>
      <w:r>
        <w:rPr>
          <w:rtl w:val="true"/>
        </w:rPr>
        <w:t>[</w:t>
      </w:r>
      <w:r>
        <w:rPr>
          <w:rtl w:val="true"/>
        </w:rPr>
        <w:t>اعتبار استواء الطرفین فی الواسطة</w:t>
      </w:r>
      <w:r>
        <w:rPr>
          <w:rtl w:val="true"/>
        </w:rPr>
        <w:t>]</w:t>
      </w:r>
      <w:bookmarkEnd w:id="652"/>
    </w:p>
    <w:p>
      <w:pPr>
        <w:pStyle w:val="BookText"/>
        <w:rPr/>
      </w:pPr>
      <w:r>
        <w:rPr>
          <w:rFonts w:ascii="IRNazanin" w:hAnsi="IRNazanin" w:eastAsia="IRNazanin"/>
          <w:color w:val="111111"/>
          <w:sz w:val="28"/>
          <w:sz w:val="28"/>
          <w:szCs w:val="28"/>
          <w:rtl w:val="true"/>
          <w:lang w:bidi="fa-IR"/>
        </w:rPr>
        <w:t>و من جملة ما اعتبروه فی المخبرین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استواء الطرفین فی الواسطة، و مرادهم من اعتبار الاستواء اعتباره فی صورة تعدّد الطبقات و إلّا فلا واسطة و لا 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استواء الطرفین فی الواسطة بلوغ جمیع طبقات المخبرین فی الأول و الوسط و الأخیر فی إفادة العلم بنفسه، سواء علم تحقّق الاستواء بالتواتر أو بغیره من الطرق العلمیة، فالمراد من استواء الطبقات فی الواسطة أعمّ من استوائهم فی العدد، أی فی عدد المخبرین و عدمه، و اعتبار هذا الشرط فی حدّ التواتر مخرج لما لم یستوفیه الطبقات فی الواسطة سواء لم یبلغ الکثرة فی إحدی الطبقات مبلغ ما یفید العلم، أم بلغ مبلغ ما یفیده، لکن لا من جهة نفسه بل من جهة القرائن الخارجیة؛ فإنّ النتیجة تابعة لأخسّ الطبقات، کما أنّها تابعة لأخسّ المقدّمات فاعتبار هذا الشرط فی محلّه</w:t>
      </w:r>
      <w:r>
        <w:rPr>
          <w:rFonts w:eastAsia="IRNazanin" w:cs="IRNazanin"/>
          <w:color w:val="111111"/>
          <w:sz w:val="28"/>
          <w:szCs w:val="28"/>
          <w:rtl w:val="true"/>
          <w:lang w:bidi="fa-IR"/>
        </w:rPr>
        <w:t>.</w:t>
      </w:r>
    </w:p>
    <w:p>
      <w:pPr>
        <w:pStyle w:val="Heading6"/>
        <w:numPr>
          <w:ilvl w:val="5"/>
          <w:numId w:val="1"/>
        </w:numPr>
        <w:rPr/>
      </w:pPr>
      <w:bookmarkStart w:id="653" w:name="__RefHeading___Toc2527484_3224264995"/>
      <w:bookmarkStart w:id="654" w:name="_Toc242"/>
      <w:bookmarkEnd w:id="653"/>
      <w:r>
        <w:rPr>
          <w:rtl w:val="true"/>
        </w:rPr>
        <w:t>[</w:t>
      </w:r>
      <w:r>
        <w:rPr>
          <w:rtl w:val="true"/>
        </w:rPr>
        <w:t>اعتبار عدم کون السامع مسبوقا بالعلم</w:t>
      </w:r>
      <w:r>
        <w:rPr>
          <w:rtl w:val="true"/>
        </w:rPr>
        <w:t>]</w:t>
      </w:r>
      <w:bookmarkEnd w:id="654"/>
    </w:p>
    <w:p>
      <w:pPr>
        <w:pStyle w:val="BookText"/>
        <w:rPr/>
      </w:pPr>
      <w:r>
        <w:rPr>
          <w:rFonts w:ascii="IRNazanin" w:hAnsi="IRNazanin" w:eastAsia="IRNazanin"/>
          <w:color w:val="111111"/>
          <w:sz w:val="28"/>
          <w:sz w:val="28"/>
          <w:szCs w:val="28"/>
          <w:rtl w:val="true"/>
          <w:lang w:bidi="fa-IR"/>
        </w:rPr>
        <w:t>و من جملة ما اعتبروه فی السامع عدم کونه مسبوقا بالعلم بما أخبر المخبرون عنه، لاستحالة تحصیل الحاصل، و عدم کونه مسبوقا بشبهة أو تقلید یؤدّی إلی اعتقاد نفی موجب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اعتبار هذا الشرط ذکره السیّد</w:t>
      </w:r>
      <w:r>
        <w:rPr>
          <w:rStyle w:val="FootnoteAnchor"/>
          <w:rtl w:val="true"/>
        </w:rPr>
        <w:footnoteReference w:id="395"/>
      </w:r>
      <w:r>
        <w:rPr>
          <w:rFonts w:ascii="IRNazanin" w:hAnsi="IRNazanin" w:eastAsia="IRNazanin"/>
          <w:color w:val="111111"/>
          <w:sz w:val="28"/>
          <w:sz w:val="28"/>
          <w:szCs w:val="28"/>
          <w:rtl w:val="true"/>
          <w:lang w:bidi="fa-IR"/>
        </w:rPr>
        <w:t>و رام به الفرق بین الأخبار المتواترة بوجود البلدان و الأخبار المتواترة بکثیر من معجزات النبی صلی اللّه علیه و آله التی یتفرد بها المسلمون، و روایة النصّ الجلیّ علی إمامة علیّ علیه السّلام و خلافته التی ینفرد بها الإمامیون</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الشرط شرط فی حصول العلم الفعلی من التواتر، </w:t>
      </w:r>
      <w:bookmarkStart w:id="655" w:name="pg12850_121369"/>
    </w:p>
    <w:p>
      <w:pPr>
        <w:pStyle w:val="BookText"/>
        <w:rPr/>
      </w:pPr>
      <w:bookmarkEnd w:id="655"/>
      <w:r>
        <w:rPr>
          <w:rFonts w:ascii="IRNazanin" w:hAnsi="IRNazanin" w:eastAsia="IRNazanin"/>
          <w:color w:val="111111"/>
          <w:sz w:val="28"/>
          <w:sz w:val="28"/>
          <w:szCs w:val="28"/>
          <w:rtl w:val="true"/>
          <w:lang w:bidi="fa-IR"/>
        </w:rPr>
        <w:t>لا فی تحقّق أصل التواتر المکتفی فی تحقّقه حصول العلم الشأنی، فإنّ من المقطوع تواتر الأخبار المذکورة عند کثیر ممّن لا یقول بمقتضاها من الکفّار و المخالفین و إن أنکروا کونها متواترة، لعدم إفادتها العلم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الحجّة قد تمّت و لزمت فی حقّهم، إذ لا عبرة بشبهة الجاحد بعد وضوح مسالک الحقّ و ظهورها</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6" w:name="__RefHeading___Toc2527486_3224264995"/>
      <w:bookmarkStart w:id="657" w:name="_Toc243"/>
      <w:bookmarkEnd w:id="656"/>
      <w:r>
        <w:rPr>
          <w:rtl w:val="true"/>
        </w:rPr>
        <w:t>[</w:t>
      </w:r>
      <w:r>
        <w:rPr>
          <w:rtl w:val="true"/>
        </w:rPr>
        <w:t>اعتبار عدم کون الإخبار عن الظن</w:t>
      </w:r>
      <w:r>
        <w:rPr>
          <w:rtl w:val="true"/>
        </w:rPr>
        <w:t>]</w:t>
      </w:r>
      <w:bookmarkEnd w:id="657"/>
    </w:p>
    <w:p>
      <w:pPr>
        <w:pStyle w:val="BookText"/>
        <w:rPr/>
      </w:pPr>
      <w:r>
        <w:rPr>
          <w:rFonts w:ascii="IRNazanin" w:hAnsi="IRNazanin" w:eastAsia="IRNazanin"/>
          <w:color w:val="111111"/>
          <w:sz w:val="28"/>
          <w:sz w:val="28"/>
          <w:szCs w:val="28"/>
          <w:rtl w:val="true"/>
          <w:lang w:bidi="fa-IR"/>
        </w:rPr>
        <w:t>و من جملة ما اعتبره بعض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کونه إخبارا عن الظنّ، خلافا لمن أهمله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کون الخلاف لفظیا و أنّ مراد من اعتبر هذا الشرط اعتباره فی حصول علم السامع بالواقع، و إلّا فمن المعلوم عدم مدخلیته فی حصول العلم بنفس المخبر به، غایة الأمر أنّ إخبار المخبرین به إن کان عن الواقع کان العلم الحاصل للسامع من تواتره علما بالواقع، و إن کان عن علمهم به کان العلم الحاصل للسامع من تواتره علما بعلمهم به، و إن کان عن الظنّ کان الحاصل من تواتره علما بظنّهم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فالعلم بصدق الخبر المأخوذ فی حدّ التواتر لا یختلف باختلاف متعلّق الخبر، لأنّه عبارة عن العلم بواقعیة ما أخبروا عنه فی الواقع، فإن أخبروا عن الظنّ کان العلم بواقعیته ما أخبروا عنه فی الواقع کونه مظنونا لهم فی الواقع، و إن أخبروا عن علمهم به کان العلم بواقعیته فی الواقع کونه معلوما لهم فی الواقع، و إن أخبروا عن نفس الواقع کان العلم بواقعیته فی الواقع کونه واقعا فی الواقع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صیرورة مظنون المخبرین معلوما للسامع فی الواقع فلا یمکن حصوله من نفس إخبارهم عن الظن و إن بلغوا فی الکثرة ما بلغوا، إلّا بمعونة القرائن الخارجیة المخرجة إیّاه عن حدّ التواتر، کما لا یخفی</w:t>
      </w:r>
      <w:r>
        <w:rPr>
          <w:rFonts w:eastAsia="IRNazanin" w:cs="IRNazanin"/>
          <w:color w:val="111111"/>
          <w:sz w:val="28"/>
          <w:szCs w:val="28"/>
          <w:rtl w:val="true"/>
          <w:lang w:bidi="fa-IR"/>
        </w:rPr>
        <w:t xml:space="preserve">. </w:t>
      </w:r>
      <w:bookmarkStart w:id="658" w:name="pg12850_121370"/>
    </w:p>
    <w:p>
      <w:pPr>
        <w:pStyle w:val="BookText"/>
        <w:rPr/>
      </w:pPr>
      <w:bookmarkEnd w:id="658"/>
      <w:r>
        <w:rPr>
          <w:rFonts w:ascii="IRNazanin" w:hAnsi="IRNazanin" w:eastAsia="IRNazanin"/>
          <w:color w:val="111111"/>
          <w:sz w:val="28"/>
          <w:sz w:val="28"/>
          <w:szCs w:val="28"/>
          <w:rtl w:val="true"/>
          <w:lang w:bidi="fa-IR"/>
        </w:rPr>
        <w:t>و قد اعتبر بعض بعض ما لا عبرة به أیضا من سائر الشروط حسبما أشیر إلیها و إلی الإعراض عنها فی الکتب المألوفة، و من شاء راجع</w:t>
      </w:r>
      <w:r>
        <w:rPr>
          <w:rFonts w:eastAsia="IRNazanin" w:cs="IRNazanin"/>
          <w:color w:val="111111"/>
          <w:sz w:val="28"/>
          <w:szCs w:val="28"/>
          <w:rtl w:val="true"/>
          <w:lang w:bidi="fa-IR"/>
        </w:rPr>
        <w:t>.</w:t>
      </w:r>
    </w:p>
    <w:p>
      <w:pPr>
        <w:pStyle w:val="Heading6"/>
        <w:numPr>
          <w:ilvl w:val="5"/>
          <w:numId w:val="1"/>
        </w:numPr>
        <w:rPr/>
      </w:pPr>
      <w:bookmarkStart w:id="659" w:name="__RefHeading___Toc2527488_3224264995"/>
      <w:bookmarkStart w:id="660" w:name="_Toc244"/>
      <w:bookmarkEnd w:id="659"/>
      <w:r>
        <w:rPr>
          <w:rtl w:val="true"/>
        </w:rPr>
        <w:t>[</w:t>
      </w:r>
      <w:r>
        <w:rPr>
          <w:rtl w:val="true"/>
        </w:rPr>
        <w:t>الفرق بین الخبر المتواتر و غیره من حیث الحکم و الأثر</w:t>
      </w:r>
      <w:r>
        <w:rPr>
          <w:rtl w:val="true"/>
        </w:rPr>
        <w:t>]</w:t>
      </w:r>
      <w:bookmarkEnd w:id="660"/>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الفرق بین الخبر المتواتر و غیره من حیث الأحکام و الآثار، بعد ما تشخّص الفرق بینهما من حیث الذات و العلامات</w:t>
      </w:r>
      <w:r>
        <w:rPr>
          <w:rFonts w:eastAsia="IRNazanin" w:cs="IRNazanin"/>
          <w:color w:val="111111"/>
          <w:sz w:val="28"/>
          <w:szCs w:val="28"/>
          <w:rtl w:val="true"/>
          <w:lang w:bidi="fa-IR"/>
        </w:rPr>
        <w:t>.</w:t>
      </w:r>
    </w:p>
    <w:p>
      <w:pPr>
        <w:pStyle w:val="Heading6"/>
        <w:numPr>
          <w:ilvl w:val="5"/>
          <w:numId w:val="1"/>
        </w:numPr>
        <w:rPr/>
      </w:pPr>
      <w:bookmarkStart w:id="661" w:name="__RefHeading___Toc2527490_3224264995"/>
      <w:bookmarkStart w:id="662" w:name="_Toc245"/>
      <w:bookmarkEnd w:id="661"/>
      <w:r>
        <w:rPr>
          <w:rtl w:val="true"/>
        </w:rPr>
        <w:t>[</w:t>
      </w:r>
      <w:r>
        <w:rPr>
          <w:rtl w:val="true"/>
        </w:rPr>
        <w:t>وجوب العمل بموجب الخبر المتواتر</w:t>
      </w:r>
      <w:r>
        <w:rPr>
          <w:rtl w:val="true"/>
        </w:rPr>
        <w:t>]</w:t>
      </w:r>
      <w:bookmarkEnd w:id="662"/>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جملة الفروق الحکمیة بینهما اختصاص الخبر المتواتر بوجوب العمل بموجبه بعد تحقّقه من دون الخلاف الآتی تفصیله فی وجوب العمل بخبر الواحد، لأنّ العلم الحاصل منه بنفسه طریق إلی الواقع بل لیس طریقیته قابلة لجعل الشارع لا إثباتا و لا نفیا، و من هنا یعلم أنّ إطلاق الحجّة علیه لیس کإطلاق الحجّة علی سائر الأمارات المعتبرة شرعا، کما هو المقرّر فی حجّیة مطلق العلم من أیّ سبب عادیّ کان</w:t>
      </w:r>
      <w:r>
        <w:rPr>
          <w:rFonts w:eastAsia="IRNazanin" w:cs="IRNazanin"/>
          <w:color w:val="111111"/>
          <w:sz w:val="28"/>
          <w:szCs w:val="28"/>
          <w:rtl w:val="true"/>
          <w:lang w:bidi="fa-IR"/>
        </w:rPr>
        <w:t>.</w:t>
      </w:r>
    </w:p>
    <w:p>
      <w:pPr>
        <w:pStyle w:val="Heading6"/>
        <w:numPr>
          <w:ilvl w:val="5"/>
          <w:numId w:val="1"/>
        </w:numPr>
        <w:rPr/>
      </w:pPr>
      <w:bookmarkStart w:id="663" w:name="__RefHeading___Toc2527492_3224264995"/>
      <w:bookmarkStart w:id="664" w:name="_Toc246"/>
      <w:bookmarkEnd w:id="663"/>
      <w:r>
        <w:rPr>
          <w:rtl w:val="true"/>
        </w:rPr>
        <w:t>[</w:t>
      </w:r>
      <w:r>
        <w:rPr>
          <w:rtl w:val="true"/>
        </w:rPr>
        <w:t>ارتداد المنکر لموجب الخبر المتواتر</w:t>
      </w:r>
      <w:r>
        <w:rPr>
          <w:rtl w:val="true"/>
        </w:rPr>
        <w:t>]</w:t>
      </w:r>
      <w:bookmarkEnd w:id="664"/>
    </w:p>
    <w:p>
      <w:pPr>
        <w:pStyle w:val="BookText"/>
        <w:rPr/>
      </w:pPr>
      <w:r>
        <w:rPr>
          <w:rFonts w:ascii="IRNazanin" w:hAnsi="IRNazanin" w:eastAsia="IRNazanin"/>
          <w:color w:val="111111"/>
          <w:sz w:val="28"/>
          <w:sz w:val="28"/>
          <w:szCs w:val="28"/>
          <w:rtl w:val="true"/>
          <w:lang w:bidi="fa-IR"/>
        </w:rPr>
        <w:t>و من جملة الفروق الحکمیة بینهما اختصاص المنکر لموجب الخبر المتواتر بالارتداد و الخروج به عن ربقة الإسلام و الإلحاق بالکفّار بناء علی ما هو المشهور المنصور من کون العلم الحاصل من التواتر ضروریا لا نظریّا، کما عن جماعة</w:t>
      </w:r>
      <w:r>
        <w:rPr>
          <w:rFonts w:eastAsia="IRNazanin" w:cs="IRNazanin"/>
          <w:color w:val="111111"/>
          <w:sz w:val="28"/>
          <w:szCs w:val="28"/>
          <w:rtl w:val="true"/>
          <w:lang w:bidi="fa-IR"/>
        </w:rPr>
        <w:t>.</w:t>
      </w:r>
    </w:p>
    <w:p>
      <w:pPr>
        <w:pStyle w:val="Heading6"/>
        <w:numPr>
          <w:ilvl w:val="5"/>
          <w:numId w:val="1"/>
        </w:numPr>
        <w:rPr/>
      </w:pPr>
      <w:bookmarkStart w:id="665" w:name="__RefHeading___Toc2527494_3224264995"/>
      <w:bookmarkStart w:id="666" w:name="_Toc247"/>
      <w:bookmarkEnd w:id="665"/>
      <w:r>
        <w:rPr>
          <w:rtl w:val="true"/>
        </w:rPr>
        <w:t>[</w:t>
      </w:r>
      <w:r>
        <w:rPr>
          <w:rtl w:val="true"/>
        </w:rPr>
        <w:t>العلم الضروری و العلم النظری</w:t>
      </w:r>
      <w:r>
        <w:rPr>
          <w:rtl w:val="true"/>
        </w:rPr>
        <w:t>]</w:t>
      </w:r>
      <w:bookmarkEnd w:id="666"/>
    </w:p>
    <w:p>
      <w:pPr>
        <w:pStyle w:val="BookText"/>
        <w:rPr/>
      </w:pPr>
      <w:r>
        <w:rPr>
          <w:rFonts w:ascii="IRNazanin" w:hAnsi="IRNazanin" w:eastAsia="IRNazanin"/>
          <w:color w:val="111111"/>
          <w:sz w:val="28"/>
          <w:sz w:val="28"/>
          <w:szCs w:val="28"/>
          <w:rtl w:val="true"/>
          <w:lang w:bidi="fa-IR"/>
        </w:rPr>
        <w:t>و تصویر هذا النزاع المتفرّع علیه التصدیق یتوقّف علی تشخیص معنی الضروری و النظری، و علی تحریر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مقدّمة علی التصدیق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إشکال فی أنّ العلم النظری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عمّا یتوقّف حصوله و الانتقال إلیه علی توسّط مقدّمتین مشتملتین علی هیئة القیاس و لو کان توقّفه علیهما باللحاظ البدویّ إجمالا، من غیر إعمال رویة و ملاحظة تفصیلیة، کما فی النظریات المکتسبة من أوائل البدیهیات بحیث ینتقل إلیها فی بادئ النظر من غیر إعمال رویة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عمّا لم یتوقّف حصوله و الانتقال إلیه علی توسطهما و إن </w:t>
      </w:r>
      <w:bookmarkStart w:id="667" w:name="pg12850_121371"/>
    </w:p>
    <w:p>
      <w:pPr>
        <w:pStyle w:val="BookText"/>
        <w:rPr/>
      </w:pPr>
      <w:bookmarkEnd w:id="667"/>
      <w:r>
        <w:rPr>
          <w:rFonts w:ascii="IRNazanin" w:hAnsi="IRNazanin" w:eastAsia="IRNazanin"/>
          <w:color w:val="111111"/>
          <w:sz w:val="28"/>
          <w:sz w:val="28"/>
          <w:szCs w:val="28"/>
          <w:rtl w:val="true"/>
          <w:lang w:bidi="fa-IR"/>
        </w:rPr>
        <w:t>لم ینفک حصوله عنهما، بل و لو توقّف حصوله و الانتقال إلیه علی توسّط أمر خفیّ و لو نظری، کالتصدیق البدیهی المتوقّف علی تصوّرات نظریة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هذه المقدّمة یعلم أنّ العلم النظری بمنزلة المسبب المنکشف عن وجود المقدّمتین کانکشاف حدوث العالم مثلا عن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متغیّر، و 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الضروری بالعکس، أعنی بمنزلة السبب الکاشف عن وجودهما ککاشفیة أعظمیة الکلّ من الجزء عن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 مشتمل علی الجزء و زیادة، و کلّ مشتمل علی الجزء و زیادة فهو أعظم من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لا إشکال فی أنّ حصول بعض التواترات و وجودها نظریة یحتاج إلی توسّط المقدّمتین و إمعان النظر فیها، و الوقوف علی حال المخبرین من تکاثرهم و تباین آرائهم و اختلاف بلادهم، و تحرّزهم کلّا أو بعضا عن تعمّد الکذب، و کون الکثرة بحیث لم یصلح لوقوع السهو و الخطأ فیه منهم، إلی غیر ذلک من الامور المعتبرة فی حصول العلم بصحّة الخبر، کما فی العلم بتواتر بعض المعجزات و نحوها ممّا یکون العلم به تدریجیّ الحصول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فی أنّ حصول بعض التواترات الأخر و وجودها ضروریّ لا یحتاج إلی إمعان النظر فیها و الوقوف علی مقدّماتها، کتواتر بعض البلدان النائیة، کالهند و الصین و نحوهما ممّا یکون العلم به دفعیّ الحصول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و لا خلاف فی أنّ العلم بالتواتر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منه نظری متدرّج الحصول، من إمعان النظر و الفکر فی مقدّمات حصوله، کالعلم بتواتر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منه ضروری دفعیّ الحصول لا یتوقّف علی ذلک النظر و الفکر، کالعلم بتواتر مکّة و نحوه</w:t>
      </w:r>
      <w:r>
        <w:rPr>
          <w:rFonts w:eastAsia="IRNazanin" w:cs="IRNazanin"/>
          <w:color w:val="111111"/>
          <w:sz w:val="28"/>
          <w:szCs w:val="28"/>
          <w:rtl w:val="true"/>
          <w:lang w:bidi="fa-IR"/>
        </w:rPr>
        <w:t>.</w:t>
      </w:r>
    </w:p>
    <w:p>
      <w:pPr>
        <w:pStyle w:val="Heading6"/>
        <w:numPr>
          <w:ilvl w:val="5"/>
          <w:numId w:val="1"/>
        </w:numPr>
        <w:rPr/>
      </w:pPr>
      <w:bookmarkStart w:id="668" w:name="__RefHeading___Toc2527496_3224264995"/>
      <w:bookmarkStart w:id="669" w:name="_Toc248"/>
      <w:bookmarkEnd w:id="668"/>
      <w:r>
        <w:rPr>
          <w:rtl w:val="true"/>
        </w:rPr>
        <w:t>[</w:t>
      </w:r>
      <w:r>
        <w:rPr>
          <w:rtl w:val="true"/>
        </w:rPr>
        <w:t>الخلاف فی کیفیة العلم الحاصل من التواتر المعلوم</w:t>
      </w:r>
      <w:r>
        <w:rPr>
          <w:rtl w:val="true"/>
        </w:rPr>
        <w:t>]</w:t>
      </w:r>
      <w:bookmarkEnd w:id="669"/>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هذه المقدّمة یعلم تحریر محلّ النزاع و أنّ النزاع فی المسألة لیس فی </w:t>
      </w:r>
    </w:p>
    <w:p>
      <w:pPr>
        <w:pStyle w:val="BookText"/>
        <w:rPr/>
      </w:pPr>
      <w:r>
        <w:rPr>
          <w:rFonts w:ascii="IRNazanin" w:hAnsi="IRNazanin" w:eastAsia="IRNazanin"/>
          <w:color w:val="111111"/>
          <w:sz w:val="28"/>
          <w:sz w:val="28"/>
          <w:szCs w:val="28"/>
          <w:rtl w:val="true"/>
          <w:lang w:bidi="fa-IR"/>
        </w:rPr>
        <w:t>کیفیة العلم بالتواتر و إنّما هو فی کیفیة العلم الحاصل من التواتر المعلوم بأحد کیفیتیه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العلم بالشی‌ء و العلم الناشئ عن الشی‌ء بعد معلومیته فی غایة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علم من المقدّمة السابقة تشخیص معنی الضروری و النظری و أنّ النزاع فی المسألة صغرویّ لا کبروی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قد عرفت تحریر محلّ النزاع و تشخیص معنی الضروری و النظری، فاعلم أنّهم اختلفوا فی ضروریة العلم الحاصل من التواتر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نوعی التواتر الضروری و النظری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واسطة بین الضروری و النظری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الحقیق بالتصدیق بعد الاطّلاع علی دلیل کلّ 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التواتر المعلوم بالعلم الضروری کتواتر الهند و الصین و نحوهما ممّا هو دفعیّ الحصول، فلا ینبغی الإشکال فی کون العلم الحاصل من هذا النحو من التواتر أیضا ضروریا دفعی الحصول، غیر متوقّف علی المقدّمتین المشتملتین علی هیئة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الظاهر علی ما استظهره استاذنا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هذا النوع عن محلّ النزاع؛ ضرورة أنّ العلم الحاصل من هذا النحو من التواتر نظیر العلم الحاصل بالمستور بعد کشف الستار و بالمغطّی بعد کشف الغطاء، فی عدم توقّف ذلک العلم علی واسطة بعد رفع الستار عن المستور و الغطاء عن المغطّی تحته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التواتر المعلوم بالعلم النظری المتدرّج حصوله من إمعان النظر و التأمل، فیمکن أن یلحق العلم الحاصل منه إلی العلم النظری المتوقّف علی توسّط المقدّمتین نظرا إلی أنّه علم مسبّب عن السبب النظری المتدرّج حصوله </w:t>
      </w:r>
      <w:bookmarkStart w:id="670" w:name="pg12850_121373"/>
    </w:p>
    <w:p>
      <w:pPr>
        <w:pStyle w:val="BookText"/>
        <w:rPr/>
      </w:pPr>
      <w:bookmarkEnd w:id="670"/>
      <w:r>
        <w:rPr>
          <w:rFonts w:ascii="IRNazanin" w:hAnsi="IRNazanin" w:eastAsia="IRNazanin"/>
          <w:color w:val="111111"/>
          <w:sz w:val="28"/>
          <w:sz w:val="28"/>
          <w:szCs w:val="28"/>
          <w:rtl w:val="true"/>
          <w:lang w:bidi="fa-IR"/>
        </w:rPr>
        <w:t>من إمعان النظر و الفکر فی مقدّماته، فیتبع سببه فی النظریة و التوقّف علی ما یتوقّف علیه 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التأمّل الدقیق و النظر الحقیق یقتضی إلحاقه بالعلم الضروری أیضا؛ نظرا إلی ما عرفت من أنّ المعیار بین العلم الضروری و النظری إنّما هو علی توقّف نفسه و عدم توقّف نفسه، أعنی کون اتّصاف العلم بالضروری و النظری من قبیل الوصف الحقیقی، لا من قبیل الوصف السببی و الوصف بحال المتعلّق حتی یتّبع سببه فی الضروریة و النظریة، بل المدار فی الاتّصاف بهما إنّما هو علی نفسه، فإن کان العلم الحاصل من التواتر المعلوم بنفسه متوقّفا علی واسطة اخری غیر العلم بالتواتر کان نظریا، و إلّا فهو ضروری و لو کان سببه و هو العلم بالتواتر متوقّفا علی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فلا فرق بین العلم الحاصل من التواتر الضروری و الحاصل من التواتر النظری فی کون کلّ منهما ضروریا لا یتوقّف علی توسّط المقدّمات، کما لا فرق فی العلم الحاصل من رفع الغطاء عنه بین ارتفاعه بأسهل ما یکون و بین ارتفاعه بأصعب ما یکون من الأسباب الشاقّة المستصعبة فی إلحاق کلّ من العلمین الحاصلین من رفع الغطاء بالعلم الضروری، بعد ارتفاع الغطاء بأیّ نحو کان من أنحاء الارتفاع، کما لا یخفی، و لتمام الکلام فی النقض و الإبرام مجال لا یسعه المقام، فالحوالة إلی کتب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کلّه فی بیان ذات الخبر المتواتر و أحکامه المختصّة به</w:t>
      </w:r>
      <w:r>
        <w:rPr>
          <w:rFonts w:eastAsia="IRNazanin" w:cs="IRNazanin"/>
          <w:color w:val="111111"/>
          <w:sz w:val="28"/>
          <w:szCs w:val="28"/>
          <w:rtl w:val="true"/>
          <w:lang w:bidi="fa-IR"/>
        </w:rPr>
        <w:t>.</w:t>
      </w:r>
    </w:p>
    <w:p>
      <w:pPr>
        <w:pStyle w:val="Heading4"/>
        <w:numPr>
          <w:ilvl w:val="3"/>
          <w:numId w:val="1"/>
        </w:numPr>
        <w:rPr/>
      </w:pPr>
      <w:bookmarkStart w:id="671" w:name="__RefHeading___Toc2527498_3224264995"/>
      <w:bookmarkStart w:id="672" w:name="_Toc249"/>
      <w:bookmarkEnd w:id="671"/>
      <w:r>
        <w:rPr>
          <w:rtl w:val="true"/>
        </w:rPr>
        <w:t>[</w:t>
      </w:r>
      <w:r>
        <w:rPr>
          <w:rtl w:val="true"/>
        </w:rPr>
        <w:t>و منها خبر الواحد اجمالا</w:t>
      </w:r>
      <w:r>
        <w:rPr>
          <w:rtl w:val="true"/>
        </w:rPr>
        <w:t>]</w:t>
      </w:r>
      <w:bookmarkEnd w:id="672"/>
    </w:p>
    <w:p>
      <w:pPr>
        <w:pStyle w:val="Heading5"/>
        <w:numPr>
          <w:ilvl w:val="4"/>
          <w:numId w:val="1"/>
        </w:numPr>
        <w:rPr/>
      </w:pPr>
      <w:bookmarkStart w:id="673" w:name="__RefHeading___Toc2527500_3224264995"/>
      <w:bookmarkStart w:id="674" w:name="_Toc250"/>
      <w:bookmarkEnd w:id="673"/>
      <w:r>
        <w:rPr>
          <w:rtl w:val="true"/>
        </w:rPr>
        <w:t>اشارة</w:t>
      </w:r>
      <w:bookmarkEnd w:id="674"/>
    </w:p>
    <w:p>
      <w:pPr>
        <w:pStyle w:val="BookText"/>
        <w:rPr/>
      </w:pPr>
      <w:r>
        <w:rPr>
          <w:rFonts w:ascii="IRNazanin" w:hAnsi="IRNazanin" w:eastAsia="IRNazanin"/>
          <w:color w:val="111111"/>
          <w:sz w:val="28"/>
          <w:sz w:val="28"/>
          <w:szCs w:val="28"/>
          <w:rtl w:val="true"/>
          <w:lang w:bidi="fa-IR"/>
        </w:rPr>
        <w:t>و أمّا الکلام فی خبر الواحد فقد عرفت أنّه من جهات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جهة تشخیص ذاته و الموضوع فتفصیله</w:t>
      </w:r>
      <w:r>
        <w:rPr>
          <w:rFonts w:eastAsia="IRNazanin" w:cs="IRNazanin"/>
          <w:color w:val="111111"/>
          <w:sz w:val="28"/>
          <w:szCs w:val="28"/>
          <w:rtl w:val="true"/>
          <w:lang w:bidi="fa-IR"/>
        </w:rPr>
        <w:t>:</w:t>
      </w:r>
    </w:p>
    <w:p>
      <w:pPr>
        <w:pStyle w:val="Heading5"/>
        <w:numPr>
          <w:ilvl w:val="4"/>
          <w:numId w:val="1"/>
        </w:numPr>
        <w:rPr/>
      </w:pPr>
      <w:bookmarkStart w:id="675" w:name="__RefHeading___Toc2527502_3224264995"/>
      <w:bookmarkStart w:id="676" w:name="_Toc251"/>
      <w:bookmarkEnd w:id="675"/>
      <w:r>
        <w:rPr>
          <w:rtl w:val="true"/>
        </w:rPr>
        <w:t>[</w:t>
      </w:r>
      <w:r>
        <w:rPr>
          <w:rtl w:val="true"/>
        </w:rPr>
        <w:t>تعریف الخبر الواحد</w:t>
      </w:r>
      <w:r>
        <w:rPr>
          <w:rtl w:val="true"/>
        </w:rPr>
        <w:t>]</w:t>
      </w:r>
      <w:bookmarkEnd w:id="676"/>
    </w:p>
    <w:p>
      <w:pPr>
        <w:pStyle w:val="BookText"/>
        <w:rPr/>
      </w:pPr>
      <w:r>
        <w:rPr>
          <w:rFonts w:ascii="IRNazanin" w:hAnsi="IRNazanin" w:eastAsia="IRNazanin"/>
          <w:color w:val="111111"/>
          <w:sz w:val="28"/>
          <w:sz w:val="28"/>
          <w:szCs w:val="28"/>
          <w:rtl w:val="true"/>
          <w:lang w:bidi="fa-IR"/>
        </w:rPr>
        <w:t>أنّ الخبر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غیر المتواتر، أعنی الغیر المفید بنفسه العلم بصدقه سواء استفاض أم لم یستفض</w:t>
      </w:r>
      <w:r>
        <w:rPr>
          <w:rFonts w:eastAsia="IRNazanin" w:cs="IRNazanin"/>
          <w:color w:val="111111"/>
          <w:sz w:val="28"/>
          <w:szCs w:val="28"/>
          <w:rtl w:val="true"/>
          <w:lang w:bidi="fa-IR"/>
        </w:rPr>
        <w:t>-</w:t>
      </w:r>
    </w:p>
    <w:p>
      <w:pPr>
        <w:pStyle w:val="Heading5"/>
        <w:numPr>
          <w:ilvl w:val="4"/>
          <w:numId w:val="1"/>
        </w:numPr>
        <w:rPr/>
      </w:pPr>
      <w:bookmarkStart w:id="677" w:name="__RefHeading___Toc2527504_3224264995"/>
      <w:bookmarkStart w:id="678" w:name="_Toc252"/>
      <w:bookmarkEnd w:id="677"/>
      <w:r>
        <w:rPr>
          <w:rtl w:val="true"/>
        </w:rPr>
        <w:t>[</w:t>
      </w:r>
      <w:r>
        <w:rPr>
          <w:rtl w:val="true"/>
        </w:rPr>
        <w:t>المراد من الاستفاضة</w:t>
      </w:r>
      <w:r>
        <w:rPr>
          <w:rtl w:val="true"/>
        </w:rPr>
        <w:t>]</w:t>
      </w:r>
      <w:bookmarkEnd w:id="67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مرادهم من الاستفاضة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صرّحوا به تفوق رواته علی الثلاثة، </w:t>
      </w:r>
      <w:bookmarkStart w:id="679" w:name="pg12850_121374"/>
    </w:p>
    <w:p>
      <w:pPr>
        <w:pStyle w:val="BookText"/>
        <w:rPr/>
      </w:pPr>
      <w:bookmarkEnd w:id="679"/>
      <w:r>
        <w:rPr>
          <w:rFonts w:ascii="IRNazanin" w:hAnsi="IRNazanin" w:eastAsia="IRNazanin"/>
          <w:color w:val="111111"/>
          <w:sz w:val="28"/>
          <w:sz w:val="28"/>
          <w:szCs w:val="28"/>
          <w:rtl w:val="true"/>
          <w:lang w:bidi="fa-IR"/>
        </w:rPr>
        <w:t>و من عدمها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بعضهم المستفیض أعمّ من المتواتر غیر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 کلّ منهما سواء أفاد العلم بواسطة احتفافه بالقرائن الخارجیة أم لم یفده</w:t>
      </w:r>
      <w:r>
        <w:rPr>
          <w:rFonts w:eastAsia="IRNazanin" w:cs="IRNazanin"/>
          <w:color w:val="111111"/>
          <w:sz w:val="28"/>
          <w:szCs w:val="28"/>
          <w:rtl w:val="true"/>
          <w:lang w:bidi="fa-IR"/>
        </w:rPr>
        <w:t>.</w:t>
      </w:r>
    </w:p>
    <w:p>
      <w:pPr>
        <w:pStyle w:val="Heading5"/>
        <w:numPr>
          <w:ilvl w:val="4"/>
          <w:numId w:val="1"/>
        </w:numPr>
        <w:rPr/>
      </w:pPr>
      <w:bookmarkStart w:id="680" w:name="__RefHeading___Toc2527506_3224264995"/>
      <w:bookmarkStart w:id="681" w:name="_Toc253"/>
      <w:bookmarkEnd w:id="680"/>
      <w:r>
        <w:rPr>
          <w:rtl w:val="true"/>
        </w:rPr>
        <w:t>[</w:t>
      </w:r>
      <w:r>
        <w:rPr>
          <w:rtl w:val="true"/>
        </w:rPr>
        <w:t>امکان استفادة العلم من الآحاد</w:t>
      </w:r>
      <w:r>
        <w:rPr>
          <w:rtl w:val="true"/>
        </w:rPr>
        <w:t>]</w:t>
      </w:r>
      <w:bookmarkEnd w:id="681"/>
    </w:p>
    <w:p>
      <w:pPr>
        <w:pStyle w:val="BookText"/>
        <w:rPr/>
      </w:pPr>
      <w:r>
        <w:rPr>
          <w:rFonts w:ascii="IRNazanin" w:hAnsi="IRNazanin" w:eastAsia="IRNazanin"/>
          <w:color w:val="111111"/>
          <w:sz w:val="28"/>
          <w:sz w:val="28"/>
          <w:szCs w:val="28"/>
          <w:rtl w:val="true"/>
          <w:lang w:bidi="fa-IR"/>
        </w:rPr>
        <w:t>و دعوی بعضهم عدم إمکان استفادة العلم من الآحاد غیر سدیدة، فإنّ المقرّر المرضیّ فی محلّه من الکتب المألوفة استفادة العلم أحیانا من خبر الفاسق الواحد المحفوف بالقرائن، فضلا عن العادل و فضلا عن المستفیض، و إن شئت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ینبغی تقیید خبر الواحد بما إذا کان المخبر غیره تعالی و غیر المعصوم علیه السّلام، إذ لا یعدّ إخباره تعالی و إخبار المعصوم فی عرفهم من باب 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جهتی السند الصغری و الکبری فموکول إلی علم الرجال و الدرایة، کما أنّه من جهتی الدلالة الصغری و الکبری موکول إلی ما تقدّم البحث عنهما، و من جهة دفع المعارض و علاج الموانع إلی ما سیأتی فی خاتمة الکتاب من باب التعادل و التراجیح</w:t>
      </w:r>
      <w:r>
        <w:rPr>
          <w:rFonts w:eastAsia="IRNazanin" w:cs="IRNazanin"/>
          <w:color w:val="111111"/>
          <w:sz w:val="28"/>
          <w:szCs w:val="28"/>
          <w:rtl w:val="true"/>
          <w:lang w:bidi="fa-IR"/>
        </w:rPr>
        <w:t>.</w:t>
      </w:r>
    </w:p>
    <w:p>
      <w:pPr>
        <w:pStyle w:val="Heading5"/>
        <w:numPr>
          <w:ilvl w:val="4"/>
          <w:numId w:val="1"/>
        </w:numPr>
        <w:rPr/>
      </w:pPr>
      <w:bookmarkStart w:id="682" w:name="__RefHeading___Toc2527508_3224264995"/>
      <w:bookmarkStart w:id="683" w:name="_Toc254"/>
      <w:bookmarkEnd w:id="682"/>
      <w:r>
        <w:rPr>
          <w:rtl w:val="true"/>
        </w:rPr>
        <w:t>[</w:t>
      </w:r>
      <w:r>
        <w:rPr>
          <w:rtl w:val="true"/>
        </w:rPr>
        <w:t>الخبر الواحد المحفوف بالقرائن العلمیة حجة بلا اشکال</w:t>
      </w:r>
      <w:r>
        <w:rPr>
          <w:rtl w:val="true"/>
        </w:rPr>
        <w:t>]</w:t>
      </w:r>
      <w:bookmarkEnd w:id="683"/>
    </w:p>
    <w:p>
      <w:pPr>
        <w:pStyle w:val="BookText"/>
        <w:rPr/>
      </w:pPr>
      <w:r>
        <w:rPr>
          <w:rFonts w:ascii="IRNazanin" w:hAnsi="IRNazanin" w:eastAsia="IRNazanin"/>
          <w:color w:val="111111"/>
          <w:sz w:val="28"/>
          <w:sz w:val="28"/>
          <w:szCs w:val="28"/>
          <w:rtl w:val="true"/>
          <w:lang w:bidi="fa-IR"/>
        </w:rPr>
        <w:t>و أمّا من جهة الحکم فتفصیله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المحفوف بالقرائن العلمیة من الآحاد فلا إشکال و لا خلاف فی حجّیته بعد فرض 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الغیر المحفوف بها ففی الحکم علیه بالحجّیة و عدمها خلاف معروف، و هی المسألة التی عقد الماتن قدّس سرّه لها الرسالة، فلنرجع إلی تشریح ما فی الرسالة و توضیحه</w:t>
      </w:r>
      <w:r>
        <w:rPr>
          <w:rFonts w:eastAsia="IRNazanin" w:cs="IRNazanin"/>
          <w:color w:val="111111"/>
          <w:sz w:val="28"/>
          <w:szCs w:val="28"/>
          <w:rtl w:val="true"/>
          <w:lang w:bidi="fa-IR"/>
        </w:rPr>
        <w:t>.</w:t>
      </w:r>
    </w:p>
    <w:p>
      <w:pPr>
        <w:pStyle w:val="Heading5"/>
        <w:numPr>
          <w:ilvl w:val="4"/>
          <w:numId w:val="1"/>
        </w:numPr>
        <w:rPr/>
      </w:pPr>
      <w:bookmarkStart w:id="684" w:name="__RefHeading___Toc2527510_3224264995"/>
      <w:bookmarkStart w:id="685" w:name="_Toc255"/>
      <w:bookmarkEnd w:id="684"/>
      <w:r>
        <w:rPr>
          <w:rtl w:val="true"/>
        </w:rPr>
        <w:t>[</w:t>
      </w:r>
      <w:r>
        <w:rPr>
          <w:rtl w:val="true"/>
        </w:rPr>
        <w:t>ما یعتبر لاثبات الحکم الشرعی بالأخبار</w:t>
      </w:r>
      <w:r>
        <w:rPr>
          <w:rtl w:val="true"/>
        </w:rPr>
        <w:t>]</w:t>
      </w:r>
      <w:bookmarkEnd w:id="68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مقدّمات 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قیل علی أربع،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الموانع و المعارضات الذی یکفلها باب التعادل و التراجیح</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المقتضی لإثبات الحکم الشرعی إنّما هو موقوف علی المقدّمات الثلاث خاصّة، و الموقوف علی المقدّمة الرابعة إنّما هو دفع المانع</w:t>
      </w:r>
      <w:r>
        <w:rPr>
          <w:rFonts w:eastAsia="IRNazanin" w:cs="IRNazanin"/>
          <w:color w:val="111111"/>
          <w:sz w:val="28"/>
          <w:szCs w:val="28"/>
          <w:rtl w:val="true"/>
          <w:lang w:bidi="fa-IR"/>
        </w:rPr>
        <w:t xml:space="preserve">. </w:t>
      </w:r>
      <w:bookmarkStart w:id="686" w:name="pg12850_121375"/>
    </w:p>
    <w:p>
      <w:pPr>
        <w:pStyle w:val="BookText"/>
        <w:rPr/>
      </w:pPr>
      <w:bookmarkEnd w:id="686"/>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هنا یتّضح دخولها فی مسائل اصول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البحث عن دلیلیة الدلیل، و حجّیة الحجّة من مسائل علم الکلام الباحث عن المبدأ و المعاد، کالبحث عن صفاته تعالی و أفعاله، و حجّیة قول المعصوم و عصمته، و لا فی أنّ البحث فی دلالة الدلیل و أحواله من مسائل علم الاصول الباحث عن دلالة الأدلّة و أحوالها، کمبحث التعادل و التراجیح؛ فإنّ البحث فیها بحث عن الأدلّة باعتبار التعارض، و هو القدر المتیقّن اندراجه فی علم الاصول</w:t>
      </w:r>
      <w:r>
        <w:rPr>
          <w:rFonts w:eastAsia="IRNazanin" w:cs="IRNazanin"/>
          <w:color w:val="111111"/>
          <w:sz w:val="28"/>
          <w:szCs w:val="28"/>
          <w:rtl w:val="true"/>
          <w:lang w:bidi="fa-IR"/>
        </w:rPr>
        <w:t>.</w:t>
      </w:r>
    </w:p>
    <w:p>
      <w:pPr>
        <w:pStyle w:val="Heading5"/>
        <w:numPr>
          <w:ilvl w:val="4"/>
          <w:numId w:val="1"/>
        </w:numPr>
        <w:rPr/>
      </w:pPr>
      <w:bookmarkStart w:id="687" w:name="__RefHeading___Toc2527512_3224264995"/>
      <w:bookmarkStart w:id="688" w:name="_Toc256"/>
      <w:bookmarkEnd w:id="687"/>
      <w:r>
        <w:rPr>
          <w:rtl w:val="true"/>
        </w:rPr>
        <w:t>[</w:t>
      </w:r>
      <w:r>
        <w:rPr>
          <w:rtl w:val="true"/>
        </w:rPr>
        <w:t xml:space="preserve">هل البحث عن حجّیة الخبر بحث من مباحث علم الاصول؟ </w:t>
      </w:r>
      <w:r>
        <w:rPr/>
        <w:t>305</w:t>
      </w:r>
      <w:r>
        <w:rPr>
          <w:rtl w:val="true"/>
        </w:rPr>
        <w:t>]</w:t>
      </w:r>
      <w:bookmarkEnd w:id="688"/>
    </w:p>
    <w:p>
      <w:pPr>
        <w:pStyle w:val="BookText"/>
        <w:rPr/>
      </w:pPr>
      <w:r>
        <w:rPr>
          <w:rFonts w:ascii="IRNazanin" w:hAnsi="IRNazanin" w:eastAsia="IRNazanin"/>
          <w:color w:val="111111"/>
          <w:sz w:val="28"/>
          <w:sz w:val="28"/>
          <w:szCs w:val="28"/>
          <w:rtl w:val="true"/>
          <w:lang w:bidi="fa-IR"/>
        </w:rPr>
        <w:t>إنّما الإشکال فی الصغری، أعنی فی أنّ البحث عن حجّیة خبر الواحد و 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حجّیة الکتاب و حجیّة الإجماع و الاجتهاد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ناظر إلی أنّ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بخبر الواحد و الاجتهاد و بظواهر الکتاب لغیر المشافه بها، و نحو ذلک لیندرج فی علم الاصول، أم ناظر إلی حجّیة خبر الواحد و الاجتهاد و الکتاب بالنسبة إلینا؟ مع الإغماض عن کونه قول الحجّة لیندرج فی علم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الإشکال فی أنّ البحث عن الأمر و النهی و العامّ و الخاصّ و المطلق و المقیّد، و سائر مباحث الألفاظ هل هو باعتبار وقوعها فی الکتاب و السنّة، لئلّا یکون موضوع مباحثهم مطلق تلک الامور، بل المقیّد منها بالوقوع فی الکتاب و السنّة فیندرج فی علم الاصول، أم هو باعتبار عمومها، کعموم مباحث النحو و الصرف و اللغة لیکون موضوع مباحثهم مطلق تلک الامور لتکون من مبادئ علم الاصول، لا من نفس علم الاصول؟</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الأظهر من الوجهین فی کلّ من الإشکالین هو الثانی لا الأول، حملا لنظر کلّ ذی فنّ علی فنّه، فإنّ انصراف نظر ذی الفنّ عن فنّه إمّا ینشأ عن السهو </w:t>
      </w:r>
    </w:p>
    <w:p>
      <w:pPr>
        <w:pStyle w:val="BookText"/>
        <w:rPr/>
      </w:pPr>
      <w:r>
        <w:rPr>
          <w:rFonts w:ascii="IRNazanin" w:hAnsi="IRNazanin" w:eastAsia="IRNazanin"/>
          <w:color w:val="111111"/>
          <w:sz w:val="28"/>
          <w:sz w:val="28"/>
          <w:szCs w:val="28"/>
          <w:rtl w:val="true"/>
          <w:lang w:bidi="fa-IR"/>
        </w:rPr>
        <w:t>و الذهول عن فنّه، و هو خلاف الأصل الأصیل، و إمّا عن التعمّد، و هو خلاف ما تقتضیه القرینة الحالیة و المقامیة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تصریح غیر واحد من الاصولیین بأنّ نظرنا فی کلّ واحد من مباحث الألفاظ و غیرها إنّما هو إلی الجهة الثانیة، أعنی حال الدلیل لا دلیلیته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 مضافا إلی تصریح کلّهم بانحصار موضوع علم الاصول فی الکتاب و السنّة و الإجماع و العقل، إذ لو لم یکن نظرهم فی کلّ الاصول إلی حال الدلیل و دلالته لتعدّد موضوع الاصول بتعدّد مباحثه فیکون الخبر و الاجتهاد و المنام</w:t>
      </w:r>
      <w:r>
        <w:rPr>
          <w:rStyle w:val="FootnoteAnchor"/>
          <w:rtl w:val="true"/>
        </w:rPr>
        <w:footnoteReference w:id="397"/>
      </w:r>
      <w:r>
        <w:rPr>
          <w:rFonts w:ascii="IRNazanin" w:hAnsi="IRNazanin" w:eastAsia="IRNazanin"/>
          <w:color w:val="111111"/>
          <w:sz w:val="28"/>
          <w:sz w:val="28"/>
          <w:szCs w:val="28"/>
          <w:rtl w:val="true"/>
          <w:lang w:bidi="fa-IR"/>
        </w:rPr>
        <w:t>و القیاس و الاستحسان و غیرها من موضوع المباحث، التی لا تعدّ و لا تحصی فی موضوع علم الاصول أیضا، و هو خلاف تصریحهم بانحصار موضوعه فی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الأظهر منع الملازمة المذکورة؛ بأنّ لزوم تعدّد موضوع الاصول بتعدّد مباحثه من تقدیر عدم نظر الباحث فیها إلی حال الدلیل إنّما هو مبنیّ علی دخولها مع هذا التقدیر فی علم الاصول، و أمّا علی خروجها مع هذا التقدیر عن علم الاصول فلا یلزم تعدّد موضوع الاصول بتعدّد مباحثه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 فرض خروج تلک المباحث عن علم الاصول لم یبق وجه للبحث عنها فی الاصول</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البحث عنها فی الاصول مع فرض خروجها عن الاصول أنّ مباحث المنطوق و المفهوم و العامّ و الخاصّ و المطلق و المقیّد و سائر مباحث الألفاظ و إن کانت من علم البیان و اللغة إلّا أنّها من المبادئ التصدیقیة لعلم الاصول التی یبتنی علیها قیاسات علم الاصول، و کذا مباحث الإجماع و الشهرة </w:t>
      </w:r>
      <w:bookmarkStart w:id="689" w:name="pg12850_121377"/>
    </w:p>
    <w:p>
      <w:pPr>
        <w:pStyle w:val="BookText"/>
        <w:rPr/>
      </w:pPr>
      <w:bookmarkEnd w:id="689"/>
      <w:r>
        <w:rPr>
          <w:rFonts w:ascii="IRNazanin" w:hAnsi="IRNazanin" w:eastAsia="IRNazanin"/>
          <w:color w:val="111111"/>
          <w:sz w:val="28"/>
          <w:sz w:val="28"/>
          <w:szCs w:val="28"/>
          <w:rtl w:val="true"/>
          <w:lang w:bidi="fa-IR"/>
        </w:rPr>
        <w:t>و الخبر و الاجتهاد و غیرها و إن کانت من علم الکلام إلّا أنّها أیضا من المبادئ التصدیقیة لعلم الاصول، و مبادئ العلم لیست بأجنبیة عن ذلک العلم حتی لم یکن وجه للبحث عنها فی ذلک العلم، بل هی مقدّمات تبتنی علیها قیاسات العلم، و کما قد یبحث عنها فی غیر ذلک العلم کذلک قد یبحث عنها فی نفس ذلک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یعدّ جمیع مباحث الألفاظ و غیرها من بحث الإجماع و الخبر و الاجتهاد مع کثرتها من مبادئ علم الاصول؟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المباحث لا تمنع من کونها مبادئ العلم، و إنّما تمنع من کونها مستطردات العلم و الجمل المعترضة فیه،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بأنّها تأبی عن التخصیص</w:t>
      </w:r>
      <w:r>
        <w:rPr>
          <w:rFonts w:eastAsia="IRNazanin" w:cs="IRNazanin"/>
          <w:color w:val="111111"/>
          <w:sz w:val="28"/>
          <w:szCs w:val="28"/>
          <w:rtl w:val="true"/>
          <w:lang w:bidi="fa-IR"/>
        </w:rPr>
        <w:t>».</w:t>
      </w:r>
    </w:p>
    <w:p>
      <w:pPr>
        <w:pStyle w:val="Heading5"/>
        <w:numPr>
          <w:ilvl w:val="4"/>
          <w:numId w:val="1"/>
        </w:numPr>
        <w:rPr/>
      </w:pPr>
      <w:bookmarkStart w:id="690" w:name="__RefHeading___Toc2527514_3224264995"/>
      <w:bookmarkStart w:id="691" w:name="_Toc257"/>
      <w:bookmarkEnd w:id="690"/>
      <w:r>
        <w:rPr>
          <w:rtl w:val="true"/>
        </w:rPr>
        <w:t>[</w:t>
      </w:r>
      <w:r>
        <w:rPr>
          <w:rtl w:val="true"/>
        </w:rPr>
        <w:t>إباء أخبار العرض عن الکتاب و السنّة عن التخصیص</w:t>
      </w:r>
      <w:r>
        <w:rPr>
          <w:rtl w:val="true"/>
        </w:rPr>
        <w:t>]</w:t>
      </w:r>
      <w:bookmarkEnd w:id="6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لما فی سیاقها من الدلالة علی انسیاقها لبیان قاعدة و إعطاء حکم کلّی، و هو لا یلائم التخصّص، فضلا عن التخصیص بالأکثر اللازم 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أکثر عمومات الکتاب قد خصّصت بقول النبی صلّی اللّه علیه و آله</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اختلاف أصحابی رحمة 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الصدوق</w:t>
      </w:r>
      <w:r>
        <w:rPr>
          <w:rStyle w:val="FootnoteAnchor"/>
          <w:rtl w:val="true"/>
        </w:rPr>
        <w:footnoteReference w:id="399"/>
      </w:r>
      <w:r>
        <w:rPr>
          <w:rFonts w:ascii="IRNazanin" w:hAnsi="IRNazanin" w:eastAsia="IRNazanin"/>
          <w:color w:val="111111"/>
          <w:sz w:val="28"/>
          <w:sz w:val="28"/>
          <w:szCs w:val="28"/>
          <w:rtl w:val="true"/>
          <w:lang w:bidi="fa-IR"/>
        </w:rPr>
        <w:t>فی بیانه أنّ أهل البیت لا یختلفون، بل یفتون الشیعة بمرّ الحقّ، إلّا ما یختلف من قولهم للتقیة، و التقیة رحمة للشیعة کما فی الأخبار الدالّة فی إیقاعهم الخلاف بین شیعتهم لیکون أبقی لهم و للشیعة، و أنّ فی التقیة مصلحتهم</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2" w:name="__RefHeading___Toc2527516_3224264995"/>
      <w:bookmarkStart w:id="693" w:name="_Toc258"/>
      <w:bookmarkEnd w:id="692"/>
      <w:r>
        <w:rPr>
          <w:rtl w:val="true"/>
        </w:rPr>
        <w:t>[</w:t>
      </w:r>
      <w:r>
        <w:rPr>
          <w:rtl w:val="true"/>
        </w:rPr>
        <w:t>هناک دلالات لبعض الآیات ینحصر فهمها منها بالمعصومین علیهم السلام</w:t>
      </w:r>
      <w:r>
        <w:rPr>
          <w:rtl w:val="true"/>
        </w:rPr>
        <w:t>]</w:t>
      </w:r>
      <w:bookmarkEnd w:id="693"/>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نفهم دلالتها</w:t>
      </w:r>
      <w:r>
        <w:rPr>
          <w:rFonts w:eastAsia="IRNazanin" w:cs="IRNazanin"/>
          <w:color w:val="111111"/>
          <w:sz w:val="28"/>
          <w:szCs w:val="28"/>
          <w:rtl w:val="true"/>
          <w:lang w:bidi="fa-IR"/>
        </w:rPr>
        <w:t xml:space="preserve">». </w:t>
      </w:r>
      <w:bookmarkStart w:id="694" w:name="pg12850_121378"/>
    </w:p>
    <w:p>
      <w:pPr>
        <w:pStyle w:val="BookText"/>
        <w:rPr/>
      </w:pPr>
      <w:bookmarkEnd w:id="6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کاستشهادهم علی کون المراد بالجزء فی الوصیة به العشر</w:t>
      </w:r>
      <w:r>
        <w:rPr>
          <w:rStyle w:val="FootnoteAnchor"/>
          <w:rtl w:val="true"/>
        </w:rPr>
        <w:footnoteReference w:id="401"/>
      </w: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اجْعَلْ عَلی کُلِّ جَبَلٍ مِنْهُنَّ جُزْءاً</w:t>
      </w:r>
      <w:r>
        <w:rPr>
          <w:rStyle w:val="FootnoteAnchor"/>
          <w:rtl w:val="true"/>
        </w:rPr>
        <w:footnoteReference w:id="402"/>
      </w:r>
      <w:r>
        <w:rPr>
          <w:rFonts w:ascii="IRNazanin" w:hAnsi="IRNazanin" w:eastAsia="IRNazanin"/>
          <w:color w:val="111111"/>
          <w:sz w:val="28"/>
          <w:sz w:val="28"/>
          <w:szCs w:val="28"/>
          <w:rtl w:val="true"/>
          <w:lang w:bidi="fa-IR"/>
        </w:rPr>
        <w:t>و استشهاده فی صحیح البزنطی علی کون المراد به السبع</w:t>
      </w:r>
      <w:r>
        <w:rPr>
          <w:rStyle w:val="FootnoteAnchor"/>
          <w:rtl w:val="true"/>
        </w:rPr>
        <w:footnoteReference w:id="403"/>
      </w: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لِکُلِّ بابٍ مِنْهُمْ جُزْءٌ مَقْسُومٌ</w:t>
      </w:r>
      <w:r>
        <w:rPr>
          <w:rStyle w:val="FootnoteAnchor"/>
          <w:rtl w:val="true"/>
        </w:rPr>
        <w:footnoteReference w:id="404"/>
      </w:r>
      <w:r>
        <w:rPr>
          <w:rFonts w:ascii="IRNazanin" w:hAnsi="IRNazanin" w:eastAsia="IRNazanin"/>
          <w:color w:val="111111"/>
          <w:sz w:val="28"/>
          <w:sz w:val="28"/>
          <w:szCs w:val="28"/>
          <w:rtl w:val="true"/>
          <w:lang w:bidi="fa-IR"/>
        </w:rPr>
        <w:t>، و استشهادهم علی کون المراد من السهم فیها الثمن</w:t>
      </w:r>
      <w:r>
        <w:rPr>
          <w:rStyle w:val="FootnoteAnchor"/>
          <w:rtl w:val="true"/>
        </w:rPr>
        <w:footnoteReference w:id="405"/>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 الْمَساکِینِ</w:t>
      </w:r>
      <w:r>
        <w:rPr>
          <w:rStyle w:val="FootnoteAnchor"/>
          <w:rtl w:val="true"/>
        </w:rPr>
        <w:footnoteReference w:id="406"/>
      </w:r>
      <w:r>
        <w:rPr>
          <w:rFonts w:ascii="IRNazanin" w:hAnsi="IRNazanin" w:eastAsia="IRNazanin"/>
          <w:color w:val="111111"/>
          <w:sz w:val="28"/>
          <w:sz w:val="28"/>
          <w:szCs w:val="28"/>
          <w:rtl w:val="true"/>
          <w:lang w:bidi="fa-IR"/>
        </w:rPr>
        <w:t>إلی آخر الأصناف الثمانیة فی مستحقی الزکاة، و علی کون المراد من الکثیر فی متعلق النذر ثمانین عددا</w:t>
      </w:r>
      <w:r>
        <w:rPr>
          <w:rStyle w:val="FootnoteAnchor"/>
          <w:rtl w:val="true"/>
        </w:rPr>
        <w:footnoteReference w:id="407"/>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نَصَرَکُمُ اللَّهُ فِی مَواطِنَ کَثِیرَةٍ</w:t>
      </w:r>
      <w:r>
        <w:rPr>
          <w:rStyle w:val="FootnoteAnchor"/>
          <w:rtl w:val="true"/>
        </w:rPr>
        <w:footnoteReference w:id="408"/>
      </w:r>
      <w:r>
        <w:rPr>
          <w:rFonts w:ascii="IRNazanin" w:hAnsi="IRNazanin" w:eastAsia="IRNazanin"/>
          <w:color w:val="111111"/>
          <w:sz w:val="28"/>
          <w:sz w:val="28"/>
          <w:szCs w:val="28"/>
          <w:rtl w:val="true"/>
          <w:lang w:bidi="fa-IR"/>
        </w:rPr>
        <w:t>حیث إنّها کانت ثمانین، و علی کون المراد من القدیم من العبد المنذور عتقه و نحوه من مضی علیه فی ملکه ستّة أشهر</w:t>
      </w:r>
      <w:r>
        <w:rPr>
          <w:rStyle w:val="FootnoteAnchor"/>
          <w:rtl w:val="true"/>
        </w:rPr>
        <w:footnoteReference w:id="409"/>
      </w: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عادَ کَالْعُرْجُونِ الْقَدِیمِ</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5" w:name="__RefHeading___Toc2527518_3224264995"/>
      <w:bookmarkStart w:id="696" w:name="_Toc259"/>
      <w:bookmarkEnd w:id="695"/>
      <w:r>
        <w:rPr>
          <w:rtl w:val="true"/>
        </w:rPr>
        <w:t>[</w:t>
      </w:r>
      <w:r>
        <w:rPr>
          <w:rtl w:val="true"/>
        </w:rPr>
        <w:t>وجوه الاستدلال بآیة النبأ</w:t>
      </w:r>
      <w:r>
        <w:rPr>
          <w:rtl w:val="true"/>
        </w:rPr>
        <w:t>]</w:t>
      </w:r>
      <w:bookmarkEnd w:id="69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المحکیّ فی وجه الاستدلال بها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ینحصر الاستدلال بها فی الوجهین المذکورین، أعنی الاستدلال بمفهوم شرطه أو بمفهوم وصفه، حتی یورد علی الوجه الأوّل بمنع دلالة مفهوم شرطه علی المدّعی لظهور کونه سلبا بانتفاء الموضوع لا المحمول، و علی الوجه الثانی بمنع ثبوت مفهوم للوصف سیما فی مثل المقام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للاستدلال بالآیة</w:t>
      </w:r>
      <w:r>
        <w:rPr>
          <w:rStyle w:val="FootnoteAnchor"/>
          <w:rtl w:val="true"/>
        </w:rPr>
        <w:footnoteReference w:id="411"/>
      </w:r>
      <w:r>
        <w:rPr>
          <w:rFonts w:ascii="IRNazanin" w:hAnsi="IRNazanin" w:eastAsia="IRNazanin"/>
          <w:color w:val="111111"/>
          <w:sz w:val="28"/>
          <w:sz w:val="28"/>
          <w:szCs w:val="28"/>
          <w:rtl w:val="true"/>
          <w:lang w:bidi="fa-IR"/>
        </w:rPr>
        <w:t>وجه ثالث سالم عن المناقشات و مبرّأ عن شوائب الإیرادات، إلّا ما یلحق بالمکابرات التی لا مناص عنها فی الاستدلالات، و هو الاستدلال بمنطوق الآیة و مفهومها الموافقة لا المخالفة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سیاق الآیة بالنظر إلی ما یفهم من أشباهها و نظائرها فی المحاورات العرفیة، هو اشتراط قبول قول الفاسق بالتبیّن أو التثبّت علی اختلاف القراءات، الأعمّ من تحصیل الظنّ بصدقه و من العلم، علی ما فی کتب اللغة</w:t>
      </w:r>
      <w:r>
        <w:rPr>
          <w:rStyle w:val="FootnoteAnchor"/>
          <w:rtl w:val="true"/>
        </w:rPr>
        <w:footnoteReference w:id="412"/>
      </w:r>
      <w:r>
        <w:rPr>
          <w:rFonts w:ascii="IRNazanin" w:hAnsi="IRNazanin" w:eastAsia="IRNazanin"/>
          <w:color w:val="111111"/>
          <w:sz w:val="28"/>
          <w:sz w:val="28"/>
          <w:szCs w:val="28"/>
          <w:rtl w:val="true"/>
          <w:lang w:bidi="fa-IR"/>
        </w:rPr>
        <w:t>من تفسیر التبیّن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بطلب ظهوره و وضوحه و الثبات فی الأمر، بالأخذ فیه من غیر تعجیل، حذرا عن فعل الجهلاء و السفهاء و الوقوع بواسطته فی معرض تندیم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بقرینة ما ذکرنا من کون المراد بالتبیّن هو الأعمّ من الظنّی لا خصوص العلمی یظهر بل یتعیّن کون المراد من الجهالة فی التعلیل هو السفاهة، لا عدم العلم الأعمّ من الظنّ، کما هو معنی الجهل لغة</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لا یبعد دعوی الفرق بین الجهل و الجهالة، و أنّ کثیرا من استعمالات الثانی ورد فی فعل ما لا یجوز فعله من السفاهة و عدم المبالاة و التجرّی، و هو أظهر الاحتمالین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التَّوْبَةُ عَلَی اللَّهِ لِلَّذِینَ یَعْمَلُونَ السُّوءَ بِجَهالَةٍ</w:t>
      </w:r>
      <w:r>
        <w:rPr>
          <w:rStyle w:val="FootnoteAnchor"/>
          <w:rtl w:val="true"/>
        </w:rPr>
        <w:footnoteReference w:id="414"/>
      </w:r>
      <w:r>
        <w:rPr>
          <w:rFonts w:ascii="IRNazanin" w:hAnsi="IRNazanin" w:eastAsia="IRNazanin"/>
          <w:color w:val="111111"/>
          <w:sz w:val="28"/>
          <w:sz w:val="28"/>
          <w:szCs w:val="28"/>
          <w:rtl w:val="true"/>
          <w:lang w:bidi="fa-IR"/>
        </w:rPr>
        <w:t>و لعلّه مراد من فسّر الجهالة بإیثار اللذّة الفانیة علی اللذّة الباقیة،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أجمعت العصابة علی أنّ کلّ ما عصی اللّه به فهو جهالة، و کلّ من عصی اللّه فهو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سفیه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المراد التحذیر عن مطلق حصول الندامة، فإنّ مجرّد حصول الندامة أمر لا ینفکّ عن السالک طریقا لم یوصله إلی الواقع و لو کان طریقا </w:t>
      </w:r>
    </w:p>
    <w:p>
      <w:pPr>
        <w:pStyle w:val="BookText"/>
        <w:rPr/>
      </w:pPr>
      <w:r>
        <w:rPr>
          <w:rFonts w:ascii="IRNazanin" w:hAnsi="IRNazanin" w:eastAsia="IRNazanin"/>
          <w:color w:val="111111"/>
          <w:sz w:val="28"/>
          <w:sz w:val="28"/>
          <w:szCs w:val="28"/>
          <w:rtl w:val="true"/>
          <w:lang w:bidi="fa-IR"/>
        </w:rPr>
        <w:t>قطعیّ الوصول إلیه، بل المراد إنّما هو التحذیر عن الوقوع فی معرض تندیم العقلاء و استحقاقه الملامة علی الجهالة بمعنی السفاهة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فمفاد الآیة حینئذ نظیر مفاد ما هو المتداول فی المحاورات العرفیة من قول التجّار لعمالهم و الحکّام لخدّامهم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جاءک کتاب من قبلی فلا تعجل فی الاقتحام علی الأخذ بما فیه من قبل أن تستظهر واقعیته من اختتامه بالختام أو بغیره من الأمارات المحصّلة للظنّ بصدقه و المخرجة فعله عن فعل الجهلاء و السفهاء حذرا من إیقاع نفسک فی معرض تندیم العقلاء بواسطة فعل ما من شأن الجهلاء و السفهاء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یفهم من هذا المثال العرفی و النظیر الوافی الشافی جواز الأخذ بما فی الکتاب بل بکلّ ما یستظهر و یستأمن فیه عن فعل الجهالة و السفاهة و عن الوقوع به فی معرض تندیم العقلاء و ملامتهم بما یصحّ الاعتذار به عندهم لو انکشف الخلاف کذلک یفهم من الآیة جواز الأخذ بمضمون النبأ بعد الاستظهار و الاستئمان عن الجهالة، و الوقوع فی معرض تندیم العقلاء بما یصحّ الاعتذار به إلیهم لو انکشف الخلاف، و عدم المصادفة من استظهار الوثاقة فی خبر الفاسق و العدالة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فیرجع محصّل مفاد الآیة إلی تقریر بناء العقلاء فی کیفیة العمل بالأخبار و إلی الإرشاد إلی ما یقتضیه العقل و بناء العقلاء من التحذیر عن فعل السفهاء فی العمل بالأخبار، حتی یحصل للعامل مأمن من تندیم العقلاء بما یصحّ الاعتذار به إلیهم لو انکشف الخلاف، من استظهار وثاقة المخبر أو عدالته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کان المناط و العلّة فی القبول إنّما هو الاستئمان عن تندیم العقلاء بما یصحّ الاعتذار به إلیهم لو انکشف الخلاف کان منطوق الآیة و مفهومها الموافقة دالّا بملاحظة ما یفهم من سیاقها و تعلیلها فی المحاورات العرفیة، علی عدم جواز </w:t>
      </w:r>
      <w:bookmarkStart w:id="697" w:name="pg12850_121381"/>
    </w:p>
    <w:p>
      <w:pPr>
        <w:pStyle w:val="BookText"/>
        <w:rPr/>
      </w:pPr>
      <w:bookmarkEnd w:id="697"/>
      <w:r>
        <w:rPr>
          <w:rFonts w:ascii="IRNazanin" w:hAnsi="IRNazanin" w:eastAsia="IRNazanin"/>
          <w:color w:val="111111"/>
          <w:sz w:val="28"/>
          <w:sz w:val="28"/>
          <w:szCs w:val="28"/>
          <w:rtl w:val="true"/>
          <w:lang w:bidi="fa-IR"/>
        </w:rPr>
        <w:t>الأخذ بما لم یستأمن معه من الوقوع فی معرض تندیم العقلاء، و جواز الأخذ بمطلق ما یستأمن به عن فعل السفهاء و معرضیة تندیم العقلاء ممّا یصحّ الاعتذار به لو انکشف الخلاف، سواء کان المعمول به بعد الاستظهار خبر فاسق أو عادل؛ ضرورة أنّ عدالة المخبر المتبیّنة أولی و أقرب فی المأمنیة عن التندیم و صحّة الاعتذار به لو انکشف الخلاف من وثاقة الفاسق المتبیّنة، کما أنّ حرمة التأفیف للأبوین دالّا بمنطوقها و مفهومها الموافقة علی حرمة سائر أنواع الأذی بالأولویة</w:t>
      </w:r>
      <w:r>
        <w:rPr>
          <w:rFonts w:eastAsia="IRNazanin" w:cs="IRNazanin"/>
          <w:color w:val="111111"/>
          <w:sz w:val="28"/>
          <w:szCs w:val="28"/>
          <w:rtl w:val="true"/>
          <w:lang w:bidi="fa-IR"/>
        </w:rPr>
        <w:t>.</w:t>
      </w:r>
    </w:p>
    <w:p>
      <w:pPr>
        <w:pStyle w:val="Heading5"/>
        <w:numPr>
          <w:ilvl w:val="4"/>
          <w:numId w:val="1"/>
        </w:numPr>
        <w:rPr/>
      </w:pPr>
      <w:bookmarkStart w:id="698" w:name="__RefHeading___Toc2527520_3224264995"/>
      <w:bookmarkStart w:id="699" w:name="_Toc260"/>
      <w:bookmarkEnd w:id="698"/>
      <w:r>
        <w:rPr>
          <w:rtl w:val="true"/>
        </w:rPr>
        <w:t>[</w:t>
      </w:r>
      <w:r>
        <w:rPr>
          <w:rtl w:val="true"/>
        </w:rPr>
        <w:t>شواهد علی قوة التوجیه الثالث فی دلالة آیة النبأ علی حجّیة الخبر</w:t>
      </w:r>
      <w:r>
        <w:rPr>
          <w:rtl w:val="true"/>
        </w:rPr>
        <w:t>]</w:t>
      </w:r>
      <w:bookmarkEnd w:id="699"/>
    </w:p>
    <w:p>
      <w:pPr>
        <w:pStyle w:val="BookText"/>
        <w:rPr/>
      </w:pPr>
      <w:r>
        <w:rPr>
          <w:rFonts w:ascii="IRNazanin" w:hAnsi="IRNazanin" w:eastAsia="IRNazanin"/>
          <w:color w:val="111111"/>
          <w:sz w:val="28"/>
          <w:sz w:val="28"/>
          <w:szCs w:val="28"/>
          <w:rtl w:val="true"/>
          <w:lang w:bidi="fa-IR"/>
        </w:rPr>
        <w:t>و وجاهة توجیه دلالة آیة النبأ</w:t>
      </w:r>
      <w:r>
        <w:rPr>
          <w:rStyle w:val="FootnoteAnchor"/>
          <w:rtl w:val="true"/>
        </w:rPr>
        <w:footnoteReference w:id="415"/>
      </w:r>
      <w:r>
        <w:rPr>
          <w:rFonts w:ascii="IRNazanin" w:hAnsi="IRNazanin" w:eastAsia="IRNazanin"/>
          <w:color w:val="111111"/>
          <w:sz w:val="28"/>
          <w:sz w:val="28"/>
          <w:szCs w:val="28"/>
          <w:rtl w:val="true"/>
          <w:lang w:bidi="fa-IR"/>
        </w:rPr>
        <w:t>علی حجّیة الخبر بهذا التوجیه غیر خفیّ علی من له ذوق سلیم و سلیقة جیّدة فی فهم مصبّ التعابیر، و خصوصیة مساق المحاورات العرفیة، و أسلم من الإیرادات المورودة علی کلّ من التوجیهین المحکیین فی المتن</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أوفق بشواهد سدیدة و قرائن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شهرة الاستدلال بها من العلماء بل الإجماع العملی المستقرّ من الجمیع فی عصرنا علی حجّیة الأخبار، و العمل بها، المنحصر دلیله فی آیة النبأ؛ إذ لیس فی سائر الأدلّة أقوی منها من حیث وضوح الدلالة، فإنّ الشهرة البالغة إلی هذه المثابة لا إشکال فی جابریّتها الدلالة علی تقدیر وجود قصور فیها و لو سلّمنا عدم جابریة مطلق الشهرة لها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سیاقها و مصبّها بالتقریب المتقدّم و الأشباه و النظائر العرفیة، فإنّ إنکار دلالة سیاقها علی ذلک لیس بأهون من إنکار دلالة سیاق الأمر المتعقّب للحظر فی رفع الحظر مع کونه حقیقة فی الوجوب، و من إنکار دلالة النهی فی العبادات بل المعاملات علی الفساد مع کونه حقیقة فی الحرمة، إلی غیر ذلک من إنکار سیاق ما له سیاق من الأدلّة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لو دلّت علی المنع من قبول قول الفاسق مطلقا المستلزم للسکوت عن حکم قول العادل، أو المنع من قبوله أیضا کما هو قضیة کون المراد من التبیّن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التبیّن العلمی، و من 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العلم، و کذا قضیة کلّ واحد من سائر الإیرادات المورودة علی الاستدلال بالآیة لکان مضمونها تأکیدا لمضمون الآیات</w:t>
      </w:r>
      <w:r>
        <w:rPr>
          <w:rStyle w:val="FootnoteAnchor"/>
          <w:rtl w:val="true"/>
        </w:rPr>
        <w:footnoteReference w:id="417"/>
      </w:r>
      <w:r>
        <w:rPr>
          <w:rFonts w:ascii="IRNazanin" w:hAnsi="IRNazanin" w:eastAsia="IRNazanin"/>
          <w:color w:val="111111"/>
          <w:sz w:val="28"/>
          <w:sz w:val="28"/>
          <w:szCs w:val="28"/>
          <w:rtl w:val="true"/>
          <w:lang w:bidi="fa-IR"/>
        </w:rPr>
        <w:t>الناهیة عن العمل بالظن و ما عدا العلم، بخلاف ما إذا دلّ علی قبول قول المخبر بعد التبیّن فإنّه تأسیس، و هو أولی من 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من المعلوم الواضح علی من له ذوق سلیم مباینة مساق الآیة لمساق الآیات الناهیة جدّا بحیث لا یمکن عرفا حمل المساقین علی إرادة مطلب واحد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ثبوت المدّعی، و هو حجّیة قول العادل، و قول الفاسق الموثّق فی الخارج، و لهذا تری استمرار العمل علی حجّیة الخبر الصحیح و الموثّق و الضعیف المنجبر، و بعد ثبوت المدّعی فی الخارج فإمّا أن یفرض دلالة الآیة علیه، أو علی منعه، أو لا علی وفاقه و لا علی خلافه، بل علی أمر مجمل ثالث، إذ المفروض عدم معنی ثالث سوی الحمل علی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الفرض الثانی فیستلزم الالتزام بنسخ الآیة لکون المفروض مخالفة مضمونها لما علیه العمل فی الخارج، و هو مع ندوره لم یلتزم به أحد فی تلک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الفرض الثالث فیستلزم الالتزام بإجمال الآیة؛ إذ المفروض عدم معنی ثالث سوی الحمل علی الإجمال و الأصل عدمه، سیما فی کلام الشارع الذی هو معنی المبیّن فتعیّن الفرض الأول، و هو دلالة الآیة علی المدّعی و هو المطلوب</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دلّ علی المنع من العمل بما عدا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مقتضی توهّم </w:t>
      </w:r>
    </w:p>
    <w:p>
      <w:pPr>
        <w:pStyle w:val="BookText"/>
        <w:rPr/>
      </w:pPr>
      <w:r>
        <w:rPr>
          <w:rFonts w:ascii="IRNazanin" w:hAnsi="IRNazanin" w:eastAsia="IRNazanin"/>
          <w:color w:val="111111"/>
          <w:sz w:val="28"/>
          <w:sz w:val="28"/>
          <w:szCs w:val="28"/>
          <w:rtl w:val="true"/>
          <w:lang w:bidi="fa-IR"/>
        </w:rPr>
        <w:t>کون المراد من التبیّن العلمی أو غیره من الإیرادات المتوهّم ورودها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لاستدعت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مطابقة الکلام لمقتضی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یعبّر عنه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جاءکم ظنّ لا تعملوا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جاءکم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لا تعملوا، و لا بتعلیله التبیّن بالاحتراز عن الجهالة و الوقوع فی الندامة، فإنّ سیاق کلّ واحد من التعبیرات المذکورة مناف لمقتضی البلاغة اللازمة فی کلام ربّ البلاغة و البلغاء، و آب إباء کلیّا عن الحمل علی المنع من العمل بما عدا العلم کما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دلّ علی المنع من العمل بخبر الفاسق إلّا إذا اکتنف بما یفید العلم لدلّ علی اعتبار خصوص العلم و کون الخبر حاله حال الحجر فی جنب الإنسان، و کان مفاد الآیة نظیر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تقبل قول الفاسق إلّا إذا انضمّ إلیه ما هو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انقطاع الاستثناء، و معلوم إباء سیاق الآیة و مصبّها عن سیاق هذا التنظیر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تدل الآیة علی قبول قول العادل للزم الالتزام بعدم مفهوم للشرط، أو الالتزام بعدم دلالة مفهومه علی قبول قول العادل، لکونها سالبة بانتفاء الموضوع، و هو إن لم یجئکم فاسق فلا تتبیّنوا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فیستلزم مخالفة الأصل و الظاهر، و الغالب من أداة الشرط و الجمل الشرطیة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فیستلزم منافاة دلالة مفهوم الشرط لمنطوقه، أعنی دلالة المفهوم علی کون العادل أسوأ حالا من الفاسق، و دلالة المنطوق علی کونه أحسن حالا منه، فلا بدّ و أن یدلّ علی قبول قول العادل بدلالة المنطوق و الفحوی، أو بدلالة مفهوم الشرط، لکن لا علی ما هو الظاهر من کون الشرط لتبیّن هو المجی‌ء و موضوعه الفاسق، لیلزم کون المفهوم سالبة بانتفاء الموضوع، أعنی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یجئکم الفاسق فلا تتبیّنوا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علی أن یکون الشرط للتبیّن </w:t>
      </w:r>
    </w:p>
    <w:p>
      <w:pPr>
        <w:pStyle w:val="BookText"/>
        <w:rPr/>
      </w:pPr>
      <w:r>
        <w:rPr>
          <w:rFonts w:ascii="IRNazanin" w:hAnsi="IRNazanin" w:eastAsia="IRNazanin"/>
          <w:color w:val="111111"/>
          <w:sz w:val="28"/>
          <w:sz w:val="28"/>
          <w:szCs w:val="28"/>
          <w:rtl w:val="true"/>
          <w:lang w:bidi="fa-IR"/>
        </w:rPr>
        <w:t>هو الفسق و الموضوع المعتبر اتّحاده فی المنطوق و المفهوم هو الجائی لیرجع منطوقه إلی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فسق الجائی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 الفاسق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 مفهومه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یفسق الجائی فلا تتبینوا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یجئ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الشرط للتبیّن هو فسق المنبئ و الجائی، لا نبأ الفاسق و مجیئه، فالموضوع المعتبر اتّحاده فی المنطوق و المفهوم حینئذ هو المنبئ لا الفاسق، لیرجع منطوقه إلی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فسق المنبئ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یفسق المنبئ فلا تتبیّنوا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إلی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أنبأ الفاسق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مفهومه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ینبئ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فالدلالة علی عدم التبیّن عن قول العادل و إن کان بحسب الظاهر من مفهوم الوصف بل اللقب إلّا أنّه بالتأویل راجع إلی مفهوم الشرط و الحامل علی هذا التأویل أنّ المناسب لتعلیل الآیة و لما هو المعلوم من الخارج کون الشرط للتبیّن هو الفسق، لا المجی‌ء و کون المجی‌ء لمجرّد الربط لا الشرط، و لمراعاة مطابقة الکلام لمقتضی الحال الذی هو معنی الفصاحة و البلاغة، فکأنّ هذین الأمرین مع أصالة عدم إلغاء الشرط عن المفهوم من قرائن جعل الشرط هو الفسق، و الموضوع المعتبر اتّحاده فی المنطوق و المفهوم هو الجائی، دون ما یقتضیه ظاهر اللفظ من العکس، أعنی جعل المجی‌ء شرطا، و الفاسق موضوعا، و علی ذلک یئول المنطوق إلی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فسق الجائی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یفسق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العکس، أعنی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 الفاسق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یجئ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جعل الخارج قرینة التأویل المذکور لیس بأولی من جعله قرینة إلغاء المفهوم للشرط رأسا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القرینة المذکورة قرینة صارفة عن الأخذ بظاهر الشرط، و لا ریب أنّ المرجع بعد تعذّر الحقیقة إلی أقرب المجازات عرفا، و من المعلوم أنّ </w:t>
      </w:r>
      <w:bookmarkStart w:id="700" w:name="pg12850_121385"/>
    </w:p>
    <w:p>
      <w:pPr>
        <w:pStyle w:val="BookText"/>
        <w:rPr/>
      </w:pPr>
      <w:bookmarkEnd w:id="700"/>
      <w:r>
        <w:rPr>
          <w:rFonts w:ascii="IRNazanin" w:hAnsi="IRNazanin" w:eastAsia="IRNazanin"/>
          <w:color w:val="111111"/>
          <w:sz w:val="28"/>
          <w:sz w:val="28"/>
          <w:szCs w:val="28"/>
          <w:rtl w:val="true"/>
          <w:lang w:bidi="fa-IR"/>
        </w:rPr>
        <w:t>بقاء مفهوم الشرط علی الوجه المخالف للظاهر أقرب عرفا من طرح مفهومه رأسا، کما لا یخفی</w:t>
      </w:r>
      <w:r>
        <w:rPr>
          <w:rFonts w:eastAsia="IRNazanin" w:cs="IRNazanin"/>
          <w:color w:val="111111"/>
          <w:sz w:val="28"/>
          <w:szCs w:val="28"/>
          <w:rtl w:val="true"/>
          <w:lang w:bidi="fa-IR"/>
        </w:rPr>
        <w:t>.</w:t>
      </w:r>
    </w:p>
    <w:p>
      <w:pPr>
        <w:pStyle w:val="Heading5"/>
        <w:numPr>
          <w:ilvl w:val="4"/>
          <w:numId w:val="1"/>
        </w:numPr>
        <w:rPr/>
      </w:pPr>
      <w:bookmarkStart w:id="701" w:name="__RefHeading___Toc2527522_3224264995"/>
      <w:bookmarkStart w:id="702" w:name="_Toc261"/>
      <w:bookmarkEnd w:id="701"/>
      <w:r>
        <w:rPr>
          <w:rtl w:val="true"/>
        </w:rPr>
        <w:t>[</w:t>
      </w:r>
      <w:r>
        <w:rPr>
          <w:rtl w:val="true"/>
        </w:rPr>
        <w:t>عدم انحصار الاستدلال بآیة النبأ فی الشرط أو الوصف</w:t>
      </w:r>
      <w:r>
        <w:rPr>
          <w:rtl w:val="true"/>
        </w:rPr>
        <w:t>]</w:t>
      </w:r>
      <w:bookmarkEnd w:id="702"/>
    </w:p>
    <w:p>
      <w:pPr>
        <w:pStyle w:val="BookText"/>
        <w:rPr/>
      </w:pPr>
      <w:r>
        <w:rPr>
          <w:rFonts w:ascii="IRNazanin" w:hAnsi="IRNazanin" w:eastAsia="IRNazanin"/>
          <w:color w:val="111111"/>
          <w:sz w:val="28"/>
          <w:sz w:val="28"/>
          <w:szCs w:val="28"/>
          <w:rtl w:val="true"/>
          <w:lang w:bidi="fa-IR"/>
        </w:rPr>
        <w:t>و لو سلّمنا طرح مفهومه رأسا فقد عرفت أنّ وجه الاستدلال بالآیة لا ینحصر فی ثبوت المفهوم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 عدم انحصار الاستدلال بالآیة فی الأخذ بظاهر مفهوم شرطه، أو بصرف مفهوم وصفه حتی یرد علی کلّ منهما ما أورده الماتن</w:t>
      </w:r>
      <w:r>
        <w:rPr>
          <w:rStyle w:val="FootnoteAnchor"/>
          <w:rtl w:val="true"/>
        </w:rPr>
        <w:footnoteReference w:id="418"/>
      </w:r>
      <w:r>
        <w:rPr>
          <w:rFonts w:ascii="IRNazanin" w:hAnsi="IRNazanin" w:eastAsia="IRNazanin"/>
          <w:color w:val="111111"/>
          <w:sz w:val="28"/>
          <w:sz w:val="28"/>
          <w:szCs w:val="28"/>
          <w:rtl w:val="true"/>
          <w:lang w:bidi="fa-IR"/>
        </w:rPr>
        <w:t>تبعا للغیر، بل للاستدلال بها وجهان آخران سلیمان عمّا أورد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بمنطوقها و مفهومها الموافقة بالتقریب و التنظیر و التشبیهات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الاستدلال بمفهوم شرطها علی الوجه الراجع إلی السالبة بانتفاء المحمول لا الموضوع، لوجود القرینة الصارفة عن ظاهر الشرط، و هی مناسبة التعلیل و عدم انطباقه علی غیر صفة الفسق و المناسبة الاقترانیة بینه و بین الحکم بالتبیّن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فالاستدلال فی الظاهر و إن کان بمفهوم شرطه إلّا أنّه فی الواقع لیس بظاهر الشرط حتی یرد علیه ما أورده الماتن</w:t>
      </w:r>
      <w:r>
        <w:rPr>
          <w:rStyle w:val="FootnoteAnchor"/>
          <w:rtl w:val="true"/>
        </w:rPr>
        <w:footnoteReference w:id="419"/>
      </w:r>
      <w:r>
        <w:rPr>
          <w:rFonts w:ascii="IRNazanin" w:hAnsi="IRNazanin" w:eastAsia="IRNazanin"/>
          <w:color w:val="111111"/>
          <w:sz w:val="28"/>
          <w:sz w:val="28"/>
          <w:szCs w:val="28"/>
          <w:rtl w:val="true"/>
          <w:lang w:bidi="fa-IR"/>
        </w:rPr>
        <w:t>من عدم دلالة ظاهر الشرط علی المدّعی، بل إنّما هو بضمیمة القرینة الصارفة عن الظاهر، و هی مناسبة التعلیل و غیره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الاستدلال فی الظاهر و إن کان بمفهوم وصفه إلّا أنّه فی الواقع لیس بصرف مفهوم وصفه حتی یرد علیه ما أورده المصنف من عدم ثبوت مفهوم للوصف سیما فی المقام، بل إنّما هو بضمیمة قرینة أنّ وقوعه فی خبر الشرط </w:t>
      </w:r>
      <w:bookmarkStart w:id="703" w:name="pg12850_121386"/>
    </w:p>
    <w:p>
      <w:pPr>
        <w:pStyle w:val="BookText"/>
        <w:rPr/>
      </w:pPr>
      <w:bookmarkEnd w:id="703"/>
      <w:r>
        <w:rPr>
          <w:rFonts w:ascii="IRNazanin" w:hAnsi="IRNazanin" w:eastAsia="IRNazanin"/>
          <w:color w:val="111111"/>
          <w:sz w:val="28"/>
          <w:sz w:val="28"/>
          <w:szCs w:val="28"/>
          <w:rtl w:val="true"/>
          <w:lang w:bidi="fa-IR"/>
        </w:rPr>
        <w:t>المذکور یقلبه مفهوم شرط، کما أنّ تعقب الأمر لتوهّم الحظر قرینة قلب مدلوله الإلزامی بغیر الإلزام و هو رفع الحظر، أو بضمیمة أنّ المناسبة الاقترانیة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الفسق للحکم بالتبیّن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ثبوت المفهوم للوصف و إن لم یعتمد علی موصوف، کما أنّها قرینة ثبوته له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الواجد یحلّ عقوبته و عرضه</w:t>
      </w:r>
      <w:r>
        <w:rPr>
          <w:rFonts w:eastAsia="IRNazanin" w:cs="IRNazanin"/>
          <w:color w:val="111111"/>
          <w:sz w:val="28"/>
          <w:szCs w:val="28"/>
          <w:rtl w:val="true"/>
          <w:lang w:bidi="fa-IR"/>
        </w:rPr>
        <w:t>»</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مطلّ الغنی ظلم</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4" w:name="__RefHeading___Toc2527524_3224264995"/>
      <w:bookmarkStart w:id="705" w:name="_Toc262"/>
      <w:bookmarkEnd w:id="704"/>
      <w:r>
        <w:rPr>
          <w:rtl w:val="true"/>
        </w:rPr>
        <w:t>[</w:t>
      </w:r>
      <w:r>
        <w:rPr>
          <w:rtl w:val="true"/>
        </w:rPr>
        <w:t>التحقیق فی ذبّ الاشکالات عن الاستدلال بآیة النبأ</w:t>
      </w:r>
      <w:r>
        <w:rPr>
          <w:rtl w:val="true"/>
        </w:rPr>
        <w:t>]</w:t>
      </w:r>
      <w:bookmarkEnd w:id="705"/>
    </w:p>
    <w:p>
      <w:pPr>
        <w:pStyle w:val="BookText"/>
        <w:rPr/>
      </w:pPr>
      <w:r>
        <w:rPr>
          <w:rFonts w:ascii="IRNazanin" w:hAnsi="IRNazanin" w:eastAsia="IRNazanin"/>
          <w:color w:val="111111"/>
          <w:sz w:val="28"/>
          <w:sz w:val="28"/>
          <w:szCs w:val="28"/>
          <w:rtl w:val="true"/>
          <w:lang w:bidi="fa-IR"/>
        </w:rPr>
        <w:t>ثمّ إنّه و إن علم ممّا ذکرنا دفع حلّ من الإیرادات المورودة علی الاستدلال بالآیة بل کلّها إجمالا إلّا أنّه لا بأس بالتعرّض فی رفع کلّ واحد منها تفصیلا، و هی علی ما قاله الماتن</w:t>
      </w:r>
      <w:r>
        <w:rPr>
          <w:rStyle w:val="FootnoteAnchor"/>
          <w:rtl w:val="true"/>
        </w:rPr>
        <w:footnoteReference w:id="422"/>
      </w:r>
      <w:r>
        <w:rPr>
          <w:rFonts w:ascii="IRNazanin" w:hAnsi="IRNazanin" w:eastAsia="IRNazanin"/>
          <w:color w:val="111111"/>
          <w:sz w:val="28"/>
          <w:sz w:val="28"/>
          <w:szCs w:val="28"/>
          <w:rtl w:val="true"/>
          <w:lang w:bidi="fa-IR"/>
        </w:rPr>
        <w:t>تبلغ إلی نیف و عشرین، و النیف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بتشدید الیاء و تخفیفها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عدد مبهم لمرتبة من مراتب ما فوق الاثنین إلی العشرة، کما أنّ البضع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عدد مبهم أیضا لمرتبة من مراتب ما فوق الاثنین و التسعة، فلا یتجاوز إطلاقه عن التسعة، کما لا یتجاوز إطلاق النیف بإحدی لغتیه عن العشرة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فمن جملة الإیرادات المورودة علی الاستدلال بالآیة ما اعترف المصنف بوروده و عدم إمکان الذبّ عنه مشیرا إلیه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الاستدلال راجعا إلی اعتبار مفهوم الوصف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المحقّق فی محلّه عدم اعتبار المفهوم فی الوصف، سیما الغیر المعتمد علی موصوف محقّق کما فی ما نحن فیه، فإنّه أشبه بمفهوم اللقب، و إن کان باعتبار مفهوم الشرط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دلالة مفهوم </w:t>
      </w:r>
    </w:p>
    <w:p>
      <w:pPr>
        <w:pStyle w:val="BookText"/>
        <w:rPr/>
      </w:pPr>
      <w:r>
        <w:rPr>
          <w:rFonts w:ascii="IRNazanin" w:hAnsi="IRNazanin" w:eastAsia="IRNazanin"/>
          <w:color w:val="111111"/>
          <w:sz w:val="28"/>
          <w:sz w:val="28"/>
          <w:szCs w:val="28"/>
          <w:rtl w:val="true"/>
          <w:lang w:bidi="fa-IR"/>
        </w:rPr>
        <w:t xml:space="preserve">شرطه علی المدّعی، لکونه سالبة بانتفاء الموضوع </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إلی آخر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الجواب عنه، لکن لا بما أجیب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مفهوم إن جاءکم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هو عدم مجی‌ء الفاسق یشمل ما لو جاء العادل فلا یجب تبیّنه، فالمطلوب و هو عدم وجوب التبیّن عن خبر العادل داخل فی المفهوم و إن لم یکن هو هو فلا ینحصر المفهوم فی السالبة بانتفاء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حمل المفهوم علی السالبة بانتفاء الموضوع خلاف الظاهر و مجاز لا یصار إلیه، حتی یندفع الأوّل بما أشار إلیه الماتن</w:t>
      </w:r>
      <w:r>
        <w:rPr>
          <w:rStyle w:val="FootnoteAnchor"/>
          <w:rtl w:val="true"/>
        </w:rPr>
        <w:footnoteReference w:id="424"/>
      </w:r>
      <w:r>
        <w:rPr>
          <w:rFonts w:ascii="IRNazanin" w:hAnsi="IRNazanin" w:eastAsia="IRNazanin"/>
          <w:color w:val="111111"/>
          <w:sz w:val="28"/>
          <w:sz w:val="28"/>
          <w:szCs w:val="28"/>
          <w:rtl w:val="true"/>
          <w:lang w:bidi="fa-IR"/>
        </w:rPr>
        <w:t xml:space="preserve">أخذا من القوانین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المراد من التبیّن هو طلب ظهور حال الفاسق، فمفهومه هو عدم وجوب تبیّن حال خبر الفاسق لا خبر العادل، للزوم وحدة الموضوع و المحمول فی المفهوم و المنطوق و الشرط و الجزاء</w:t>
      </w:r>
      <w:r>
        <w:rPr>
          <w:rStyle w:val="FootnoteAnchor"/>
          <w:rtl w:val="true"/>
        </w:rPr>
        <w:footnoteReference w:id="425"/>
      </w:r>
      <w:r>
        <w:rPr>
          <w:rFonts w:ascii="IRNazanin" w:hAnsi="IRNazanin" w:eastAsia="IRNazanin"/>
          <w:color w:val="111111"/>
          <w:sz w:val="28"/>
          <w:sz w:val="28"/>
          <w:szCs w:val="28"/>
          <w:rtl w:val="true"/>
          <w:lang w:bidi="fa-IR"/>
        </w:rPr>
        <w:t>، و یندفع الثانی بما استبدّ به الماتن</w:t>
      </w:r>
      <w:r>
        <w:rPr>
          <w:rStyle w:val="FootnoteAnchor"/>
          <w:rtl w:val="true"/>
        </w:rPr>
        <w:footnoteReference w:id="426"/>
      </w:r>
      <w:r>
        <w:rPr>
          <w:rFonts w:ascii="IRNazanin" w:hAnsi="IRNazanin" w:eastAsia="IRNazanin"/>
          <w:color w:val="111111"/>
          <w:sz w:val="28"/>
          <w:sz w:val="28"/>
          <w:szCs w:val="28"/>
          <w:rtl w:val="true"/>
          <w:lang w:bidi="fa-IR"/>
        </w:rPr>
        <w:t>ردّا علی القوانین من أنّ المفهوم فی الآیة لیس قابلا لغیر السالبة بانتفاء الموضوع، و لیس هنا قضیة لفظیة سالبة دائرة بین کونها بسلب المحمول أو الموضوع حتی یکون الأصل و الظاهر مع السلب بسلب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الصواب 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انحصار الاستدلال فی اعتبار مفهوم شرطها أو وصفها و أنّ للاستدلال وجه ثالث، و هو الاستدلال بمنطوقها و مفهومها الموافقة حسبما تقدّم توجیهه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الانحصار، لکن الاستدلال لیس بظاهر مفهوم شرطها و لا بصرف مفهوم وصفها، بل إنّما هو بواسطة أنّ وجود المناسبة الاقترانیة للحکم بالتبیّن و عدم انطباق التعلیل علی غیر صفة الفسق، و کون المفهوم من أظهر فوائد الشرط و الوصف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قرینة ثبوت مفهوم الوصف لها و إن لم یعتمد علی الموصوف کما هی قرینة ثبوته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الواجد یحلّ عقوبته</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مطلّ الغنی ظلم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قرینة صرف الشرط عن ظاهره، أعنی قرینة صرف تعلیق الشرط علی المجی‌ء إلی تعلیقه علی الفسق حسبما تقدّم تفصیله و تقریبه من کون المجی‌ء إنّما ذکر للربط، و تطبیق الکلام لمقتضی الحال، لوضوح عدم مناسبة الحکم و التعلیل له بخلاف صفة 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الإیرادات المورودة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 عن بعض من أنّه لا عموم و لا إطلاق للمفاهیم حتی یتمسّک به، ضرورة کون العموم و الإطلاق من صفات اللفظ لا المعانی، و المفاهیم من مقولة المعانی لا الألفاظ، فهی علی ذلک مجملة لا مبیّنة حتی یتمسّک بها؛ لصیرورة مفهوم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السائمة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المعلوفة لیست کالسائمة، و أمّا کونها مطلقا، أو فی بعض الأفراد فمسکوت عنه، و مجمل من تلک الحیثیة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المقرّر فی محلّه عندنا معاشر المشهور استتباع کلّ مفهوم لمنطوقه فی العموم و الإطلاق، و کون العموم و الإطلاق من صفات الألفاظ إنّما هو فی الاصطلاح، و أمّا فی غیره فیشترک المعانی مع الألفاظ فی الاتّصاف بالعموم و الإطلاق، فالمفهوم و إن لم یتّصف بالإطلاق و العموم اللفظی إلّا أنّه یتّصف بالعموم و الإطلاق المعنوی</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الإجمال ممّا هو معدوم النظیر أو قلیل النظیر فی کلام الشارع المبیّن للأحکام الشرعیة، بحیث لا یصحّ الحمل علیه إلّا بدلیل، و إذ لیس فلیس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فتدبّر؛ فإنّ ارتکاب الإجمال إمّا ناشئ عن عجز المتکلّم من البیان، و هو محال علی الشارع القادر علی کلّ شی‌ء، و إمّا ناشئ عن عجز المخاطب عن فهم </w:t>
      </w:r>
    </w:p>
    <w:p>
      <w:pPr>
        <w:pStyle w:val="BookText"/>
        <w:rPr/>
      </w:pPr>
      <w:r>
        <w:rPr>
          <w:rFonts w:ascii="IRNazanin" w:hAnsi="IRNazanin" w:eastAsia="IRNazanin"/>
          <w:color w:val="111111"/>
          <w:sz w:val="28"/>
          <w:sz w:val="28"/>
          <w:szCs w:val="28"/>
          <w:rtl w:val="true"/>
          <w:lang w:bidi="fa-IR"/>
        </w:rPr>
        <w:t>البیان، و هو خلاف المفروض فی الأحکام، و لهذا قلّ صدور الإجمال من الشارع فی مقام بیان الأحکام، حتی قالوا بعدمه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الإیرادات التی زعم الماتن</w:t>
      </w:r>
      <w:r>
        <w:rPr>
          <w:rStyle w:val="FootnoteAnchor"/>
          <w:rtl w:val="true"/>
        </w:rPr>
        <w:footnoteReference w:id="428"/>
      </w:r>
      <w:r>
        <w:rPr>
          <w:rFonts w:ascii="IRNazanin" w:hAnsi="IRNazanin" w:eastAsia="IRNazanin"/>
          <w:color w:val="111111"/>
          <w:sz w:val="28"/>
          <w:sz w:val="28"/>
          <w:szCs w:val="28"/>
          <w:rtl w:val="true"/>
          <w:lang w:bidi="fa-IR"/>
        </w:rPr>
        <w:t>قدّس سرّه ورودها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حکاه عن محکی العدّة</w:t>
      </w:r>
      <w:r>
        <w:rPr>
          <w:rStyle w:val="FootnoteAnchor"/>
          <w:rtl w:val="true"/>
        </w:rPr>
        <w:footnoteReference w:id="429"/>
      </w:r>
      <w:r>
        <w:rPr>
          <w:rFonts w:ascii="IRNazanin" w:hAnsi="IRNazanin" w:eastAsia="IRNazanin"/>
          <w:color w:val="111111"/>
          <w:sz w:val="28"/>
          <w:sz w:val="28"/>
          <w:szCs w:val="28"/>
          <w:rtl w:val="true"/>
          <w:lang w:bidi="fa-IR"/>
        </w:rPr>
        <w:t>و الذریعة</w:t>
      </w:r>
      <w:r>
        <w:rPr>
          <w:rStyle w:val="FootnoteAnchor"/>
          <w:rtl w:val="true"/>
        </w:rPr>
        <w:footnoteReference w:id="430"/>
      </w:r>
      <w:r>
        <w:rPr>
          <w:rFonts w:ascii="IRNazanin" w:hAnsi="IRNazanin" w:eastAsia="IRNazanin"/>
          <w:color w:val="111111"/>
          <w:sz w:val="28"/>
          <w:sz w:val="28"/>
          <w:szCs w:val="28"/>
          <w:rtl w:val="true"/>
          <w:lang w:bidi="fa-IR"/>
        </w:rPr>
        <w:t>و مجمع البیان</w:t>
      </w:r>
      <w:r>
        <w:rPr>
          <w:rStyle w:val="FootnoteAnchor"/>
          <w:rtl w:val="true"/>
        </w:rPr>
        <w:footnoteReference w:id="431"/>
      </w:r>
      <w:r>
        <w:rPr>
          <w:rFonts w:ascii="IRNazanin" w:hAnsi="IRNazanin" w:eastAsia="IRNazanin"/>
          <w:color w:val="111111"/>
          <w:sz w:val="28"/>
          <w:sz w:val="28"/>
          <w:szCs w:val="28"/>
          <w:rtl w:val="true"/>
          <w:lang w:bidi="fa-IR"/>
        </w:rPr>
        <w:t>و المعارج</w:t>
      </w:r>
      <w:r>
        <w:rPr>
          <w:rStyle w:val="FootnoteAnchor"/>
          <w:rtl w:val="true"/>
        </w:rPr>
        <w:footnoteReference w:id="432"/>
      </w:r>
      <w:r>
        <w:rPr>
          <w:rFonts w:ascii="IRNazanin" w:hAnsi="IRNazanin" w:eastAsia="IRNazanin"/>
          <w:color w:val="111111"/>
          <w:sz w:val="28"/>
          <w:sz w:val="28"/>
          <w:szCs w:val="28"/>
          <w:rtl w:val="true"/>
          <w:lang w:bidi="fa-IR"/>
        </w:rPr>
        <w:t>من أنّا لو سلّمنا دلالة المفهوم علی قبول خبر العادل الغیر المفید للعلم، 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عموم التعلیل و حجّیة منصوص العلّة وجوب التبیّن فی کلّ خبر لا یؤمن الوقوع فی الندم من العمل به و إن کان المخبر عادلا، فیتعارض المفهوم، و الترجیح مع ظهور التعلیل مادّة الاجتماع خبر العادل الغیر المفید للعلم، و مادّة الافتراق من جانب المنطوق خبر الفاسق الغیر المفید للعلم، فإنّ المنطوق یدلّ علی لزوم التبیّن عنده، و المفهوم لا یعارضه، و من جانب المفهوم خبر العادل المفید للعلم، فإنّ المفهوم یدلّ علی لزوم الأخذ به و المنطوق لا یعارضه، و إذا کان الترجیح مع ظهور التعلیل ادخل مادّة الاجتماع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 أیضا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عمدة استدلالنا إنّما هو بمنطوق الآیة و مفهومها الموافقة بمعونة سیاقها و مصبّها الدالّ علی حجّیة مطلق الأخبار، المأمون فیها عن الوقوع فی فعل الجهلاء و معرض تندیم العقلاء، سواء کان المخبر عادلا أم فاسقا، و علی ذلک لا یکون المفهوم معارضا لمنطوقها بل هو مؤکّدا و مصرّحا ببعض ما هو داخل فی ظاهر المنطوق</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المعارضة و انحصار الاستدلال فی أخذ المفهوم، لکن نقول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المراد من النبأ فی المنطوق ما لا یعلم صدقه و لا کذبه، و کلّ مفهوم تابع لمنطوقه عموما و خصوصا، و إذا فرض کون المنطوق مختصّا بما لا یعلم فالمفهوم أیضا کذلک، و إذا کان المفهوم أخصّ مطلقا من المنطوق قدّم علیه و خصّص عمومه من طرف التبیّن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عموم المفهوم للنبإ المعلوم و أعمّیّته من المنطوق من هذا الوجه، 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المفهوم و إن کان بواسطة شمول حکمه لکلّ من خبری العادل العلمی و الظنّی أعمّ من المنطوق من وجه، إلّا أنّه بعد ندور وجود العلمیّ منه یصیر فی حکم الأخصّ المطلق من المنطوق، فیقدّم علیه و یکون المفهوم مخصّصا لعموم المنطوق علی ما هو المشهور المنصور فی محلّه، من مخصّصیة مفهوم المخالفة لعموم المنطوق مطلقا و لو کان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الماتن</w:t>
      </w:r>
      <w:r>
        <w:rPr>
          <w:rStyle w:val="FootnoteAnchor"/>
          <w:rtl w:val="true"/>
        </w:rPr>
        <w:footnoteReference w:id="433"/>
      </w:r>
      <w:r>
        <w:rPr>
          <w:rFonts w:ascii="IRNazanin" w:hAnsi="IRNazanin" w:eastAsia="IRNazanin"/>
          <w:color w:val="111111"/>
          <w:sz w:val="28"/>
          <w:sz w:val="28"/>
          <w:szCs w:val="28"/>
          <w:rtl w:val="true"/>
          <w:lang w:bidi="fa-IR"/>
        </w:rPr>
        <w:t>اختصاص تخصیص المفهوم العموم بالمختصّ المنفصل، ممنوع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ادّعاءه اختصاص تخصیصه العموم بغیر العلّة و المعلول ممنوع الإطلاق؛ لأنّ استتباع المعلول العلّة عرفا فی العموم و الخصوص إنّما هو إذا کان المعلول منطوقا به، کما 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 الرمان لأنّه حامض فی الخصوص، و لأنّه قابض فی العموم، و أمّا المعلول الغیر المنطوق به فاستتباعه العلّة المنطوق بها غیر معلوم من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و إن لم یستتبع العلّة بالأصالة إلّا أنّه یستتبعه بواسطة استتباعه المنطوق المستتبع للعلة، نظرا إلی أنّ تابع التابع تابع</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المنطوق إنّما یستتبع العلّة عرفا، إذا لم یکن له مفهوم مخالف للعلّة عرفا فی العموم و الخصوص، کما فی المثالین المتقدّمین، و أمّا إذا کان له </w:t>
      </w:r>
    </w:p>
    <w:p>
      <w:pPr>
        <w:pStyle w:val="BookText"/>
        <w:rPr/>
      </w:pPr>
      <w:r>
        <w:rPr>
          <w:rFonts w:ascii="IRNazanin" w:hAnsi="IRNazanin" w:eastAsia="IRNazanin"/>
          <w:color w:val="111111"/>
          <w:sz w:val="28"/>
          <w:sz w:val="28"/>
          <w:szCs w:val="28"/>
          <w:rtl w:val="true"/>
          <w:lang w:bidi="fa-IR"/>
        </w:rPr>
        <w:t>ذلک المفهوم، کما فی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 الرمان إن کان حامضا، لأنّه 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فاستتباع المعلول العلّة فی العموم لیس بأولی من العکس، و هو استتباع العلّة المعلوم فی الخصوص، بل هو الأولی نظرا إلی أنّه لیس لعموم التعلیل تحکیم علی المعلول المعاضد خصوصه بخصوص المفهوم ما کان له من التحکیم علیه عند انفراده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عموم المنطوق بواسطة عموم التعلیل، لما عرفت من أنّ المراد من تعلیل التبیّن بالاحتراز عن الندامة لیس الاحتراز عن مطلق الندامة، ضرورة کون الاحتراز عن مطلق الندامة لا یمکن حتی فی العمل بالقطعیات و العلمیات الغیر المصادفة للواقع، بل المراد إنّما هو الاحتراز عن الوقوع فی معرض تندیم العقلاء و استحقاق ملامتهم، و کون العمل بخبر العادل ممّا هو فی معرض تندیم العقلاء أوّل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جملة الإیرادات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حکاه الاستاذ العلّامة عن بعض، من أنّ الآیة الشریفة لیس لها مفهوم شرط و لا وصف، من جهة ورود الشرط و القید بالفسق مورد الغالب؛ نظرا إلی أنّ أغلب المخبرین فسّاقا بالعیان، مضافا إلی البرهان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أَکْثَرُ النَّاسِ وَ لَوْ حَرَصْتَ بِمُؤْمِنِینَ</w:t>
      </w:r>
      <w:r>
        <w:rPr>
          <w:rStyle w:val="FootnoteAnchor"/>
          <w:rtl w:val="true"/>
        </w:rPr>
        <w:footnoteReference w:id="434"/>
      </w:r>
      <w:r>
        <w:rPr>
          <w:rFonts w:ascii="Amiri" w:hAnsi="Amiri" w:eastAsia="Amiri" w:cs="Amiri"/>
          <w:color w:val="111111"/>
          <w:sz w:val="28"/>
          <w:sz w:val="28"/>
          <w:szCs w:val="28"/>
          <w:rtl w:val="true"/>
          <w:lang w:bidi="ar-SA"/>
        </w:rPr>
        <w:t>فالحکم بالتبیّن عن خبر الفاسق لیس له مفهوم، و هو عدم التبیّن عن خبر العادل، کما أنّه لا مفهوم للشرط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تُکْرِهُوا فَتَیاتِکُمْ عَلَی الْبِغاءِ إِنْ أَرَدْنَ تَحَصُّناً</w:t>
      </w:r>
      <w:r>
        <w:rPr>
          <w:rStyle w:val="FootnoteAnchor"/>
          <w:rtl w:val="true"/>
        </w:rPr>
        <w:footnoteReference w:id="435"/>
      </w:r>
      <w:r>
        <w:rPr>
          <w:rFonts w:ascii="Amiri" w:hAnsi="Amiri" w:eastAsia="Amiri" w:cs="Amiri"/>
          <w:color w:val="111111"/>
          <w:sz w:val="28"/>
          <w:sz w:val="28"/>
          <w:szCs w:val="28"/>
          <w:rtl w:val="true"/>
          <w:lang w:bidi="ar-SA"/>
        </w:rPr>
        <w:t>لورود شرطه مورد الغالب و لا للوصف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رَبائِبُکُمُ اللَّاتِی فِی حُجُورِکُمْ</w:t>
      </w:r>
      <w:r>
        <w:rPr>
          <w:rStyle w:val="FootnoteAnchor"/>
          <w:rtl w:val="true"/>
        </w:rPr>
        <w:footnoteReference w:id="436"/>
      </w:r>
      <w:r>
        <w:rPr>
          <w:rFonts w:ascii="IRNazanin" w:hAnsi="IRNazanin" w:eastAsia="IRNazanin"/>
          <w:color w:val="111111"/>
          <w:sz w:val="28"/>
          <w:sz w:val="28"/>
          <w:szCs w:val="28"/>
          <w:rtl w:val="true"/>
          <w:lang w:bidi="fa-IR"/>
        </w:rPr>
        <w:t>لورود الوصف مورد الغالب</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یدفعه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مرّ غیر مرّة من أنّ عمدة استدلالنا بمنطوق الآیة و لا </w:t>
      </w:r>
    </w:p>
    <w:p>
      <w:pPr>
        <w:pStyle w:val="BookText"/>
        <w:rPr/>
      </w:pPr>
      <w:r>
        <w:rPr>
          <w:rFonts w:ascii="IRNazanin" w:hAnsi="IRNazanin" w:eastAsia="IRNazanin"/>
          <w:color w:val="111111"/>
          <w:sz w:val="28"/>
          <w:sz w:val="28"/>
          <w:szCs w:val="28"/>
          <w:rtl w:val="true"/>
          <w:lang w:bidi="fa-IR"/>
        </w:rPr>
        <w:t>ینحصر استدلالنا بالمفهوم حتی یمنع دلالة المنطوق علیه بوروده مورد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انحصار وجه الاستدلال فی المفهوم، و سلّمنا أغلبیة الفاسقین من العادلین، إلّا 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الفاسق اللازم فی خبره التبیّن لیس مطلق الفاسق حتی یکون أغلب وجودا من العادل، بل المراد من الفاسق بقرینة المناسبة الاقترانیة و انطباق التعلیل علیه لا علی غیره هو الفاسق فی الإخبار، أعنی الکذوب و کثیر الکذب، و لا ریب أنّ الکذّابین فی نوع الإخبار أقلّ قلیل من الصادقین و إن کانوا فسّاقا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الإیرادات المورودة علی الاستدلال بالآیة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حکاه الاستاذ أیضا عن شریف العلماء من أنّ الآیة المذکورة من الخطابات الشفاهیة، و لا یجوز الاستدلال بظاهر شی‌ء من الخطابات الشفاهیة علی تقدیر ظهوره لغیر المشافهین بها؛ نظرا إلی أنّه و إن أمکن لغیر المشافهة مجری أصالة عدم القرینة فی نفی القرائن اللفظیة المحتملة وجودها للمشافهة إلّا أنّه لا یمکن له مجری الأصل فی نفی القرائن الحالیة إمّا لعدم حصول الظنّ من نفیها بالأصل، نظرا إلی کثرتها، و إمّا لعدم مجری للأصل فی نفیها، نظرا إلی أنّ الشکّ فی وجود القرینة الحالیة بعد العلم بوجود أصل الحالة المکتنفة بالمشافهة، و کون الشکّ لیس فی أصل وجودها، بل فی کونها حالة صارفة للظاهر عن ظهوره، أو حالة معاضدة للظاهر، أو حالة ساکتة راجع إلی الشکّ فی الحادث لا الحدوث، و إلی الشکّ فی قرینیة الشی‌ء الموجود لا فی أصل وجود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تقرّر فی محلّه فی باب الخطاب الشفاهی و غیره من أنّه لا فرق بین المشافه و غیره فی مجری الأصل لنفی کلّ ما یحتمل من القرائن، سواء کانت لفظیة أم حالیة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قلنا باختصاص توجّه الخطاب إلی المشافهین و افتراق المشافه عن </w:t>
      </w:r>
    </w:p>
    <w:p>
      <w:pPr>
        <w:pStyle w:val="BookText"/>
        <w:rPr/>
      </w:pPr>
      <w:r>
        <w:rPr>
          <w:rFonts w:ascii="IRNazanin" w:hAnsi="IRNazanin" w:eastAsia="IRNazanin"/>
          <w:color w:val="111111"/>
          <w:sz w:val="28"/>
          <w:sz w:val="28"/>
          <w:szCs w:val="28"/>
          <w:rtl w:val="true"/>
          <w:lang w:bidi="fa-IR"/>
        </w:rPr>
        <w:t>غیره باختصاص توجّه الخطاب إلی المشافه دون غیره غیر فارق فی مجری أصالة عدم القرینة و غلبة عدمها، و حصول الظن منها سیما الظنّ النوعی، کما أنّ افتراق القرائن الحالیة عن غیرها بواسطة کون الشکّ فیها فی قرینیة الشی‌ء الموجود، و فی غیرها فی أصل وجود القرینة غیر فارق فی مجری الأصل و الغلبة و حصول الظن منه سیما الظن النوعی، حسبما قرّر فی محلّه، و من شاء راجع، فلا نطیل بالإعادة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سائر الإیرادات المورودة علی الاستدلال بالآیة، و قد تصدّی الماتن</w:t>
      </w:r>
      <w:r>
        <w:rPr>
          <w:rStyle w:val="FootnoteAnchor"/>
          <w:rtl w:val="true"/>
        </w:rPr>
        <w:footnoteReference w:id="437"/>
      </w:r>
      <w:r>
        <w:rPr>
          <w:rFonts w:ascii="IRNazanin" w:hAnsi="IRNazanin" w:eastAsia="IRNazanin"/>
          <w:color w:val="111111"/>
          <w:sz w:val="28"/>
          <w:sz w:val="28"/>
          <w:szCs w:val="28"/>
          <w:rtl w:val="true"/>
          <w:lang w:bidi="fa-IR"/>
        </w:rPr>
        <w:t>قدّس سرّه لدفعها علی وجه یغنینا علی التعرض لها استقلالا بالتعرّض لبعض کلماته استتباعا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فطرح المفهوم و الحکم بخلوّ الجملة الشرطیة عن المفهوم أولی من ارتکاب التخصیص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رجوع إلی مقتضی الإیراد الأول، و هو إنکار المفهوم للآیة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کلّ من الإیرادین إلی إنکار المفهوم لا یضرّ فی استقلال کلّ منهما بعد اختلاف جهتی الإنکار؛ فإنّ مقتضی الإیراد الأول هو إنکار المفهوم من جهة عدم المقتضی له، و مقتضی الإیراد الثانی هو إنکاره لا من جهة عدم المقتضی له بل من جهة وجود مانع خارجی، و هو التعارض و ترجیح معارضه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 النکتة التنبیه علی فسق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کون النکتة التنبیه علی فسق الولید لیس بأولی من احتمال کونها لأجل التنبیه علی غلبة عدم استفادة الظنّ من خبر الفاسق</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قیل من أنّه لو ارید به التنبیه علی فسق الولید لکان الأنسب تعریف </w:t>
      </w:r>
    </w:p>
    <w:p>
      <w:pPr>
        <w:pStyle w:val="BookText"/>
        <w:rPr/>
      </w:pPr>
      <w:r>
        <w:rPr>
          <w:rFonts w:ascii="IRNazanin" w:hAnsi="IRNazanin" w:eastAsia="IRNazanin"/>
          <w:color w:val="111111"/>
          <w:sz w:val="28"/>
          <w:sz w:val="28"/>
          <w:szCs w:val="28"/>
          <w:rtl w:val="true"/>
          <w:lang w:bidi="fa-IR"/>
        </w:rPr>
        <w:t>الفاسق لا تنکیره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تعریفه یوجب اختصاص حکم التبیّن به، لا تعمیمه کلّ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الولید هو ولید بن 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أنّ النبی صلّی اللّه علیه و آله بعث ولید بن عقبة إلی بنی المصطلق لیجمع الصدقات و کان بینه و بینهم إحنة، فلما سمعوا به استقبلوه فحسبهم مقاتلیه، فرجع و قال لرسول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ارتدّوا و منعوا الزکاة فهمّ صلّی اللّه علیه و آله بقتالهم فنزلت</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عن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عائشة حین رمت ماریة القبطیة و اتهمتها بجریح القبطی، فأمر صلّی اللّه علیه و آله بقتل جریح لتظهر کذبها و ترجع عن ذنبها</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فما ندمت و ما رجعت</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یؤیّد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الاحتجاج عن الحسن علیه السّلام فی حدیث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أنت یا ولید بن عقبة فو اللّه ما ألومک أن تبغض علیا و قد جلدک فی الخمر ثمانین جلدة، و قتل أباک صبرا بیده یوم بدر، أم کیف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تسبّه فقد سمّاه اللّه مؤمنا فی عشر آیات من القرآن، و سمّاک فاسقا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جاءَکُمْ فاسِقٌ بِنَبَإٍ فَتَبَیَّنُوا</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 الثانی ما ورد</w:t>
      </w:r>
      <w:r>
        <w:rPr>
          <w:rStyle w:val="FootnoteAnchor"/>
          <w:rtl w:val="true"/>
        </w:rPr>
        <w:footnoteReference w:id="442"/>
      </w:r>
      <w:r>
        <w:rPr>
          <w:rFonts w:ascii="IRNazanin" w:hAnsi="IRNazanin" w:eastAsia="IRNazanin"/>
          <w:color w:val="111111"/>
          <w:sz w:val="28"/>
          <w:sz w:val="28"/>
          <w:szCs w:val="28"/>
          <w:rtl w:val="true"/>
          <w:lang w:bidi="fa-IR"/>
        </w:rPr>
        <w:t>من أنّ أول حدّ یجریه الحجّة علی النسوة فی الرجعة هو حدّ هذه القاذفة، و أنّه علیه السّلام یخرجها من قبرها و یحدّها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احتمال البطون و التقیة، و الموافقة للعامّة فی الأول، دون الثانی</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النسبة عموم من وجه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الاجتماع فی خبر العادل المفید للظنّ، و مادّة الافتراق من جانب الآیات الناهیة لا ظن المستفاد من غیر الخبر، و من جانب الآیة المستدلّ بها خبر العادل المفید للعلم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فالمفهوم أخصّ مطلقا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المفهوم یتبع منطوقه عموما و خصوصا، و المفروض کون المنطوق مختصّا بما لا یعلم نظرا إلی التبیّن الغیر المجامع لما یفید العلم، فالمفهوم أیضا کذلک فیصیر 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منع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ما لعلّه یتوهّم من المنافاة بین الحکم بأقوائیة المفهوم، و تقدیمه علی العموم هنا، و بین الحکم بالعکس فی ما تقدّم من الإیراد الثانی، فأجاب فی رفع المنافاة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بتقدیم المفهوم علی عموم العامّ و أقوائیته منه هنا إنّما هو علی تقدیر ثبوت المفهوم و تقدیر التعارض بینه و بین العامّ، و الحکم بالعکس ثمّة إنّما هو علی تقدیر عدم ثبوت المفهوم و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بأقوائیة المفهوم و تقدیمه علی عموم العام هنا إنّما هو باعتبار ملاحظة عموم العامّ من حیث هو، و الحکم بالعکس ثمّة إنّما هو باعتبار ملاحظة کون العموم عموما معلّلا به الجملة الشرطیة بالتعلیل الجاری فی صورتی وجود الشرط و انتفائه، و بین الاعتبارین بون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بأقوائیة المفهوم و تقدیمه علی عموم العامّ هنا إنّما هو مع الإغماض عن حکومة ظهور الجملة الشرطیة المعلّلة بالتعلیل الجاری فی صورتی وجود الشرط و انتفائه علی إفادة المفهوم، و الحکم بالعکس ثمّة إنّما هو بملاحظة الحکومة، و شتّان ما بینهما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یجوز تخصیص العام بأحدهما أولا ثمّ ملاحظة النسبة بین </w:t>
      </w:r>
      <w:bookmarkStart w:id="706" w:name="pg12850_121396"/>
    </w:p>
    <w:p>
      <w:pPr>
        <w:pStyle w:val="BookText"/>
        <w:rPr/>
      </w:pPr>
      <w:bookmarkEnd w:id="706"/>
      <w:r>
        <w:rPr>
          <w:rFonts w:ascii="IRNazanin" w:hAnsi="IRNazanin" w:eastAsia="IRNazanin"/>
          <w:color w:val="111111"/>
          <w:sz w:val="28"/>
          <w:sz w:val="28"/>
          <w:szCs w:val="28"/>
          <w:rtl w:val="true"/>
          <w:lang w:bidi="fa-IR"/>
        </w:rPr>
        <w:t>العامّ بعد ذلک التخصیص و بین الخاصّ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کلّا من الخاصّین فی عرض واحد لا مرتّبین فی الطول، فملاحظة النسبة بین تخصیص العامّ بأحدهما دون الآخر ترجیح بلا مرجّح، سواء اتّحد زمان صدور المخصّصین أو اختلف، إذ المفروض أنّ التخصیص کاشف عن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فرض فی التخصیص البداء أو النسخ بأن وقع بعد حضور وقت العمل صحّ و جاز ملاحظة النسبة بین تخصیص العام و بین الخاصّ الذی فرض بهذا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المفهوم لو دلّ علی حجّیة خبر العادل لدلّ علی حجّیة الإجماع الذی أخبر به السیّد</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7" w:name="__RefHeading___Toc2527526_3224264995"/>
      <w:bookmarkStart w:id="708" w:name="_Toc263"/>
      <w:bookmarkEnd w:id="707"/>
      <w:r>
        <w:rPr>
          <w:rtl w:val="true"/>
        </w:rPr>
        <w:t>[</w:t>
      </w:r>
      <w:r>
        <w:rPr>
          <w:rtl w:val="true"/>
        </w:rPr>
        <w:t>معارضة خبر السید و سائر الأخبار فی الحجّیة</w:t>
      </w:r>
      <w:r>
        <w:rPr>
          <w:rtl w:val="true"/>
        </w:rPr>
        <w:t>]</w:t>
      </w:r>
      <w:bookmarkEnd w:id="70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الملازمة واضحة حسبما أشار إلیه الماتن</w:t>
      </w:r>
      <w:r>
        <w:rPr>
          <w:rStyle w:val="FootnoteAnchor"/>
          <w:rtl w:val="true"/>
        </w:rPr>
        <w:footnoteReference w:id="444"/>
      </w:r>
      <w:r>
        <w:rPr>
          <w:rFonts w:ascii="IRNazanin" w:hAnsi="IRNazanin" w:eastAsia="IRNazanin"/>
          <w:color w:val="111111"/>
          <w:sz w:val="28"/>
          <w:sz w:val="28"/>
          <w:szCs w:val="28"/>
          <w:rtl w:val="true"/>
          <w:lang w:bidi="fa-IR"/>
        </w:rPr>
        <w:t>قدّس سرّه، و أمّا وجه بطلان اللازم، و هو الدلالة علی حجّیة خبر السیّد فلأنّه یلزم من وجود دلالة الآیة علی حجّیة الأخبار عدم الدلالة علی حجّیة الاخبار، و ما یلزم من وجوده عدم نفسه فهو محال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عدم شمول آیة النبأ للإجماع 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یندفع هذا الجواب بمنع عدم شمول الآیة للإجماع نقضا، و حلّا بالتفصیل الذی قدّمناه فی بحث الإجماع المنقول بأبلغ وجه و أبسط، فلا نطیل بالإعادة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إخبار هؤلاء معارض بإخبار الشیخ</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الإیراد المذکور بمجرّد معارضة إخبار السیّد لإخبار الشیخ </w:t>
      </w:r>
    </w:p>
    <w:p>
      <w:pPr>
        <w:pStyle w:val="BookText"/>
        <w:rPr/>
      </w:pPr>
      <w:r>
        <w:rPr>
          <w:rFonts w:ascii="IRNazanin" w:hAnsi="IRNazanin" w:eastAsia="IRNazanin"/>
          <w:color w:val="111111"/>
          <w:sz w:val="28"/>
          <w:sz w:val="28"/>
          <w:szCs w:val="28"/>
          <w:rtl w:val="true"/>
          <w:lang w:bidi="fa-IR"/>
        </w:rPr>
        <w:t>لا یتمّ إلّا علی القول بأنّ المرجع بعد التعارض إلی التساقط، لیبقی المفهوم سلیما عن المعارض، أو علی ترجیح إخبار الشیخ بالمرجّحات و المعاضدات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المبنی الأول فظاهر جواب الماتن</w:t>
      </w:r>
      <w:r>
        <w:rPr>
          <w:rStyle w:val="FootnoteAnchor"/>
          <w:rtl w:val="true"/>
        </w:rPr>
        <w:footnoteReference w:id="446"/>
      </w:r>
      <w:r>
        <w:rPr>
          <w:rFonts w:ascii="IRNazanin" w:hAnsi="IRNazanin" w:eastAsia="IRNazanin"/>
          <w:color w:val="111111"/>
          <w:sz w:val="28"/>
          <w:sz w:val="28"/>
          <w:szCs w:val="28"/>
          <w:rtl w:val="true"/>
          <w:lang w:bidi="fa-IR"/>
        </w:rPr>
        <w:t>و إن کان معتمدا علیه إلّا أنّه مبنی فاسد؛ لوضوح أنّ المرجع فی تعارض الخبرین إنّما هو إلی التخییر، لکن لا لأنّ اعتبار الأخبار من باب الموضوعیة و الأسباب کما توهّم، بل لأنّ اعتبارها و إن کان من باب الطریقیة و الکشف، و أنّ الأصل فی تعارض الطریقین و الکاشفین إنّما هو إلی التساقط و الطرح و الرجوع إلی الاصول العملیة، إلّا أنّ التعبّد بأخبار العلاجیة یقتضی التعبّد بالتخییر الظاهری فی الخبرین المتعارضین بعد فقد المرجّح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المبنی الثانی فهو و إن کان مبنی صحیحا إلّا أنّ الماتن قدّس سرّه لم یعتمد جوابه علیه هنا، بل اعتمد الجواب علی مجرّد المعارضة فالمبنی الصحیح لم یعتمد علیه الجواب، و المعتمد علیه الجواب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یمکن دخول هذا الخبر تحت الآیة،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راجع إلی منع الملازمة الموجودة فی کلام المورد، و هو دخول قول السیّد</w:t>
      </w:r>
      <w:r>
        <w:rPr>
          <w:rStyle w:val="FootnoteAnchor"/>
          <w:rtl w:val="true"/>
        </w:rPr>
        <w:footnoteReference w:id="447"/>
      </w:r>
      <w:r>
        <w:rPr>
          <w:rFonts w:ascii="IRNazanin" w:hAnsi="IRNazanin" w:eastAsia="IRNazanin"/>
          <w:color w:val="111111"/>
          <w:sz w:val="28"/>
          <w:sz w:val="28"/>
          <w:szCs w:val="28"/>
          <w:rtl w:val="true"/>
          <w:lang w:bidi="fa-IR"/>
        </w:rPr>
        <w:t>فی الآیة بأنّ دخول قول السیّد فی الآیة یستلزم خروج نفسه، و ما یلزم من وجوده عدم نفسه لا یصلح للوجود، و وجوده باطل و محال، و إذا بطل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وجود ما یلزم من وجوده عدم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فالملزوم و هو دخول قول السیّد تحت الآیة مثله فی البطلان، و إذا بطل الملزوم و هو دخول قول السید تحت الآیة بواسطة بطلان لازمه سلمت دلالة الآیة علی حجّیة الاخبار، و هو المطلوب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الإجماع المدّعی إجماع تقییدی عملی فجهة العمل فیه مختلف، فإنّ جهة خروجه عند النافین هو عدم حجّیة الخبر الواحد، و عند المثبتین هو مقتضی قیام الأدلّة علی حجّیة الخبر الواحد، و الإجماع العملیّ التقییدی و هو المختلف فیه جهة العمل لیس بحجّة لعدم استکشاف القطع بقول المعصوم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موافقة النافین لحجّیة الخبر مع المثبتین علی خروج الإجماع الذی أخبر به السیّد علی تحت خبر الواحد إنّما هو من حیث کونه خبرا، و أمّا من حیث إنّ مخبره هو المطابق للواقع فی زعمهم فلم یوافقوا المثبتین فی خروجه البتّة، و مع عدم موافقتهم المثبتین علی خروجه کیف یحصل القطع بقول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معنی الإجماع علی 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أجاب بعض من لا تحصیل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کون هذا الجواب ممن لا تحصیل له عدم محصّل لجوابه؛ و ذلک لأنّ مقصوده من الجواب إمّا عدم شمول آیة النبأ للإجماع المنقول، و إمّا شمولها، و وجه عدم محصّل لجوابه، أمّا علی الأول فلعدم رجوعه إلی جواب آخر وراء الجواب الأول، و هو عدم شمول النبأ للأخبار الحدسیة، و أمّا علی الثانی فلعدم رجوع تفرقته فی الاعتبار بین الإجماع المنقول و ظاهر الکتاب إلی فارق، بعد فرض کون الإجماع المنقول جزئیا من مدلول أحد جزئیّات ظاهر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 ارتفاع الإیراد المذکور ببعض الأجوبة المذکورة له، لا بکلّ واحدة واحدة منها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للخصم أن یورد علی کلّ الاجوبة المذکورة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إثبات ظهور </w:t>
      </w:r>
    </w:p>
    <w:p>
      <w:pPr>
        <w:pStyle w:val="BookText"/>
        <w:rPr/>
      </w:pPr>
      <w:r>
        <w:rPr>
          <w:rFonts w:ascii="IRNazanin" w:hAnsi="IRNazanin" w:eastAsia="IRNazanin"/>
          <w:color w:val="111111"/>
          <w:sz w:val="28"/>
          <w:sz w:val="28"/>
          <w:szCs w:val="28"/>
          <w:rtl w:val="true"/>
          <w:lang w:bidi="fa-IR"/>
        </w:rPr>
        <w:t>الآیة فی حجّیة الخبر و دفع الإیرادات المذکورة علیه بالنقض و الإبرام، و بقولک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دخول قول السیّد فی الآیة یستلزم خروجه أو یستلزم الاستهجان العادیّ الذی هو فضیح بالغایة و أشبه شی‌ء بالأکل من القفا، و عدم وجود نکتة رافعة لذلک الاستهجان، و غیر ذلک کلّها مستندة إلی ظنّ المجتهد، و الظهور الاستنباطی المستند إلی فهم المجتهد و حدسه، الذی یکون حجّیته أوهن بمراتب من حجّیة ظنّ الخبر، و إثبات حجّیة الظنّ الحاصل من الخبر بتلک الظنون المستنبطة الراجعة إلی فهم المجتهد و ظنّه إثبات للشی‌ء بما هو أوهن منه، أو بما هو مثله فی عدم ثبوت حجّیته، فإثبات حجّیة خبر الواحد من باب الظنّ الخاصّ فرع إثبات المثبت له من باب الظنّ الخاصّ، و هو أول الکلام فی الظنون الاجتهادیة، و من المعلوم أنّ النتیجة تابعة لأخسّ مقدّماته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لنا دفع هذا الإیراد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بدعوی حجّیة فهم المجتهد و الظنون الاجتهادیة من أهل خبرة کلّ فنّ من الفنون من باب الظنّ الخاصّ بالإجماع، و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448"/>
      </w:r>
      <w:r>
        <w:rPr>
          <w:rFonts w:ascii="IRNazanin" w:hAnsi="IRNazanin" w:eastAsia="IRNazanin"/>
          <w:color w:val="111111"/>
          <w:sz w:val="28"/>
          <w:sz w:val="28"/>
          <w:szCs w:val="28"/>
          <w:rtl w:val="true"/>
          <w:lang w:bidi="fa-IR"/>
        </w:rPr>
        <w:t>و بغیر ذلک من الوجوه التی قدّمناها لإثبات حجّیة قول اللغوی فی المباحث السابقة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بدعوی أنّ المستند إلی فهم المجتهد و ظنونه الاجتهادیة و الاستنباطیة فی المقام إنّما هو دفع الموانع و الإیرادات المورودة علی الآیة، و أمّا أصل المقتضی و ظهور الآیة فی حجّیة خبر الواحد فلم یستند ثبوته إلی فهم المجتهد و ظنونه الاجتهادیة الاستنباطیة، بل هو أمر ثابت بفهم العرف لا حاجة إلی إثباته بفهم المجتهد، إلّا من باب إرشاد الغافل عن فهم العرف و تنبیهه إلیه، و من المعلوم حجّیة الظواهر العرفیة من باب الظنّ الخاصّ و عدم خروجها عن الظهور المستند إلی العرف بواسطة إعمال الظنون الاجتهادیة لدفع موانعها و تنبیه الغافل عنها؛ </w:t>
      </w:r>
    </w:p>
    <w:p>
      <w:pPr>
        <w:pStyle w:val="BookText"/>
        <w:rPr/>
      </w:pPr>
      <w:r>
        <w:rPr>
          <w:rFonts w:ascii="IRNazanin" w:hAnsi="IRNazanin" w:eastAsia="IRNazanin"/>
          <w:color w:val="111111"/>
          <w:sz w:val="28"/>
          <w:sz w:val="28"/>
          <w:szCs w:val="28"/>
          <w:rtl w:val="true"/>
          <w:lang w:bidi="fa-IR"/>
        </w:rPr>
        <w:t>لوضوح کون المراد من الظواهر العرفیة الثابت حجّیتها بالخصوص هو المستند ظهوره إلی العرف من جهة المقتضی، لا من جمیع الجهات حتی من جهة دفع الموانع کما زعم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الإیرادات الغیر الواردة علی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بالتبیّن فی منطوقها ظاهر فی الوجوب النفسی، و علی تقدیره یکون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عدم وجوب التبیّن نفسا عن خبر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التوقّف فی خبره و من قبول خبره قبل التبیّن و من ردّه قبل التبیّن، و العامّ لا یدلّ علی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هذا الإیراد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بما قیل من أنّ التوقّف و الردّ لخبر العادل قبل التبیّن یستلزم کونه أسوأ حالا من الفاسق، و بطلان هذا اللازم قرینة تخصیص عموم المفهوم بإرادة قبول خبره قبل التبیّن، لا الردّ و التوقّف حتی یدفعه منع الملازمة المذکورة بما أشار إلیه الماتن</w:t>
      </w:r>
      <w:r>
        <w:rPr>
          <w:rStyle w:val="FootnoteAnchor"/>
          <w:rtl w:val="true"/>
        </w:rPr>
        <w:footnoteReference w:id="449"/>
      </w:r>
      <w:r>
        <w:rPr>
          <w:rFonts w:ascii="IRNazanin" w:hAnsi="IRNazanin" w:eastAsia="IRNazanin"/>
          <w:color w:val="111111"/>
          <w:sz w:val="28"/>
          <w:sz w:val="28"/>
          <w:szCs w:val="28"/>
          <w:rtl w:val="true"/>
          <w:lang w:bidi="fa-IR"/>
        </w:rPr>
        <w:t>من أنّ الآیة علی تقدیر أن یکون المراد من وجوب تبیّنه وجوبه نفسا، الذی هو مبنی الإیراد المذکور، ساکتة عن حکم العمل بالخبر قبل التبیّن أو مع تعذّره، فیجوز اشتراک الفاسق و العادل فی عدم جواز العمل قبل التبیّن، کما أنّهما یشرکان قطعا فی جواز العمل بعد التبیّن و العلم بالصدق، لأنّ العمل حینئذ بمقتضی التبیّن لا باعتبار الخبر، فاختصاص الفاسق بوجوب التعرض لخبره و التفتیش عنه دون العادل لا یستلزم کون العادل أسوأ حالا، بل مستلزم لمرتبة کاملة للعادل علی الفاسق؛ فإنّ التفتیش عن الحال و الاستکشاف عن الباطن نوع استخفاف و إذلال، و لا یرضاه فی حقّ العادل نظرا إلی الاحترام و الإجلال</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الصواب فی الجواب إنّما هو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مرّ غیر مرّة من أنّ وجه الاستدلال بالآیة لا ینحصر فی مفهومها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بالتبیّن و إن کان ظاهرا فی الوجوب النفسی بملاحظة نفسه إلّا أنّه ظاهر فی الوجوب الشرطی بملاحظة القرائن المکتنفة به، من المناسبة الاقترانیة، و عدم انطباق التعلیل علی وجوبه النفسی، و من قیام الإجماع علی عدم وجوبه نفسا، و من مخالفة وجوبه نفسا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العسر و الحرج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التفتیش و التجسّس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الصحة فی أفعال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هذه کلّها قرائن کون المتبادر منه عرفا فی أمثال المقام هو الوجوب الشرطی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کون التبیّن شرطا للعمل بقول الفاسق إلّا أنّه ظاهر فی التبیّن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ظهوره فی العلمی عرفا؛ لما مرّ من تفسیره فی کتب اللغة</w:t>
      </w:r>
      <w:r>
        <w:rPr>
          <w:rStyle w:val="FootnoteAnchor"/>
          <w:rtl w:val="true"/>
        </w:rPr>
        <w:footnoteReference w:id="450"/>
      </w:r>
      <w:r>
        <w:rPr>
          <w:rFonts w:ascii="IRNazanin" w:hAnsi="IRNazanin" w:eastAsia="IRNazanin"/>
          <w:color w:val="111111"/>
          <w:sz w:val="28"/>
          <w:sz w:val="28"/>
          <w:szCs w:val="28"/>
          <w:rtl w:val="true"/>
          <w:lang w:bidi="fa-IR"/>
        </w:rPr>
        <w:t>باستظهار الأمر و وضوحه و عدم العجلة فیه، و هو أعمّ من العلمی و الظنّی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ظهوره لغة فی العلمی إلّا أنّه عرفا أعمّ منه و من الظنّی، أ لا تری استناد العرف مظنوناتهم إلی العلم بها و إطلاقهم العلم علیها من غیر نکیر، و لا نصب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تعارض العرف و اللغة قدّمت اللغة علی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اللغة المتقدّمة علی العرف إنّما هی اللغة المتداولة فی محاورات المشافهین بالخطاب، و أمّا اللغة المتقدّمة علی المتداول فی محاورات المشافهین فلا إشکال فی تقدیم عرفهم علیها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ارادة التبیّن العلمی من الآیة راجع إلی إرادة اشتراط العلم فی قبول قول الفاسق، و عدم اشتراطه فی قبول قول العادل، و هو خرق للإجماع المرکّب و إحداث قول ثالث؛ فإنّ الخلاف فی المسألة منحصر فی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p>
    <w:p>
      <w:pPr>
        <w:pStyle w:val="BookText"/>
        <w:rPr/>
      </w:pPr>
      <w:r>
        <w:rPr>
          <w:rFonts w:ascii="IRNazanin" w:hAnsi="IRNazanin" w:eastAsia="IRNazanin"/>
          <w:color w:val="111111"/>
          <w:sz w:val="28"/>
          <w:sz w:val="28"/>
          <w:szCs w:val="28"/>
          <w:rtl w:val="true"/>
          <w:lang w:bidi="fa-IR"/>
        </w:rPr>
        <w:t>عدم قبول قول العادل و لا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اشتراط قبول قول الفاسق بحصول الظن و الوثوق منه، و عدم اشتراط ذلک فی العادل من جهة حصوله بنفس العدالة، و أمّا اشتراط العلم فی قبول قول الفاسق دون العادل فالظاهر أنّه خرق للإجماع المرکّب و إحداث لقول ثالث، و هو قرینة عدم کون المراد منه العلم علی تقدیر کونه ظاهرا فی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عدم انطباق التعلیل علی اشتراط العلم أیضا قرینة اخری علی عدم إرادة العلم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أنّ إرادة العلم من التبیّن مبنیّ علی تقدیر کونه شرطا للتعبّد الشرعی بقبول قول الفاسق، دون تقدیر کونه شرطا للتعبّد العقلائی المعلوم من الخارج عدم توقّفه علی العلم، و هو مبنی فاسد، لاستلزام کونه شرطا للتعبّد الشرعی بقبول قول الفاسق، ترتّب العقاب علی قبول قوله من دون تحصیل التبیّن المشروط به القبول، و هو باطل بالإجماع؛ ضرورة کون العقاب المترتّب علی قبوله قبل التبیّن مراعی بالوقوع فی خلاف الواقع، و هو قرینة ثالثة علی عدم إرادة خصوص العلم من التبیّن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و تبیّن ممّا ذکرنا أنّ التبیّن عن خبر الفاسق لیس واجبا نفسیا، و لا واجبا شرطیا للتعبّد الشرعی بقبول قوله و إنّما هو واجب شرطی للتعبّد العقلائی بقبوله، أو واجب غیری للاحتراز عن وقوع العامل فی معرض تندیم العقلاء</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الإیرادات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أشیر إلیه فی المتن</w:t>
      </w:r>
      <w:r>
        <w:rPr>
          <w:rStyle w:val="FootnoteAnchor"/>
          <w:rtl w:val="true"/>
        </w:rPr>
        <w:footnoteReference w:id="451"/>
      </w:r>
      <w:r>
        <w:rPr>
          <w:rFonts w:ascii="IRNazanin" w:hAnsi="IRNazanin" w:eastAsia="IRNazanin"/>
          <w:color w:val="111111"/>
          <w:sz w:val="28"/>
          <w:sz w:val="28"/>
          <w:szCs w:val="28"/>
          <w:rtl w:val="true"/>
          <w:lang w:bidi="fa-IR"/>
        </w:rPr>
        <w:t xml:space="preserve">أیضا من أنّ مفهوم الآیة غیر معمول به فی الموضوعات الخارجیة التی منها مورد الآیة، و هو إخبار الولید بارتداد طائفة، و من المعلوم أنّه لا یکفی فیه خبر العادل بل لا أقلّ من اعتبار العدلین، فبواسطة عدم جواز إخراج المورد و استهجان إخراجه عرفا </w:t>
      </w:r>
    </w:p>
    <w:p>
      <w:pPr>
        <w:pStyle w:val="BookText"/>
        <w:rPr/>
      </w:pPr>
      <w:r>
        <w:rPr>
          <w:rFonts w:ascii="IRNazanin" w:hAnsi="IRNazanin" w:eastAsia="IRNazanin"/>
          <w:color w:val="111111"/>
          <w:sz w:val="28"/>
          <w:sz w:val="28"/>
          <w:szCs w:val="28"/>
          <w:rtl w:val="true"/>
          <w:lang w:bidi="fa-IR"/>
        </w:rPr>
        <w:t>برکاکة غیر متدارکة لا بدّ إمّا من طرح المفهوم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بعض موردی هذا الإیراد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من إجماله و الحمل علی کونه فی صدر بیان حجّیة قول العدل فی الجملة فی مقابل القول بالسلب الکلی، کما عن بعض موردیه الآخر صاحب الریاض</w:t>
      </w:r>
      <w:r>
        <w:rPr>
          <w:rStyle w:val="FootnoteAnchor"/>
          <w:rtl w:val="true"/>
        </w:rPr>
        <w:footnoteReference w:id="452"/>
      </w:r>
      <w:r>
        <w:rPr>
          <w:rFonts w:ascii="IRNazanin" w:hAnsi="IRNazanin" w:eastAsia="IRNazanin"/>
          <w:color w:val="111111"/>
          <w:sz w:val="28"/>
          <w:sz w:val="28"/>
          <w:szCs w:val="28"/>
          <w:rtl w:val="true"/>
          <w:lang w:bidi="fa-IR"/>
        </w:rPr>
        <w:t>فی رسالته التی عقدها فی الشهرة، و القوانین</w:t>
      </w:r>
      <w:r>
        <w:rPr>
          <w:rStyle w:val="FootnoteAnchor"/>
          <w:rtl w:val="true"/>
        </w:rPr>
        <w:footnoteReference w:id="453"/>
      </w:r>
      <w:r>
        <w:rPr>
          <w:rFonts w:ascii="IRNazanin" w:hAnsi="IRNazanin" w:eastAsia="IRNazanin"/>
          <w:color w:val="111111"/>
          <w:sz w:val="28"/>
          <w:sz w:val="28"/>
          <w:szCs w:val="28"/>
          <w:rtl w:val="true"/>
          <w:lang w:bidi="fa-IR"/>
        </w:rPr>
        <w:t>فی ضمن النقوض و الإبرامات التی أبرمها علی القائلین بالظنّ الخاصّ فی باب الاجتهاد و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الفرق بین طرح المفهوم رأسا الذی هو قضیّة الإیراد المذکور عند بعض موردیه، و بین الالتزام بإجماله، کما عن بعض موردیه الآخر أن قضیة طرح المفهوم هو القول بعدم حجّیة قول العدل مطلقا و أصالة عدم حجّیته، لا فی الأحکام، و لا فی الموضوعات، إلّا ما خرج بالدلیل، کما أنّ قضیة ثبوت المفهوم و الأخذ بإطلاقه هو قول المشهور المنصور بحجّیته مطلقا و أصالة حجّیته من باب الروایة فی الأحکام و الموضوعات إلّا ما خرج بالدلیل المعتبر للتعدّد، و قضیة إجمال المفهوم هو القول بحجّیة قول العدل من باب الشهادة و أصالة اعتبار التعدّد فی حجیته إلّا ما خرج، اقتصارا علی القدر المتیقّن فی المجملات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فیندفع هذا الإیراد، لکن لا بمجرّد أنّ طرح المفهوم مخالف للظاهر و إجماله مخالف لأصالة عدم الإجمال حتی تندفع المخالفتین، بدعوی قیام الدلیل الوارد علی الأصل و المعیّن لارتکاب إحدی المخالفتین، و هو لزوم تنزیه کلام السبحان عن الرکاکة و الاستهجان الغیر المنجبر عرفا بنوع من الجبران، و لا بمجرّد أصالة عدم اشتراط التعدّد فی حجّیة قول العدل حتی یندفع بأنّه إن ارید من الأصل إطلاق مفهوم الآیة فالمفروض عند المورد إجماله، أو طرحه رأسا، و إن أرید منه الاستصحاب فهو مع عدم الحجّیة، و إن ارید منه الغلبة </w:t>
      </w:r>
    </w:p>
    <w:p>
      <w:pPr>
        <w:pStyle w:val="BookText"/>
        <w:rPr/>
      </w:pPr>
      <w:r>
        <w:rPr>
          <w:rFonts w:ascii="IRNazanin" w:hAnsi="IRNazanin" w:eastAsia="IRNazanin"/>
          <w:color w:val="111111"/>
          <w:sz w:val="28"/>
          <w:sz w:val="28"/>
          <w:szCs w:val="28"/>
          <w:rtl w:val="true"/>
          <w:lang w:bidi="fa-IR"/>
        </w:rPr>
        <w:t>فلا غلبة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الصواب فی الجواب هو دفع الإیراد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کون المفهوم غیر معمول به فی مورد الروایة، بعد خلوّها عن البیّنة إذ لم یجد ما یرکن معه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المفسّرین کما عن الطبرسی</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معارضته بالمثل کما هو معلوم فی محلّه نمنع حجّیة تفسیر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الأخبار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إثباته بذلک عین الدعوی، فإنها من الآحاد التی مفروض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حقّق فی المتن</w:t>
      </w:r>
      <w:r>
        <w:rPr>
          <w:rStyle w:val="FootnoteAnchor"/>
          <w:rtl w:val="true"/>
        </w:rPr>
        <w:footnoteReference w:id="455"/>
      </w:r>
      <w:r>
        <w:rPr>
          <w:rFonts w:ascii="IRNazanin" w:hAnsi="IRNazanin" w:eastAsia="IRNazanin"/>
          <w:color w:val="111111"/>
          <w:sz w:val="28"/>
          <w:sz w:val="28"/>
          <w:szCs w:val="28"/>
          <w:rtl w:val="true"/>
          <w:lang w:bidi="fa-IR"/>
        </w:rPr>
        <w:t xml:space="preserve">من أنّ غایة الأمر لزوم تقیید المفهوم بالنسبة إلی الموضوعات بما إذا تعدّد المخبر العادل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ظاهره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تقدیر الإغماض عن الإشکال الآتی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وضوحه وضوح إمکان الجواب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انصراف النبأ إلی غیر ذی الواسطة، لکونه انصرافا بدویّا ناشئا عن اصطلاح خاصّ فی الخبر و النبأ، أو عن غلبة وجود غیر ذی الواسطة سیما فی زمان نزول الآیة، لا عن غلبة الاستعمال الموجب للندور أو الأندریة فی ذی الواسطة المعبّر عنهما فی اصطلاح شریف العلماء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المضرّ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أقل من الشکّ فی الانصراف، و الأصل عدمه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تعقّل الواسطة فی نفس الخبر بالتقریب المشار إلیه فی المتن</w:t>
      </w:r>
      <w:r>
        <w:rPr>
          <w:rStyle w:val="FootnoteAnchor"/>
          <w:rtl w:val="true"/>
        </w:rPr>
        <w:footnoteReference w:id="456"/>
      </w:r>
      <w:r>
        <w:rPr>
          <w:rFonts w:ascii="IRNazanin" w:hAnsi="IRNazanin" w:eastAsia="IRNazanin"/>
          <w:color w:val="111111"/>
          <w:sz w:val="28"/>
          <w:sz w:val="28"/>
          <w:szCs w:val="28"/>
          <w:rtl w:val="true"/>
          <w:lang w:bidi="fa-IR"/>
        </w:rPr>
        <w:t>، 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الوسائط المتعقّلة لیست واسطة فی الخبر، بل هی واسطة </w:t>
      </w:r>
    </w:p>
    <w:p>
      <w:pPr>
        <w:pStyle w:val="BookText"/>
        <w:rPr/>
      </w:pPr>
      <w:r>
        <w:rPr>
          <w:rFonts w:ascii="IRNazanin" w:hAnsi="IRNazanin" w:eastAsia="IRNazanin"/>
          <w:color w:val="111111"/>
          <w:sz w:val="28"/>
          <w:sz w:val="28"/>
          <w:szCs w:val="28"/>
          <w:rtl w:val="true"/>
          <w:lang w:bidi="fa-IR"/>
        </w:rPr>
        <w:t>فی جعل المنقول خبرا فی حقّنا، و ذلک أنّ تحقّق الخبر لا یمکن إلّا بعد العلم بإسناد محمول القضیة إلی موضوعها المحتمل للصدق و الکذب، فلو أخبر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زیدا مات لا یکون خبرا لنا إلّا إذا علمنا بإسناده الموت إلی زید، فحینئذ موت زید خبر إن طابق الواقع فصادق، و إلّا فکاذب، من دون فرق فی ذلک بین أن یکون المخبر غیر الخبر کالمثال المذکور، أو نفس الخبر کأن یقول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بکر أن زیدا مات، فإنّ اسناد الإخبار إلی بکر خبر لنا لعلمنا به، لکن نسبة الموت إلی زید إن کان متحقّقا لبکر فخبر له لا لنا، لعدم علمنا بتلک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 فی المقال علی هذا المنوال، فإنّ إخبار الشیخ عن حدیث المفید خبر للشیخ لعلمه به، فلو تمّت الآیة الشریفة لاقتضت کونه خبرا تعبّدیا لنا، فإنّها توجب تصدیق العادل، و لا معنی له إلّا ترتیب الآثار المترتبة علی خبره، و لما کان تصدیق الشیخ فی إخباره عن المفید واجبا کان علینا أن نلتزم أنّه أخبره عن المفید، فیصیر بذلک لنا خبرا کالحسیّ بلا واسطة إلّا أنّ خبر الشیخ لنا حقیقی و خبر المفید تعبّدی شرعی، و هکذا إلی ألف واسطة، فکلّ لاحق مشخّص لموضوع خبر سابقه فی حقّنا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الانصراف و تعقّل کون الوسائط وسائط فی نفس الخبر إلّا أنّ لنا إتمام الاستدلال بالآیة بضمیمة الإجماع المرکّب و عدم القول بالفصل فی الحجّیة، بین ذی الواسطة و غیر ذی الواسطة، فإنّ الفصل فی الحجّیة بینهما خرق للإجماع المرکّب علی عدم حجیة النبأ رأسا أو حجّیته مطلقا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القول بالفصل بین حجیّة الشهادة، و عدم حجیّة الشهادة علی الشهادة فعلی تقدیر تسلیمه لیس من جهة الواسطة، بل إنّما هو من جهة قصور دلالة دلیل اعتبار الشهادة، لکونه دلیلا لبّیا کالإجماع أو استقراء حاصلا من الموارد الخاصّة المعتبرة فیها الشهادة بنصّ الشارع بالخصوص، و لا أقلّ من احتمال استناد منع </w:t>
      </w:r>
      <w:bookmarkStart w:id="709" w:name="pg12850_121406"/>
    </w:p>
    <w:p>
      <w:pPr>
        <w:pStyle w:val="BookText"/>
        <w:rPr/>
      </w:pPr>
      <w:bookmarkEnd w:id="709"/>
      <w:r>
        <w:rPr>
          <w:rFonts w:ascii="IRNazanin" w:hAnsi="IRNazanin" w:eastAsia="IRNazanin"/>
          <w:color w:val="111111"/>
          <w:sz w:val="28"/>
          <w:sz w:val="28"/>
          <w:szCs w:val="28"/>
          <w:rtl w:val="true"/>
          <w:lang w:bidi="fa-IR"/>
        </w:rPr>
        <w:t>الشهادة علی الشهادة إلی تلک الجهة و به الکفایة فی عدم قدح ما ادّعیناه من الاتّفاق علی عدم الفصل بین ذی الواسطة و غیر ذی الواسطة فی الحجّیة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وضوح ما فی الإیراد المذکور من الاعتراف بالمطلوب و هو حجیة الخبر فی الجملة، إذ قد عرفت فی صدر البحث أنّ المقصود فی المقام بیان حجیّة الخبر فی الجملة فی مقابل السلب الکلّی، فهذا الإیراد علی فرض إتمامه لا یضرّ المدّعی فی المقام، بل هو اعتراف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احتمال الفصل بین ذی الواسطة و غیره فی حجیّة النبأ مبنیّ علی تقدیر عدم إفادة الخبر الظنّ بالذات، بأن کان شأنه إفادة الشکّ بالذات، أو علی تقدیر عدم اعتباره الشارع من باب الظنّ المستفاد منه بأن کان اعتباره من باب 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تقدیر إفادته الظنّ بالذات و أنّ اعتباره الشارع من ذلک الباب فلا مسرح لتوهّم الفصل بین ذی الواسطة و غیره فی الحجیة؛ ضرورة عدم الفرق فی إفادة الظنّ الذی هو مناط الحجّیة بالفرض بین ذی الواسطة و غیره، کما أنّه علی تقدیر إفادته العلم بالذات لا مسرح أیضا لتوهّم الفصل بینهما نظرا إلی عدم احتیاج اعتبار العلم إلی دلیل جعلی، و عدم اختصاص اعتباره بسبب دون سبب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لکن قد یشکل الأمر بأنّ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5"/>
        <w:numPr>
          <w:ilvl w:val="4"/>
          <w:numId w:val="1"/>
        </w:numPr>
        <w:rPr/>
      </w:pPr>
      <w:bookmarkStart w:id="710" w:name="__RefHeading___Toc2527528_3224264995"/>
      <w:bookmarkStart w:id="711" w:name="_Toc264"/>
      <w:bookmarkEnd w:id="710"/>
      <w:r>
        <w:rPr>
          <w:rtl w:val="true"/>
        </w:rPr>
        <w:t>[</w:t>
      </w:r>
      <w:r>
        <w:rPr>
          <w:rtl w:val="true"/>
        </w:rPr>
        <w:t>الاشکال العام فی جمیع ذات الوسائط من الأمارات</w:t>
      </w:r>
      <w:r>
        <w:rPr>
          <w:rtl w:val="true"/>
        </w:rPr>
        <w:t>]</w:t>
      </w:r>
      <w:bookmarkEnd w:id="71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الإشکال إشکال سیّال إلی جمیع الأمارات المشتملة علی الوسائط، کالشهادة علی الشهادة، و الإقرار بالاقرار، و إخبار العادل بعدالة مخبر، و غیرها من سائر الأمارات المشتملة علی الوسائط، و هو من قبیل إشکال أهل المعقول فی جذر الأصمّ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تقریر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حکم لا بدّ له من موضوع، و لا بدّ أیضا من تقدّم </w:t>
      </w:r>
    </w:p>
    <w:p>
      <w:pPr>
        <w:pStyle w:val="BookText"/>
        <w:rPr/>
      </w:pPr>
      <w:r>
        <w:rPr>
          <w:rFonts w:ascii="IRNazanin" w:hAnsi="IRNazanin" w:eastAsia="IRNazanin"/>
          <w:color w:val="111111"/>
          <w:sz w:val="28"/>
          <w:sz w:val="28"/>
          <w:szCs w:val="28"/>
          <w:rtl w:val="true"/>
          <w:lang w:bidi="fa-IR"/>
        </w:rPr>
        <w:t>اشارة إلی الاستدلال بآیة النفر علی کون الواجب الکفائی ذلک الموضوع علی الحکم تقدّما بالطبع، کما 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حیوان، أو بالعلّیة کما 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محرقة، و إذا کان للموضوع تقدّما علی المحمول بالطبع أو العلّیة امتنع عقلا أن یتولّد من حکم القضیة موضوع داخل فی ذلک الحکم، کما فی ذات الواسطة الواحدة من الأمارات فضلا عن أن یتولّد من حکم ذلک الموضوع موضوع آخر، ثمّ من الحکم علی ذلک الموضوع موضوع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کما فی ذات الوسائط العدیدة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امتناع تعقّل تولید الموضوع من الحکم علی موضوع، لیس لمجرّد استلزامه استعمال لفظ القضیة فی أکثر من معنی واحد حتی یجوّزه من یجوّز الاستعمال فی أکثر من معنی، بل لاستلزامه الدور، و هو تقدّم الحکم علی ما من شأنه التقدّم علی الحکم، و هو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یندفع هذا الإشکال السیّال عن جمیع ذات الوسائط من الأمارات، لکن لا لمجرد ما أشار الماتن إلی حلّه بأنّ الممتنع هو توقّف فردیة بعض أفراد العامّ علی إثبات الحکم لبعضها الآخر</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حتی یرد علیه ما أورد استاذنا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اندفاعه بذلک مبنیّ علی تقدیر اختصاص توجّه الإشکال المذکور إلی القول باعتبار الخبر من باب الظنّ المتحقّق وجوده فی کلّ واحد من أفراد العامّ و کلّ واسطة من ذوی الوسائط لیکون الحکم کاشفا عن فردیّة ذلک الموضوع لا محقّقا لفردیته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تقدیر توجه الإشکال المذکور حتی علی القول باعتباره من باب التعبّد کما هو الظاهر من تقریره الإشکال فلا یکون الحکم کاشفا عن الفردیة، بل إنّما یکون محقّقا للفردیة لا محالة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اعتبار کون الخبر من باب الظنّ عندنا، إلّا أنّ الجواب بذلک </w:t>
      </w:r>
      <w:bookmarkStart w:id="712" w:name="pg12850_121408"/>
    </w:p>
    <w:p>
      <w:pPr>
        <w:pStyle w:val="BookText"/>
        <w:rPr/>
      </w:pPr>
      <w:bookmarkEnd w:id="712"/>
      <w:r>
        <w:rPr>
          <w:rFonts w:ascii="IRNazanin" w:hAnsi="IRNazanin" w:eastAsia="IRNazanin"/>
          <w:color w:val="111111"/>
          <w:sz w:val="28"/>
          <w:sz w:val="28"/>
          <w:szCs w:val="28"/>
          <w:rtl w:val="true"/>
          <w:lang w:bidi="fa-IR"/>
        </w:rPr>
        <w:t>لا ینهض إلی دفع الإشکال عن سائر الأمارات المعتبرة من باب التعبّد، بل و لا عن الخبر بناء علی القول باعتباره من باب التعبّد أیضا، فیکون الجواب به أخصّ من السؤال</w:t>
      </w:r>
      <w:r>
        <w:rPr>
          <w:rFonts w:eastAsia="IRNazanin" w:cs="IRNazanin"/>
          <w:color w:val="111111"/>
          <w:sz w:val="28"/>
          <w:szCs w:val="28"/>
          <w:rtl w:val="true"/>
          <w:lang w:bidi="fa-IR"/>
        </w:rPr>
        <w:t>.</w:t>
      </w:r>
    </w:p>
    <w:p>
      <w:pPr>
        <w:pStyle w:val="Heading5"/>
        <w:numPr>
          <w:ilvl w:val="4"/>
          <w:numId w:val="1"/>
        </w:numPr>
        <w:rPr/>
      </w:pPr>
      <w:bookmarkStart w:id="713" w:name="__RefHeading___Toc2527530_3224264995"/>
      <w:bookmarkStart w:id="714" w:name="_Toc265"/>
      <w:bookmarkEnd w:id="713"/>
      <w:r>
        <w:rPr>
          <w:rtl w:val="true"/>
        </w:rPr>
        <w:t>[</w:t>
      </w:r>
      <w:r>
        <w:rPr>
          <w:rtl w:val="true"/>
        </w:rPr>
        <w:t>ما یعرف بالجذر الأصم</w:t>
      </w:r>
      <w:r>
        <w:rPr>
          <w:rtl w:val="true"/>
        </w:rPr>
        <w:t>]</w:t>
      </w:r>
      <w:bookmarkEnd w:id="714"/>
    </w:p>
    <w:p>
      <w:pPr>
        <w:pStyle w:val="BookText"/>
        <w:rPr/>
      </w:pPr>
      <w:r>
        <w:rPr>
          <w:rFonts w:ascii="IRNazanin" w:hAnsi="IRNazanin" w:eastAsia="IRNazanin"/>
          <w:color w:val="111111"/>
          <w:sz w:val="28"/>
          <w:sz w:val="28"/>
          <w:szCs w:val="28"/>
          <w:rtl w:val="true"/>
          <w:lang w:bidi="fa-IR"/>
        </w:rPr>
        <w:t>بل الأولی فی رفع الإشکال الجواب بما ینهض جوابا علی جمیع التقادیر و الأقوال، حتی علی تقدیر کون الإشکال فی ما نحن فیه من قبیل الإشکال فی جذر الأصمّ، أعنی إشکال شمول کلّ خبری صادق لنفسه، و لکن لما کان هذا الجواب هو الجواب عن إشکال جذر الأصمّ توقّف بیانه علی تقدیم مقدّمة فی بیان جذر الأصمّ، و أمثلته، و تقریر إشکاله، و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جذر الأصمّ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عمّا یشکل اندفاعه من الشبهات، و هو فی اصطلاح أهل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العدد الذی إذا ضربته فی نفسه لا یعلم حاصل المتألّف منه إلّا بالتقریب، کجذر الخمسة و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 جذر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العدد الذی إذا ضربته فی نفسه یعلم الحاصل المتألف منه بالتحقیق، کجذر الأربعة و التسعة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اصطلاح أهل 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کلّ قضیة یکون موضوعها الخبر أو ما یرادفه من القول و الکلام النحوی المقابل للکلمة و محمولها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صادق أو کاذب، علی وجه لا یکون لنسبتها الحکمیة خارج عن نفس القضیة، بل هی هی، و بهذا القید تمتاز عن سائر القضایا المعتبر خروج نسبتها الحکمیة عن نفسها و لو ذهنا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إمّا متسلسل، أو دائر، أو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الأخیر إمّا أن یکون لموضوعها خارج عن نفس القضیة، أو لم یکن لموضوعها خارج، کما لم یکن لنسبتها الحکمیة خارج عنه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للمتسلسل أمثلة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تجمعها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خبری غدا صادق أو کاذب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قولک فی الغد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خبری غدا صادق أو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تقول فی غد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للدائر أیضا أمثلة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تجمعها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خبری غدا کاذب أو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قولک فی الغد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خبری أمس صادق، أو 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لغیر المتسلسل و الدائر ممّا له موضوع خارجیّ أیضا من الأمثلة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تجمعها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خبری غدا کاذب أو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سکوتک فی الغد عن الإخبار بشی‌ء، أو إخبارک فیه بشی‌ء من الأخبار التی یکون لنسبتها خارج عن نفسها،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لا ما لا یکون لنسبتها خارج من الإخبار کأمثلة المتسلسل و الدائر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لغیر المتسلسل و الدائر ممّا لیس لموضوعه خارج مثالان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قولک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هذا صادق، أو 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فمجموع أمثلة جذر الأصمّ بلغت إلی أربعة عشر مثالا، علی طبق العدد المیمون</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الإشکال فیها اشتمال کلّ واحد من أمثلته المذکورة علی ما یکون لنسبته خارج تطابقه أولا تطابقه بحسب الظاهر و الصورة، و الحال أنّه لیس لنسبته خارج بحسب الواقع و المعنی، و لأنّ حکم کلّ واحد من تلک الأمثلة علی موضوع یتوقّف علی فردیة نفسه لذلک الحکم، أ لا تری أنّ إثبات الحکم بالصدق الموجود فی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خبری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فرد من أفراد ما یخبر به فی ما بعد یتوقّف علی فردیة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خبری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للحکم بالصدق الموجود فیه فیلزم اشتمال الحکم فی کلّ واحد من الأمثلة المذکورة علی الفرد الذی یصیر موضوعا بواسطة ثبوته لفرد آخر، الراجع إلی الدور و تقدّم الشی‌ء علی ما یتقدّم هو علیه، و للزوم اجتماع النقیضین، و مطابقة الشی‌ء للواقع و عدمها فی بعض أمثلته مثل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کلامی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علی تقدیر صدقه یلزم أن یکون کاذبا، و علی تقدیر کذبه یلزم أن یکون صادقا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آراء الأفاضل من أهل المعقول فی حلّ هذا الإشکال و عدمه، فعن التفتازانی أنّ الاعتراف بالعجز عن حلّه و بقائه فی غرّه أولی بالصواب، من الجواب؛ و لعلّ نظره إلی ما ورد 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لا یعلم جذر الأصمّ إلّا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لا یعلمه إلّا اللّه تعالی هو جذر الأصمّ من الأعداد، لا جذر الأصمّ من القضایا التی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 القائلون بحلّه علی وجوه، فعن بعضهم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النوع من الکلام لیس بکلام تامّ بل هو من الکلمات و الجمل الناقصة عن الإفادة، بناء منه علی عدم اشتماله علی الإفادة المأخوذة فی تعریف الکلام، أو علی عدم اندراجه فی شی‌ء من قسمی الکلام، أمّا عدم اندراجه فی الخبر فلعدم خارج لنسبته الحکمیة، و أمّا عدم اندراجه فی الإنشاء فلعدم کونه من مقولة الجعل و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یضعّف بضعف کلا مبنییه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المبنی الأول فلوضوح کون المأخوذ فی تعریف الکلام هو الإفادة بالاسناد کما نصّ به البهائی فی صمدیته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اللفظ المفید بالإسناد</w:t>
      </w:r>
      <w:r>
        <w:rPr>
          <w:rStyle w:val="FootnoteAnchor"/>
          <w:rtl w:val="true"/>
        </w:rPr>
        <w:footnoteReference w:id="458"/>
      </w:r>
      <w:r>
        <w:rPr>
          <w:rFonts w:ascii="IRNazanin" w:hAnsi="IRNazanin" w:eastAsia="IRNazanin"/>
          <w:color w:val="111111"/>
          <w:sz w:val="28"/>
          <w:sz w:val="28"/>
          <w:szCs w:val="28"/>
          <w:rtl w:val="true"/>
          <w:lang w:bidi="fa-IR"/>
        </w:rPr>
        <w:t>، و لا ریب أنّ ما نحن فیه من کلّ واحد من الأمثلة المذکورة مفید بواسطة اشتماله علی طرفی الإسناد، أعنی المسند و المسند إلیه، و عدم إفادته لو سلّمت إنّما هو بواسطة المانع الخارجی، کالکلام المعارض بمعارض خارجی، لا بواسطة عدم اجتماعه لطرفی الاسناد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المبنی الثانی فلوضوح کون المأخوذ فی تعریف الخبر هو أن یکون نسبته خارج بالشأن و القوّة لا بالفعل و الواقع، یعنی أن یکون من الأسالیب التی </w:t>
      </w:r>
    </w:p>
    <w:p>
      <w:pPr>
        <w:pStyle w:val="BookText"/>
        <w:rPr/>
      </w:pPr>
      <w:r>
        <w:rPr>
          <w:rFonts w:ascii="IRNazanin" w:hAnsi="IRNazanin" w:eastAsia="IRNazanin"/>
          <w:color w:val="111111"/>
          <w:sz w:val="28"/>
          <w:sz w:val="28"/>
          <w:szCs w:val="28"/>
          <w:rtl w:val="true"/>
          <w:lang w:bidi="fa-IR"/>
        </w:rPr>
        <w:t>من شأنها أن یکون لنسبتها خارج بحسب الدلالة العرفیة لو خلّیت و طبعها، فلا ینافی عدم ثبوت خارج فعلی لها بواسطة مانع من الموانع الخارجیة عن مدلول اسلوب الکلام الدالّ علیه، و من البیّن أنّ کلّ واحد من الامثلة المذکورة لجذر الأصمّ و إن لم یکن لنسبته خارج فعلی إلّا أنّه لا إشکال فی کونه من الأسالیب و الهیئات المعدّة لإفادته وضعا بالشأن لو لا المانع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کلام، و لکنه إنشاء نظرا إلی الأخذ بظاهر تعریف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لیس لنسبته خارج تطابقه أو لا تطابقه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الإنشاء هو نفی شأنیة ثبوت خارج لاسلوبه و هیئته الصوریة، لا مجرّد نفی فعلیة ثبوت خارج له و لو کان ممّا من شأنه ثبوت خارج له بحسب الدلالة الصوریة، و ذلک لوضوح أنّ اسلوب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کلامی صادق أو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إباء کلّیا عن الدلالة عرفا علی إنشاء الصدق أو الکذب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بعضهم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خبر، ثمّ اختلفوا فی خبریته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خبر، لکنه لا یتّصف بالصدق و لا الکذب، بل هو واسطة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الدمامینی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متّصف بالکذب لا غیر، نظرا إلی أنّ ظاهر دلالته التزاما علی وجود خارج لنسبته مخالف للواقع، فتتّصف بالکذب من جهة أنّ ظاهر مدلوله الالتزامی هو ثبوت خارج لنسبته، و الحال أنّه مخالف للواقع و لیس لنسبته خارج فی الواقع، نظیر اتّصاف الإنشاء بالکذب عند مخالفة مدلوله الالتزامی، و هو مطلوبیة مؤدیة للواقع</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اللازم علی هذا القائل علی ما قاله الاستاذ دام ظلّه هو اتّصاف تلک الأمثلة بالصدق من جهة مدلولاتها المطابقیة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تأمل؛ إذ لعلّها من تلک الجهة ملحقة عنده بالإنشاء فی عدم الاتّصاف بشی‌ء من الصدق و الکذب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اختلافه بالوجوه و الاعتبارات، فباعتبار أنّه لیس لنسبته خارج فعلیّ تطابقه أو لا تطابقه لا یتّصف بشی‌ء من الصدق و الکذب، و باعتبار أنّ ظاهر مدلوله الالتزامی هو ثبوت خارج لنسبته، و الحال أنّه مخالف للواقع یتّصف بالکذب لا غیر، و باعتبار أنّه قابل للاتّصاف بالصدق شأنا و أنّه من الأسالیب التی شأنها الاتّصاف بالصدق لو کان لنسبتها خارج تطابقه یتّصف بالصدق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باختلاف الصدق و الکذب بحسب الاعتبارات استشهد القائل به فی المقام علی اختلاف الحسن و القبح العقلیین بحسب الاعتبارات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بعض الروایات أنّ أهل نیشابور سألوا مولانا الرضا علیه السّلام عن حلّ إشکال جذر الأصمّ فأجابهم بجوابین فی حلّه، و لم یحفظا، و ترّجی استاذنا العلّامة عدم خروجها عن تلک الأجوبة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الحقیق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التفصیل بین الأمثلة الأربعة عشر، فمثل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کلامی هذا صادق أو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خبرا بالنظر إلی أنّه بحسب الاسلوب و الصورة ممّا من شأنه أن یکون لنسبته خارج إلّا أنّه لا یتّصف بشی‌ء من الصدق و لا الکذب نظرا إلی عدم موضوع له خارج عنه، بل هو إمّا خبر مهمل، أو إنشاء لصدق نفسه أو کذبها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خبری غدا صادق أو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الأمثلة المتسلسلة، أو الدائرة فهی و إن افترقت عن المثالین الأوّلین فی إمکان الاتّصاف بشی‌ء من الصدق و الکذب إلّا أنّه لا یرجع الإخبار بشی‌ء من أمثلتهما إلی محصّل بعد التسلسل، أو الدوران</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خبری صادق أو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فرض صدور الإخبارات العدیدة الخارجیة عنه فهو و إن اتّصف بالصدق أو الکذب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رجع مفاده </w:t>
      </w:r>
    </w:p>
    <w:p>
      <w:pPr>
        <w:pStyle w:val="BookText"/>
        <w:rPr/>
      </w:pPr>
      <w:r>
        <w:rPr>
          <w:rFonts w:ascii="IRNazanin" w:hAnsi="IRNazanin" w:eastAsia="IRNazanin"/>
          <w:color w:val="111111"/>
          <w:sz w:val="28"/>
          <w:sz w:val="28"/>
          <w:szCs w:val="28"/>
          <w:rtl w:val="true"/>
          <w:lang w:bidi="fa-IR"/>
        </w:rPr>
        <w:t>إلی محصّل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الحکم بالصدق أو الکذب الموجود فیه لا یشمل نفسه بواسطة تأخّر نفسه عن حکمه المقتضی تقدّم الموضوع علیه، إلّا إذا علم من الخارج أنّ المناط الملحوظ فی الحکم عامّ لکلّ خبر، و أنّ المتکلّم لم یلاحظ موضوعا دون آخر، فإنّ قصور شمول اللفظ لنفسه مرتفع حینئذ بعد ما فرض من قیام القرینة الخارجیة علی کون المحمول وصفا لازما لطبیعة الموضوع و لا ینفکّ عن مصادیقه، فیکون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خبری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شاملا لنفسه بعد قیام القرینة الخارجیة علی کون الصدق وصفا لازما لطبیعة موضوعه لا لخصوص فرد دون فرد، إلّا إذا قامت قرینة اخری علی عدم شمول نفسه،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خبری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دخوله یستلزم خروجه، و ما یلزم من وجوده عدمه فهو باطل، و بطلان اللازم هی القرینة الاخری علی عدم شمول عمومه نفسه، و إلّا لکان مقتضی القرینة الاولی هو شمول نفسه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 قد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الحال فی ما نحن فیه و هو خبر ذی الواسطة علی هذا المنوال، فإنّ قبول خبر الشیخ فی المثال المفروض</w:t>
      </w:r>
      <w:r>
        <w:rPr>
          <w:rStyle w:val="FootnoteAnchor"/>
          <w:rtl w:val="true"/>
        </w:rPr>
        <w:footnoteReference w:id="459"/>
      </w:r>
      <w:r>
        <w:rPr>
          <w:rFonts w:ascii="IRNazanin" w:hAnsi="IRNazanin" w:eastAsia="IRNazanin"/>
          <w:color w:val="111111"/>
          <w:sz w:val="28"/>
          <w:sz w:val="28"/>
          <w:szCs w:val="28"/>
          <w:rtl w:val="true"/>
          <w:lang w:bidi="fa-IR"/>
        </w:rPr>
        <w:t>و إن قصر دلالته عن قبول خبر المفید و سائر الوسائط المتقدّمة علی الشیخ إلّا أنّه بعد ما علم من الخارج أنّ هذا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لازم لطبیعة الخبر و لا ینفکّ عن مصادیقه لم یبق مسرح لتوهّم بقاء شی‌ء من قصور دلالة اللفظ علیه، بل اللفظ بعد قیام القرینة الخارجیة دالّ علی شمول القبول لکلّ خبر من إخبار الشیخ و ما تقدّم علیه ممّا نقله الشیخ بالوسائط و غیره، إلّا إذا قامت قرینة اخری علی عدم شمول شی‌ء من سائر أخبار الشیخ کما قامت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کلامی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فی ما نحن فیه مجرد فرض لا وقوع له بوفاق من الخصم</w:t>
      </w:r>
      <w:r>
        <w:rPr>
          <w:rFonts w:eastAsia="IRNazanin" w:cs="IRNazanin"/>
          <w:color w:val="111111"/>
          <w:sz w:val="28"/>
          <w:szCs w:val="28"/>
          <w:rtl w:val="true"/>
          <w:lang w:bidi="fa-IR"/>
        </w:rPr>
        <w:t xml:space="preserve">. </w:t>
      </w:r>
      <w:bookmarkStart w:id="715" w:name="pg12850_121414"/>
    </w:p>
    <w:p>
      <w:pPr>
        <w:pStyle w:val="Heading5"/>
        <w:numPr>
          <w:ilvl w:val="4"/>
          <w:numId w:val="1"/>
        </w:numPr>
        <w:rPr/>
      </w:pPr>
      <w:bookmarkStart w:id="716" w:name="__RefHeading___Toc2527532_3224264995"/>
      <w:bookmarkStart w:id="717" w:name="_Toc266"/>
      <w:bookmarkEnd w:id="715"/>
      <w:bookmarkEnd w:id="716"/>
      <w:r>
        <w:rPr>
          <w:rtl w:val="true"/>
        </w:rPr>
        <w:t>[</w:t>
      </w:r>
      <w:r>
        <w:rPr>
          <w:rtl w:val="true"/>
        </w:rPr>
        <w:t>فی دلالة آیة النفر</w:t>
      </w:r>
      <w:r>
        <w:rPr>
          <w:rtl w:val="true"/>
        </w:rPr>
        <w:t>]</w:t>
      </w:r>
      <w:bookmarkEnd w:id="71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جملة الآیات المستدلّ بها علی حجّیة خبر الواحد</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فی سورة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من باب التکرار و التوضیح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للآیة تفسیران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الأظهر الأشهر من الأخبار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وجوب النفر إلی البلاد لأجل التفقّه فی الدین و المراجعة بعده لأجل إنذار الجاهلین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نهی المؤمنین عن نفر جمیعهم إلی الجهاد، کما یظهر من صدر الآیة،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الْمُؤْمِنُونَ لِیَنْفِرُوا کَافَّةً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یحتمل معنی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کون المراد من النفر، النفر إلی الجهاد مع کون التفقّه غایة من النفر أیضا، بناء علی ما قیل من أنّ المراد حصول البصیرة فی الدین من مشاهدة آیات اللّه، و ظهور أولیائه علی أعدائه، و سائر ما یتّفق فی حرب المسلمین مع الکفّار من آیات عظمة اللّه و حکمته، فیخبر بذلک عند رجوعه إلی الفرقة المتخلّفة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معنی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کون المراد النفر إلی الجهاد علی أن یکون غایة النفر هو الجهاد خاصّة لا التفقّه و الإنذار خاصّة، کما هو مقتضی کلّ من التفسیرین الأوّلین، و لا الجهاد مع التفقّه و الإنذار، کما هو مقتضی المعنی الثالث، و علی ذلک المعنی و هو المعنی الرابع یکون التفقّه و الإنذار من قبیل الفائدة لا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تشخیص المعانی المحتملة للآیة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تشخیص الظاهر عن غیر الظاهر منها، و تشخیص مبنی الاستدلال و توقّفه علی أیّ منها فتفصیله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المعنی الأخیر فهو و إن أوجب </w:t>
      </w:r>
      <w:bookmarkStart w:id="718" w:name="pg12850_121415"/>
    </w:p>
    <w:p>
      <w:pPr>
        <w:pStyle w:val="BookText"/>
        <w:rPr/>
      </w:pPr>
      <w:bookmarkEnd w:id="718"/>
      <w:r>
        <w:rPr>
          <w:rFonts w:ascii="IRNazanin" w:hAnsi="IRNazanin" w:eastAsia="IRNazanin"/>
          <w:color w:val="111111"/>
          <w:sz w:val="28"/>
          <w:sz w:val="28"/>
          <w:szCs w:val="28"/>
          <w:rtl w:val="true"/>
          <w:lang w:bidi="fa-IR"/>
        </w:rPr>
        <w:t>علی تقدیره سقوط الاستدلال بالآیة إلّا أنّه لا سبیل إلیه؛ لأنّ حمل لام التفقه و الإنذار علی العاقبة و تخریجها عن الغایة مجاز لا قرینة علیه، مع حصول التخلّف إلّا أن ینزّل علی الغالب فیزداد تعسّفا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سائر المعانی الباقیة فهو و إن کان أظهرها الأول، ثم الثانی، ثم الثالث إلّا أنّ الاستدلال یتمّ علی کلّ منهما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الآیة علی أیّ من معانیها الثلاثة کما أنّها دالّة علی وجوب النفر بواسطة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للتندیم أو للتحضیض، و علی وجوب التفقه بعده بواسطة ظهور اللام عرفا فی الغایة لا العاقبة، و علی وجوب المراجعة بعدهما من باب المقدّمة، و علی وجوب الإنذار و الحذر بعدها بواسطة ظهور اللام عرفا فی الغایة لا العاقبة أیضا، کذلک دالّة علی قبول الإنذار و التحذّر بعدها بأحد التقریبات المقرّرة فی المتن</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9" w:name="__RefHeading___Toc2527534_3224264995"/>
      <w:bookmarkStart w:id="720" w:name="_Toc267"/>
      <w:bookmarkEnd w:id="719"/>
      <w:r>
        <w:rPr>
          <w:rtl w:val="true"/>
        </w:rPr>
        <w:t>[</w:t>
      </w:r>
      <w:r>
        <w:rPr>
          <w:rtl w:val="true"/>
        </w:rPr>
        <w:t>اشارة إلی الاستدلال بآیة النفر علی کون الواجب الکفائی واجبا علی بعض غیر معیّن</w:t>
      </w:r>
      <w:r>
        <w:rPr>
          <w:rtl w:val="true"/>
        </w:rPr>
        <w:t>]</w:t>
      </w:r>
      <w:bookmarkEnd w:id="720"/>
    </w:p>
    <w:p>
      <w:pPr>
        <w:pStyle w:val="BookText"/>
        <w:rPr/>
      </w:pPr>
      <w:r>
        <w:rPr>
          <w:rFonts w:ascii="IRNazanin" w:hAnsi="IRNazanin" w:eastAsia="IRNazanin"/>
          <w:color w:val="111111"/>
          <w:sz w:val="28"/>
          <w:sz w:val="28"/>
          <w:szCs w:val="28"/>
          <w:rtl w:val="true"/>
          <w:lang w:bidi="fa-IR"/>
        </w:rPr>
        <w:t>و ربما استدلوا بالآیة علی مطلب خامس، و هو کون الواجبات الکفائیة واجبة علی بعض غیر معیّن لا کما هو المشهور من کونها واجبة علی الکلّ و یسقط بفعل البعض؛ نظرا إلی أنّ متعلّق الطلب هو الطائفة لا جمیع الفرقة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بشی‌ء؛ إذ من الواضح من أمثال الآیة و نظائرها العرفیة المتداولة فی المحاورات هو کون ذکر الطائفة لبیان قدر الکفایة، لا لاختصاص الوجوب الکفائی بها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فقد أورد علی الاستدلال بها علی حجّیة خبر الواحد، و قبول مطلق الإنذار بوجوه،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الماتن</w:t>
      </w:r>
      <w:r>
        <w:rPr>
          <w:rStyle w:val="FootnoteAnchor"/>
          <w:rtl w:val="true"/>
        </w:rPr>
        <w:footnoteReference w:id="463"/>
      </w:r>
      <w:r>
        <w:rPr>
          <w:rFonts w:ascii="IRNazanin" w:hAnsi="IRNazanin" w:eastAsia="IRNazanin"/>
          <w:color w:val="111111"/>
          <w:sz w:val="28"/>
          <w:sz w:val="28"/>
          <w:szCs w:val="28"/>
          <w:rtl w:val="true"/>
          <w:lang w:bidi="fa-IR"/>
        </w:rPr>
        <w:t>قدّس سرّه إلی إیراده و دفعه فی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قلت،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إلی إیراده دون دفعه، و منها ما لم یتعرّض لإیراده و لا لدفعه</w:t>
      </w:r>
      <w:r>
        <w:rPr>
          <w:rFonts w:eastAsia="IRNazanin" w:cs="IRNazanin"/>
          <w:color w:val="111111"/>
          <w:sz w:val="28"/>
          <w:szCs w:val="28"/>
          <w:rtl w:val="true"/>
          <w:lang w:bidi="fa-IR"/>
        </w:rPr>
        <w:t xml:space="preserve">. </w:t>
      </w:r>
      <w:bookmarkStart w:id="721" w:name="pg12850_121416"/>
    </w:p>
    <w:p>
      <w:pPr>
        <w:pStyle w:val="BookText"/>
        <w:rPr/>
      </w:pPr>
      <w:bookmarkEnd w:id="721"/>
      <w:r>
        <w:rPr>
          <w:rFonts w:ascii="IRNazanin" w:hAnsi="IRNazanin" w:eastAsia="IRNazanin"/>
          <w:color w:val="111111"/>
          <w:sz w:val="28"/>
          <w:sz w:val="28"/>
          <w:szCs w:val="28"/>
          <w:rtl w:val="true"/>
          <w:lang w:bidi="fa-IR"/>
        </w:rPr>
        <w:t>و نحن سنتعرّض لبسط الکلّ تفصیلا بعد الفراغ عن شرح بعض کلماته المتعلقة بتوجیه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انسلاخه عن معنی الترجّی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 الترجّی تارة یکون طلبا لحصول الفعل للمترجّی،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أواظب علی الدعاء له أثر، لعلّ اللّه یرزقنی ولدا ذکرا، أو جاها عظیما، أو شأنا کبیرا، و اخری للمترجّی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الغرض حینئذ إراءة الطریق لتحصیل المطلوب و الوصول إلی المحبوب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أبواب الدور لعلّک وصلت إلی خیر موفور و تجارة لن تبور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بمعنییه علی قواعد العدل محال علیه تعالی؛ لاستلزامه المراد الممتنع فی حقّه تعالی، فهی غیر باقیة علی معناها الحقیقیّ، بل منسلخة عنه و مستعارة باستعارة تمثیلیّة تشبیها لحصول الخوف و الإطاعة مرّة و عدمه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لاختلاف تفاوت الإنذار علما أو ظنّا، أو المنذرین بالصدق و الکذب، أو المستمعین بالإطاعة و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بالترجّی الذی قد یحصل و قد لا یحصل، فاستعیرت بذلک باستعارة تمثیلیّة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کان وجهه منتزعا من متعدّد و شبّه الهیئة بالهیئة الاخری،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الصیف ضیّعت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أراک تقدّم رجلا و تؤخّر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للمتردّد فی أمر، و متی کثر استعماله سمّی مثلا</w:t>
      </w:r>
      <w:r>
        <w:rPr>
          <w:rFonts w:eastAsia="IRNazanin" w:cs="IRNazanin"/>
          <w:color w:val="111111"/>
          <w:sz w:val="28"/>
          <w:szCs w:val="28"/>
          <w:rtl w:val="true"/>
          <w:lang w:bidi="fa-IR"/>
        </w:rPr>
        <w:t>.</w:t>
      </w:r>
    </w:p>
    <w:p>
      <w:pPr>
        <w:pStyle w:val="Heading5"/>
        <w:numPr>
          <w:ilvl w:val="4"/>
          <w:numId w:val="1"/>
        </w:numPr>
        <w:rPr/>
      </w:pPr>
      <w:bookmarkStart w:id="722" w:name="__RefHeading___Toc2527536_3224264995"/>
      <w:bookmarkStart w:id="723" w:name="_Toc268"/>
      <w:bookmarkEnd w:id="722"/>
      <w:r>
        <w:rPr>
          <w:rtl w:val="true"/>
        </w:rPr>
        <w:t>[</w:t>
      </w:r>
      <w:r>
        <w:rPr>
          <w:rtl w:val="true"/>
        </w:rPr>
        <w:t>اشارة إلی الاستعارة التبعیة و الأصلیة</w:t>
      </w:r>
      <w:r>
        <w:rPr>
          <w:rtl w:val="true"/>
        </w:rPr>
        <w:t>]</w:t>
      </w:r>
      <w:bookmarkEnd w:id="723"/>
    </w:p>
    <w:p>
      <w:pPr>
        <w:pStyle w:val="BookText"/>
        <w:rPr/>
      </w:pPr>
      <w:r>
        <w:rPr>
          <w:rFonts w:ascii="IRNazanin" w:hAnsi="IRNazanin" w:eastAsia="IRNazanin"/>
          <w:color w:val="111111"/>
          <w:sz w:val="28"/>
          <w:sz w:val="28"/>
          <w:szCs w:val="28"/>
          <w:rtl w:val="true"/>
          <w:lang w:bidi="fa-IR"/>
        </w:rPr>
        <w:t>ثمّ هل التجوّز فی الاستعارة التمثیلیة فی المفرد و إن کان وجهها منتزعا من متعدّد، أو فی المرکّب؟ قولان، اختار أولهما المیر ردّا علی التفتازانیّ حیث اختار الثانی</w:t>
      </w:r>
      <w:r>
        <w:rPr>
          <w:rStyle w:val="FootnoteAnchor"/>
          <w:rtl w:val="true"/>
        </w:rPr>
        <w:footnoteReference w:id="464"/>
      </w:r>
      <w:r>
        <w:rPr>
          <w:rFonts w:ascii="IRNazanin" w:hAnsi="IRNazanin" w:eastAsia="IRNazanin"/>
          <w:color w:val="111111"/>
          <w:sz w:val="28"/>
          <w:sz w:val="28"/>
          <w:szCs w:val="28"/>
          <w:rtl w:val="true"/>
          <w:lang w:bidi="fa-IR"/>
        </w:rPr>
        <w:t>، و لکن علی أیّ من التقدیرین فالاستعارة فی ما نحن فیه من الاستعارة التبعیّة، لا الأصلیّة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التشبیه المعتبر فیه فی نفس معنی المستعار و المستعار </w:t>
      </w:r>
      <w:bookmarkStart w:id="724" w:name="pg12850_121417"/>
    </w:p>
    <w:p>
      <w:pPr>
        <w:pStyle w:val="BookText"/>
        <w:rPr/>
      </w:pPr>
      <w:bookmarkEnd w:id="724"/>
      <w:r>
        <w:rPr>
          <w:rFonts w:ascii="IRNazanin" w:hAnsi="IRNazanin" w:eastAsia="IRNazanin"/>
          <w:color w:val="111111"/>
          <w:sz w:val="28"/>
          <w:sz w:val="28"/>
          <w:szCs w:val="28"/>
          <w:rtl w:val="true"/>
          <w:lang w:bidi="fa-IR"/>
        </w:rPr>
        <w:t xml:space="preserve">له،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فی الحمام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التبعیّة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لفظ لمعنی آخر بتبعیّة تشبیه معنی یرتبط به معنی أحد اللفظین بمعنی آخر یرتبط به معنی لفظ آخر، من غیر أن یکون التشبیه فی نفس مفهوم اللفظ، 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نطقت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دلّت الحال من جهة تشبیه المعنی المصدریّ، و هو الدلالة بالآخر و هو النطق، و استعارة ما اشتقّ من أحدهما لمعنی ما اشتقّ من الآخر، و کذا نحو فَالْتَقَطَهُ آلُ فِرْعَوْنَ لِیَکُونَ لَهُمْ عَدُوًّا وَ حَزَناً</w:t>
      </w:r>
      <w:r>
        <w:rPr>
          <w:rStyle w:val="FootnoteAnchor"/>
          <w:rtl w:val="true"/>
        </w:rPr>
        <w:footnoteReference w:id="465"/>
      </w:r>
      <w:r>
        <w:rPr>
          <w:rFonts w:ascii="IRNazanin" w:hAnsi="IRNazanin" w:eastAsia="IRNazanin"/>
          <w:color w:val="111111"/>
          <w:sz w:val="28"/>
          <w:sz w:val="28"/>
          <w:szCs w:val="28"/>
          <w:rtl w:val="true"/>
          <w:lang w:bidi="fa-IR"/>
        </w:rPr>
        <w:t>بناء علی کون التشبیه فی متعلّق معنی الحرف بأن شبّه ترتّب العداوة و الحزن علی الالتقاط، بترتب العلّة الغائیّة التی هی المشبّه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مع قیام المقتضی یجب، و مع عدمه لا یحسن</w:t>
      </w:r>
      <w:r>
        <w:rPr>
          <w:rFonts w:eastAsia="IRNazanin" w:cs="IRNazanin"/>
          <w:color w:val="111111"/>
          <w:sz w:val="28"/>
          <w:szCs w:val="28"/>
          <w:rtl w:val="true"/>
          <w:lang w:bidi="fa-IR"/>
        </w:rPr>
        <w:t>».</w:t>
      </w:r>
    </w:p>
    <w:p>
      <w:pPr>
        <w:pStyle w:val="Heading5"/>
        <w:numPr>
          <w:ilvl w:val="4"/>
          <w:numId w:val="1"/>
        </w:numPr>
        <w:rPr/>
      </w:pPr>
      <w:bookmarkStart w:id="725" w:name="__RefHeading___Toc2527538_3224264995"/>
      <w:bookmarkStart w:id="726" w:name="_Toc269"/>
      <w:bookmarkEnd w:id="725"/>
      <w:r>
        <w:rPr>
          <w:rtl w:val="true"/>
        </w:rPr>
        <w:t>[</w:t>
      </w:r>
      <w:r>
        <w:rPr>
          <w:rtl w:val="true"/>
        </w:rPr>
        <w:t>لا معنی لندب الحذر مع قیام المقتضی له</w:t>
      </w:r>
      <w:r>
        <w:rPr>
          <w:rtl w:val="true"/>
        </w:rPr>
        <w:t>]</w:t>
      </w:r>
      <w:bookmarkEnd w:id="7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ردّه صاحب الفصول</w:t>
      </w:r>
      <w:r>
        <w:rPr>
          <w:rStyle w:val="FootnoteAnchor"/>
          <w:rtl w:val="true"/>
        </w:rPr>
        <w:footnoteReference w:id="466"/>
      </w:r>
      <w:r>
        <w:rPr>
          <w:rFonts w:ascii="IRNazanin" w:hAnsi="IRNazanin" w:eastAsia="IRNazanin"/>
          <w:color w:val="111111"/>
          <w:sz w:val="28"/>
          <w:sz w:val="28"/>
          <w:szCs w:val="28"/>
          <w:rtl w:val="true"/>
          <w:lang w:bidi="fa-IR"/>
        </w:rPr>
        <w:t>رحمه اللّه تبعا لسلطان العلماء</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ندب الحذر لا معنی له إذا کان المقتضی موجودا قطعا أو ظنّا، و أمّا مع احتمال وجود المقتضی فربما کان الحذر مندوبا تحفّظا عن إصابة المحذور، کما فی کثیر من المکروهات،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الحذر عن الطهارة بالماء المشمّس مخافة حصول البرص، فالملازمة ممنوعة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عن ردّه صاحب القوانین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استحباب الحذر فی ما ذکر و إن کان معقولا إلّا أنّ استحبابه فی العمل بخبر الواحد علی إطلاقه غیر معقول؛ لأنّ خبر الواحد قد یشتمل علی إیجاب شی‌ء أو تحریمه، و لا یعقل ندبیّة العمل بالواجب أو الحرام، لرجوعه فی الواقع إلی التناقض، أو نقض الغرض، نعم قد یتصوّر ندبیّة العمل بالواجب فی الواجب التخییری، لکن لا یکون إلّا بین أمرین و لیس الأمر الآخر هنا إلّا العمل بالأصل، إذ الکلام فی حجّیة خبر الواحد حیث </w:t>
      </w:r>
      <w:bookmarkStart w:id="727" w:name="pg12850_121418"/>
    </w:p>
    <w:p>
      <w:pPr>
        <w:pStyle w:val="BookText"/>
        <w:rPr/>
      </w:pPr>
      <w:bookmarkEnd w:id="727"/>
      <w:r>
        <w:rPr>
          <w:rFonts w:ascii="IRNazanin" w:hAnsi="IRNazanin" w:eastAsia="IRNazanin"/>
          <w:color w:val="111111"/>
          <w:sz w:val="28"/>
          <w:sz w:val="28"/>
          <w:szCs w:val="28"/>
          <w:rtl w:val="true"/>
          <w:lang w:bidi="fa-IR"/>
        </w:rPr>
        <w:t xml:space="preserve">لا معارض له بالخصوص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جوابه</w:t>
      </w:r>
      <w:r>
        <w:rPr>
          <w:rStyle w:val="FootnoteAnchor"/>
          <w:rtl w:val="true"/>
        </w:rPr>
        <w:footnoteReference w:id="468"/>
      </w:r>
      <w:r>
        <w:rPr>
          <w:rFonts w:ascii="IRNazanin" w:hAnsi="IRNazanin" w:eastAsia="IRNazanin"/>
          <w:color w:val="111111"/>
          <w:sz w:val="28"/>
          <w:sz w:val="28"/>
          <w:szCs w:val="28"/>
          <w:rtl w:val="true"/>
          <w:lang w:bidi="fa-IR"/>
        </w:rPr>
        <w:t>الجمیل و إن لم یخل عن التطویل</w:t>
      </w:r>
      <w:r>
        <w:rPr>
          <w:rFonts w:eastAsia="IRNazanin" w:cs="IRNazanin"/>
          <w:color w:val="111111"/>
          <w:sz w:val="28"/>
          <w:szCs w:val="28"/>
          <w:rtl w:val="true"/>
          <w:lang w:bidi="fa-IR"/>
        </w:rPr>
        <w:t>.</w:t>
      </w:r>
    </w:p>
    <w:p>
      <w:pPr>
        <w:pStyle w:val="Heading5"/>
        <w:numPr>
          <w:ilvl w:val="4"/>
          <w:numId w:val="1"/>
        </w:numPr>
        <w:rPr/>
      </w:pPr>
      <w:bookmarkStart w:id="728" w:name="__RefHeading___Toc2527540_3224264995"/>
      <w:bookmarkStart w:id="729" w:name="_Toc270"/>
      <w:bookmarkEnd w:id="728"/>
      <w:r>
        <w:rPr>
          <w:rtl w:val="true"/>
        </w:rPr>
        <w:t>[</w:t>
      </w:r>
      <w:r>
        <w:rPr>
          <w:rtl w:val="true"/>
        </w:rPr>
        <w:t>محاکمة صاحب الفصول فی ردّه علی صاحب القوانین</w:t>
      </w:r>
      <w:r>
        <w:rPr>
          <w:rtl w:val="true"/>
        </w:rPr>
        <w:t>]</w:t>
      </w:r>
      <w:bookmarkEnd w:id="729"/>
    </w:p>
    <w:p>
      <w:pPr>
        <w:pStyle w:val="BookText"/>
        <w:rPr/>
      </w:pPr>
      <w:r>
        <w:rPr>
          <w:rFonts w:ascii="IRNazanin" w:hAnsi="IRNazanin" w:eastAsia="IRNazanin"/>
          <w:color w:val="111111"/>
          <w:sz w:val="28"/>
          <w:sz w:val="28"/>
          <w:szCs w:val="28"/>
          <w:rtl w:val="true"/>
          <w:lang w:bidi="fa-IR"/>
        </w:rPr>
        <w:t>و أمّا ما أورد علی جوابه الفصول</w:t>
      </w:r>
      <w:r>
        <w:rPr>
          <w:rStyle w:val="FootnoteAnchor"/>
          <w:rtl w:val="true"/>
        </w:rPr>
        <w:footnoteReference w:id="469"/>
      </w:r>
      <w:r>
        <w:rPr>
          <w:rFonts w:ascii="IRNazanin" w:hAnsi="IRNazanin" w:eastAsia="IRNazanin"/>
          <w:color w:val="111111"/>
          <w:sz w:val="28"/>
          <w:sz w:val="28"/>
          <w:szCs w:val="28"/>
          <w:rtl w:val="true"/>
          <w:lang w:bidi="fa-IR"/>
        </w:rPr>
        <w:t>، ففیه ما لا یخفی من الفضول علی کلّ عاقل و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جملة إیراداته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الإیراد علی عدم معقولیة استحباب العمل بالواجب أو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بوقوع نظیر ذلک فی السنن عند من یتسامح فی أدلّتها، إذ کثیرا ما یدلّ الخبر علی وجوب فعل أو ترک، و هم یعملون به علی وجه الاستحباب نظرا إلی قصوره عن إفادة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بابتناء عدم معقولیّة استحباب العمل بالواجب أو الحرام علی اعتبار نیّة الوجه، و التحقیق عدم اعتبارها</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عدم معقولیة استحباب العمل بالواجب أو الحرام لا ربط له باعتبار نیّة الوجه فی وجه من الوجوه، و أنّ عدم معقولیته إنّما هو من جهة استلزامه التناقض، أو الرجوع إلی نقض الغرض، و هذه الملازمة مبنیّة علی کون الآیة مسوقة لإنشاء الحکم الواقعیّ الأولیّ، کما هو الظاهر من ملاحظة مورد الآیة و سیاقها، لا لإنشاء الحکم الظاهریّ الثانویّ، إذ لا تنافی بین استحباب العمل بالواجب أو الحرام فی مرحلة الظاهر الثانویّ الراجع إلی رفع الید عن الواقع الأولیّ، و أین هذا من اعتبار نیّة الوجه؟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نقضه عدم معقولیة استحبابه بوقوع نظیره فی السنن عند من یتسامح فی أدلّتها، کقولهم باستحباب ما تعارض الخبر بوجوبه للخبر بحرمته فمدفوع؛ بخروج ذلک عن محلّ الفرض، و هو العمل بالخبر من باب أنّه خبر، بل إنّما هو من باب التسامح الخاصّ بأدلّة السنن بالدلیل الخاصّ بها، و هو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بلغه </w:t>
      </w:r>
    </w:p>
    <w:p>
      <w:pPr>
        <w:pStyle w:val="BookText"/>
        <w:rPr/>
      </w:pPr>
      <w:r>
        <w:rPr>
          <w:rFonts w:ascii="IRNazanin" w:hAnsi="IRNazanin" w:eastAsia="IRNazanin"/>
          <w:color w:val="111111"/>
          <w:sz w:val="28"/>
          <w:sz w:val="28"/>
          <w:szCs w:val="28"/>
          <w:rtl w:val="true"/>
          <w:lang w:bidi="fa-IR"/>
        </w:rPr>
        <w:t xml:space="preserve">ثواب علی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471"/>
      </w:r>
      <w:r>
        <w:rPr>
          <w:rFonts w:ascii="IRNazanin" w:hAnsi="IRNazanin" w:eastAsia="IRNazanin"/>
          <w:color w:val="111111"/>
          <w:sz w:val="28"/>
          <w:sz w:val="28"/>
          <w:szCs w:val="28"/>
          <w:rtl w:val="true"/>
          <w:lang w:bidi="fa-IR"/>
        </w:rPr>
        <w:t>فهو من نظیر الحکم الظاهریّ الثانویّ الخارج عن محلّ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الإیراد بأنّ ما ذکره من أنّ التخییر فی المسألة الاصولیة راجع إلی التخییر بین اعتقاد الوجوب و عدمه غیر مستقیم، بل راجع إلی التخییر فی البناء علی حجّیة کلّ من الدلیلین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 أیضا وضوح کون المراد من الاعتقاد، الاعتقاد التعبّدی الراجع إلی البناء علی وجود المعتقد، لا الاعتقاد الحقیقی المعتبر فی العقائد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الإیراد بأنّ ما ذکره من أنّ التخییر هنا فی مقام الاختیار، و التخییر بین الخبرین المتعارضین و الفتاوی المتعارضة تخییر عند الاضطرار، فإن أراد أنّ التخییر فی الصورتین إنّما یثبت حال الاضطرار فهو لا ینافی ما ارید بالتنظیر، و إن أراد أنّ التخییر بین الدلیلین لا یکون إلّا عند الاضطرار فهو فی محلّ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هو الشقّ الأول،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ینافی ما ارید بالتنظیر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تنظیر مقام الاختیار بمقام الاضطرار، نظرا إلی أنّ التشبیه لا یستدعی مساواة المشبّه للمشبّه به من جمیع الجهات، بل قد یخالفه فی کثیر من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 عدم لزوم المساواة بینهما إنّما هو فی الجهات الخارجیة عن المدخلیّة فی الحکم المنظور من التشبیه، و أمّا فی الجهة التی لها مدخلیة فی الحکم المنظور، فلا بدّ من المساواة، و من المعلوم أنّ الاضطراریة فی ما نحن فیه من عهدة جهات إمکان تشریع الحکم باستحباب العمل بالواجب فی مرحلة الظاهر، و عدمها من عهدة جهات عدم إمکانه، فکیف لا ینافی ما ارید بالتنظیر؟</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الإیراد بأنّ ما ذکره من أنّ الاستحباب یجتمع مع الوجوب التخییری، قد أوضحنا فساده فی بعض مباحث النهی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الواضح أنّ مقصوده من الاستحباب المجتمع مع الوجوب التخییری، الاستحباب الصالح للجمع مع الوجوب التخییری، کلّ علی مذهبه، فمن ذهب إلی جواز اجتماع الأمر و النهی فهو أراد به الاستحباب المصطلح، و من منعه أوّل الاستحباب بأکثریّة الثواب، و لا داعی فی المقام لإرادته خصوص الاستحباب المصطلح حتی یندفع بفساده علی مذهب المانعین من اجتماع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ممّا ذکرنا اندفاع جمیع ما أورده الفصول علی صاحب القوانین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غایة ما یورد علیه هو عدم الحاجة فی الجواب عن السلطان إلی ذلک التطویل و التفصیل، بما لم یحتمله أحد من وجوب العمل بخبر الواحد علی سبیل التخییر بینه و بین العمل بالأصل، بل کان یکفیه الجواب عن المورد بأنّ المقتضی قد یکون محتمل الوقوع، فیحسن الحذر عنه بمجرّد استظهاره کون الآیة</w:t>
      </w:r>
      <w:r>
        <w:rPr>
          <w:rStyle w:val="FootnoteAnchor"/>
          <w:rtl w:val="true"/>
        </w:rPr>
        <w:footnoteReference w:id="472"/>
      </w:r>
      <w:r>
        <w:rPr>
          <w:rFonts w:ascii="IRNazanin" w:hAnsi="IRNazanin" w:eastAsia="IRNazanin"/>
          <w:color w:val="111111"/>
          <w:sz w:val="28"/>
          <w:sz w:val="28"/>
          <w:szCs w:val="28"/>
          <w:rtl w:val="true"/>
          <w:lang w:bidi="fa-IR"/>
        </w:rPr>
        <w:t>بمعونة السیاق و المقام مسوقة لإنشاء الحکم الواقعیّ الأولیّ حین حضور الشارع، و لا یتوسّط احتمال وجود المقتضی بین وجوده و عدمه فی مرحلة الواقع الأوّلیّ، و لیست مسوقة لإنشاء الحکم الظاهریّ الثانویّ فی حقّ المضطرّ عن الوصول إلی الحکم الواقعیّ الأولیّ، حتی یتعقّل وساطة احتمال وجود المقتضی بین الوجود و العدم بالنسبة إلیه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فتلخّص ممّا ذکرنا صحّة توجیه الاستدلال بالآیة علی وجوب الحذر و حجّیة خبر الواحد، بأنّه لا معنی لاستحباب الحذر، و أنّ استحبابه بالنسبة إلی مرحلة الواقع یستلزم التناقض بین وجوب الشی‌ء واقعا و استحباب العمل به، أو الرجوع إلی نقض الغرض المحالین علیه تعالی؛ لأنّ استحباب الواجب فی الواقع </w:t>
      </w:r>
      <w:bookmarkStart w:id="730" w:name="pg12850_121421"/>
    </w:p>
    <w:p>
      <w:pPr>
        <w:pStyle w:val="BookText"/>
        <w:rPr/>
      </w:pPr>
      <w:bookmarkEnd w:id="730"/>
      <w:r>
        <w:rPr>
          <w:rFonts w:ascii="IRNazanin" w:hAnsi="IRNazanin" w:eastAsia="IRNazanin"/>
          <w:color w:val="111111"/>
          <w:sz w:val="28"/>
          <w:sz w:val="28"/>
          <w:szCs w:val="28"/>
          <w:rtl w:val="true"/>
          <w:lang w:bidi="fa-IR"/>
        </w:rPr>
        <w:t>إن کان مع بقاء الواجب علی صفة الوجوب فی الواقع کان تناقضا و أمرا باجتماع الضدّین، و إلّا کان نقضا للغرض المنظور من الواجب، فاستحباب الواجب لا یتصوّر إلّا فی مرحلة الظاهر و الاضطرار الآبی عند سیاق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استحباب الحذر بخبر الواحد علی إطلاقه غیر معقول لأنّ خبر الواحد قد یشتمل علی إیجاب شی‌ء أو تحریمه، کذلک وجوب الحذر به علی إطلاقه غیر معقول؛ لأنّ خبر الواحد قد یشتمل علی استحباب شی‌ء أو کراهیته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القیاس مع الفارق، فإنّ المراد من وجوب الحذر وجوب العمل علی حسب الإنذار و مضمون المنذر به إن واجبا فواجب، و إن ندبا فندب، لا وجوب العمل بالمنذر به کیف ما کان کما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قبیل الفائدة لا الغایة</w:t>
      </w:r>
      <w:r>
        <w:rPr>
          <w:rFonts w:eastAsia="IRNazanin" w:cs="IRNazanin"/>
          <w:color w:val="111111"/>
          <w:sz w:val="28"/>
          <w:szCs w:val="28"/>
          <w:rtl w:val="true"/>
          <w:lang w:bidi="fa-IR"/>
        </w:rPr>
        <w:t>».</w:t>
      </w:r>
    </w:p>
    <w:p>
      <w:pPr>
        <w:pStyle w:val="Heading5"/>
        <w:numPr>
          <w:ilvl w:val="4"/>
          <w:numId w:val="1"/>
        </w:numPr>
        <w:rPr/>
      </w:pPr>
      <w:bookmarkStart w:id="731" w:name="__RefHeading___Toc2527542_3224264995"/>
      <w:bookmarkStart w:id="732" w:name="_Toc271"/>
      <w:bookmarkEnd w:id="731"/>
      <w:r>
        <w:rPr>
          <w:rtl w:val="true"/>
        </w:rPr>
        <w:t>[</w:t>
      </w:r>
      <w:r>
        <w:rPr>
          <w:rtl w:val="true"/>
        </w:rPr>
        <w:t>الفرق بین الفائدة و الغایة</w:t>
      </w:r>
      <w:r>
        <w:rPr>
          <w:rtl w:val="true"/>
        </w:rPr>
        <w:t>]</w:t>
      </w:r>
      <w:bookmarkEnd w:id="7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أنّ الفائدة للشی‌ء من لوازمه القهریّة المترتّبة علیه، و الغایة من لوازمه المقصودة من إیجاد ذلک الشی‌ء ترتّبه علیه، سواء کان من لوازمه القهریّة أیضا أم لا؟ فغایة الشی‌ء و إن شارکت الفائدة فی کون ذلک الشی‌ء علّة وجود کلّ منهما إلّا أنّها تفارقها فی کون الغایة علّة لإیجاد الشی‌ء دون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لإیجاب أصل النفور</w:t>
      </w:r>
      <w:r>
        <w:rPr>
          <w:rFonts w:eastAsia="IRNazanin" w:cs="IRNazanin"/>
          <w:color w:val="111111"/>
          <w:sz w:val="28"/>
          <w:szCs w:val="28"/>
          <w:rtl w:val="true"/>
          <w:lang w:bidi="fa-IR"/>
        </w:rPr>
        <w:t>».</w:t>
      </w:r>
    </w:p>
    <w:p>
      <w:pPr>
        <w:pStyle w:val="Heading5"/>
        <w:numPr>
          <w:ilvl w:val="4"/>
          <w:numId w:val="1"/>
        </w:numPr>
        <w:rPr/>
      </w:pPr>
      <w:bookmarkStart w:id="733" w:name="__RefHeading___Toc2527544_3224264995"/>
      <w:bookmarkStart w:id="734" w:name="_Toc272"/>
      <w:bookmarkEnd w:id="733"/>
      <w:r>
        <w:rPr>
          <w:rtl w:val="true"/>
        </w:rPr>
        <w:t>[</w:t>
      </w:r>
      <w:r>
        <w:rPr>
          <w:rtl w:val="true"/>
        </w:rPr>
        <w:t>تحقیق فی دلالة آیة النفر</w:t>
      </w:r>
      <w:r>
        <w:rPr>
          <w:rtl w:val="true"/>
        </w:rPr>
        <w:t>]</w:t>
      </w:r>
      <w:bookmarkEnd w:id="7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یکن التفقه غایة لإیجاب أصل النفر خاصّة لم یکن إرادة النفر إلی الجهاد من الآیة منافیا لکون التفقّه غایة لإیجاب النفر علی طائفة من کلّ قوم؛ إذ لا منافاة فی أن یکون الفعل الواحد کالنفر علّة وجود معلولات عدیدة کالجهاد و التفقّه، و کون کلّ من المعلولین غایة لإیجاد فعل واحد، و علی ذلک یکون النفر واجبا لغایتین أحدهما الجهاد، و الاخری التفقّه لا للجهاد خاصّة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سلّمنا کون نفر الفرقة النافرة لأجل الجهاد خاصّة إلّا أنّ لنا أن نقول </w:t>
      </w:r>
      <w:bookmarkStart w:id="735" w:name="pg12850_121422"/>
    </w:p>
    <w:p>
      <w:pPr>
        <w:pStyle w:val="BookText"/>
        <w:rPr/>
      </w:pPr>
      <w:bookmarkEnd w:id="735"/>
      <w:r>
        <w:rPr>
          <w:rFonts w:ascii="IRNazanin" w:hAnsi="IRNazanin" w:eastAsia="IRNazanin"/>
          <w:color w:val="111111"/>
          <w:sz w:val="28"/>
          <w:sz w:val="28"/>
          <w:szCs w:val="28"/>
          <w:rtl w:val="true"/>
          <w:lang w:bidi="fa-IR"/>
        </w:rPr>
        <w:t>بأنّ تخلّف الفرقة الباقیة عند النبی صلّی اللّه علیه و آله لأجل التفقه و انذار الراجعین من النفر، کما فی بعض التفاسیر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منع دلالة صدر الآیة علی کون المراد النفر إلی الجهاد، و ذکر الآیة فی آیات الجهاد لا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سلّمنا أیضا دلالته علی ذلک إلّا أنّ لنا ما یوجب صرفها عن ذلک و تعیین حملها علی وجوب التفقه و الإنذار و إن لزم مخالفة الظاهر فی سیاقها أو بعض ألفاظها، و ذلک الصارف هو استدلال الأصحاب بها علی وجوب التفقه بناء علی جابریّة الشهرة الدلالة، و استشهاد الإمام علیه السّلام بها علی وجوبه فی عدّة أخبار کثیرة بناء علی تواتر تلک الأخبار، أو احتفافها بالقرائن العلمیّة و لو من جهة تراکم الظنون المتکاثرة بصدورها، کصحّة أکثرها، و وجودها فی مثل الکافی</w:t>
      </w:r>
      <w:r>
        <w:rPr>
          <w:rStyle w:val="FootnoteAnchor"/>
          <w:rtl w:val="true"/>
        </w:rPr>
        <w:footnoteReference w:id="473"/>
      </w:r>
      <w:r>
        <w:rPr>
          <w:rFonts w:ascii="IRNazanin" w:hAnsi="IRNazanin" w:eastAsia="IRNazanin"/>
          <w:color w:val="111111"/>
          <w:sz w:val="28"/>
          <w:sz w:val="28"/>
          <w:szCs w:val="28"/>
          <w:rtl w:val="true"/>
          <w:lang w:bidi="fa-IR"/>
        </w:rPr>
        <w:t>و العلل</w:t>
      </w:r>
      <w:r>
        <w:rPr>
          <w:rStyle w:val="FootnoteAnchor"/>
          <w:rtl w:val="true"/>
        </w:rPr>
        <w:footnoteReference w:id="474"/>
      </w:r>
      <w:r>
        <w:rPr>
          <w:rFonts w:ascii="IRNazanin" w:hAnsi="IRNazanin" w:eastAsia="IRNazanin"/>
          <w:color w:val="111111"/>
          <w:sz w:val="28"/>
          <w:sz w:val="28"/>
          <w:szCs w:val="28"/>
          <w:rtl w:val="true"/>
          <w:lang w:bidi="fa-IR"/>
        </w:rPr>
        <w:t>و نحوهما من الکتب الصحیحة</w:t>
      </w:r>
      <w:r>
        <w:rPr>
          <w:rStyle w:val="FootnoteAnchor"/>
          <w:rtl w:val="true"/>
        </w:rPr>
        <w:footnoteReference w:id="475"/>
      </w:r>
      <w:r>
        <w:rPr>
          <w:rFonts w:ascii="IRNazanin" w:hAnsi="IRNazanin" w:eastAsia="IRNazanin"/>
          <w:color w:val="111111"/>
          <w:sz w:val="28"/>
          <w:sz w:val="28"/>
          <w:szCs w:val="28"/>
          <w:rtl w:val="true"/>
          <w:lang w:bidi="fa-IR"/>
        </w:rPr>
        <w:t>المعتبرة إن لم تکن قطعیّة الصدور، و خلوّها عن دواعی الکذب و الجعل العقلائیة، فإنّ مجرّد عدم الداعی العقلائی للکذب ممّا قد یوجب القطع بعدم الکذب، کما لا یخفی</w:t>
      </w:r>
      <w:r>
        <w:rPr>
          <w:rFonts w:eastAsia="IRNazanin" w:cs="IRNazanin"/>
          <w:color w:val="111111"/>
          <w:sz w:val="28"/>
          <w:szCs w:val="28"/>
          <w:rtl w:val="true"/>
          <w:lang w:bidi="fa-IR"/>
        </w:rPr>
        <w:t>.</w:t>
      </w:r>
    </w:p>
    <w:p>
      <w:pPr>
        <w:pStyle w:val="Heading5"/>
        <w:numPr>
          <w:ilvl w:val="4"/>
          <w:numId w:val="1"/>
        </w:numPr>
        <w:rPr/>
      </w:pPr>
      <w:bookmarkStart w:id="736" w:name="__RefHeading___Toc2527546_3224264995"/>
      <w:bookmarkStart w:id="737" w:name="_Toc273"/>
      <w:bookmarkEnd w:id="736"/>
      <w:r>
        <w:rPr>
          <w:rtl w:val="true"/>
        </w:rPr>
        <w:t>[</w:t>
      </w:r>
      <w:r>
        <w:rPr>
          <w:rtl w:val="true"/>
        </w:rPr>
        <w:t>دفع الأوهام عن دلالة آیة النفر</w:t>
      </w:r>
      <w:r>
        <w:rPr>
          <w:rtl w:val="true"/>
        </w:rPr>
        <w:t>]</w:t>
      </w:r>
      <w:bookmarkEnd w:id="737"/>
    </w:p>
    <w:p>
      <w:pPr>
        <w:pStyle w:val="BookText"/>
        <w:rPr/>
      </w:pPr>
      <w:r>
        <w:rPr>
          <w:rFonts w:ascii="IRNazanin" w:hAnsi="IRNazanin" w:eastAsia="IRNazanin"/>
          <w:color w:val="111111"/>
          <w:sz w:val="28"/>
          <w:sz w:val="28"/>
          <w:szCs w:val="28"/>
          <w:rtl w:val="true"/>
          <w:lang w:bidi="fa-IR"/>
        </w:rPr>
        <w:t>و إذ قد عرفت توجیه الاستدلال بالآیة الشریفة و وجاهته فلنرجع إلی دفع موهمات الموردین علیها، و هی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بعض الفضلاء من الإیراد علیها بأنّ الظاهر من الطائفة لا أقلّ الجماعة، و هو إن لم یختص بالمتواتر فلا أقلّ من اختصاصه بالمستفیض، فلا یدلّ علی قبول مطلق الخبر</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ظهور الطائفة فی الجماعة؛ لأنّ الظاهر بل </w:t>
      </w:r>
    </w:p>
    <w:p>
      <w:pPr>
        <w:pStyle w:val="BookText"/>
        <w:rPr/>
      </w:pPr>
      <w:r>
        <w:rPr>
          <w:rFonts w:ascii="IRNazanin" w:hAnsi="IRNazanin" w:eastAsia="IRNazanin"/>
          <w:color w:val="111111"/>
          <w:sz w:val="28"/>
          <w:sz w:val="28"/>
          <w:szCs w:val="28"/>
          <w:rtl w:val="true"/>
          <w:lang w:bidi="fa-IR"/>
        </w:rPr>
        <w:t>المصرّح به فی القاموس</w:t>
      </w:r>
      <w:r>
        <w:rPr>
          <w:rStyle w:val="FootnoteAnchor"/>
          <w:rtl w:val="true"/>
        </w:rPr>
        <w:footnoteReference w:id="476"/>
      </w:r>
      <w:r>
        <w:rPr>
          <w:rFonts w:ascii="IRNazanin" w:hAnsi="IRNazanin" w:eastAsia="IRNazanin"/>
          <w:color w:val="111111"/>
          <w:sz w:val="28"/>
          <w:sz w:val="28"/>
          <w:szCs w:val="28"/>
          <w:rtl w:val="true"/>
          <w:lang w:bidi="fa-IR"/>
        </w:rPr>
        <w:t>و المجمع</w:t>
      </w:r>
      <w:r>
        <w:rPr>
          <w:rStyle w:val="FootnoteAnchor"/>
          <w:rtl w:val="true"/>
        </w:rPr>
        <w:footnoteReference w:id="477"/>
      </w:r>
      <w:r>
        <w:rPr>
          <w:rFonts w:ascii="IRNazanin" w:hAnsi="IRNazanin" w:eastAsia="IRNazanin"/>
          <w:color w:val="111111"/>
          <w:sz w:val="28"/>
          <w:sz w:val="28"/>
          <w:szCs w:val="28"/>
          <w:rtl w:val="true"/>
          <w:lang w:bidi="fa-IR"/>
        </w:rPr>
        <w:t>و غیرها من کتب اللغة هو تفسیر الطائفة من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بقطعه منه، و بجواز أن یقال للواحد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و عن ابن عباس أیضا تفسیر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بالواحد فما فوق</w:t>
      </w:r>
      <w:r>
        <w:rPr>
          <w:rStyle w:val="FootnoteAnchor"/>
          <w:rtl w:val="true"/>
        </w:rPr>
        <w:footnoteReference w:id="478"/>
      </w:r>
      <w:r>
        <w:rPr>
          <w:rFonts w:ascii="Amiri" w:hAnsi="Amiri" w:eastAsia="Amiri" w:cs="Amiri"/>
          <w:color w:val="111111"/>
          <w:sz w:val="28"/>
          <w:sz w:val="28"/>
          <w:szCs w:val="28"/>
          <w:rtl w:val="true"/>
          <w:lang w:bidi="ar-SA"/>
        </w:rPr>
        <w:t>، و عن العلّامة</w:t>
      </w:r>
      <w:r>
        <w:rPr>
          <w:rStyle w:val="FootnoteAnchor"/>
          <w:rtl w:val="true"/>
        </w:rPr>
        <w:footnoteReference w:id="479"/>
      </w:r>
      <w:r>
        <w:rPr>
          <w:rFonts w:ascii="Amiri" w:hAnsi="Amiri" w:eastAsia="Amiri" w:cs="Amiri"/>
          <w:color w:val="111111"/>
          <w:sz w:val="28"/>
          <w:sz w:val="28"/>
          <w:szCs w:val="28"/>
          <w:rtl w:val="true"/>
          <w:lang w:bidi="ar-SA"/>
        </w:rPr>
        <w:t>و الشیخ فی التهذیب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لْیَشْهَدْ عَذابَهُما طائِفَةٌ</w:t>
      </w:r>
      <w:r>
        <w:rPr>
          <w:rStyle w:val="FootnoteAnchor"/>
          <w:rtl w:val="true"/>
        </w:rPr>
        <w:footnoteReference w:id="480"/>
      </w:r>
      <w:r>
        <w:rPr>
          <w:rFonts w:ascii="Amiri" w:hAnsi="Amiri" w:eastAsia="Amiri" w:cs="Amiri"/>
          <w:color w:val="111111"/>
          <w:sz w:val="28"/>
          <w:sz w:val="28"/>
          <w:szCs w:val="28"/>
          <w:rtl w:val="true"/>
          <w:lang w:bidi="ar-SA"/>
        </w:rPr>
        <w:t>بأنّ أقلّه الواحد</w:t>
      </w:r>
      <w:r>
        <w:rPr>
          <w:rStyle w:val="FootnoteAnchor"/>
          <w:rtl w:val="true"/>
        </w:rPr>
        <w:footnoteReference w:id="481"/>
      </w:r>
      <w:r>
        <w:rPr>
          <w:rFonts w:ascii="IRNazanin" w:hAnsi="IRNazanin" w:eastAsia="IRNazanin"/>
          <w:color w:val="111111"/>
          <w:sz w:val="28"/>
          <w:sz w:val="28"/>
          <w:szCs w:val="28"/>
          <w:rtl w:val="true"/>
          <w:lang w:bidi="fa-IR"/>
        </w:rPr>
        <w:t>، بل حکی الإجماع علیه من بعض الفقهاء و إن خالفه بعض آخر فی اعتبار کون أقلّه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ظهوره عرفا فی الجماعة، إلّا أنّ مقتضی أصالة تأخیر الحادث، و مقتضی عدم إثباته فی کتب أهل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شأنهم الاستقراء و التتبّع فی موارد عرفهم مستقصیا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تأخّر ذلک العرف عن عرف زمان رسم الکتب اللغویة فضلا عن عرف زمان الشارع، و من المعلوم تقدیم اللغة علی العرف المتأخّر حدوثه بعد زمان الخطاب،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 مِنْ رَسُولٍ إِلَّا بِلِسانِ قَوْمِهِ</w:t>
      </w:r>
      <w:r>
        <w:rPr>
          <w:rStyle w:val="FootnoteAnchor"/>
          <w:rtl w:val="true"/>
        </w:rPr>
        <w:footnoteReference w:id="482"/>
      </w:r>
      <w:r>
        <w:rPr>
          <w:rFonts w:ascii="IRNazanin" w:hAnsi="IRNazanin" w:eastAsia="IRNazanin"/>
          <w:color w:val="111111"/>
          <w:sz w:val="28"/>
          <w:sz w:val="28"/>
          <w:szCs w:val="28"/>
          <w:rtl w:val="true"/>
          <w:lang w:bidi="fa-IR"/>
        </w:rPr>
        <w:t>و أمّا النزاع فی تقدیم العرف علی اللغة عند التعارض فإنّما هو نزاع صغرویّ راجع إلی النزاع فی کون المتداول فی زمان الخطاب هل هو العرف أو اللغة؟ و إلّا فبعد تشخیص کون المتداول فی زمان الخطاب أیّهما و لو بالأصل لا نزاع فی تقدّمه علی غیره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ظهور الطائفة عرفا فی الجماعة، و سلّمنا تقدّم هذا العرف علی اللغة إلّا أنّه یتمّ الاستدلال بضمیمة الإجماع المرکّب، و عدم القول بالفصل بین أن یبلغ خبر الواحد حدّ الثلاثة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دعوی اختصاصه بصورة ما إذا أفاد </w:t>
      </w:r>
    </w:p>
    <w:p>
      <w:pPr>
        <w:pStyle w:val="BookText"/>
        <w:rPr/>
      </w:pP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المخصّص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للإطلاق علی الفرد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تلک الإیرادات إیرادات انتخبها الماتن</w:t>
      </w:r>
      <w:r>
        <w:rPr>
          <w:rStyle w:val="FootnoteAnchor"/>
          <w:rtl w:val="true"/>
        </w:rPr>
        <w:footnoteReference w:id="483"/>
      </w:r>
      <w:r>
        <w:rPr>
          <w:rFonts w:ascii="IRNazanin" w:hAnsi="IRNazanin" w:eastAsia="IRNazanin"/>
          <w:color w:val="111111"/>
          <w:sz w:val="28"/>
          <w:sz w:val="28"/>
          <w:szCs w:val="28"/>
          <w:rtl w:val="true"/>
          <w:lang w:bidi="fa-IR"/>
        </w:rPr>
        <w:t>من بین الإیرادات و استقرب ورودها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تقریرها علی الوجه الجامع لها و لغیرها من باقی الإیرادات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الإنذار منصرف إلی الإنذار بالاصول الدینیة المعروفة کونها من الدین ضرورة، أو إجماعا، أو تسالما، کإنذار الوعّاظ و الآمرون بالمعروف و الناهون عن المنکر، لیکون مفاد الآیة مؤکّدا لمفاد أدلّة وجوب الأمر بالمعروف و النهی عن المنکر، و أدلّة وجوب قبول المعروف و ترک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إلی الإنذار بالأحکام الفرعیّة الاجتهادیّة المستندة إلی اجتهاد المنذر و إن کان فی التأدیة بلسان الأخبار، إلّا أنّه فی الاعتقاد بلسان الواقع، و المطلوب منه الواقع لیکون مفادها مؤکّدا لمفاد أدلّة وجوب الاجتهاد علی الناس بالکفایة، و وجوب التقلید علی العوام بالتعیین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إلی خصوص ما إذا علم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إلی کون الغالب فی عصر المعصوم تعدّد النافرین إلی الحجّ أو الجهاد المتفقّهین من حضور خدمة المعصوم علیه السّلام علی وجه یفید تعدّدهم، العلم بصدقهم غالبا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أنّ الحذر المطلوب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یَحْذَرُونَ</w:t>
      </w:r>
      <w:r>
        <w:rPr>
          <w:rStyle w:val="FootnoteAnchor"/>
          <w:rtl w:val="true"/>
        </w:rPr>
        <w:footnoteReference w:id="484"/>
      </w:r>
      <w:r>
        <w:rPr>
          <w:rFonts w:ascii="IRNazanin" w:hAnsi="IRNazanin" w:eastAsia="IRNazanin"/>
          <w:color w:val="111111"/>
          <w:sz w:val="28"/>
          <w:sz w:val="28"/>
          <w:szCs w:val="28"/>
          <w:rtl w:val="true"/>
          <w:lang w:bidi="fa-IR"/>
        </w:rPr>
        <w:t xml:space="preserve">منصرف إلی مطلوبیّة الاحتیاط و التوقّف فی ما انذروا به، لیکون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لعلّهم یحتاطون فی ما انذروا به، فیکون مفاده مفاد أدلّة حسن الاحتیاط، و وجوبه عقلا فی دفع الضّرر المظنون، لا مفاد أدلّة حجّیة الخبر المظنون مطلقا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إلی صورة ما إذا تفحّص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المعارض و المخالف لإنذار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یجد، لا إلی وجوب قبول الإنذار مطلقا و لو لم </w:t>
      </w:r>
      <w:bookmarkStart w:id="738" w:name="pg12850_121425"/>
    </w:p>
    <w:p>
      <w:pPr>
        <w:pStyle w:val="BookText"/>
        <w:rPr/>
      </w:pPr>
      <w:bookmarkEnd w:id="738"/>
      <w:r>
        <w:rPr>
          <w:rFonts w:ascii="IRNazanin" w:hAnsi="IRNazanin" w:eastAsia="IRNazanin"/>
          <w:color w:val="111111"/>
          <w:sz w:val="28"/>
          <w:sz w:val="28"/>
          <w:szCs w:val="28"/>
          <w:rtl w:val="true"/>
          <w:lang w:bidi="fa-IR"/>
        </w:rPr>
        <w:t>یتفحّص؛ نظرا إلی وجوب التفحّص من المعارض لخبر العدل فی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إلی صورة الإخبار عن الموضوعات الخارجیة فإنّها هی التی لا یجب التفحّص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إلی صورة ما إذا کان الإنذار إخبارا بلا واسطة، لا إخبارا مع الواسطة، کإخبار ما نحن فیه من الروایات المأثورة من الأئمة علیهم السّلام، لعدم انفکاک شی‌ء منها عن الوسائط العدیدة بالنسبة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انصراف الآیة إلی کلّ من المحامل السبعة المذکورة لا یخلو المدّعی عن کونه إمّا انصرافا یورث إجمال الظاهر، و عدم بیان ظهوره، و هو المسمّی بالمضرّ الإجمالی فی لسان المتأخّرین، و إمّا انصرافا یورث نقل الظاهر إلی المنصرف إلیه، و بیان عدم ظهوره فی المنصرف عنه، و هو المسمّی بمبیّن العدم فی لسان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الانصراف البدویّ فلا یؤثّر ضررا فی ظهور الظاهر، بل هو زائل بأدنی تأمّل و التفات، فلا یدّعیه المدّعی لانصراف الآیة عن ظاهرها</w:t>
      </w:r>
      <w:r>
        <w:rPr>
          <w:rFonts w:eastAsia="IRNazanin" w:cs="IRNazanin"/>
          <w:color w:val="111111"/>
          <w:sz w:val="28"/>
          <w:szCs w:val="28"/>
          <w:rtl w:val="true"/>
          <w:lang w:bidi="fa-IR"/>
        </w:rPr>
        <w:t>.</w:t>
      </w:r>
    </w:p>
    <w:p>
      <w:pPr>
        <w:pStyle w:val="Heading5"/>
        <w:numPr>
          <w:ilvl w:val="4"/>
          <w:numId w:val="1"/>
        </w:numPr>
        <w:rPr/>
      </w:pPr>
      <w:bookmarkStart w:id="739" w:name="__RefHeading___Toc2527548_3224264995"/>
      <w:bookmarkStart w:id="740" w:name="_Toc274"/>
      <w:bookmarkEnd w:id="739"/>
      <w:r>
        <w:rPr>
          <w:rtl w:val="true"/>
        </w:rPr>
        <w:t>[</w:t>
      </w:r>
      <w:r>
        <w:rPr>
          <w:rtl w:val="true"/>
        </w:rPr>
        <w:t>اشارة إلی الصور المحتملة فی معنی حجّیة الخبر</w:t>
      </w:r>
      <w:r>
        <w:rPr>
          <w:rtl w:val="true"/>
        </w:rPr>
        <w:t>]</w:t>
      </w:r>
      <w:bookmarkEnd w:id="740"/>
    </w:p>
    <w:p>
      <w:pPr>
        <w:pStyle w:val="BookText"/>
        <w:rPr/>
      </w:pPr>
      <w:r>
        <w:rPr>
          <w:rFonts w:ascii="IRNazanin" w:hAnsi="IRNazanin" w:eastAsia="IRNazanin"/>
          <w:color w:val="111111"/>
          <w:sz w:val="28"/>
          <w:sz w:val="28"/>
          <w:szCs w:val="28"/>
          <w:rtl w:val="true"/>
          <w:lang w:bidi="fa-IR"/>
        </w:rPr>
        <w:t>و قد یوجّه ورود هذا الإیراد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إشکال فی أنّ حجّیة الخبر و تصدیق مخبره یتصوّر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حجّیته و وجوب تصدیق مخبره من جهة کونه آمرا بالمعروف و ناهیا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حجّیته و وجوب تصدیق مخبره من جهة کونه مجتهدا مخبرا عن إدراکه الخبر بحدسه و فهمه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حجّیته و وجوب تصدیق مخبره من جهة کونه حاکیا لألفاظ المعصوم علیه السّلام و مخبرا عن إدراکه الخبر بحسّه و سماعه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ریب أیضا فی أنّ هذه الجهات فی الخبر بحسب المفهوم جهات و اعتبارات متغایرة متباینة و إن کان بحسب المورد بینها عموم من وجه، فقد یجتمعن فی مورد واحد، و قد یفترقن، کما أنّها قد یتساویین فی الحکم بالحجّیة أو عدمها، و قد یتخالفن فی ذلک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أیضا فی حجّیة الخبر من الجهة الاولی علی المجتهد و المقلّد، و لا فی حجّیته من الجهة الثانیة علی المقلّد دون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الإشکال و الخلاف فی حجّیته من الجهة الثالثة علی المجتهد و المقلّد، و الآیة علی تقدیر تسلیم دلالتها علی حجّیة الخبر منصرفة إلی حجّیته من الجهة الاولی دون الأخیرتین، أو من الجهة الثانیة دون الاولی و الثالثة، أو من الجهتین الاولیتین دون الأخیرة علی الوجه المضرّ الإجمالی، أو المبیّن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دلالتها علی حجّیته من الجهة الأخیرة أیضا إلّا أنّه منصرف أیضا إلی إرادة الاحتیاط من الحذر، أو إلی صورة ما إذا استفید العلم من الخبر، أو إلی صورة ما إذا تفحّص عن المعارض، أو إلی صورة ما إذا تعلّق الإخبار بالموضوعات الخارجیة، أو إلی صورة ما إذا کان الخبر بلا واسطة، أو إلی صورة ما لو لم تختص الخطابات الشفاهیّة بالحاضرین، أو إلی صورة ما لو لم یجب التفحّص عن المعارض للخبر، بأن کان اعتباره من باب الموضوعیّة و التعبّد الصرف، أو إلی صورة ما لو لم یعارض دلالتها علی حجّیة الخبر بدلالة الآیات الناهیة عن العمل بالظنّ، أو بتعلیل آیة النبأ</w:t>
      </w:r>
      <w:r>
        <w:rPr>
          <w:rStyle w:val="FootnoteAnchor"/>
          <w:rtl w:val="true"/>
        </w:rPr>
        <w:footnoteReference w:id="485"/>
      </w:r>
      <w:r>
        <w:rPr>
          <w:rFonts w:ascii="IRNazanin" w:hAnsi="IRNazanin" w:eastAsia="IRNazanin"/>
          <w:color w:val="111111"/>
          <w:sz w:val="28"/>
          <w:sz w:val="28"/>
          <w:szCs w:val="28"/>
          <w:rtl w:val="true"/>
          <w:lang w:bidi="fa-IR"/>
        </w:rPr>
        <w:t>، أو بما یلزم من وجوده عدمه، إلی غیر ذلک ممّا قد مرّ الإیراد به علی آیة النبأ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غایة توجیه إیراد المورد و تفصیله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یقرّر بتقریر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دعوی أنّ دلالة الآیة علی المطلوب یتوقّف </w:t>
      </w:r>
    </w:p>
    <w:p>
      <w:pPr>
        <w:pStyle w:val="BookText"/>
        <w:rPr/>
      </w:pPr>
      <w:r>
        <w:rPr>
          <w:rFonts w:ascii="IRNazanin" w:hAnsi="IRNazanin" w:eastAsia="IRNazanin"/>
          <w:color w:val="111111"/>
          <w:sz w:val="28"/>
          <w:sz w:val="28"/>
          <w:szCs w:val="28"/>
          <w:rtl w:val="true"/>
          <w:lang w:bidi="fa-IR"/>
        </w:rPr>
        <w:t>أولا علی إحراز کون الآیة مسوقة لبیان تکلیفین، تکلیف للمنذر بالإنذار، و تکلیف للمنذر بالقبول، و لم تحرز هذه المقدّمة؛ لاحتمال کونها مسوقة لبیان مجرّد مطلوبیة الإنذار بما یتفقّهون و سکوته عن بیان مطلوبیّة العمل من المنذرین بما انذروا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یتوقّف علی إحراز کونها مسوقة لبیان حجّیة الخبر من جهة الخبریة، و لم تحرز أیضا هذه المقدّمة؛ لاحتمال انصراف الإنذار إلی حجّیة الإنذار من إحدی الجهتین الاخریین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یتوقّف أیضا علی إحراز کونها مسوقة لبیان حجّیة مطلق الخبر من جهة الخبریّة، دون حجّیته من جهة الخبریّة فی الجملة المحتمل انصرافه إلی أحد الصور المتقدّمة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فهذا الإیراد بجمیع تفاصیله و تقاریره و توجیهاته مدفوع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منع دلالة الآیة علی حجّیة الخبر من جهة کونه مخبرا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انصرافها إلی إرادة بیان حجّیته من جهة کونه آمرا بالمعروف المختصّ بالإنذار بأصول الدین، أو من جهة کونه مفتیا عن الاجتهاد الخاصّ حجّیته بالمقلّدین، أو إلی غیر ذلک ممّا تقدّم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 فهم العرف من حجّیة الخبر تعدّدها بالاعتبارات و الجهات فضلا عن تخصیص حکمه بجهة منها دون جهة؛ بل فهم تعدّد الجهات و الاعتبارات المذکورة منه إنّما هو من خصائص الحکمة و دقائق العقل، الغیر المبتنی علیها أحکام الشرع</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فهم مشهور العلماء المستدلّین بالآیة کاف فی منع انصرافها و بقاء صدق إطلاقها علی کلّ من الاصول و الفروع بناء علی جابریة الشهرة الدلالة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استشهاد الأئمة بها علی وجوب التفقه فی الاصول فی عدّة من الأخبار</w:t>
      </w:r>
      <w:r>
        <w:rPr>
          <w:rStyle w:val="FootnoteAnchor"/>
          <w:rtl w:val="true"/>
        </w:rPr>
        <w:footnoteReference w:id="486"/>
      </w:r>
      <w:r>
        <w:rPr>
          <w:rFonts w:ascii="IRNazanin" w:hAnsi="IRNazanin" w:eastAsia="IRNazanin"/>
          <w:color w:val="111111"/>
          <w:sz w:val="28"/>
          <w:sz w:val="28"/>
          <w:szCs w:val="28"/>
          <w:rtl w:val="true"/>
          <w:lang w:bidi="fa-IR"/>
        </w:rPr>
        <w:t>، و فی الفروع فی عدّة اخری</w:t>
      </w:r>
      <w:r>
        <w:rPr>
          <w:rStyle w:val="FootnoteAnchor"/>
          <w:rtl w:val="true"/>
        </w:rPr>
        <w:footnoteReference w:id="487"/>
      </w:r>
      <w:r>
        <w:rPr>
          <w:rFonts w:ascii="IRNazanin" w:hAnsi="IRNazanin" w:eastAsia="IRNazanin"/>
          <w:color w:val="111111"/>
          <w:sz w:val="28"/>
          <w:sz w:val="28"/>
          <w:szCs w:val="28"/>
          <w:rtl w:val="true"/>
          <w:lang w:bidi="fa-IR"/>
        </w:rPr>
        <w:t>منها کاف فی عدم انصرافها، و إطلاقها من تلک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إمکان الجواب عن احتمال انصرافها إلی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المفهوم من التفقه عرفا الفروع، مع أنّه أهمّ بالتهدید علی ترک النفر فیه؛ لاستقلال العقل فی الاصول غالبا دون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احتمال انصرافها إلی الاجتهاد و معرفة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ثبوت کون التفقّه حقیقة فی الاجتهاد فی عرف الشارع، بل هو اصطلاح جدید، فیحمل علی معناه اللغویّ، و هو مطلق الفهم الصادق علی سماع الخبر و نقله، مع أنّه یستلزم تخصیص القوم بالمقلّدین، و هو أیضا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احتمال تخصیص حجّیة الإنذار بخصوص ما إذا علم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مضافا إلی کونه تخصیصا بلا مخصّص و مجازا بلا قرینة حمل للمطلق علی فرد نادر، بل حمل للإنذار علی التذکار</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احتمال سوق الآیة لبیان إیجاب الإخبار علی المخبر مع سکوتها عن حکم المستخبر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الاحتمال و إن ناسب ظاهر معنی آیة حرمة کتمان الحقّ</w:t>
      </w:r>
      <w:r>
        <w:rPr>
          <w:rStyle w:val="FootnoteAnchor"/>
          <w:rtl w:val="true"/>
        </w:rPr>
        <w:footnoteReference w:id="488"/>
      </w:r>
      <w:r>
        <w:rPr>
          <w:rFonts w:ascii="IRNazanin" w:hAnsi="IRNazanin" w:eastAsia="IRNazanin"/>
          <w:color w:val="111111"/>
          <w:sz w:val="28"/>
          <w:sz w:val="28"/>
          <w:szCs w:val="28"/>
          <w:rtl w:val="true"/>
          <w:lang w:bidi="fa-IR"/>
        </w:rPr>
        <w:t>، و ظاهر معنی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حفظ علی أمتی أربعین حدیثا بعثه اللّه فقیها عالما</w:t>
      </w:r>
      <w:r>
        <w:rPr>
          <w:rFonts w:eastAsia="IRNazanin" w:cs="IRNazanin"/>
          <w:color w:val="111111"/>
          <w:sz w:val="28"/>
          <w:szCs w:val="28"/>
          <w:rtl w:val="true"/>
          <w:lang w:bidi="fa-IR"/>
        </w:rPr>
        <w:t>»</w:t>
      </w:r>
      <w:r>
        <w:rPr>
          <w:rStyle w:val="FootnoteAnchor"/>
          <w:rtl w:val="true"/>
        </w:rPr>
        <w:footnoteReference w:id="489"/>
      </w:r>
      <w:r>
        <w:rPr>
          <w:rFonts w:ascii="Amiri" w:hAnsi="Amiri" w:eastAsia="Amiri" w:cs="Amiri"/>
          <w:color w:val="111111"/>
          <w:sz w:val="28"/>
          <w:sz w:val="28"/>
          <w:szCs w:val="28"/>
          <w:rtl w:val="true"/>
          <w:lang w:bidi="ar-SA"/>
        </w:rPr>
        <w:t>إلّا أنّ من الواضح مباینة سیاق آیة الإنذار المعلّل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یَحْذَرُونَ</w:t>
      </w:r>
      <w:r>
        <w:rPr>
          <w:rStyle w:val="FootnoteAnchor"/>
          <w:rtl w:val="true"/>
        </w:rPr>
        <w:footnoteReference w:id="490"/>
      </w:r>
      <w:r>
        <w:rPr>
          <w:rFonts w:ascii="IRNazanin" w:hAnsi="IRNazanin" w:eastAsia="IRNazanin"/>
          <w:color w:val="111111"/>
          <w:sz w:val="28"/>
          <w:sz w:val="28"/>
          <w:szCs w:val="28"/>
          <w:rtl w:val="true"/>
          <w:lang w:bidi="fa-IR"/>
        </w:rPr>
        <w:t>لسیاق آیة حرمة کتمان الحقّ، و حدیث الأربعین</w:t>
      </w:r>
      <w:r>
        <w:rPr>
          <w:rFonts w:eastAsia="IRNazanin" w:cs="IRNazanin"/>
          <w:color w:val="111111"/>
          <w:sz w:val="28"/>
          <w:szCs w:val="28"/>
          <w:rtl w:val="true"/>
          <w:lang w:bidi="fa-IR"/>
        </w:rPr>
        <w:t xml:space="preserve">. </w:t>
      </w:r>
      <w:bookmarkStart w:id="741" w:name="pg12850_121429"/>
    </w:p>
    <w:p>
      <w:pPr>
        <w:pStyle w:val="BookText"/>
        <w:rPr/>
      </w:pPr>
      <w:bookmarkEnd w:id="741"/>
      <w:r>
        <w:rPr>
          <w:rFonts w:ascii="IRNazanin" w:hAnsi="IRNazanin" w:eastAsia="IRNazanin"/>
          <w:color w:val="111111"/>
          <w:sz w:val="28"/>
          <w:sz w:val="28"/>
          <w:szCs w:val="28"/>
          <w:rtl w:val="true"/>
          <w:lang w:bidi="fa-IR"/>
        </w:rPr>
        <w:t>و أمّا عن سائر الاحتمالات الباقیة فقد مرّ الجواب عن کلّ واحد منها تفصیلا فی آیة النبأ</w:t>
      </w:r>
      <w:r>
        <w:rPr>
          <w:rStyle w:val="FootnoteAnchor"/>
          <w:rtl w:val="true"/>
        </w:rPr>
        <w:footnoteReference w:id="491"/>
      </w:r>
      <w:r>
        <w:rPr>
          <w:rFonts w:ascii="IRNazanin" w:hAnsi="IRNazanin" w:eastAsia="IRNazanin"/>
          <w:color w:val="111111"/>
          <w:sz w:val="28"/>
          <w:sz w:val="28"/>
          <w:szCs w:val="28"/>
          <w:rtl w:val="true"/>
          <w:lang w:bidi="fa-IR"/>
        </w:rPr>
        <w:t>، فلا نطیل بإعادتها، کما لا نطیل أیضا بإعادة ما أجبنا به عمّا أورد هنا فی ما سیأتی من الإیراد به علی آیة السؤال</w:t>
      </w:r>
      <w:r>
        <w:rPr>
          <w:rStyle w:val="FootnoteAnchor"/>
          <w:rtl w:val="true"/>
        </w:rPr>
        <w:footnoteReference w:id="492"/>
      </w:r>
      <w:r>
        <w:rPr>
          <w:rFonts w:ascii="IRNazanin" w:hAnsi="IRNazanin" w:eastAsia="IRNazanin"/>
          <w:color w:val="111111"/>
          <w:sz w:val="28"/>
          <w:sz w:val="28"/>
          <w:szCs w:val="28"/>
          <w:rtl w:val="true"/>
          <w:lang w:bidi="fa-IR"/>
        </w:rPr>
        <w:t>، بل نحوّل الجواب عما سیأتی من الإیراد علی آیة السؤل علی ما أجبنا به تفصیلا فی آیة الإنذار</w:t>
      </w:r>
      <w:r>
        <w:rPr>
          <w:rStyle w:val="FootnoteAnchor"/>
          <w:rtl w:val="true"/>
        </w:rPr>
        <w:footnoteReference w:id="493"/>
      </w:r>
      <w:r>
        <w:rPr>
          <w:rFonts w:ascii="IRNazanin" w:hAnsi="IRNazanin" w:eastAsia="IRNazanin"/>
          <w:color w:val="111111"/>
          <w:sz w:val="28"/>
          <w:sz w:val="28"/>
          <w:szCs w:val="28"/>
          <w:rtl w:val="true"/>
          <w:lang w:bidi="fa-IR"/>
        </w:rPr>
        <w:t>، کما حوّلنا الجواب عن بعض ما اورد علی آیة الإنذار علی ما أجبنا به تفصیلا فی آیة النبأ</w:t>
      </w:r>
      <w:r>
        <w:rPr>
          <w:rStyle w:val="FootnoteAnchor"/>
          <w:rtl w:val="true"/>
        </w:rPr>
        <w:footnoteReference w:id="494"/>
      </w:r>
      <w:r>
        <w:rPr>
          <w:rFonts w:ascii="IRNazanin" w:hAnsi="IRNazanin" w:eastAsia="IRNazanin"/>
          <w:color w:val="111111"/>
          <w:sz w:val="28"/>
          <w:sz w:val="28"/>
          <w:szCs w:val="28"/>
          <w:rtl w:val="true"/>
          <w:lang w:bidi="fa-IR"/>
        </w:rPr>
        <w:t>، فلا یفوتنک المراجعة إن فاتتک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5"/>
        <w:numPr>
          <w:ilvl w:val="4"/>
          <w:numId w:val="1"/>
        </w:numPr>
        <w:rPr/>
      </w:pPr>
      <w:bookmarkStart w:id="742" w:name="__RefHeading___Toc2527550_3224264995"/>
      <w:bookmarkStart w:id="743" w:name="_Toc275"/>
      <w:bookmarkEnd w:id="742"/>
      <w:r>
        <w:rPr>
          <w:rtl w:val="true"/>
        </w:rPr>
        <w:t>[</w:t>
      </w:r>
      <w:r>
        <w:rPr>
          <w:rtl w:val="true"/>
        </w:rPr>
        <w:t>الاستدلال بآیة الاذن علی حجّیة خبر الواحد</w:t>
      </w:r>
      <w:r>
        <w:rPr>
          <w:rtl w:val="true"/>
        </w:rPr>
        <w:t>]</w:t>
      </w:r>
      <w:bookmarkEnd w:id="74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الإیراد الأول هو حمل الاذن علی سرعة التصدیق و الاعتقاد بکلّ ما یسمع، الراجع إلی حسن الظنّ، و البناء علی أصالة الصحّة فی أفعال المسلمین، دون العمل تعبّدا بما یسمع الراجع إلی حجّیة المسموع من 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الإیراد الثانی هو تخریج الإیمان للمؤمنین عن التصدیق الحقیقیّ لهم إلی التصدیق الصوریّ، أعنی التصدیق المخبری لا الخبری، أعنی عدم الردّ لا القبول، و مرجعه إلی حسن الأخذ بمجامع الاحتیاط و التحذّر التامّ عن موارد الشبهة بالاستنباط</w:t>
      </w:r>
      <w:r>
        <w:rPr>
          <w:rFonts w:eastAsia="IRNazanin" w:cs="IRNazanin"/>
          <w:color w:val="111111"/>
          <w:sz w:val="28"/>
          <w:szCs w:val="28"/>
          <w:rtl w:val="true"/>
          <w:lang w:bidi="fa-IR"/>
        </w:rPr>
        <w:t>.</w:t>
      </w:r>
    </w:p>
    <w:p>
      <w:pPr>
        <w:pStyle w:val="Heading5"/>
        <w:numPr>
          <w:ilvl w:val="4"/>
          <w:numId w:val="1"/>
        </w:numPr>
        <w:rPr/>
      </w:pPr>
      <w:bookmarkStart w:id="744" w:name="__RefHeading___Toc2527552_3224264995"/>
      <w:bookmarkStart w:id="745" w:name="_Toc276"/>
      <w:bookmarkEnd w:id="744"/>
      <w:r>
        <w:rPr>
          <w:rtl w:val="true"/>
        </w:rPr>
        <w:t>[</w:t>
      </w:r>
      <w:r>
        <w:rPr>
          <w:rtl w:val="true"/>
        </w:rPr>
        <w:t>جواب عن ایراد الماتن علی الاستدلال بآیة الاذن</w:t>
      </w:r>
      <w:r>
        <w:rPr>
          <w:rtl w:val="true"/>
        </w:rPr>
        <w:t>]</w:t>
      </w:r>
      <w:bookmarkEnd w:id="745"/>
    </w:p>
    <w:p>
      <w:pPr>
        <w:pStyle w:val="BookText"/>
        <w:rPr/>
      </w:pPr>
      <w:r>
        <w:rPr>
          <w:rFonts w:ascii="IRNazanin" w:hAnsi="IRNazanin" w:eastAsia="IRNazanin"/>
          <w:color w:val="111111"/>
          <w:sz w:val="28"/>
          <w:sz w:val="28"/>
          <w:szCs w:val="28"/>
          <w:rtl w:val="true"/>
          <w:lang w:bidi="fa-IR"/>
        </w:rPr>
        <w:t>هذا، و لکن یمکن الجواب عن الإیراد الأول</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سرعة التصدیق و حسن الظنّ بظاهره ینافی توصیف الأنبیاء، سیما خاتم الأنبیاء صلّی اللّه علیه و آله بکونه عالما بالغیوب منزّها عن العیوب، إذ لا مدح فی سرعة التصدیق و الاعتقاد فی العاقل، بل هو عین الذمّ الذی اتّهموا النبیّ صلّی اللّه علیه و آله به </w:t>
      </w:r>
      <w:bookmarkStart w:id="746" w:name="pg12850_121430"/>
    </w:p>
    <w:p>
      <w:pPr>
        <w:pStyle w:val="BookText"/>
        <w:rPr/>
      </w:pPr>
      <w:bookmarkEnd w:id="746"/>
      <w:r>
        <w:rPr>
          <w:rFonts w:ascii="Amiri" w:hAnsi="Amiri" w:eastAsia="Amiri" w:cs="Amiri"/>
          <w:color w:val="111111"/>
          <w:sz w:val="28"/>
          <w:sz w:val="28"/>
          <w:szCs w:val="28"/>
          <w:rtl w:val="true"/>
          <w:lang w:bidi="ar-SA"/>
        </w:rPr>
        <w:t>فیلزم أن یکون الردّ علیهم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أُذُنُ خَیْرٍ لَکُمْ</w:t>
      </w:r>
      <w:r>
        <w:rPr>
          <w:rStyle w:val="FootnoteAnchor"/>
          <w:rtl w:val="true"/>
        </w:rPr>
        <w:footnoteReference w:id="495"/>
      </w:r>
      <w:r>
        <w:rPr>
          <w:rFonts w:ascii="Amiri" w:hAnsi="Amiri" w:eastAsia="Amiri" w:cs="Amiri"/>
          <w:color w:val="111111"/>
          <w:sz w:val="28"/>
          <w:sz w:val="28"/>
          <w:szCs w:val="28"/>
          <w:rtl w:val="true"/>
          <w:lang w:bidi="ar-SA"/>
        </w:rPr>
        <w:t>بما هو عین الإیراد بقولهم یَقُولُونَ هُوَ أُذُنٌ لا ردّ لإیرادهم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حمل الاذن علی سرعة التصدیق و حسن الظن إن کان مع ترتیب آثار الصدق علیه ثبت المطلوب و المدّعی، و إن کان مع عدمه رجع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الإیراد الثانی، و هو التصدیق الصوریّ، لا إلی إیراد آخر ورائه،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لازمه التجوّز فی الخیر بصرفه عن الخیر الواقعیّ إلی الخیر الزعمیّ، و فی الإیمان و التصدیق بصرفه عن الواقعیّ إلی الصوریّ المخالف للظاهر</w:t>
      </w:r>
      <w:r>
        <w:rPr>
          <w:rFonts w:eastAsia="IRNazanin" w:cs="IRNazanin"/>
          <w:color w:val="111111"/>
          <w:sz w:val="28"/>
          <w:szCs w:val="28"/>
          <w:rtl w:val="true"/>
          <w:lang w:bidi="fa-IR"/>
        </w:rPr>
        <w:t>.</w:t>
      </w:r>
    </w:p>
    <w:p>
      <w:pPr>
        <w:pStyle w:val="Heading5"/>
        <w:numPr>
          <w:ilvl w:val="4"/>
          <w:numId w:val="1"/>
        </w:numPr>
        <w:rPr/>
      </w:pPr>
      <w:bookmarkStart w:id="747" w:name="__RefHeading___Toc2527554_3224264995"/>
      <w:bookmarkStart w:id="748" w:name="_Toc277"/>
      <w:bookmarkEnd w:id="747"/>
      <w:r>
        <w:rPr>
          <w:rtl w:val="true"/>
        </w:rPr>
        <w:t>[</w:t>
      </w:r>
      <w:r>
        <w:rPr>
          <w:rtl w:val="true"/>
        </w:rPr>
        <w:t>تحقیق فی المراد بآیة الاذن</w:t>
      </w:r>
      <w:r>
        <w:rPr>
          <w:rtl w:val="true"/>
        </w:rPr>
        <w:t>]</w:t>
      </w:r>
      <w:bookmarkEnd w:id="748"/>
    </w:p>
    <w:p>
      <w:pPr>
        <w:pStyle w:val="BookText"/>
        <w:rPr/>
      </w:pPr>
      <w:r>
        <w:rPr>
          <w:rFonts w:ascii="IRNazanin" w:hAnsi="IRNazanin" w:eastAsia="IRNazanin"/>
          <w:color w:val="111111"/>
          <w:sz w:val="28"/>
          <w:sz w:val="28"/>
          <w:szCs w:val="28"/>
          <w:rtl w:val="true"/>
          <w:lang w:bidi="fa-IR"/>
        </w:rPr>
        <w:t xml:space="preserve">بل الظاهر السلیم عن تلک المحاذیر اللازمة فی معنی الآیة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ما اتّهموه به من استناد عموم تصدیقه لکلّ صادق و کاذب إلی سرعة التصدیق و الاعتقاد فی غیر محلّه، المذموم عند العقلاء بمنع استناده إلی ذلک، بل مستند إلی عموم الخیر لکم و الرأفة، و الرحمة العامّة بکم، و حسن المعاشرة و المداراة الظاهریة معکم المستندة إلی اللطف العامّ و الخیر التامّ، و السیاسات المدنیة و المصالح الکلّیة، لتقریب العباد إلی الطاعة و تبعیدهم عن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هذا من اتّهامهم إیّاه صلّی اللّه علیه و آله بالاذنیّة المستند إلی السفه و الخرافة و الجنون الذین هم أولی به ملیّا؟</w:t>
      </w:r>
    </w:p>
    <w:p>
      <w:pPr>
        <w:pStyle w:val="BookText"/>
        <w:rPr/>
      </w:pPr>
      <w:r>
        <w:rPr>
          <w:rFonts w:ascii="IRNazanin" w:hAnsi="IRNazanin" w:eastAsia="IRNazanin"/>
          <w:color w:val="111111"/>
          <w:sz w:val="28"/>
          <w:sz w:val="28"/>
          <w:szCs w:val="28"/>
          <w:rtl w:val="true"/>
          <w:lang w:bidi="fa-IR"/>
        </w:rPr>
        <w:t>و علی ذلک فتعریفه تعالی نبیّه بالاذنیّة الخیریة المستندة إلی المصالح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الراجع إلی تصدیقه الصوریّ بالنسبة إلی عموم الناس الکاذب و الصادق و المؤمن و المنافق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تعریفه باللطف العامّ بالنسبة إلی عموم العوام، کلطف التسویة فی الخلق و الرزق و الفطرة و الصورة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تعریفه بالإیمان باللّه و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الراجع إلی تصدیقه الحقیقیّ الواقعیّ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تعریفه باللطف الخاصّ، الخاصّ بالخواصّ، کتعریف ذاته تعالی </w:t>
      </w:r>
      <w:bookmarkStart w:id="749" w:name="pg12850_121431"/>
    </w:p>
    <w:p>
      <w:pPr>
        <w:pStyle w:val="BookText"/>
        <w:rPr/>
      </w:pPr>
      <w:bookmarkEnd w:id="749"/>
      <w:r>
        <w:rPr>
          <w:rFonts w:ascii="Amiri" w:hAnsi="Amiri" w:eastAsia="Amiri" w:cs="Amiri"/>
          <w:color w:val="111111"/>
          <w:sz w:val="28"/>
          <w:sz w:val="28"/>
          <w:szCs w:val="28"/>
          <w:rtl w:val="true"/>
          <w:lang w:bidi="ar-SA"/>
        </w:rPr>
        <w:t>بالرّحمن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البیّن أنّ التأسیس أولی من التأکید، و الإفادة خیر من الإعادة، و هو فرض التصدیقین تصدیقا واحدا، و فرض ذلک الواحد تصدیقا صوریّا تجوّزا، و حینئذ فتکرار لفظ الإیمان و تغایر تعدیته بالباء فی الاول، و اللام فی الثانی إشارة إلی تغایر التصدیقین من حیث إنّ صفة الصادقیّة فی الأول عین الذات، و فی الثانی غیره، لا إشارة إلی ما استشهد به المصنّف من تغایر التصدیقین بالواقعیّ فی الأول، و الصوریّ فی الثانی</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تعلیل التصدیق بالرأفة و الرحمة ینافی إرادة قبول قول أحدهم علی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5"/>
        <w:numPr>
          <w:ilvl w:val="4"/>
          <w:numId w:val="1"/>
        </w:numPr>
        <w:rPr/>
      </w:pPr>
      <w:bookmarkStart w:id="750" w:name="__RefHeading___Toc2527556_3224264995"/>
      <w:bookmarkStart w:id="751" w:name="_Toc278"/>
      <w:bookmarkEnd w:id="750"/>
      <w:r>
        <w:rPr>
          <w:rtl w:val="true"/>
        </w:rPr>
        <w:t>[</w:t>
      </w:r>
      <w:r>
        <w:rPr>
          <w:rtl w:val="true"/>
        </w:rPr>
        <w:t>ردود علی الماتن فی المراد بالآیة و التحقیق فیه</w:t>
      </w:r>
      <w:r>
        <w:rPr>
          <w:rtl w:val="true"/>
        </w:rPr>
        <w:t>]</w:t>
      </w:r>
      <w:bookmarkEnd w:id="7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أن یکون التعلیل به من الراوی لا المرویّ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کلّما تفحّصنا لم نعثر علی التعلیل به فی شی‌ء من أخبار الآحاد، إلّا فی ما حکی عن ظاهر العیاشی</w:t>
      </w:r>
      <w:r>
        <w:rPr>
          <w:rStyle w:val="FootnoteAnchor"/>
          <w:rtl w:val="true"/>
        </w:rPr>
        <w:footnoteReference w:id="497"/>
      </w:r>
      <w:r>
        <w:rPr>
          <w:rFonts w:ascii="IRNazanin" w:hAnsi="IRNazanin" w:eastAsia="IRNazanin"/>
          <w:color w:val="111111"/>
          <w:sz w:val="28"/>
          <w:sz w:val="28"/>
          <w:szCs w:val="28"/>
          <w:rtl w:val="true"/>
          <w:lang w:bidi="fa-IR"/>
        </w:rPr>
        <w:t>لا غیره، و نفی حجّیة أخبار الآحاد بالآحاد کالمصادرة، بل یلزم من وجوده عدمه، و 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الرحمة العامّة إنّما تنافی تصدیق أحدهم علی الآخر قبل بلوغه حدّ الشهادة، المعتبرة شرعا علی المنکر و لو کان عدلا مؤمنا، و أمّا بعده فلا تنافی التصدیق الحقیقی للشهود علی المنکر، بل تنافی عدمه،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التفسیر صریح فی أنّ المراد من المؤمنین المقرّون بالإیمان من غیر اعتقاد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صراحته فی ذلک مبنیّ علی أن یکون المراد </w:t>
      </w:r>
    </w:p>
    <w:p>
      <w:pPr>
        <w:pStyle w:val="BookText"/>
        <w:rPr/>
      </w:pPr>
      <w:r>
        <w:rPr>
          <w:rFonts w:ascii="Amiri" w:hAnsi="Amiri" w:eastAsia="Amiri" w:cs="Amiri"/>
          <w:color w:val="111111"/>
          <w:sz w:val="28"/>
          <w:sz w:val="28"/>
          <w:szCs w:val="28"/>
          <w:rtl w:val="true"/>
          <w:lang w:bidi="ar-SA"/>
        </w:rPr>
        <w:t>بالمؤمنین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یُؤْمِنُ بِاللَّهِ وَ یُؤْمِنُ لِلْمُؤْمِنِینَ</w:t>
      </w:r>
      <w:r>
        <w:rPr>
          <w:rStyle w:val="FootnoteAnchor"/>
          <w:rtl w:val="true"/>
        </w:rPr>
        <w:footnoteReference w:id="498"/>
      </w:r>
      <w:r>
        <w:rPr>
          <w:rFonts w:ascii="Amiri" w:hAnsi="Amiri" w:eastAsia="Amiri" w:cs="Amiri"/>
          <w:color w:val="111111"/>
          <w:sz w:val="28"/>
          <w:sz w:val="28"/>
          <w:szCs w:val="28"/>
          <w:rtl w:val="true"/>
          <w:lang w:bidi="ar-SA"/>
        </w:rPr>
        <w:t>هم الذین یؤذون النبیّ صلّی اللّه علیه و آله و یقولون هو اذن، و هو خلاف ظاهر لفظ المؤمن و حقیقته، و لسیاق اقترانه بالإیمان باللّه، و لمقام ذمّ المؤذین للنبیّ صلّی اللّه علیه و آله، و الردّ علیهم بتنزیه النبیّ عمّا ذمّوه به، و مدحه علیه السّلام بضدّ ما اتّهموه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یُؤْمِنُ بِاللَّهِ وَ یُؤْمِنُ لِلْمُؤْمِنِینَ</w:t>
      </w:r>
      <w:r>
        <w:rPr>
          <w:rStyle w:val="FootnoteAnchor"/>
          <w:rtl w:val="true"/>
        </w:rPr>
        <w:footnoteReference w:id="499"/>
      </w:r>
      <w:r>
        <w:rPr>
          <w:rFonts w:ascii="IRNazanin" w:hAnsi="IRNazanin" w:eastAsia="IRNazanin"/>
          <w:color w:val="111111"/>
          <w:sz w:val="28"/>
          <w:sz w:val="28"/>
          <w:szCs w:val="28"/>
          <w:rtl w:val="true"/>
          <w:lang w:bidi="fa-IR"/>
        </w:rPr>
        <w:t>و مع ذلک کیف یصفهم بالإیمان؟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توصیفهم به فی هذا المقام نقض لغرضه و حکمته، و ظهور لفظه و أصالة حقیقته، و سیاق کلامه و قرینة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فأین صراحة التفسیر المذکور فی ما ادّعاه، من حمل قوله تعالی فی مدحه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 باللّه و یؤمن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التصدیق الصوریّ لهم</w:t>
      </w:r>
      <w:r>
        <w:rPr>
          <w:rStyle w:val="FootnoteAnchor"/>
          <w:rtl w:val="true"/>
        </w:rPr>
        <w:footnoteReference w:id="50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المراد منه التصدیق المجازیّ الصوریّ لا الحقیقیّ الواقعیّ لکان مقتضی الفصاحة و البلاغة التعبیر عنه بحسن المعاشرة، و المداراة، و حسن المحضر، و حسن القول و المعروف و لین القول،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لِلنَّاسِ حُسْناً</w:t>
      </w:r>
      <w:r>
        <w:rPr>
          <w:rStyle w:val="FootnoteAnchor"/>
          <w:rtl w:val="true"/>
        </w:rPr>
        <w:footnoteReference w:id="501"/>
      </w:r>
      <w:r>
        <w:rPr>
          <w:rFonts w:ascii="Amiri" w:hAnsi="Amiri" w:eastAsia="Amiri" w:cs="Amiri"/>
          <w:color w:val="111111"/>
          <w:sz w:val="28"/>
          <w:sz w:val="28"/>
          <w:szCs w:val="28"/>
          <w:rtl w:val="true"/>
          <w:lang w:bidi="ar-SA"/>
        </w:rPr>
        <w:t>و قَوْلًا لَیِّناً</w:t>
      </w:r>
      <w:r>
        <w:rPr>
          <w:rStyle w:val="FootnoteAnchor"/>
          <w:rtl w:val="true"/>
        </w:rPr>
        <w:footnoteReference w:id="502"/>
      </w:r>
      <w:r>
        <w:rPr>
          <w:rFonts w:ascii="Amiri" w:hAnsi="Amiri" w:eastAsia="Amiri" w:cs="Amiri"/>
          <w:color w:val="111111"/>
          <w:sz w:val="28"/>
          <w:sz w:val="28"/>
          <w:szCs w:val="28"/>
          <w:rtl w:val="true"/>
          <w:lang w:bidi="ar-SA"/>
        </w:rPr>
        <w:t>و جادِلْهُمْ بِالَّتِی هِیَ أَحْسَنُ</w:t>
      </w:r>
      <w:r>
        <w:rPr>
          <w:rStyle w:val="FootnoteAnchor"/>
          <w:rtl w:val="true"/>
        </w:rPr>
        <w:footnoteReference w:id="503"/>
      </w:r>
      <w:r>
        <w:rPr>
          <w:rFonts w:ascii="Amiri" w:hAnsi="Amiri" w:eastAsia="Amiri" w:cs="Amiri"/>
          <w:color w:val="111111"/>
          <w:sz w:val="28"/>
          <w:sz w:val="28"/>
          <w:szCs w:val="28"/>
          <w:rtl w:val="true"/>
          <w:lang w:bidi="ar-SA"/>
        </w:rPr>
        <w:t>و ادْفَعْ بِالَّتِی هِیَ أَحْسَنُ السَّیِّئَةَ</w:t>
      </w:r>
      <w:r>
        <w:rPr>
          <w:rStyle w:val="FootnoteAnchor"/>
          <w:rtl w:val="true"/>
        </w:rPr>
        <w:footnoteReference w:id="504"/>
      </w:r>
      <w:r>
        <w:rPr>
          <w:rFonts w:ascii="Amiri" w:hAnsi="Amiri" w:eastAsia="Amiri" w:cs="Amiri"/>
          <w:color w:val="111111"/>
          <w:sz w:val="28"/>
          <w:sz w:val="28"/>
          <w:szCs w:val="28"/>
          <w:rtl w:val="true"/>
          <w:lang w:bidi="ar-SA"/>
        </w:rPr>
        <w:t>و قَوْلٌ مَعْرُوفٌ وَ مَغْفِرَةٌ خَیْرٌ مِنْ صَدَقَةٍ</w:t>
      </w:r>
      <w:r>
        <w:rPr>
          <w:rStyle w:val="FootnoteAnchor"/>
          <w:rtl w:val="true"/>
        </w:rPr>
        <w:footnoteReference w:id="505"/>
      </w:r>
      <w:r>
        <w:rPr>
          <w:rFonts w:ascii="Amiri" w:hAnsi="Amiri" w:eastAsia="Amiri" w:cs="Amiri"/>
          <w:color w:val="111111"/>
          <w:sz w:val="28"/>
          <w:sz w:val="28"/>
          <w:szCs w:val="28"/>
          <w:rtl w:val="true"/>
          <w:lang w:bidi="ar-SA"/>
        </w:rPr>
        <w:t>لا التعبیر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یُؤْمِنُ بِاللَّهِ وَ یُؤْمِنُ لِلْمُؤْمِنِینَ</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ما استشهد به علی التصدیق الصوریّ بظهور اللام فی عموم النفع، و عموم النفع فی التصدیق الصوریّ؛ لأنّ النافع لجمیع الناس من </w:t>
      </w:r>
    </w:p>
    <w:p>
      <w:pPr>
        <w:pStyle w:val="BookText"/>
        <w:rPr/>
      </w:pPr>
      <w:r>
        <w:rPr>
          <w:rFonts w:ascii="IRNazanin" w:hAnsi="IRNazanin" w:eastAsia="IRNazanin"/>
          <w:color w:val="111111"/>
          <w:sz w:val="28"/>
          <w:sz w:val="28"/>
          <w:szCs w:val="28"/>
          <w:rtl w:val="true"/>
          <w:lang w:bidi="fa-IR"/>
        </w:rPr>
        <w:t>المخبر و المخبر عنه هو التصدیق الصوریّ، و أنّ التصدیق الحقیقیّ لا ینفع لجمیع الناس؛ إذ لو أخبر مخبر بما یوجب الحدّ و القتل علی أحد فقتله النبیّ صلّی اللّه علیه و آله أو جلده لم یکن فی تصدیقه المخبر نفع للمخبر عنه؛ بل کان محض الشرّ له خصوصا مع عدم صدور الفعل منه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یکون نفعا للمخبر من حیث متابعة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إمکان منع الصغری، و هو ظهور اللام فی النفع مطلقا، بل فی خصوص ما کان متعلّقه النفع،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خَیْرٍ لَکُمْ</w:t>
      </w:r>
      <w:r>
        <w:rPr>
          <w:rStyle w:val="FootnoteAnchor"/>
          <w:rtl w:val="true"/>
        </w:rPr>
        <w:footnoteReference w:id="508"/>
      </w:r>
      <w:r>
        <w:rPr>
          <w:rFonts w:ascii="Amiri" w:hAnsi="Amiri" w:eastAsia="Amiri" w:cs="Amiri"/>
          <w:color w:val="111111"/>
          <w:sz w:val="28"/>
          <w:sz w:val="28"/>
          <w:szCs w:val="28"/>
          <w:rtl w:val="true"/>
          <w:lang w:bidi="ar-SA"/>
        </w:rPr>
        <w:t>و خَلَقَ لَکُمْ ما فِی الْأَرْضِ جَمِیعاً</w:t>
      </w:r>
      <w:r>
        <w:rPr>
          <w:rStyle w:val="FootnoteAnchor"/>
          <w:rtl w:val="true"/>
        </w:rPr>
        <w:footnoteReference w:id="509"/>
      </w:r>
      <w:r>
        <w:rPr>
          <w:rFonts w:ascii="Amiri" w:hAnsi="Amiri" w:eastAsia="Amiri" w:cs="Amiri"/>
          <w:color w:val="111111"/>
          <w:sz w:val="28"/>
          <w:sz w:val="28"/>
          <w:szCs w:val="28"/>
          <w:rtl w:val="true"/>
          <w:lang w:bidi="ar-SA"/>
        </w:rPr>
        <w:t>و أُحِلَّ لَکُمُ الطَّیِّباتُ</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فی ما نحن فیه ممّا کان متعلّقه التصدیق فلا یبعد ظهوره فی محض التعدیة، أو الاختصاص؛ بأن یکون تصدیقه الحقیقی صلّی اللّه علیه و آله خاصّ باللّه و للمؤمنین لیکون أشدّ دلالة و آکد، ردّا علی اتّهامهم إیّاه صلّی اللّه علیه و آله بسریع الاعتقاد و التصدیق بکلّ ما یسمع من صدق أو کذب</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بإمکان منع الکبری، و هو ظهور عموم النفع فی التصدیق الصوریّ، بأنّ الشارع الحکیم إذا اعتبر التصدیق و لو علی وجه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لو علی وجه التعبّد کالاصول فضلا عن اعتباره علی وجه الطریقیة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و أن یکشف عن مصلحة ملزمة متدارکة حتی لصورة التخلّف عن الواقع أحیانا، فضلا عن صورة عدم تخلّفه عن الواقع، الواجب فی عصمة المعصوم، و حینئذ فالتصدیق المشتمل علی تلک المصلحة اللازمة الملزمة لا ینفکّ عن عموم المنفعة حتی بالنسبة إلی المخبر عنه و لو أدّی إلی قتله وحده، بل هو أنفع بحال المقتول شرعا منه بحال </w:t>
      </w:r>
      <w:bookmarkStart w:id="752" w:name="pg12850_121434"/>
    </w:p>
    <w:p>
      <w:pPr>
        <w:pStyle w:val="BookText"/>
        <w:rPr/>
      </w:pPr>
      <w:bookmarkEnd w:id="752"/>
      <w:r>
        <w:rPr>
          <w:rFonts w:ascii="IRNazanin" w:hAnsi="IRNazanin" w:eastAsia="IRNazanin"/>
          <w:color w:val="111111"/>
          <w:sz w:val="28"/>
          <w:sz w:val="28"/>
          <w:szCs w:val="28"/>
          <w:rtl w:val="true"/>
          <w:lang w:bidi="fa-IR"/>
        </w:rPr>
        <w:t>القاتل؛ من حیث إنّ رفع مفسدة العقاب أولی من جلب منفعة الثواب، بخلاف التصدیق الصوریّ فإنّه لا یتصوّر فیه منفعة واقعیة بالنسبة إلی المخبر فضلا عن المخبر عنه، إلّا منفعة دنیویّة ظاهریة لا اخرویّة 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5"/>
        <w:numPr>
          <w:ilvl w:val="4"/>
          <w:numId w:val="1"/>
        </w:numPr>
        <w:rPr/>
      </w:pPr>
      <w:bookmarkStart w:id="753" w:name="__RefHeading___Toc2527558_3224264995"/>
      <w:bookmarkStart w:id="754" w:name="_Toc279"/>
      <w:bookmarkEnd w:id="753"/>
      <w:r>
        <w:rPr>
          <w:rtl w:val="true"/>
        </w:rPr>
        <w:t>[</w:t>
      </w:r>
      <w:r>
        <w:rPr>
          <w:rtl w:val="true"/>
        </w:rPr>
        <w:t>أصل الصحة فی فعل المسلم</w:t>
      </w:r>
      <w:r>
        <w:rPr>
          <w:rtl w:val="true"/>
        </w:rPr>
        <w:t>]</w:t>
      </w:r>
      <w:bookmarkEnd w:id="754"/>
    </w:p>
    <w:p>
      <w:pPr>
        <w:pStyle w:val="BookText"/>
        <w:rPr/>
      </w:pPr>
      <w:r>
        <w:rPr>
          <w:rFonts w:ascii="IRNazanin" w:hAnsi="IRNazanin" w:eastAsia="IRNazanin"/>
          <w:color w:val="111111"/>
          <w:sz w:val="28"/>
          <w:sz w:val="28"/>
          <w:szCs w:val="28"/>
          <w:rtl w:val="true"/>
          <w:lang w:bidi="fa-IR"/>
        </w:rPr>
        <w:t>و إذ قد عرفت ظهور الآیة فی التصدیق الحقیقیّ، عرفت أظهریّة الروایة المتقدّمة فی استدلال الصادق علیه السّلام علی ابنه إسماعیل بالآیة</w:t>
      </w:r>
      <w:r>
        <w:rPr>
          <w:rStyle w:val="FootnoteAnchor"/>
          <w:rtl w:val="true"/>
        </w:rPr>
        <w:footnoteReference w:id="511"/>
      </w:r>
      <w:r>
        <w:rPr>
          <w:rFonts w:ascii="IRNazanin" w:hAnsi="IRNazanin" w:eastAsia="IRNazanin"/>
          <w:color w:val="111111"/>
          <w:sz w:val="28"/>
          <w:sz w:val="28"/>
          <w:szCs w:val="28"/>
          <w:rtl w:val="true"/>
          <w:lang w:bidi="fa-IR"/>
        </w:rPr>
        <w:t>، فی التصدیق الحقیقیّ، بل و کذا روایات حقّ المؤمن علی المؤمن أن یصدّقه و لا یتّهمه</w:t>
      </w:r>
      <w:r>
        <w:rPr>
          <w:rStyle w:val="FootnoteAnchor"/>
          <w:rtl w:val="true"/>
        </w:rPr>
        <w:footnoteReference w:id="512"/>
      </w:r>
      <w:r>
        <w:rPr>
          <w:rFonts w:ascii="IRNazanin" w:hAnsi="IRNazanin" w:eastAsia="IRNazanin"/>
          <w:color w:val="111111"/>
          <w:sz w:val="28"/>
          <w:sz w:val="28"/>
          <w:szCs w:val="28"/>
          <w:rtl w:val="true"/>
          <w:lang w:bidi="fa-IR"/>
        </w:rPr>
        <w:t>، بل و کذا ظهور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فصدّقه و کذّبهم</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فی روایة القسامة ظاهر فی التصدیق الحقیقیّ، بل و کذا أدلّة حمل فعل المسلم علی الصحّة</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و للاستزادة راجع فرائد 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القواعد الفقهیة للسید البجنوردی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الأحسن، ظاهرة فی الصحّة الواقعیّة الحاملیّة، لا الصحّة الظاهریّة الفاعلیّة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توجیه المصنّف الروایة کالآیة إلی التصدیق الصوریّ</w:t>
      </w:r>
      <w:r>
        <w:rPr>
          <w:rStyle w:val="FootnoteAnchor"/>
          <w:rtl w:val="true"/>
        </w:rPr>
        <w:footnoteReference w:id="515"/>
      </w:r>
      <w:r>
        <w:rPr>
          <w:rFonts w:ascii="IRNazanin" w:hAnsi="IRNazanin" w:eastAsia="IRNazanin"/>
          <w:color w:val="111111"/>
          <w:sz w:val="28"/>
          <w:sz w:val="28"/>
          <w:szCs w:val="28"/>
          <w:rtl w:val="true"/>
          <w:lang w:bidi="fa-IR"/>
        </w:rPr>
        <w:t>فأبعد من توجیه الآیة به من غیر قرینة صارفة؛ سوی ما لا یصلح للصارفیّة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المعنی الأول فهو الذی یقتضیه أدلّة حمل فعل المسلم علی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الأظهر الأشهر من أدلّة فعل المسلم علی الصحیح هو الصحیح الواقعیّ الحاملیّ، لا الظاهری الفاعلی</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ظاهر الأخبار الواردة فی أنّ من حقّ المؤمن علی </w:t>
      </w:r>
      <w:bookmarkStart w:id="755" w:name="pg12850_121435"/>
    </w:p>
    <w:p>
      <w:pPr>
        <w:pStyle w:val="BookText"/>
        <w:rPr/>
      </w:pPr>
      <w:bookmarkEnd w:id="755"/>
      <w:r>
        <w:rPr>
          <w:rFonts w:ascii="IRNazanin" w:hAnsi="IRNazanin" w:eastAsia="IRNazanin"/>
          <w:color w:val="111111"/>
          <w:sz w:val="28"/>
          <w:sz w:val="28"/>
          <w:szCs w:val="28"/>
          <w:rtl w:val="true"/>
          <w:lang w:bidi="fa-IR"/>
        </w:rPr>
        <w:t xml:space="preserve">المؤمن أن یصدّقه و لا یکذّبه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سلّمنا ظهور أدلّة الحمل علی الصحّة الظاهریّة الفاعلیّة فلا نسلّم ظهور أخبار تصدیق المؤمن علی تصدیقه الظاهری الصوریّ؛ للفرق الواضح بین الظهورین</w:t>
      </w:r>
      <w:r>
        <w:rPr>
          <w:rFonts w:eastAsia="IRNazanin" w:cs="IRNazanin"/>
          <w:color w:val="111111"/>
          <w:sz w:val="28"/>
          <w:szCs w:val="28"/>
          <w:rtl w:val="true"/>
          <w:lang w:bidi="fa-IR"/>
        </w:rPr>
        <w:t>.</w:t>
      </w:r>
    </w:p>
    <w:p>
      <w:pPr>
        <w:pStyle w:val="Heading5"/>
        <w:numPr>
          <w:ilvl w:val="4"/>
          <w:numId w:val="1"/>
        </w:numPr>
        <w:rPr/>
      </w:pPr>
      <w:bookmarkStart w:id="756" w:name="__RefHeading___Toc2527560_3224264995"/>
      <w:bookmarkStart w:id="757" w:name="_Toc280"/>
      <w:bookmarkEnd w:id="756"/>
      <w:r>
        <w:rPr>
          <w:rtl w:val="true"/>
        </w:rPr>
        <w:t>[</w:t>
      </w:r>
      <w:r>
        <w:rPr>
          <w:rtl w:val="true"/>
        </w:rPr>
        <w:t>ذکر للقسامة</w:t>
      </w:r>
      <w:r>
        <w:rPr>
          <w:rtl w:val="true"/>
        </w:rPr>
        <w:t>]</w:t>
      </w:r>
      <w:bookmarkEnd w:id="757"/>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خصوصا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الخصوصیة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ترجیح بلا مرجّح، بل ترجیح للمرجوح، و هذا الترجیح بلا مرجّح، بل المرجوح اللازم من حمل تصدیق الأخ الواحد و تکذیب الخمسین مبنیّ علی استواء الخمسین الشاهدین مع المنکر الواحد فی الأیمان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المساواة، ضرورة أنّ الخمسین قسامة، إن بلغ حدّ الاعتبار بالاستفاضة، أو اشتماله علی شروط قبول الشهادة، رجّح تصدیقه علی تصدیق المنکر قطعا، فلم یبق معنی لتصدیق المنکر أصلا و رأسا، لا ظاهرا و لا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یبلغ حدّ الاعتبار رجّح تصدیق المنکر علی تصدیق الخمسین قسامة حرفا، و لم یبق معنی لتصدیقهم أصلا و رأسا، لا ظاهرا و لا واقعا؛ لترجیح المنکر الواحد و لو کان فاسقا فضلا عن کونه عدلا، علی المدّعین و لو کانوا خمسین، بموافقة الأصل و الاستصحاب، فلا مساواة بین المنکر و المدّعین و لو کانوا خمسین إذا لم یبلغوا حدّ الاعتبار حتی یلزم من تصدیقه الواقعی الترجیح بلا مرجح، فضلا عن المرجوح لیجعل لزومه قرینة صارفة له عن التصدیق الواقعیّ إلی التصدیق الصوریّ</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و لو کان المانع من تصدیقه الحقیقیّ هو المانع العقلیّ الترجیح المرجوح لکان آبیا من تخصیص عموم الحدیث بما استدرکه المصنّف هو بقوله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خرج من ذلک مواضع</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خمسون قسامة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لفظ القسامة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و التخفیف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اقیم مقام المصدر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 إقساما و قسامة، و هی الاسم له،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إکراما و 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معناه فهی الأیمان، تقسیم علی جماعة، کما عن الصحاح</w:t>
      </w:r>
      <w:r>
        <w:rPr>
          <w:rStyle w:val="FootnoteAnchor"/>
          <w:rtl w:val="true"/>
        </w:rPr>
        <w:footnoteReference w:id="517"/>
      </w:r>
      <w:r>
        <w:rPr>
          <w:rFonts w:ascii="IRNazanin" w:hAnsi="IRNazanin" w:eastAsia="IRNazanin"/>
          <w:color w:val="111111"/>
          <w:sz w:val="28"/>
          <w:sz w:val="28"/>
          <w:szCs w:val="28"/>
          <w:rtl w:val="true"/>
          <w:lang w:bidi="fa-IR"/>
        </w:rPr>
        <w:t>، و فی المجمع</w:t>
      </w:r>
      <w:r>
        <w:rPr>
          <w:rStyle w:val="FootnoteAnchor"/>
          <w:rtl w:val="true"/>
        </w:rPr>
        <w:footnoteReference w:id="5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الجماعة الذین یحلفونها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یشهدون</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کما فیه أیضا و صرح به المصنّف أیضا فی أصالة الصحّة، حیث فسّر الخمسون قسامة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بالبیّنة العادلة</w:t>
      </w:r>
      <w:r>
        <w:rPr>
          <w:rStyle w:val="FootnoteAnchor"/>
          <w:rtl w:val="true"/>
        </w:rPr>
        <w:footnoteReference w:id="520"/>
      </w:r>
      <w:r>
        <w:rPr>
          <w:rFonts w:ascii="IRNazanin" w:hAnsi="IRNazanin" w:eastAsia="IRNazanin"/>
          <w:color w:val="111111"/>
          <w:sz w:val="28"/>
          <w:sz w:val="28"/>
          <w:szCs w:val="28"/>
          <w:rtl w:val="true"/>
          <w:lang w:bidi="fa-IR"/>
        </w:rPr>
        <w:t>، و علی کلّ تقدیر لا اختصاص لها بأیمان الدماء لغة و إن خصّها الفقهاء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فعلی تقدیر کون القسامة هی الأیمان المقسمة علی الجماعة تکون تمییزا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کذا علی تقدیر کونها بمعنی الشهادة، لکن بجعل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حضر أو أثبت، لیجعل التغایر بین الفعل و تمییزه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تقدیر کونها بمعنی الجماعة الذین یحلفون أو یشهدون فهی تمییز لعدد الخمسین أو بدل منه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فالقسامة علی الأوّلین منصوب علی التمییز، و علی الآخر مرفوع علی البدلیّة، و معناها علی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شهد عندک أو حضر خمسون رجلا قسامة، أی حالفا أو شاهدا، أو بطریق الحلف أو الشهادة، و علی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شهد عندک قوم عددهم خمسون</w:t>
      </w:r>
      <w:r>
        <w:rPr>
          <w:rFonts w:eastAsia="IRNazanin" w:cs="IRNazanin"/>
          <w:color w:val="111111"/>
          <w:sz w:val="28"/>
          <w:szCs w:val="28"/>
          <w:rtl w:val="true"/>
          <w:lang w:bidi="fa-IR"/>
        </w:rPr>
        <w:t xml:space="preserve">. </w:t>
      </w:r>
      <w:bookmarkStart w:id="758" w:name="pg12850_121437"/>
    </w:p>
    <w:p>
      <w:pPr>
        <w:pStyle w:val="Heading5"/>
        <w:numPr>
          <w:ilvl w:val="4"/>
          <w:numId w:val="1"/>
        </w:numPr>
        <w:rPr/>
      </w:pPr>
      <w:bookmarkStart w:id="759" w:name="__RefHeading___Toc2527562_3224264995"/>
      <w:bookmarkStart w:id="760" w:name="_Toc281"/>
      <w:bookmarkEnd w:id="758"/>
      <w:bookmarkEnd w:id="759"/>
      <w:r>
        <w:rPr>
          <w:rtl w:val="true"/>
        </w:rPr>
        <w:t>[</w:t>
      </w:r>
      <w:r>
        <w:rPr>
          <w:rtl w:val="true"/>
        </w:rPr>
        <w:t>توجیه الاستدلال بآیة الاذن</w:t>
      </w:r>
      <w:r>
        <w:rPr>
          <w:rtl w:val="true"/>
        </w:rPr>
        <w:t>]</w:t>
      </w:r>
      <w:bookmarkEnd w:id="760"/>
    </w:p>
    <w:p>
      <w:pPr>
        <w:pStyle w:val="BookText"/>
        <w:rPr/>
      </w:pPr>
      <w:r>
        <w:rPr>
          <w:rFonts w:ascii="IRNazanin" w:hAnsi="IRNazanin" w:eastAsia="IRNazanin"/>
          <w:color w:val="111111"/>
          <w:sz w:val="28"/>
          <w:sz w:val="28"/>
          <w:szCs w:val="28"/>
          <w:rtl w:val="true"/>
          <w:lang w:bidi="fa-IR"/>
        </w:rPr>
        <w:t>مع أنّه یمکن الجواب عن الإیراد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الاستدلال لیس بصدر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بخیریّة الاذن حتی یحمله علی حسن الظنّ و الاعتقاد بالمؤمن، دون التعبّد بقوله من دون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إنّما هو بذیلها، أعنی بالإیمان للمؤمنین الظاهر فی التصدیق و التعبّد بأقوالهم، و تفسیر صدرها بإرادة حسن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البناء علی أصالة الصحّة فی أفعال المسلمین لا تنافیه إرادة التعبّد بخبر المؤمن من ذیلها إن لم یؤکّدها،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الإیراد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تخریج الإیمان و التصدیق عن التصدیق الحقیقی إلی التصدیق الصوریّ تخریج للفظ عن معناه الحقیقیّ إلی المعنی المجازیّ، من غیر قرینة صارفة، و تفسیر صدرها بالصوریّ لا یصلح لصارفیة ذیلها عن الحقیقیّ إلی الصوریّ أیضا؛ لعدم المنافاة فی کون کلّ من نوعی التصدیق من صفاته المحمودة علیه السّلام، التصدیق الصوریّ لذوی الإیمان الصوریّ، و الحقیقیّ لذوی الإیمان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تخریج الآیة عن التصدیق الحقیقیّ إلی التصدیق الصوریّ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تخریج الروایة المستشهد بها الإمام علیه السّلام علی إسماعیل</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إلیه فأبعد جدّا؛ لمنافاته لمحلّ الاستشهاد، علاوة علی عدم القرینة الصارفة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تخریج التصدیق عن التصدیق الحقیقی إلی الصوریّ لو سلّم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أبا محمد کذّب سمعک و بصرک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یقاس علیه تخریج التصدیق فی ما نحن فیه؛ للزوم الترجیح بلا مرجح، بل الترجیح المرجوح من التصدیق الحقیقیّ للمنکر و التکذیب الحقیقی للخمسین قسامة، مع کونهم أیضا مؤمنین فی هذه الروایة، و عدم لزومه منه فی الروایة الاولی و به الکفایة قرینة</w:t>
      </w:r>
      <w:bookmarkStart w:id="761" w:name="pg12850_121438"/>
    </w:p>
    <w:p>
      <w:pPr>
        <w:pStyle w:val="BookText"/>
        <w:rPr/>
      </w:pPr>
      <w:bookmarkEnd w:id="761"/>
      <w:r>
        <w:rPr>
          <w:rFonts w:ascii="Amiri" w:hAnsi="Amiri" w:eastAsia="Amiri" w:cs="Amiri"/>
          <w:color w:val="111111"/>
          <w:sz w:val="28"/>
          <w:sz w:val="28"/>
          <w:szCs w:val="28"/>
          <w:rtl w:val="true"/>
          <w:lang w:bidi="ar-SA"/>
        </w:rPr>
        <w:t>صارفة، و فرقا فارقا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یمکن انصراف المفهوم بحکم الغلبة و شهادة التعلیل، إلی صورة إفادة خبر العادل الظنّ الاطمئنانی بالصدق، کما هو الغالب</w:t>
      </w:r>
      <w:r>
        <w:rPr>
          <w:rFonts w:eastAsia="IRNazanin" w:cs="IRNazanin"/>
          <w:color w:val="111111"/>
          <w:sz w:val="28"/>
          <w:szCs w:val="28"/>
          <w:rtl w:val="true"/>
          <w:lang w:bidi="fa-IR"/>
        </w:rPr>
        <w:t>».</w:t>
      </w:r>
    </w:p>
    <w:p>
      <w:pPr>
        <w:pStyle w:val="Heading5"/>
        <w:numPr>
          <w:ilvl w:val="4"/>
          <w:numId w:val="1"/>
        </w:numPr>
        <w:rPr/>
      </w:pPr>
      <w:bookmarkStart w:id="762" w:name="__RefHeading___Toc2527564_3224264995"/>
      <w:bookmarkStart w:id="763" w:name="_Toc282"/>
      <w:bookmarkEnd w:id="762"/>
      <w:r>
        <w:rPr>
          <w:rtl w:val="true"/>
        </w:rPr>
        <w:t>[</w:t>
      </w:r>
      <w:r>
        <w:rPr>
          <w:rtl w:val="true"/>
        </w:rPr>
        <w:t>مناقشة مع الماتن فی دعواه انصراف مفهوم آیة النبأ إلی الخبر المفید للظن الاطمینانی</w:t>
      </w:r>
      <w:r>
        <w:rPr>
          <w:rtl w:val="true"/>
        </w:rPr>
        <w:t>]</w:t>
      </w:r>
      <w:bookmarkEnd w:id="76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الانصراف، إمّا لعدم شی‌ء من 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لأنّ الأصل عند الشکّ فی الانصراف هو عدم الانصراف، بناء علی ما هو المشهور من أنّ المطلق حقیقة فی الطبیعة اللابشرط، الساریة إلی جمیع الأفراد بدلیل الحکمة أو السریان علی الخلاف</w:t>
      </w:r>
      <w:r>
        <w:rPr>
          <w:rFonts w:eastAsia="IRNazanin" w:cs="IRNazanin"/>
          <w:color w:val="111111"/>
          <w:sz w:val="28"/>
          <w:szCs w:val="28"/>
          <w:rtl w:val="true"/>
          <w:lang w:bidi="fa-IR"/>
        </w:rPr>
        <w:t>.</w:t>
      </w:r>
    </w:p>
    <w:p>
      <w:pPr>
        <w:pStyle w:val="Heading5"/>
        <w:numPr>
          <w:ilvl w:val="4"/>
          <w:numId w:val="1"/>
        </w:numPr>
        <w:rPr/>
      </w:pPr>
      <w:bookmarkStart w:id="764" w:name="__RefHeading___Toc2527566_3224264995"/>
      <w:bookmarkStart w:id="765" w:name="_Toc283"/>
      <w:bookmarkEnd w:id="764"/>
      <w:r>
        <w:rPr>
          <w:rtl w:val="true"/>
        </w:rPr>
        <w:t>[</w:t>
      </w:r>
      <w:r>
        <w:rPr>
          <w:rtl w:val="true"/>
        </w:rPr>
        <w:t>اشارة إلی حقیقة المطلق</w:t>
      </w:r>
      <w:r>
        <w:rPr>
          <w:rtl w:val="true"/>
        </w:rPr>
        <w:t>]</w:t>
      </w:r>
      <w:bookmarkEnd w:id="765"/>
    </w:p>
    <w:p>
      <w:pPr>
        <w:pStyle w:val="BookText"/>
        <w:rPr/>
      </w:pPr>
      <w:r>
        <w:rPr>
          <w:rFonts w:ascii="IRNazanin" w:hAnsi="IRNazanin" w:eastAsia="IRNazanin"/>
          <w:color w:val="111111"/>
          <w:sz w:val="28"/>
          <w:sz w:val="28"/>
          <w:szCs w:val="28"/>
          <w:rtl w:val="true"/>
          <w:lang w:bidi="fa-IR"/>
        </w:rPr>
        <w:t>نعم، لو قلنا بمقالة السلطان من أنّ المطلق حقیقة فی الطبیعة المهملة</w:t>
      </w:r>
      <w:r>
        <w:rPr>
          <w:rStyle w:val="FootnoteAnchor"/>
          <w:rtl w:val="true"/>
        </w:rPr>
        <w:footnoteReference w:id="523"/>
      </w:r>
      <w:r>
        <w:rPr>
          <w:rFonts w:ascii="IRNazanin" w:hAnsi="IRNazanin" w:eastAsia="IRNazanin"/>
          <w:color w:val="111111"/>
          <w:sz w:val="28"/>
          <w:sz w:val="28"/>
          <w:szCs w:val="28"/>
          <w:rtl w:val="true"/>
          <w:lang w:bidi="fa-IR"/>
        </w:rPr>
        <w:t>کان الأصل مع الاقتصار علی القدر المتیقّن من الإطلاق عند الشکّ فی الزائد، لأنّ القضیة المهملة فی قوّة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لأنّ انحصار فهم المشهور فی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بإفادة الآیات الحجّیة مطلقا، و إمّا بعدم إفادتها الحجّیة مطلقا، کاشف عن عدم انصرافها إلی صورة إفادته الظنّ الاطمئنانی، و موهن لتقیید الحجّیة بتلک الصورة، بناء علی جابریة الشهرة الدلالة و موهنیّتها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لأنّ إلحاق الخبر الغیر المفید للاطمئنان فی الموضوعات و الشهادات بالمفید له، دلیل کون الانصراف بدویّا، و قرینة إرادة سائر الأفراد الغیر المفیدة للاطمئنان، کما أنّ إلحاق بعض الأفراد النادرة کماء النفط و الکبریت بالفرد الشائع دلیل کون انصرافه بدویّا، أو دلیل إرادة سائر الأفراد النادرة منه؛ نظرا إلی أنّه بعد عدم إرادة الفرد الشائع تکون إرادة جمیع الأفراد أقرب إلی الطبع و الفهم من إرادة الفرد الشائع و بعض الأفراد النادرة، دون بعض الآخر</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الأقربیّة عدم الجامع الملفّق للفرد الشائع و بعض الأفراد النادرة </w:t>
      </w:r>
      <w:bookmarkStart w:id="766" w:name="pg12850_121439"/>
    </w:p>
    <w:p>
      <w:pPr>
        <w:pStyle w:val="BookText"/>
        <w:rPr/>
      </w:pPr>
      <w:bookmarkEnd w:id="766"/>
      <w:r>
        <w:rPr>
          <w:rFonts w:ascii="IRNazanin" w:hAnsi="IRNazanin" w:eastAsia="IRNazanin"/>
          <w:color w:val="111111"/>
          <w:sz w:val="28"/>
          <w:sz w:val="28"/>
          <w:szCs w:val="28"/>
          <w:rtl w:val="true"/>
          <w:lang w:bidi="fa-IR"/>
        </w:rPr>
        <w:t>سوی الطبیعة الساریة إلی الجمیع، أو ندور ذلک الجامع أو عدم القرینة المعیّنة له بعد قیام القرینة الصارفة عن الفرد الشائع، فیسری الحکم إلی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استندوا فی إلحاق الفرد النادر إلی الدلیل الخارج لا إلی إطلاق المطلق لم یستکشف من إلحاقه إلحاق سائر الأفراد النادرة؛ لاحتمال کونه ملحقا بحکم المطلق لا بمدلوله، حتی یتأتّی ما ذکرنا من الوجه للاستکشاف</w:t>
      </w:r>
      <w:r>
        <w:rPr>
          <w:rFonts w:eastAsia="IRNazanin" w:cs="IRNazanin"/>
          <w:color w:val="111111"/>
          <w:sz w:val="28"/>
          <w:szCs w:val="28"/>
          <w:rtl w:val="true"/>
          <w:lang w:bidi="fa-IR"/>
        </w:rPr>
        <w:t>.</w:t>
      </w:r>
    </w:p>
    <w:p>
      <w:pPr>
        <w:pStyle w:val="Heading5"/>
        <w:numPr>
          <w:ilvl w:val="4"/>
          <w:numId w:val="1"/>
        </w:numPr>
        <w:rPr/>
      </w:pPr>
      <w:bookmarkStart w:id="767" w:name="__RefHeading___Toc2527568_3224264995"/>
      <w:bookmarkStart w:id="768" w:name="_Toc284"/>
      <w:bookmarkEnd w:id="767"/>
      <w:r>
        <w:rPr>
          <w:rtl w:val="true"/>
        </w:rPr>
        <w:t>[</w:t>
      </w:r>
      <w:r>
        <w:rPr>
          <w:rtl w:val="true"/>
        </w:rPr>
        <w:t>الأخبار المستدلّ بها علی حجّیة الخبر الواحد</w:t>
      </w:r>
      <w:r>
        <w:rPr>
          <w:rtl w:val="true"/>
        </w:rPr>
        <w:t>]</w:t>
      </w:r>
      <w:bookmarkEnd w:id="76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السنّة فطوائف من الأخبار</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علی حجّیة خبر الواحد بهذه الأخبار إنّما یتوقّف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إثبات دلالتها علی حجّیة الخبر الواحد مطلقا و لو لم یفد العلم، و دفع موهمات منع دلالتها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إثبات حجّیة تلک الأخبار، و دفع توهّم لزوم المصادرة و الدور من الاستدلال بالأخبار علی حجّیة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تعیین مدلولها کمّیة دلالتها و کیفیة الجمع بینها، مع شدّة الاختلاف بین ظواهرها من جهة الإطلاق و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أذن فی مقدّمات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المقدّمة الاولی فتحقیق الکلام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الظاهر الواضح دلالة کلّ طائفة من الطوائف الأربع علی حجّیة الخبر فی الجملة حسبما تکفّله المتن</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غایة ما یتوهّم هو الإیراد علی الطائفة الاولی بعدم إطلاقها بورودها مورد بیان حکم آخر، و هو السؤال عن المرجّح بین مفروضی الحجّیة لا السؤل عن الحجّیة، و حینئذ فیحتمل أن یکون السؤال عن خصوص مفروضی الحجّیة بالتواتر، أو الاحتفاف بقرائن الصدق، دون مطلق الخبر</w:t>
      </w:r>
      <w:r>
        <w:rPr>
          <w:rFonts w:eastAsia="IRNazanin" w:cs="IRNazanin"/>
          <w:color w:val="111111"/>
          <w:sz w:val="28"/>
          <w:szCs w:val="28"/>
          <w:rtl w:val="true"/>
          <w:lang w:bidi="fa-IR"/>
        </w:rPr>
        <w:t xml:space="preserve">. </w:t>
      </w:r>
      <w:bookmarkStart w:id="769" w:name="pg12850_121440"/>
    </w:p>
    <w:p>
      <w:pPr>
        <w:pStyle w:val="BookText"/>
        <w:rPr/>
      </w:pPr>
      <w:bookmarkEnd w:id="769"/>
      <w:r>
        <w:rPr>
          <w:rFonts w:ascii="IRNazanin" w:hAnsi="IRNazanin" w:eastAsia="IRNazanin"/>
          <w:color w:val="111111"/>
          <w:sz w:val="28"/>
          <w:sz w:val="28"/>
          <w:szCs w:val="28"/>
          <w:rtl w:val="true"/>
          <w:lang w:bidi="fa-IR"/>
        </w:rPr>
        <w:t>و لکن یدفع هذا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ندوره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الاستفصال فی جواب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الإیراد علی کلّ من سائر الطوائف الأخر بانصراف إطلاقها إلی إرادة بیان حجّیة فتوی الفقیه، لا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ندور الفتوی بالنسبة إلی الصحابة و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الأسئلة، و ترک الاستفصال فی جوابها، مع عموم بعضها الآبی عن الانصراف؛ فإنّ الانصراف من خصائص الإطلاق فلا یطرأ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الثانیة فتحقیق الکلام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أیضا فی حجّیة هذا المقدار من طوائف الأخبار، لکن لا بمجرّد دعوی تواترها فی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نقل التواتر و إن قلنا بحجّیته کنقل الإجماع المنقول إلّا أنّ حجّیة نقله لمّا کان راجعا إلی حجّیة نقل الخبر و مبنیّا علیه لا جرم کان الاستدلال بها علی حجّیة نقل الخبر أیضا راجعا إلی الدور و المصادرة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إنّما هو إمّا لتحقّق تواترها محصّلا، نظرا إلی أنّ مجموعها بل کلّ طائفة منها فضلا عن المجموع بالغ فی الکثرة مبلغ ما یفید بنفسه العلم بصدقه، ثمّ البالغ منها فی الکثرة حدّ التواتر إن کان دلالته علی حجّیة خبر الواحد بالمطابقة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کأخبار 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تواتره لفظیا، و إلّا بأن کان دلالته علیه بالتضمّن أو 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کأخبار سائر الطوائف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تواتره معنویا، کما سبق وجهه فی مبحث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لتحقّق العلم بحجّیتها من القرائن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کشهرة و 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من الآحاد المحفوفة بقرائن العلم بالصدور حینئذ</w:t>
      </w:r>
      <w:r>
        <w:rPr>
          <w:rFonts w:eastAsia="IRNazanin" w:cs="IRNazanin"/>
          <w:color w:val="111111"/>
          <w:sz w:val="28"/>
          <w:szCs w:val="28"/>
          <w:rtl w:val="true"/>
          <w:lang w:bidi="fa-IR"/>
        </w:rPr>
        <w:t>.</w:t>
      </w:r>
    </w:p>
    <w:p>
      <w:pPr>
        <w:pStyle w:val="Heading5"/>
        <w:numPr>
          <w:ilvl w:val="4"/>
          <w:numId w:val="1"/>
        </w:numPr>
        <w:rPr/>
      </w:pPr>
      <w:bookmarkStart w:id="770" w:name="__RefHeading___Toc2527570_3224264995"/>
      <w:bookmarkStart w:id="771" w:name="_Toc285"/>
      <w:bookmarkEnd w:id="770"/>
      <w:r>
        <w:rPr>
          <w:rtl w:val="true"/>
        </w:rPr>
        <w:t>[</w:t>
      </w:r>
      <w:r>
        <w:rPr>
          <w:rtl w:val="true"/>
        </w:rPr>
        <w:t>فی حدّ مدلول الأخبار الدالّة علی حجّیة الخبر و الأقوال فیه</w:t>
      </w:r>
      <w:r>
        <w:rPr>
          <w:rtl w:val="true"/>
        </w:rPr>
        <w:t>]</w:t>
      </w:r>
      <w:bookmarkEnd w:id="771"/>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المقدّمة الثالثة فتفصیل الکلام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الأخبار المعتبرة للأخبار مختلف من حیث تعیین المقدار المعتبر منها، و علی حسب اختلافها اختلفت الأقوال فی المضمار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فعن بعضهم کالمعالم القول بتخصیص حجّیة الأخبار بخبر العدل الواقعیّ</w:t>
      </w:r>
      <w:r>
        <w:rPr>
          <w:rStyle w:val="FootnoteAnchor"/>
          <w:rtl w:val="true"/>
        </w:rPr>
        <w:footnoteReference w:id="526"/>
      </w:r>
      <w:r>
        <w:rPr>
          <w:rFonts w:ascii="IRNazanin" w:hAnsi="IRNazanin" w:eastAsia="IRNazanin"/>
          <w:color w:val="111111"/>
          <w:sz w:val="28"/>
          <w:sz w:val="28"/>
          <w:szCs w:val="28"/>
          <w:rtl w:val="true"/>
          <w:lang w:bidi="fa-IR"/>
        </w:rPr>
        <w:t>، أو من أخبر العدلان بعدالته، و هو المعبّر عنه بالصحیح الأعلائی، و هو مع مخالفته المشهور بل المتّفق علیه المتأخّرون مبنیّ علی تقیید جمیع أدلّة اعتبار الخبر من الأخبار و الآیات بمفهوم آیة النبأ</w:t>
      </w:r>
      <w:r>
        <w:rPr>
          <w:rStyle w:val="FootnoteAnchor"/>
          <w:rtl w:val="true"/>
        </w:rPr>
        <w:footnoteReference w:id="527"/>
      </w:r>
      <w:r>
        <w:rPr>
          <w:rFonts w:ascii="IRNazanin" w:hAnsi="IRNazanin" w:eastAsia="IRNazanin"/>
          <w:color w:val="111111"/>
          <w:sz w:val="28"/>
          <w:sz w:val="28"/>
          <w:szCs w:val="28"/>
          <w:rtl w:val="true"/>
          <w:lang w:bidi="fa-IR"/>
        </w:rPr>
        <w:t>، و بمنطوق غیرها من بعض الاخبار، و سیأتی بیان فساد هذا المبنی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بعضهم الآخر کالمدارک التعدّی عنه إلی إلحاق خبر من عدّله بعض أهل الرجال، و هو المعبّر عنه بالصحیح المشهوری، أعنی الصحیح عند المشهور، و مبناه القول بحجّیة قول أهل الخبرة من دون اعتبار العدالة أو التعدّد أو کلاهما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ثالث التعدّی عن ذلک أیضا إلی إلحاق خبر الحسن، أعنی الإمامیّ الممدوح، و مبناه تفسیر العدالة بحسن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رابع کالماتن قدّس سرّه تخصیص یفترق به عن تخصیص المعالم بالعموم من وجه، و هو تخصیص الحجّیة بالخیر الموثّق المفید للظن الاطمئنانی</w:t>
      </w:r>
      <w:r>
        <w:rPr>
          <w:rStyle w:val="FootnoteAnchor"/>
          <w:rtl w:val="true"/>
        </w:rPr>
        <w:footnoteReference w:id="528"/>
      </w:r>
      <w:r>
        <w:rPr>
          <w:rFonts w:ascii="IRNazanin" w:hAnsi="IRNazanin" w:eastAsia="IRNazanin"/>
          <w:color w:val="111111"/>
          <w:sz w:val="28"/>
          <w:sz w:val="28"/>
          <w:szCs w:val="28"/>
          <w:rtl w:val="true"/>
          <w:lang w:bidi="fa-IR"/>
        </w:rPr>
        <w:t>، الخارج احتمال خلافه عن الاحتمالات العقلائیة إلی السوداویة، استظهارا لذلک من تقیید أکثر الأخبار المعتبرة للإخبار بلفظ الثقة، و المأمون، و الصادق، و حملا لکون المراد من العدالة فی مفهوم آیة النبأ</w:t>
      </w:r>
      <w:r>
        <w:rPr>
          <w:rStyle w:val="FootnoteAnchor"/>
          <w:rtl w:val="true"/>
        </w:rPr>
        <w:footnoteReference w:id="529"/>
      </w:r>
      <w:r>
        <w:rPr>
          <w:rFonts w:ascii="IRNazanin" w:hAnsi="IRNazanin" w:eastAsia="IRNazanin"/>
          <w:color w:val="111111"/>
          <w:sz w:val="28"/>
          <w:sz w:val="28"/>
          <w:szCs w:val="28"/>
          <w:rtl w:val="true"/>
          <w:lang w:bidi="fa-IR"/>
        </w:rPr>
        <w:t>و غیرها بملاحظة التعلیل و التصریح بخلافها فی أکثر الأخبار هو الوثاقة و الاطمئنان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سیأتی من منع ظهور ما استظهره، بل و ظهور خلافه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خامس التعدّی عن ذلک إلی إلحاق مطلق خبر الموثّق أخذا بإطلاق الوثاقة و الأمانة و الصداقة فی المخبر</w:t>
      </w:r>
      <w:r>
        <w:rPr>
          <w:rFonts w:eastAsia="IRNazanin" w:cs="IRNazanin"/>
          <w:color w:val="111111"/>
          <w:sz w:val="28"/>
          <w:szCs w:val="28"/>
          <w:rtl w:val="true"/>
          <w:lang w:bidi="fa-IR"/>
        </w:rPr>
        <w:t xml:space="preserve">. </w:t>
      </w:r>
      <w:bookmarkStart w:id="772" w:name="pg12850_121442"/>
    </w:p>
    <w:p>
      <w:pPr>
        <w:pStyle w:val="BookText"/>
        <w:rPr/>
      </w:pPr>
      <w:bookmarkEnd w:id="772"/>
      <w:r>
        <w:rPr>
          <w:rFonts w:ascii="IRNazanin" w:hAnsi="IRNazanin" w:eastAsia="IRNazanin"/>
          <w:color w:val="111111"/>
          <w:sz w:val="28"/>
          <w:sz w:val="28"/>
          <w:szCs w:val="28"/>
          <w:rtl w:val="true"/>
          <w:lang w:bidi="fa-IR"/>
        </w:rPr>
        <w:t>و عن المشهور التعدّی عن ذلک أیضا إلی إلحاق الضعیف المنجبر بالشهرة، استنادا إلی منطوق آیة النبأ، بناء علی ما هو الظاهر من کون المراد من التبیّن فی خبر الفاسق هو التبین الظنّی لا خصوص العلمی</w:t>
      </w:r>
      <w:r>
        <w:rPr>
          <w:rFonts w:eastAsia="IRNazanin" w:cs="IRNazanin"/>
          <w:color w:val="111111"/>
          <w:sz w:val="28"/>
          <w:szCs w:val="28"/>
          <w:rtl w:val="true"/>
          <w:lang w:bidi="fa-IR"/>
        </w:rPr>
        <w:t>.</w:t>
      </w:r>
    </w:p>
    <w:p>
      <w:pPr>
        <w:pStyle w:val="Heading5"/>
        <w:numPr>
          <w:ilvl w:val="4"/>
          <w:numId w:val="1"/>
        </w:numPr>
        <w:rPr/>
      </w:pPr>
      <w:bookmarkStart w:id="773" w:name="__RefHeading___Toc2527572_3224264995"/>
      <w:bookmarkStart w:id="774" w:name="_Toc286"/>
      <w:bookmarkEnd w:id="773"/>
      <w:r>
        <w:rPr>
          <w:rtl w:val="true"/>
        </w:rPr>
        <w:t>[</w:t>
      </w:r>
      <w:r>
        <w:rPr>
          <w:rtl w:val="true"/>
        </w:rPr>
        <w:t>صاحب العوائد فی مدلول الأخبار</w:t>
      </w:r>
      <w:r>
        <w:rPr>
          <w:rtl w:val="true"/>
        </w:rPr>
        <w:t>]</w:t>
      </w:r>
      <w:bookmarkEnd w:id="774"/>
    </w:p>
    <w:p>
      <w:pPr>
        <w:pStyle w:val="BookText"/>
        <w:rPr/>
      </w:pPr>
      <w:r>
        <w:rPr>
          <w:rFonts w:ascii="IRNazanin" w:hAnsi="IRNazanin" w:eastAsia="IRNazanin"/>
          <w:color w:val="111111"/>
          <w:sz w:val="28"/>
          <w:sz w:val="28"/>
          <w:szCs w:val="28"/>
          <w:rtl w:val="true"/>
          <w:lang w:bidi="fa-IR"/>
        </w:rPr>
        <w:t>و عن العوائد التعدّی عن جمیع ذلک إلی اعتبار مطلق خبر الامامیّ</w:t>
      </w:r>
      <w:r>
        <w:rPr>
          <w:rStyle w:val="FootnoteAnchor"/>
          <w:rtl w:val="true"/>
        </w:rPr>
        <w:footnoteReference w:id="530"/>
      </w:r>
      <w:r>
        <w:rPr>
          <w:rFonts w:ascii="IRNazanin" w:hAnsi="IRNazanin" w:eastAsia="IRNazanin"/>
          <w:color w:val="111111"/>
          <w:sz w:val="28"/>
          <w:sz w:val="28"/>
          <w:szCs w:val="28"/>
          <w:rtl w:val="true"/>
          <w:lang w:bidi="fa-IR"/>
        </w:rPr>
        <w:t>، أعمّ من کونه مفیدا للظنّ الاطمئنانی أو لمطلق الظن، بل و من کون المظنون هو صدوره أو مضمونه، و هو قریب من مذهب الحشویّة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فرقة من العامّة قائلون باعتبار مطلق الخبر سواء کان من إمامیّ أو غیر إمامیّ، بل و سواء کان مظنون الصدور أو المضمون أم لم یکن مظنونا 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مبناهم کون الغالب فی إخبار المخبرین الصدق، و الظنّ یلحق المشکوک بالأعمّ الأغلب،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لحکم القوّة العاقلة و بناء العقلاء، و إمّا لفحوی اعتبار الشارع الغلبة فی الید و السوق و غیرهما من الموضوعات الصرفة بقوله علیه السّلام</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غلبة صدق المخبرین علی تقدیر تسلیمها و تسلیم حجّیتها قد خصّصت حجّیتها بمنطوق آیة النبأ، فإنّه و إن سلّمنا دلالته علی اعتبار الخبر إلّا أنّ قضیة اشتراطه اعتبار خبر الفاسق بالتبیّن هو عدم حجّیة خبر الفاسق قبله، و کذا قضیة تعلیله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لا تصیبوا قوما بجهالة فتصبحوا علی ما فعلتم نادمین</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 و تعلیل اعتبار قول بعض الرواة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الثقة الأمین</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صفات القاضی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 فیها الثقة المأمون</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تنصیصه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تأخذنّ معالم دینک من غیر شیعتنا</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و تشبیهه المقلّدة لفسّاق الفقهاء بالیهود الذین ذمّهم اللّه تعالی بالتقلید بفسقة فقهائهم،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تقبلوا منهم عنّا شیئا و لا کرامة</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فإن کلّ واحد من تلک التعلیلات و التصریحات و التشبیهات و غیرها من الإجماع و تدوین الکتب الرجالیة شاهد صریح أو کالصریح فی عدم حجّیة الأخبار بالجملة،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العوائد و إن قرب فی اعتبار الأخبار إلی مذهب الحشویّة</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افترق عنهم باستثناء خبر غیر الإمامی، و لعلّه 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تأخذنّ معالم دینک من غیر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باستثناء ما إذا أخبر به الإمامی لکن علی وجه ضعّفه، و لعلّه لأجل رجوع التضعیف إلی المعارضة و قبح الترجیح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باستثناء ما لم یکن صدوره و لا مضمونه مظنونا کالمشکوک الصرف، و لعلّه لأجل تعلیل اعتبار الروایة فی بعض الأخبار بوثاقة راویها و أمانته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مجمل مسلک صاحب العوائد فی العمل بالأخبار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تفصیله المحکی عنه هو نفی البأس أولا عن العمل بالأخبار حتی علی القول بعدم حجّیتها، ثمّ الترقّی عنه إلی القول بحجّیتها فی الجملة، ثمّ الترقّی عنه إلی القول بحجّیتها بالجملة، إلّا ما استثنی من الصور الثلاث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محتجّا علی هذا التفصیل بأنّ العمل بالأخبار إمّا أن یکون من الوقائع الخالیة عن حکم فی الواقع کفعل البهائم، أو ممّا لا یخلو عن حکم فی الواقع</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نفی البأس عن العمل بها علی الأول فواضح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علی الثانی فلأنّ الحکم المفروض له فی الواقع إمّا أن یکون معلوما لنا، أو غیر معلوم، و الأول مفروض العدم لتحقّق الخلاف فیه بیننا، و الثانی لا یخلو بحسب الواقع إمّا أن یکون المرجع فیه إلی أحد الأحکام الظاهریة المأخوذة من أحد الاصول الأربعة، أعنی البراءة، أو الاباحة، أو التخییر، أو الاحتیاط، و إمّا أن یکون المرجع فیه إلی أحد الأحکام الواقعیة المستفادة من أحد الأدلّة الأربعة، أعنی الکتاب، أو السنّة، أو الإجماع، أو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فلأنّه و إن لم یکن لخصوص الاحتیاط من الاصول الأربعة مرجعیة فی واقعة العمل بالأخبار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إلی عدم إمکان الاحتیاط فی ما کان أمره دائرا بین الواجب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لکل من سائر الاصول الأربعة من البراءة، و الإباحة، و التخییر مرجعیة تقتضی نفی البأس عن العمل بالأخبار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 فلأنّ مقتضی طریقیة کلّ واحد من الأدلّة الأربعة هو نفی البأس عن العمل بالأخبار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السنّة فللأخبار المتواترة الظاهرة، بل الصریحة جلّها، أو کلّها فی جواز العمل بالأخبار من غیر معارض لها، سوی ما یتوهّم من الخدشة فی تواترها أو دلالتها بما لم یعبأ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الکتاب فلآیة النبأ و الانذار و السؤال بالتقریبات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الإجماع فإن لم ندّع المحصّل منه علی جواز العمل بالأخبار فقد کفانا المنقول منه، بما یقرب نقله حدّ التواتر فی الکثرة فضلا عن الاستفاضة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معارضتها لنقل السیّد الإجماع علی المنع مدفوع بعدم صلوح نقله للمعارضة؛ لأنّه قاتل نفسه، و یلزم من وجوده عدمه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العقل فبتقریر دلیل الانسداد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المحصّل المحکی من </w:t>
      </w:r>
    </w:p>
    <w:p>
      <w:pPr>
        <w:pStyle w:val="BookText"/>
        <w:rPr/>
      </w:pPr>
      <w:r>
        <w:rPr>
          <w:rFonts w:ascii="IRNazanin" w:hAnsi="IRNazanin" w:eastAsia="IRNazanin"/>
          <w:color w:val="111111"/>
          <w:sz w:val="28"/>
          <w:sz w:val="28"/>
          <w:szCs w:val="28"/>
          <w:rtl w:val="true"/>
          <w:lang w:bidi="fa-IR"/>
        </w:rPr>
        <w:t>کلامه</w:t>
      </w:r>
      <w:r>
        <w:rPr>
          <w:rStyle w:val="FootnoteAnchor"/>
          <w:rtl w:val="true"/>
        </w:rPr>
        <w:footnoteReference w:id="537"/>
      </w:r>
      <w:r>
        <w:rPr>
          <w:rFonts w:ascii="IRNazanin" w:hAnsi="IRNazanin" w:eastAsia="IRNazanin"/>
          <w:color w:val="111111"/>
          <w:sz w:val="28"/>
          <w:sz w:val="28"/>
          <w:szCs w:val="28"/>
          <w:rtl w:val="true"/>
          <w:lang w:bidi="fa-IR"/>
        </w:rPr>
        <w:t>، مع زیادة تنقیح و 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محلّ النزاع فی العمل بالأخبار لیس فی العمل بها من حیث إنّه عمل مع الإغماض عن استلزامه تفویت واقع، أو طرح أصل، و لا فی العمل بها من حیث رجاء إدراک الواقع حتی یکون الأصل إباحة العمل بها حتی علی القول بعدم حجّیتها، بل محلّ النزاع إنّما هو فی العمل بها من حیث إنّه حکم به الشارع، أو من حیث إنّ مؤدّاها هو الواقع، أو من حیث استلزامه تفویت واقع، أو طرح أصل واجب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الأصل فی حجّیة العمل بأیّ واحد من هذه المعانی هو عدم الحجّیة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الأصل عدم حجّیة العمل بها فلا یخلو إمّا أن نقول بانسداد باب العلم بالأحکام الواقعیّة و الظاهریّة، أو بانفتاح باب العلم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فهو و إن جاز العمل بالأخبار إلّا أنّه لا وجه لتخصیص الجواز بالعمل بها، بل یجوز العمل بمطلق الظنّ حتی بالشهرة و المنام و نحوهما، بل و لا لتخصیصه جواز العمل ببعضها دون بعض، بل یجوز العمل بمطلق الأخبار حتی بالتی استثناها من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 فلأنّا و إن لم ننکر دلالة کلّ من الکتاب و السنّة و الإجماع علی حجّیة أخبار الآحاد، إلّا أنّه لیس فی شی‌ء من أنواع الأدلّة الثلاثة ما یدلّ علی حجّیة الأخبار بالجملة إلّا ما أخرجه الدلیل من إجماع و نحوه، بل المحصّل من کلّ واحد منها هو الدلالة علی حجّیتها فی الجملة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الإجماعات المحکیة فلأنّها لبّیة، و المتیقّن منها هو الحجّیة فی الجملة، لا بالجملة کما فی سائر اللبّیات، مضافا إلی أنّ تدوین الکتب الرجالیة و غیرها من التصریحات و التلویحات أقوی شاهد علی تحصیل الإجماع علی عدم </w:t>
      </w:r>
      <w:bookmarkStart w:id="775" w:name="pg12850_121446"/>
    </w:p>
    <w:p>
      <w:pPr>
        <w:pStyle w:val="BookText"/>
        <w:rPr/>
      </w:pPr>
      <w:bookmarkEnd w:id="775"/>
      <w:r>
        <w:rPr>
          <w:rFonts w:ascii="IRNazanin" w:hAnsi="IRNazanin" w:eastAsia="IRNazanin"/>
          <w:color w:val="111111"/>
          <w:sz w:val="28"/>
          <w:sz w:val="28"/>
          <w:szCs w:val="28"/>
          <w:rtl w:val="true"/>
          <w:lang w:bidi="fa-IR"/>
        </w:rPr>
        <w:t>حجّیتها بالجملة إلّا ما اخرج بالدلیل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الآیات فأوضحها دلالة علی حجّیة الأخبار آیة النبأ</w:t>
      </w:r>
      <w:r>
        <w:rPr>
          <w:rStyle w:val="FootnoteAnchor"/>
          <w:rtl w:val="true"/>
        </w:rPr>
        <w:footnoteReference w:id="538"/>
      </w:r>
      <w:r>
        <w:rPr>
          <w:rFonts w:ascii="IRNazanin" w:hAnsi="IRNazanin" w:eastAsia="IRNazanin"/>
          <w:color w:val="111111"/>
          <w:sz w:val="28"/>
          <w:sz w:val="28"/>
          <w:szCs w:val="28"/>
          <w:rtl w:val="true"/>
          <w:lang w:bidi="fa-IR"/>
        </w:rPr>
        <w:t>، و قد تقیّد منطوقها الدالّ علی حجّیة الأخبار بالخبر المتبیّن، و کذا منصرف غیرها، مضافا إلی أنّ تطلیق المقیّد منها لیس بأولی من العکس</w:t>
      </w:r>
      <w:r>
        <w:rPr>
          <w:rFonts w:eastAsia="IRNazanin" w:cs="IRNazanin"/>
          <w:color w:val="111111"/>
          <w:sz w:val="28"/>
          <w:szCs w:val="28"/>
          <w:rtl w:val="true"/>
          <w:lang w:bidi="fa-IR"/>
        </w:rPr>
        <w:t>.</w:t>
      </w:r>
    </w:p>
    <w:p>
      <w:pPr>
        <w:pStyle w:val="Heading5"/>
        <w:numPr>
          <w:ilvl w:val="4"/>
          <w:numId w:val="1"/>
        </w:numPr>
        <w:rPr/>
      </w:pPr>
      <w:bookmarkStart w:id="776" w:name="__RefHeading___Toc2527574_3224264995"/>
      <w:bookmarkStart w:id="777" w:name="_Toc287"/>
      <w:bookmarkEnd w:id="776"/>
      <w:r>
        <w:rPr>
          <w:rtl w:val="true"/>
        </w:rPr>
        <w:t>[</w:t>
      </w:r>
      <w:r>
        <w:rPr>
          <w:rtl w:val="true"/>
        </w:rPr>
        <w:t>تقیّد أکثر الأخبار بالوثاقة و نحوها</w:t>
      </w:r>
      <w:r>
        <w:rPr>
          <w:rtl w:val="true"/>
        </w:rPr>
        <w:t>]</w:t>
      </w:r>
      <w:bookmarkEnd w:id="777"/>
    </w:p>
    <w:p>
      <w:pPr>
        <w:pStyle w:val="BookText"/>
        <w:rPr/>
      </w:pPr>
      <w:r>
        <w:rPr>
          <w:rFonts w:ascii="IRNazanin" w:hAnsi="IRNazanin" w:eastAsia="IRNazanin"/>
          <w:color w:val="111111"/>
          <w:sz w:val="28"/>
          <w:sz w:val="28"/>
          <w:szCs w:val="28"/>
          <w:rtl w:val="true"/>
          <w:lang w:bidi="fa-IR"/>
        </w:rPr>
        <w:t>و أمّا الأخبار فلأنّ بعضها و إن کان مطلقا إلّا أنّ أکثرها مقیّدة بالوثاقة، أو الأمانة، أو الصداقة، أو العدالة، و تطلیق المقیّد منها لیس بأولی من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الأخبار فلأنّ بعضها و إن کان مطلقا إلّا أنّ أکثرها مقیّدة بالوثاقة، أو الأمانة، أو الصداقة، أو العدالة، و تطلیق المقیّد منها لیس بأولی من العکس</w:t>
      </w:r>
      <w:r>
        <w:rPr>
          <w:rFonts w:eastAsia="IRNazanin" w:cs="IRNazanin"/>
          <w:color w:val="111111"/>
          <w:sz w:val="28"/>
          <w:szCs w:val="28"/>
          <w:rtl w:val="true"/>
          <w:lang w:bidi="fa-IR"/>
        </w:rPr>
        <w:t>.</w:t>
      </w:r>
    </w:p>
    <w:p>
      <w:pPr>
        <w:pStyle w:val="Heading5"/>
        <w:numPr>
          <w:ilvl w:val="4"/>
          <w:numId w:val="1"/>
        </w:numPr>
        <w:rPr/>
      </w:pPr>
      <w:bookmarkStart w:id="778" w:name="__RefHeading___Toc2527576_3224264995"/>
      <w:bookmarkStart w:id="779" w:name="_Toc288"/>
      <w:bookmarkEnd w:id="778"/>
      <w:r>
        <w:rPr>
          <w:rtl w:val="true"/>
        </w:rPr>
        <w:t>[</w:t>
      </w:r>
      <w:r>
        <w:rPr>
          <w:rtl w:val="true"/>
        </w:rPr>
        <w:t>الردّ علی دعوی صاحب المعالم فی حجّیة الخبر</w:t>
      </w:r>
      <w:r>
        <w:rPr>
          <w:rtl w:val="true"/>
        </w:rPr>
        <w:t>]</w:t>
      </w:r>
      <w:bookmarkEnd w:id="779"/>
    </w:p>
    <w:p>
      <w:pPr>
        <w:pStyle w:val="BookText"/>
        <w:rPr/>
      </w:pPr>
      <w:r>
        <w:rPr>
          <w:rFonts w:ascii="IRNazanin" w:hAnsi="IRNazanin" w:eastAsia="IRNazanin"/>
          <w:color w:val="111111"/>
          <w:sz w:val="28"/>
          <w:sz w:val="28"/>
          <w:szCs w:val="28"/>
          <w:rtl w:val="true"/>
          <w:lang w:bidi="fa-IR"/>
        </w:rPr>
        <w:t>هذا، و لکن لا نقول بمقالة صاحب المعالم من تقیید جمیع مطلقات حجّیة الأخبار بخصوص خبر العادل</w:t>
      </w:r>
      <w:r>
        <w:rPr>
          <w:rStyle w:val="FootnoteAnchor"/>
          <w:rtl w:val="true"/>
        </w:rPr>
        <w:footnoteReference w:id="539"/>
      </w:r>
      <w:r>
        <w:rPr>
          <w:rFonts w:ascii="IRNazanin" w:hAnsi="IRNazanin" w:eastAsia="IRNazanin"/>
          <w:color w:val="111111"/>
          <w:sz w:val="28"/>
          <w:sz w:val="28"/>
          <w:szCs w:val="28"/>
          <w:rtl w:val="true"/>
          <w:lang w:bidi="fa-IR"/>
        </w:rPr>
        <w:t>الواقعی، أو من أخبر عدلان بعدالته،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مخالفته عمل المشهور من الخلف و السلف بل الإجماع و إلی استلزامه سدّ باب العمل بالأخبار کلّا، أو جلّا إلّا للأوحدیّین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علیه فی شی‌ء من الآثار و الأخبار المذکورة فی المضمار، سوی ما یوهمه مفهوم آیة النبأ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وهمه،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مفهوم الفاسق لا یختصّ بالعادل الواقعیّ أو من أخبر العدلان بعدالته، بل مفهوم الفاسق هو غیر الفاسق، و هو أعمّ من العادل و غیره؛ و ذلک لثبوت الواسطة بین العادل و الفاسق، لکن لا بمجهول الحال حتی یندفع وساطته بینهما فی مرحلة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منصرف الإطلاقات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إنّما هو بالعاری عن کلّ من ملکتی الفسق و العدالة إن کان الفاسق کالعادل عبارة عن ذی الملکة، و إلّا فبالمراهق للبلوغ، بل و بالبالغ الغیر المرتکب شیئا من الکبائر بعد و لو لم یحصل له ملکة العدالة أیضا</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فی منطوق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أقوی دلالة من مفهومها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فی کثیر من الأخبار، التصریح بخلافه، مثل روایة العدّة الآمرة بالأخذ بما رووه العامّة </w:t>
      </w:r>
      <w:bookmarkStart w:id="780" w:name="pg12850_121447"/>
    </w:p>
    <w:p>
      <w:pPr>
        <w:pStyle w:val="BookText"/>
        <w:rPr/>
      </w:pPr>
      <w:bookmarkEnd w:id="780"/>
      <w:r>
        <w:rPr>
          <w:rFonts w:ascii="Amiri" w:hAnsi="Amiri" w:eastAsia="Amiri" w:cs="Amiri"/>
          <w:color w:val="111111"/>
          <w:sz w:val="28"/>
          <w:sz w:val="28"/>
          <w:szCs w:val="28"/>
          <w:rtl w:val="true"/>
          <w:lang w:bidi="ar-SA"/>
        </w:rPr>
        <w:t>عن علیّ</w:t>
      </w:r>
      <w:r>
        <w:rPr>
          <w:rStyle w:val="FootnoteAnchor"/>
          <w:rtl w:val="true"/>
        </w:rPr>
        <w:footnoteReference w:id="540"/>
      </w:r>
      <w:r>
        <w:rPr>
          <w:rFonts w:ascii="IRNazanin" w:hAnsi="IRNazanin" w:eastAsia="IRNazanin"/>
          <w:color w:val="111111"/>
          <w:sz w:val="28"/>
          <w:sz w:val="28"/>
          <w:szCs w:val="28"/>
          <w:rtl w:val="true"/>
          <w:lang w:bidi="fa-IR"/>
        </w:rPr>
        <w:t>، و الواردة فی کتب بنی فضّال</w:t>
      </w:r>
      <w:r>
        <w:rPr>
          <w:rStyle w:val="FootnoteAnchor"/>
          <w:rtl w:val="true"/>
        </w:rPr>
        <w:footnoteReference w:id="541"/>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بعض الأخبار ما یدلّ علی حجّیة قول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منافاته لسائر الأخبار الدالّة علی حجّیة قول الفاسق الموثّق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اعتبار العدالة فی المقلّد، لا الراوی</w:t>
      </w:r>
      <w:r>
        <w:rPr>
          <w:rFonts w:eastAsia="IRNazanin" w:cs="IRNazanin"/>
          <w:color w:val="111111"/>
          <w:sz w:val="28"/>
          <w:szCs w:val="28"/>
          <w:rtl w:val="true"/>
          <w:lang w:bidi="fa-IR"/>
        </w:rPr>
        <w:t>.</w:t>
      </w:r>
    </w:p>
    <w:p>
      <w:pPr>
        <w:pStyle w:val="Heading5"/>
        <w:numPr>
          <w:ilvl w:val="4"/>
          <w:numId w:val="1"/>
        </w:numPr>
        <w:rPr/>
      </w:pPr>
      <w:bookmarkStart w:id="781" w:name="__RefHeading___Toc2527578_3224264995"/>
      <w:bookmarkStart w:id="782" w:name="_Toc289"/>
      <w:bookmarkEnd w:id="781"/>
      <w:r>
        <w:rPr>
          <w:rtl w:val="true"/>
        </w:rPr>
        <w:t>[</w:t>
      </w:r>
      <w:r>
        <w:rPr>
          <w:rtl w:val="true"/>
        </w:rPr>
        <w:t>اشارة إلی عدم اعتبار الایمان فی العدالة المعتبرة فی الراوی</w:t>
      </w:r>
      <w:r>
        <w:rPr>
          <w:rtl w:val="true"/>
        </w:rPr>
        <w:t>]</w:t>
      </w:r>
      <w:bookmarkEnd w:id="782"/>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اعتبار عدالة الراوی فی قبول روایته، إلّا أنّه لا دلیل علی اشتراط الإیمان فی تحقّق العدالة، إلّا فی بعض الموارد الخاصّة بدلیل خاصّ، کما فی إمام الجماعة، و قضاء الشهادات، بل یکفی فی تحقّقها فی ما عدا المخرج بدلیل خاصّ مجرّد الإسلام مع اجتناب الکبائر و لو من دون إیمان، سیما إذا استند عدم الإیمان إلی القصور لا التقصیر، کما لا یبعد احتماله فی حقّ بعض الثقات من رواة الأفطحیّة و الواقفیّة و الزیدیّة من الأوحدین بالزهد و التقوی إن لم یحتمل فی حقّ کلّهم؛ نظرا إلی أصالة الصحّة فی أفعال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النقض المحکی عن العلّامة بأنّه و أیّ ذنب أعظم من عدم الإیمان</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فمضافا إلی مخالفته لمن عداه ظاهر فی إرادة المستند إلی التقصیر لا القصور، و ما ذکرنا هو المظنون فی معنی العدالة التی هی من الموضوعات المستنبطة المتّفق علی کفایة مطلق الظنّ فی إثباتها</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اعتبار عدالة الراوی بالمعنی الأخصّ فی قبول روایته، إلّا أنّه لا دلیل علی اعتبار عدالة المعدّل بهذا المعنی، و لا علی اعتبار التعدّد فی قبول تعدیله الراوی، إلّا فی المخرج بالدلیل کمورد تعدیل الشاهد، بل یکفی فی تعدیل الراوی إخبار عدل واحد، بل مطلق أهل الخبرة و إن لم یکن عدلا، اقتصارا علی </w:t>
      </w:r>
    </w:p>
    <w:p>
      <w:pPr>
        <w:pStyle w:val="BookText"/>
        <w:rPr/>
      </w:pPr>
      <w:r>
        <w:rPr>
          <w:rFonts w:ascii="IRNazanin" w:hAnsi="IRNazanin" w:eastAsia="IRNazanin"/>
          <w:color w:val="111111"/>
          <w:sz w:val="28"/>
          <w:sz w:val="28"/>
          <w:szCs w:val="28"/>
          <w:rtl w:val="true"/>
          <w:lang w:bidi="fa-IR"/>
        </w:rPr>
        <w:t>المورد المتیقّن من اعتبار التعدّد و العدالة فی المعدّل، و الرجوع فی ما عداه إلی الإطلاق بناء ما قرّر فی العامّ المخصّص بالمجمل الحکمیّ قدرا من الاقتصار فی مخصّصیّته علی القدر المتیقّن، و حکومة العموم علی الإجمال فی ما عداه، کما استقربناه فی محلّه، تبعا لاستاذنا العلّامة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اشتراط التعدّد و العدالة بالمعنی الاخصّ فی مطلق المعدّل إلّا أنّ الغالب بالنسبة إلینا معاشر المتأخّرین عدم تمکّننا عادة من تعدیل رواة أخبارنا، المحتاجة إلیها فی المعاد و المعاش بالمعدّل المتّصف بالشرطین المذکورین، من التعدّد و العدالة بالمعنی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تمکّن القدماء منه بواسطة قرب زمانهم و قلّة الوسائط و الخلاف عن حال الرجال بالنسبة إلیهم، و أمّا بالنسبة إلینا فأوج ما نتمکّن منه هو تعدیل الرواة بأحد الشرطین المذکورین لا بکلا الشرطین، فإنّه متعذّر أو متعسّر لنا، و متی تعذّر الشرط أو تعسّر سقط عن الشرطیة و بقی المشروط، و هو اعتبار الأخبار مطلوب علی وجه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انتفاء الشرط بواسطة التعذّر یقتضی انتفاء المشروط بمقتضی ظاهر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الإجماع و قیام السیرة المستمرّة علی بقاء التکلیف بالأخبار و إن سقط ما سقط من شروطه لم نأب عن سقوط حجّیة الأخبار رأسا، بمجرّد سقوط شرطه بالتعذّر أخذا بمقتضی ظاهر الشرطیة، إلّا أنّ الإجماع و السیرة المستمرّة فی بقاء التکلیف بالأخبار هو الباعث علی إبقاء حجّیة الأخبار و إن سقط ما سقط من شروطها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اشتراط عدالة الراوی بالمعنی الأخصّ فی قبول روایته فی بعض الأخبار و الآیات، و سلّمنا عدم تعذّر هذا الشرط و لا تعسّره علینا، إلّا </w:t>
      </w:r>
      <w:bookmarkStart w:id="783" w:name="pg12850_121449"/>
    </w:p>
    <w:p>
      <w:pPr>
        <w:pStyle w:val="BookText"/>
        <w:rPr/>
      </w:pPr>
      <w:bookmarkEnd w:id="783"/>
      <w:r>
        <w:rPr>
          <w:rFonts w:ascii="IRNazanin" w:hAnsi="IRNazanin" w:eastAsia="IRNazanin"/>
          <w:color w:val="111111"/>
          <w:sz w:val="28"/>
          <w:sz w:val="28"/>
          <w:szCs w:val="28"/>
          <w:rtl w:val="true"/>
          <w:lang w:bidi="fa-IR"/>
        </w:rPr>
        <w:t>أن مجرّد ذلک لا یقتضی حمل سائر المطلقات علیه من الآیات و الأخبار، فضلا عن طرح سائر الأخبار و الآیات الصریحة فی عدم اشتراطه، کمنطوق آیة النبأ، و روایة العدّة الآمرة بالأخذ بما روی العامّة عن علیّ</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الواردة فی کتب بنی فضّال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غیرها؛ و ذلک لأنّ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المطلق علی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المثبتین مشروط بإحراز وحدة التکلیف المتعلّق بکل من المطلق و المقیّد من الخارج، و لم یحرز لنا حصول هذا الشرط من إجماع و لا غیره من الأدلّة الخارجیّة فی ما نحن فیه، سیما و هو من الأحکام الوضعیّة لا التکلیفیة</w:t>
      </w:r>
      <w:r>
        <w:rPr>
          <w:rFonts w:eastAsia="IRNazanin" w:cs="IRNazanin"/>
          <w:color w:val="111111"/>
          <w:sz w:val="28"/>
          <w:szCs w:val="28"/>
          <w:rtl w:val="true"/>
          <w:lang w:bidi="fa-IR"/>
        </w:rPr>
        <w:t>.</w:t>
      </w:r>
    </w:p>
    <w:p>
      <w:pPr>
        <w:pStyle w:val="Heading5"/>
        <w:numPr>
          <w:ilvl w:val="4"/>
          <w:numId w:val="1"/>
        </w:numPr>
        <w:rPr/>
      </w:pPr>
      <w:bookmarkStart w:id="784" w:name="__RefHeading___Toc2527580_3224264995"/>
      <w:bookmarkStart w:id="785" w:name="_Toc290"/>
      <w:bookmarkEnd w:id="784"/>
      <w:r>
        <w:rPr>
          <w:rtl w:val="true"/>
        </w:rPr>
        <w:t>[</w:t>
      </w:r>
      <w:r>
        <w:rPr>
          <w:rtl w:val="true"/>
        </w:rPr>
        <w:t>الردّ علی مقالة الماتن فی حدّ مدلول أدلّه الحجّیة</w:t>
      </w:r>
      <w:r>
        <w:rPr>
          <w:rtl w:val="true"/>
        </w:rPr>
        <w:t>]</w:t>
      </w:r>
      <w:bookmarkEnd w:id="785"/>
    </w:p>
    <w:p>
      <w:pPr>
        <w:pStyle w:val="BookText"/>
        <w:rPr/>
      </w:pPr>
      <w:r>
        <w:rPr>
          <w:rFonts w:ascii="IRNazanin" w:hAnsi="IRNazanin" w:eastAsia="IRNazanin"/>
          <w:color w:val="111111"/>
          <w:sz w:val="28"/>
          <w:sz w:val="28"/>
          <w:szCs w:val="28"/>
          <w:rtl w:val="true"/>
          <w:lang w:bidi="fa-IR"/>
        </w:rPr>
        <w:t>و کذا لا نقول بمقالة الماتن من تقیید جمیع مطلقات حجّیة الأخبار بخصوص المفید للظنّ الاطمئنانی</w:t>
      </w:r>
      <w:r>
        <w:rPr>
          <w:rStyle w:val="FootnoteAnchor"/>
          <w:rtl w:val="true"/>
        </w:rPr>
        <w:footnoteReference w:id="544"/>
      </w:r>
      <w:r>
        <w:rPr>
          <w:rFonts w:ascii="IRNazanin" w:hAnsi="IRNazanin" w:eastAsia="IRNazanin"/>
          <w:color w:val="111111"/>
          <w:sz w:val="28"/>
          <w:sz w:val="28"/>
          <w:szCs w:val="28"/>
          <w:rtl w:val="true"/>
          <w:lang w:bidi="fa-IR"/>
        </w:rPr>
        <w:t>المخرج احتمال خلافه عن الاحتمالات العقلائیّة إلی الاحتمالات السوداویة، فإنّ التقیید به و إن کان أعمّ من تقیید صاحب المعالم</w:t>
      </w:r>
      <w:r>
        <w:rPr>
          <w:rStyle w:val="FootnoteAnchor"/>
          <w:rtl w:val="true"/>
        </w:rPr>
        <w:footnoteReference w:id="545"/>
      </w:r>
      <w:r>
        <w:rPr>
          <w:rFonts w:ascii="IRNazanin" w:hAnsi="IRNazanin" w:eastAsia="IRNazanin"/>
          <w:color w:val="111111"/>
          <w:sz w:val="28"/>
          <w:sz w:val="28"/>
          <w:szCs w:val="28"/>
          <w:rtl w:val="true"/>
          <w:lang w:bidi="fa-IR"/>
        </w:rPr>
        <w:t>من وجه إلّا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أخصیّته منه من وجه آخر و مخالفته لقول المشهور، بل للإجماع العملی و السیرة المستمرّة بین أصحاب الأئمة علیهم السّلام و التابعین و تابع التابعین خلفا عن سلف إلی یومنا هذا، و إلی استلزامه سدّ باب العمل بجلّ الأخبار إن لم یکن بکلّها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علیه سوی استظهاره ذلک من اعتبار الوثاقة و الأمانة و الصداقة، فی أکثر أخبار حجّیة الأخبار</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البیّن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ظهور وثاقة الراوی و لا أمانته و لا صداقته، بل و لا عدالته فی ما استظهره من إفادة روایته الوثوق الاطمئنانی المذکور، فمن أین هذا الاستظهار؟ و هل إلّا من شدّة التورّع فی الاحتیاط؟ و الاقتصار علی خصوص المتیقّنات الموجب لسدّ باب الاجتهاد و الانحراف عن طریق السداد، فإنّ </w:t>
      </w:r>
      <w:bookmarkStart w:id="786" w:name="pg12850_121450"/>
    </w:p>
    <w:p>
      <w:pPr>
        <w:pStyle w:val="BookText"/>
        <w:rPr/>
      </w:pPr>
      <w:bookmarkEnd w:id="786"/>
      <w:r>
        <w:rPr>
          <w:rFonts w:ascii="IRNazanin" w:hAnsi="IRNazanin" w:eastAsia="IRNazanin"/>
          <w:color w:val="111111"/>
          <w:sz w:val="28"/>
          <w:sz w:val="28"/>
          <w:szCs w:val="28"/>
          <w:rtl w:val="true"/>
          <w:lang w:bidi="fa-IR"/>
        </w:rPr>
        <w:t>الاقتصار علی المتیقّن إنّما یحسن فی المجملات لا المبیّنات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الاقتصار علی خصوص المفید خبره الاطمئنان إنّما یکون متیقّنا بالنسبة إلی التکلیف، و أمّا بالنسبة إلی الخروج عن عهدة المکلّف به فالمتیقّن هو عدم الاقتصار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الاقتصار علی خصوص ذلک یستلزم هجر جمّ غفیر من الأخبار المشتملة علی التکالیف، و مع ذلک کیف یکون الاقتصار موافقا للاحتیاط؟</w:t>
      </w:r>
    </w:p>
    <w:p>
      <w:pPr>
        <w:pStyle w:val="BookText"/>
        <w:rPr/>
      </w:pPr>
      <w:r>
        <w:rPr>
          <w:rFonts w:ascii="IRNazanin" w:hAnsi="IRNazanin" w:eastAsia="IRNazanin"/>
          <w:color w:val="111111"/>
          <w:sz w:val="28"/>
          <w:sz w:val="28"/>
          <w:szCs w:val="28"/>
          <w:rtl w:val="true"/>
          <w:lang w:bidi="fa-IR"/>
        </w:rPr>
        <w:t>و الحال أنّ أمره دائر بین الوجوب و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کیف ینوط اعتبار الأخبار بخصوص الظنّ الاطمئنانی؟ مع عدم إناطته اعتبار الید، و السوق، و أصالة الصحّة و الشهادة، و البیّنة، و سائر الأمارات الشرعیّة بخصوص ذلک الظنّ الاطمئنانی مع اشتراک الجمیع للخبر فی موهم الإناطة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ظهور وثاقة الراوی فی ما ذکر، إلّا أنّ مجرّد ذلک لا یقضی بحمل سائر مطلقات الأخبار و الآیات علی المقیّد منها بالوثاقة، و ذلک لأنّ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المطلق علی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المثبتین مشروط بإحراز وحدة التکلیف المتعلّق بکلّ من المطلق و المقیّد من الخارج، و لم یحرز لنا الوحدة فی ما نحن فیه، سیما و هو من الأحکام الوضعیّة لا التکلیفیة؛ إذ لم یقم إجماع و لا غیره من الأدلّة الخارجیّة علی کون المراد من مطلقات أخبار الباب هی المقیّدات، أو من المقیّدات هی المطلقات، حتی یرجّح التقیید علی التطلیق بفهم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یحتمل إرادة کلّ من المطلق و المقیّد بإرادة علی حدة سیما إذا کان الحکم المتعلّق بهما من الأحکام الوضعیة، کالحجّیة فی ما نحن فیه</w:t>
      </w:r>
      <w:r>
        <w:rPr>
          <w:rFonts w:eastAsia="IRNazanin" w:cs="IRNazanin"/>
          <w:color w:val="111111"/>
          <w:sz w:val="28"/>
          <w:szCs w:val="28"/>
          <w:rtl w:val="true"/>
          <w:lang w:bidi="fa-IR"/>
        </w:rPr>
        <w:t>.</w:t>
      </w:r>
    </w:p>
    <w:p>
      <w:pPr>
        <w:pStyle w:val="Heading5"/>
        <w:numPr>
          <w:ilvl w:val="4"/>
          <w:numId w:val="1"/>
        </w:numPr>
        <w:rPr/>
      </w:pPr>
      <w:bookmarkStart w:id="787" w:name="__RefHeading___Toc2527582_3224264995"/>
      <w:bookmarkStart w:id="788" w:name="_Toc291"/>
      <w:bookmarkEnd w:id="787"/>
      <w:r>
        <w:rPr>
          <w:rtl w:val="true"/>
        </w:rPr>
        <w:t>[</w:t>
      </w:r>
      <w:r>
        <w:rPr>
          <w:rtl w:val="true"/>
        </w:rPr>
        <w:t>اشارة إلی رأی السید و تابعیه فی حجّیة الخبر</w:t>
      </w:r>
      <w:r>
        <w:rPr>
          <w:rtl w:val="true"/>
        </w:rPr>
        <w:t>]</w:t>
      </w:r>
      <w:bookmarkEnd w:id="788"/>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مضافا إلی أنّ إناطة اعتبار الأخبار بإفادتها الظن الاطمئنانی، الخارج احتمال خلافه عن الاحتمالات العقلائیة، راجع إلی قول السیّد</w:t>
      </w:r>
      <w:r>
        <w:rPr>
          <w:rStyle w:val="FootnoteAnchor"/>
          <w:rtl w:val="true"/>
        </w:rPr>
        <w:footnoteReference w:id="546"/>
      </w:r>
      <w:bookmarkStart w:id="789" w:name="pg12850_121451"/>
    </w:p>
    <w:p>
      <w:pPr>
        <w:pStyle w:val="BookText"/>
        <w:rPr/>
      </w:pPr>
      <w:bookmarkEnd w:id="789"/>
      <w:r>
        <w:rPr>
          <w:rFonts w:ascii="IRNazanin" w:hAnsi="IRNazanin" w:eastAsia="IRNazanin"/>
          <w:color w:val="111111"/>
          <w:sz w:val="28"/>
          <w:sz w:val="28"/>
          <w:szCs w:val="28"/>
          <w:rtl w:val="true"/>
          <w:lang w:bidi="fa-IR"/>
        </w:rPr>
        <w:t>و تابعیه</w:t>
      </w:r>
      <w:r>
        <w:rPr>
          <w:rStyle w:val="FootnoteAnchor"/>
          <w:rtl w:val="true"/>
        </w:rPr>
        <w:footnoteReference w:id="547"/>
      </w:r>
      <w:r>
        <w:rPr>
          <w:rFonts w:ascii="IRNazanin" w:hAnsi="IRNazanin" w:eastAsia="IRNazanin"/>
          <w:color w:val="111111"/>
          <w:sz w:val="28"/>
          <w:sz w:val="28"/>
          <w:szCs w:val="28"/>
          <w:rtl w:val="true"/>
          <w:lang w:bidi="fa-IR"/>
        </w:rPr>
        <w:t>فی إنکار اعتبار الأخبار رأسا؛ فیعتریه جمیع ما یعتری السیّد من الإجماعات التی نقلها الماتن</w:t>
      </w:r>
      <w:r>
        <w:rPr>
          <w:rStyle w:val="FootnoteAnchor"/>
          <w:rtl w:val="true"/>
        </w:rPr>
        <w:footnoteReference w:id="548"/>
      </w:r>
      <w:r>
        <w:rPr>
          <w:rFonts w:ascii="IRNazanin" w:hAnsi="IRNazanin" w:eastAsia="IRNazanin"/>
          <w:color w:val="111111"/>
          <w:sz w:val="28"/>
          <w:sz w:val="28"/>
          <w:szCs w:val="28"/>
          <w:rtl w:val="true"/>
          <w:lang w:bidi="fa-IR"/>
        </w:rPr>
        <w:t>هو علی خلافه، إذ کما لم یعهد فی شی‌ء من الکتب المصنّفة و المؤلّفة الردّ و الإنکار علی المتمسّک بالأخبار فی قطع المشاجرات و المخاصمات، بأنّها آحاد لم تبلغ حدّ التواتر، کذلک لم یعهد فی شی‌ء منها الردّ و الإنکار علی المتمسّک بالأخبار فیها، بأنّها ظنّیة لم تبلغ مرتبة الاطمئنان و الوثوق المذکور</w:t>
      </w:r>
      <w:r>
        <w:rPr>
          <w:rFonts w:eastAsia="IRNazanin" w:cs="IRNazanin"/>
          <w:color w:val="111111"/>
          <w:sz w:val="28"/>
          <w:szCs w:val="28"/>
          <w:rtl w:val="true"/>
          <w:lang w:bidi="fa-IR"/>
        </w:rPr>
        <w:t>.</w:t>
      </w:r>
    </w:p>
    <w:p>
      <w:pPr>
        <w:pStyle w:val="Heading5"/>
        <w:numPr>
          <w:ilvl w:val="4"/>
          <w:numId w:val="1"/>
        </w:numPr>
        <w:rPr/>
      </w:pPr>
      <w:bookmarkStart w:id="790" w:name="__RefHeading___Toc2527584_3224264995"/>
      <w:bookmarkStart w:id="791" w:name="_Toc292"/>
      <w:bookmarkEnd w:id="790"/>
      <w:r>
        <w:rPr>
          <w:rtl w:val="true"/>
        </w:rPr>
        <w:t>[</w:t>
      </w:r>
      <w:r>
        <w:rPr>
          <w:rtl w:val="true"/>
        </w:rPr>
        <w:t>الاعتبار بمطلق مظنون الصدور و المظنون من الأخبار</w:t>
      </w:r>
      <w:r>
        <w:rPr>
          <w:rtl w:val="true"/>
        </w:rPr>
        <w:t>]</w:t>
      </w:r>
      <w:bookmarkEnd w:id="791"/>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نقول فی تقیید حجّیة الأخبار بمقالة صاحب المعالم</w:t>
      </w:r>
      <w:r>
        <w:rPr>
          <w:rStyle w:val="FootnoteAnchor"/>
          <w:rtl w:val="true"/>
        </w:rPr>
        <w:footnoteReference w:id="549"/>
      </w:r>
      <w:r>
        <w:rPr>
          <w:rFonts w:ascii="Amiri" w:hAnsi="Amiri" w:eastAsia="Amiri" w:cs="Amiri"/>
          <w:color w:val="111111"/>
          <w:sz w:val="28"/>
          <w:sz w:val="28"/>
          <w:szCs w:val="28"/>
          <w:rtl w:val="true"/>
          <w:lang w:bidi="ar-SA"/>
        </w:rPr>
        <w:t>، و لا بمقالة الماتن قدّس سرّه</w:t>
      </w:r>
      <w:r>
        <w:rPr>
          <w:rStyle w:val="FootnoteAnchor"/>
          <w:rtl w:val="true"/>
        </w:rPr>
        <w:footnoteReference w:id="550"/>
      </w:r>
      <w:r>
        <w:rPr>
          <w:rFonts w:ascii="IRNazanin" w:hAnsi="IRNazanin" w:eastAsia="IRNazanin"/>
          <w:color w:val="111111"/>
          <w:sz w:val="28"/>
          <w:sz w:val="28"/>
          <w:szCs w:val="28"/>
          <w:rtl w:val="true"/>
          <w:lang w:bidi="fa-IR"/>
        </w:rPr>
        <w:t>لما عرفت ما فی کلّ منهما من النقض و الإبرام، بل إنّما نقول بمقالة المشهور المنصور المعاضد بالسیرة المستمرّة بین أصحاب الأئمّة إلی یومنا هذا، علی العمل بمطلق مظنون الصدور من الأخبار، سواء بلغ مرتبة الاطمئنان و الوثوق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فی حکم العلم بل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لم یبلغ سوی أوّل درجات الظنّ، و سواء کان المخبر عادلا أم موثّقا أم حسنا أم ضعیفا منجبرا بالشهرة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یبعد إلحاق الخبر المظنون مضمونه بالمظنون صدوره نظرا إلی أنّ أغلب دواعی الجعالة هو الجعل فی خلاف الواقع، لا الجعل بما یرجع مؤدّاه إلی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الخبر المرسل فإن احتفّ بقرائن الصدق لکونه راویه ممّن لا یرسل إلّا عن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کمراسیل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فملحق بالموثّق فی الاعتبار، و إلّا فبالضعیف فی عدم الاعتبار إلّا بالانجبار</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الوجه فی تقیید اعتبار الخبر بمطلق المظنون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عرفت </w:t>
      </w:r>
    </w:p>
    <w:p>
      <w:pPr>
        <w:pStyle w:val="BookText"/>
        <w:rPr/>
      </w:pPr>
      <w:r>
        <w:rPr>
          <w:rFonts w:ascii="IRNazanin" w:hAnsi="IRNazanin" w:eastAsia="IRNazanin"/>
          <w:color w:val="111111"/>
          <w:sz w:val="28"/>
          <w:sz w:val="28"/>
          <w:szCs w:val="28"/>
          <w:rtl w:val="true"/>
          <w:lang w:bidi="fa-IR"/>
        </w:rPr>
        <w:t>من الشهرة و استظهار الإجماع و السیرة المستمرّة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انطباق جمیع ظواهر الأخبار و الآیات الواردة فی المضمار علیه؛ فإنّ ظاهر التبیّن المنوط به اعتبار خبر الفاسق فی آیة النبأ هو التبیّن الظنّی مطلقا من أیّ مرتبة کان، حسبما مرّ بأبلغ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ظاهر کلّ من الوثاقة و الأمانة و الصداقة فی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المعلّل بها اعتبار الروایة فی أکثر الأخبار و منصرف سائر المطلقات بظاهر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یزید علی أکثر من الظنّ بصدور الروایة؛ و ذلک لأنّ من المعلوم علی کلّ من له ذوق سلیم و فهم مستقیم أنّ اعتبار الشارع روایة الموثّق و المأمون و الصادق لیس لأجل التعبّد بصفة الوثاقة و الأمانة و الصداقة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تقرّب جهة الصدور إلی الواقع، علی وجه تکون العلّة هی محبوبیّة ذلک الراوی المتّصف بتلک الصفات و إن لم تقرّب روایته إلی الواقع، و مبغوضیّة العاری عن تلک الصفات و إن قرب روایته إلی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إنّما هو لأجل غلبة إیصال تلک الصفات إلی الظنّ بصدور الروایة و موافقتها للواقع، نظیر ما لو أمر المولی عبده بشراء، کلّ متاع من سوقه، فإنّ من المعلوم أنّه لأجل التوصّل إلی ما هو الغالب من أرخصیّة کلّ متاع فی سوقه و أضبطیّة قیمته فیه،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جمیع ظواهر القیود المأخوذة فی الآیات و الأخبار لحجّیة الأخبار هو تقیید الحجّیة بمطلق مظنون الصدور من الأخبار، دون التقیید بخبر العادل، أو المفید للظنّ الاطمئنانی، کما زعم، و دون عدم التقیید بشی‌ء، القریب إلی مذهب الحشویة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عدم التقیید بما یزید عن مطلق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عرفت من أنّه لیس فی شی‌ء من الآیات و الأخبار الواردة فی المضمار ما یزید علی التقیید بالتبیّن و الوثاقة و الصداقة و الأمانة، و لیس فی شی‌ء من تلک القیود ما یزید </w:t>
      </w:r>
    </w:p>
    <w:p>
      <w:pPr>
        <w:pStyle w:val="BookText"/>
        <w:rPr/>
      </w:pPr>
      <w:r>
        <w:rPr>
          <w:rFonts w:ascii="IRNazanin" w:hAnsi="IRNazanin" w:eastAsia="IRNazanin"/>
          <w:color w:val="111111"/>
          <w:sz w:val="28"/>
          <w:sz w:val="28"/>
          <w:szCs w:val="28"/>
          <w:rtl w:val="true"/>
          <w:lang w:bidi="fa-IR"/>
        </w:rPr>
        <w:t>مفاده علی أکثر من الظنّ بصدور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عدم تطلیق حجّیة الأخبار عن جمیع القیود، کما هو مذهب العوائد</w:t>
      </w:r>
      <w:r>
        <w:rPr>
          <w:rStyle w:val="FootnoteAnchor"/>
          <w:rtl w:val="true"/>
        </w:rPr>
        <w:footnoteReference w:id="551"/>
      </w:r>
      <w:r>
        <w:rPr>
          <w:rFonts w:ascii="IRNazanin" w:hAnsi="IRNazanin" w:eastAsia="IRNazanin"/>
          <w:color w:val="111111"/>
          <w:sz w:val="28"/>
          <w:sz w:val="28"/>
          <w:szCs w:val="28"/>
          <w:rtl w:val="true"/>
          <w:lang w:bidi="fa-IR"/>
        </w:rPr>
        <w:t>أو الحشویة</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عرفت من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قیام الأدلّة الصریحة من التعلیلات و التصریحات و التلویحات و الإجماع علی عدم اعتبار الأخبار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منشأ لتوهّم اعتبارها بالجملة سوی بعض الآیات و الأخبار المطلقة، و منصرف هذه المطلقات هو سائر الآیات و الأخبار المقیّدة بالتبیّن و الوثاقة و الأمانة، لکن لا لأجل مجرّد فهم العرف من اجتماع المطلق و المقیّد التقیید من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یقال بأنّ فهمهم ذلک مشروط بإحراز وحدة الحکم المتعلّق بکلّ من المطلق و المقیّد الموجبة للتنافی بینهما، و هو کون المراد من المطلق المقیّد أو من المقیّد المطلق علی سبیل مانعة الجمع و الخلوّ، و لم یحرز لنا ذلک من دلیل خارج سیّما فی الأحکام الوضعیّة کإثبات الحجّیة فی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إنّما هو لأجل أنّ تعلیل اعتبار الأخبار فی بعض الأخبار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الثقة المأمون</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نحوه ظاهر فی کون منصرف سائر المطلقات هو المقیّد بالوثاقة و الأمانة قضاء لحقّ العلّیة، مضافا إلی قضاء کلّ من الإجماع العملیّ و القولیّ و السیرة القطعیّة کما یشهد بها تدوین الکتب الرجالیة و غیره لحجّیة الأخبار فی الجملة، لا بالجملة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تقیید حجّیتها بخصوص خبر العادل، أو المفید للظنّ الاطمئنانی إفراط، کذلک تطلیق حجّیتها من جمیع الجهات تفریط، و خیر الامور أوسطها، و هو ما اخترناه من تقیید الحجّیة بمطلق مظنون الصدور، وفاقا للمشهور المنصور</w:t>
      </w:r>
      <w:r>
        <w:rPr>
          <w:rFonts w:eastAsia="IRNazanin" w:cs="IRNazanin"/>
          <w:color w:val="111111"/>
          <w:sz w:val="28"/>
          <w:szCs w:val="28"/>
          <w:rtl w:val="true"/>
          <w:lang w:bidi="fa-IR"/>
        </w:rPr>
        <w:t xml:space="preserve">. </w:t>
      </w:r>
      <w:bookmarkStart w:id="792" w:name="pg12850_121454"/>
    </w:p>
    <w:p>
      <w:pPr>
        <w:pStyle w:val="Heading5"/>
        <w:numPr>
          <w:ilvl w:val="4"/>
          <w:numId w:val="1"/>
        </w:numPr>
        <w:rPr/>
      </w:pPr>
      <w:bookmarkStart w:id="793" w:name="__RefHeading___Toc2527586_3224264995"/>
      <w:bookmarkStart w:id="794" w:name="_Toc293"/>
      <w:bookmarkEnd w:id="792"/>
      <w:bookmarkEnd w:id="793"/>
      <w:r>
        <w:rPr>
          <w:rtl w:val="true"/>
        </w:rPr>
        <w:t>[</w:t>
      </w:r>
      <w:r>
        <w:rPr>
          <w:rtl w:val="true"/>
        </w:rPr>
        <w:t>الشروط التی اعتبرها العلماء فی الخبر الواحد</w:t>
      </w:r>
      <w:r>
        <w:rPr>
          <w:rtl w:val="true"/>
        </w:rPr>
        <w:t>]</w:t>
      </w:r>
      <w:bookmarkEnd w:id="794"/>
    </w:p>
    <w:p>
      <w:pPr>
        <w:pStyle w:val="BookText"/>
        <w:rPr/>
      </w:pPr>
      <w:r>
        <w:rPr>
          <w:rFonts w:ascii="IRNazanin" w:hAnsi="IRNazanin" w:eastAsia="IRNazanin"/>
          <w:color w:val="111111"/>
          <w:sz w:val="28"/>
          <w:sz w:val="28"/>
          <w:szCs w:val="28"/>
          <w:rtl w:val="true"/>
          <w:lang w:bidi="fa-IR"/>
        </w:rPr>
        <w:t>ثمّ إنّ ممّا ذکرنا یعلم أنّ الشروط التی ذکرها العلماء للعمل بالأخبار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العقل، و البلوغ، و الإسلام، و الإیمان، و الضبط لا یحتاج إلی شی‌ء منها علی ما اخترناه، من إناطة اعتبارها بالظنّ، کما لا یحتاج إلی شی‌ء منها علی القول باعتبارها من باب الظنّ المطلق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الحاجة الی اشتراط شی‌ء منها علی القول باعتبارها من باب الظن المطلق فواضح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الحاجة إلی اشتراطها علی القول باعتبارها من باب الظنّ الخاصّ فلما عرفت من عدم وفاء شی‌ء من الأدلّة الخاصّة علی أزید من اشتراط الظنّ بالصدور، وفاقا لجماعة من الفحول منهم صاحبی القوانین</w:t>
      </w:r>
      <w:r>
        <w:rPr>
          <w:rStyle w:val="FootnoteAnchor"/>
          <w:rtl w:val="true"/>
        </w:rPr>
        <w:footnoteReference w:id="554"/>
      </w:r>
      <w:r>
        <w:rPr>
          <w:rFonts w:ascii="IRNazanin" w:hAnsi="IRNazanin" w:eastAsia="IRNazanin"/>
          <w:color w:val="111111"/>
          <w:sz w:val="28"/>
          <w:sz w:val="28"/>
          <w:szCs w:val="28"/>
          <w:rtl w:val="true"/>
          <w:lang w:bidi="fa-IR"/>
        </w:rPr>
        <w:t>و الفصول</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یمکن توجیه اعتبار الشروط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اشتراطها للتنبیه علی عدم حصول الظنّ بدونها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علی إطلاقه ممنوع؛ لأنّه قد یحصل الظنّ من قول الکافر ما لا یحصل من قول العدل مع قطع النظر عن القرائن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عدم حصول الظنّ من إخبار الصبیّ سیّما الغیر الممیّز، و من اخبار المجنون سیّما المطبق، و من غیر الضابط سیّما بکثیر غیر بعید جدا، بل لو حصل من بعض هؤلاء الظنّ أیضا أمکن إلحاقه بظنّ الظنّان فی عدم الاعتبار، بناء علی إلحاق أخبارهم بالأسباب الغیر العادیة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هذا هو وجه وقوع الخلاف فی اعتبار ما عدا الضبط و العقل من سائر الشروط فی الراوی، و عدم وقوع الخلاف فی اعتبارهما فیه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تعتبر الشروط المذکورة فی العمل بالأخبار للزم العمل </w:t>
      </w:r>
    </w:p>
    <w:p>
      <w:pPr>
        <w:pStyle w:val="BookText"/>
        <w:rPr/>
      </w:pPr>
      <w:r>
        <w:rPr>
          <w:rFonts w:ascii="IRNazanin" w:hAnsi="IRNazanin" w:eastAsia="IRNazanin"/>
          <w:color w:val="111111"/>
          <w:sz w:val="28"/>
          <w:sz w:val="28"/>
          <w:szCs w:val="28"/>
          <w:rtl w:val="true"/>
          <w:lang w:bidi="fa-IR"/>
        </w:rPr>
        <w:t>بکلّ خبر و خطبة، من الأخبار و الخطب المنسوبة إلی الأئمة علیهم السّلام فی کتب الغلاة الحادثة فی أعصارنا من أهل البدع و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الملازمة فلأنّ الغالب فی المخبرین الصدق، و الظنّ یلحق المشکوک بالأعمّ الأغلب، فبملاحظة هذه الغلبة لا ینفکّ الخبر من حیث هو خبر عن الظنّ بالصدق، فیجب العمل بمطلق الأخبار علی القول بکفایة الظنّ بالصدق فی العمل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وجه بطلان اللازم فللإجماع و النصوص المتقدّمة فی ردّ الحشویة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الملازمة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حصول الظنّ من أخبار هؤلاء؛ لأنّ غلبة الصدق علی الکذب إنّما هی بالنسبة إلی نوع المخبرین، و نوع الأخبار لا بالنسبة إلی أصناف المخبرین و أصناف الأخبار، حتی یلحق بالمخبرین صنف أهل البدع و الضلال، و بالأخبار صنف الأخبار المقرونة بالدواعی و الأغراض و الأمراض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لکن الظنّ الحاصل من أخبار مثل هؤلاء بدویّ زائل بعد التأمّل و الوقوف من الخارج، علی ما هو عادتهم من التشبّث لأغراضهم و أمراضهم بالضعاف و المتشابهات، و الإغماض عن سائر الصحاح و المحکمات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لکن الظنّ الحاصل من أخبار مثل هؤلاء بعد الوقوف من الخارج علی أغراضهم و أمراضهم ملحق بظنّ الظنّان، نظرا إلی خروج هذا الصنف من المخبرین و هذا الصنف من الأخبار عن الأسباب العادیة لإفادة الظنّ</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إنّا بعد إناطتنا اعتبار الأخبار بحصول الظنّ بالصدور و إن کنّا فی ساحة الغنی عن تحقیق الحال فی أخبار مجهول الحال من جهة الفسق و العدالة، و أخبار مختلف الأحوال المتّفق له حالة خلط و حالة استقامة، کالواقفیة و الفطحیة، و تشخیص إلحاق المجهول بالعادل، أو الفاسق، و إلحاق المختلف بمستقیم الحال، أو الخالط، فإنّ المحتاج إلی تشخیص ذلک هو المعتبر فی حال الراوی العدالة </w:t>
      </w:r>
      <w:bookmarkStart w:id="795" w:name="pg12850_121456"/>
    </w:p>
    <w:p>
      <w:pPr>
        <w:pStyle w:val="BookText"/>
        <w:rPr/>
      </w:pPr>
      <w:bookmarkEnd w:id="795"/>
      <w:r>
        <w:rPr>
          <w:rFonts w:ascii="IRNazanin" w:hAnsi="IRNazanin" w:eastAsia="IRNazanin"/>
          <w:color w:val="111111"/>
          <w:sz w:val="28"/>
          <w:sz w:val="28"/>
          <w:szCs w:val="28"/>
          <w:rtl w:val="true"/>
          <w:lang w:bidi="fa-IR"/>
        </w:rPr>
        <w:t>و الاستقامة حین الروایة، دون المکتفی بظنّ الصدق من أیّ من حصل، إلّا أنّه لا بأس فی تعرّضنا لذلک تشخیصا لأهلیة مجهول الحال، و مختلف الأحوال، لإفادة الظنّ، و عدم أهلیتهما لإفادته</w:t>
      </w:r>
      <w:r>
        <w:rPr>
          <w:rFonts w:eastAsia="IRNazanin" w:cs="IRNazanin"/>
          <w:color w:val="111111"/>
          <w:sz w:val="28"/>
          <w:szCs w:val="28"/>
          <w:rtl w:val="true"/>
          <w:lang w:bidi="fa-IR"/>
        </w:rPr>
        <w:t>.</w:t>
      </w:r>
    </w:p>
    <w:p>
      <w:pPr>
        <w:pStyle w:val="Heading5"/>
        <w:numPr>
          <w:ilvl w:val="4"/>
          <w:numId w:val="1"/>
        </w:numPr>
        <w:rPr/>
      </w:pPr>
      <w:bookmarkStart w:id="796" w:name="__RefHeading___Toc2527588_3224264995"/>
      <w:bookmarkStart w:id="797" w:name="_Toc294"/>
      <w:bookmarkEnd w:id="796"/>
      <w:r>
        <w:rPr>
          <w:rtl w:val="true"/>
        </w:rPr>
        <w:t>[</w:t>
      </w:r>
      <w:r>
        <w:rPr>
          <w:rtl w:val="true"/>
        </w:rPr>
        <w:t>خبر مجهول الحال</w:t>
      </w:r>
      <w:r>
        <w:rPr>
          <w:rtl w:val="true"/>
        </w:rPr>
        <w:t>]</w:t>
      </w:r>
      <w:bookmarkEnd w:id="797"/>
    </w:p>
    <w:p>
      <w:pPr>
        <w:pStyle w:val="BookText"/>
        <w:rPr/>
      </w:pPr>
      <w:r>
        <w:rPr>
          <w:rFonts w:ascii="IRNazanin" w:hAnsi="IRNazanin" w:eastAsia="IRNazanin"/>
          <w:color w:val="111111"/>
          <w:sz w:val="28"/>
          <w:sz w:val="28"/>
          <w:szCs w:val="28"/>
          <w:rtl w:val="true"/>
          <w:lang w:bidi="fa-IR"/>
        </w:rPr>
        <w:t>فنقول و باللّه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مجهول الحال فهو و إن کان الأصل الأصیل یقتضی عدم فسقه، و توهّم معارضته بأصالة عدم امتثال ما ثبت فی حقّه من التکالیف الموجب لثبوت وصف الفسق فیه مدفوع،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بحکومة أصالة الصحّة فی أفعال المسلمین علی أصالة عدم امتثاله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المعارضة بینهما، بل یحکم کلّ منهما فی مورده، کأصالة بقاء حیاة الغائب، و أصالة عدم تنفّسه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فیترتّب علی کلّ منهما حکمه الشرعی إن کان له حکم شرعی، فیرتّب علی أصالة عدم فسقه عدم وجوب التبیّن عن خبره، و علی أصالة عدم امتثاله عدم صحّة الاقتداء به، نظرا إلی أنّ التفکیک بین المتلازمین غیر عزیز فی الشرع، مع عدم لزومه من إعمال الأصلین فی ما نحن فیه بناء علی ما هو التحقیق من ثبوت الواسطة بین الفاسق و العادل فی الواقع و إن کانت نادرة، إلّا أنّ أصالة عدم فسق المجهول 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إثباته العدالة إلّا علی القول بحجّیة الاصول المثبتة، أو القول بکون العدالة أمر عدمی، أعنی عدم المعصیة کما عن الشیخ</w:t>
      </w:r>
      <w:r>
        <w:rPr>
          <w:rStyle w:val="FootnoteAnchor"/>
          <w:rtl w:val="true"/>
        </w:rPr>
        <w:footnoteReference w:id="556"/>
      </w:r>
      <w:r>
        <w:rPr>
          <w:rFonts w:ascii="IRNazanin" w:hAnsi="IRNazanin" w:eastAsia="IRNazanin"/>
          <w:color w:val="111111"/>
          <w:sz w:val="28"/>
          <w:sz w:val="28"/>
          <w:szCs w:val="28"/>
          <w:rtl w:val="true"/>
          <w:lang w:bidi="fa-IR"/>
        </w:rPr>
        <w:t>، لا أمر وجودی، أعنی الملکة الرادعة أو حسن الظاهر، علی الخلاف بین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تفید شیئا من الظنّ به اعتبار الخبر عندنا</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لا بمجرّد معارضة استصحاب عدم الفسق، و أصالة الصحّة فی أفعال المسلمین لغلبة الفسقة علی غیرهم بأضعاف مضاعفة بل لأنّ من المعلوم عدم إفادة الاصول التعبّدیة الظنّ بالواقع و إن أغمضنا عن معارضة الغلبة المذکورة لمقتضاها فی ما نحن فیه</w:t>
      </w:r>
      <w:r>
        <w:rPr>
          <w:rFonts w:eastAsia="IRNazanin" w:cs="IRNazanin"/>
          <w:color w:val="111111"/>
          <w:sz w:val="28"/>
          <w:szCs w:val="28"/>
          <w:rtl w:val="true"/>
          <w:lang w:bidi="fa-IR"/>
        </w:rPr>
        <w:t xml:space="preserve">. </w:t>
      </w:r>
      <w:bookmarkStart w:id="798" w:name="pg12850_121457"/>
    </w:p>
    <w:p>
      <w:pPr>
        <w:pStyle w:val="Heading5"/>
        <w:numPr>
          <w:ilvl w:val="4"/>
          <w:numId w:val="1"/>
        </w:numPr>
        <w:rPr/>
      </w:pPr>
      <w:bookmarkStart w:id="799" w:name="__RefHeading___Toc2527590_3224264995"/>
      <w:bookmarkStart w:id="800" w:name="_Toc295"/>
      <w:bookmarkEnd w:id="798"/>
      <w:bookmarkEnd w:id="799"/>
      <w:r>
        <w:rPr>
          <w:rtl w:val="true"/>
        </w:rPr>
        <w:t>[</w:t>
      </w:r>
      <w:r>
        <w:rPr>
          <w:rtl w:val="true"/>
        </w:rPr>
        <w:t>خبر مختلف الأحوال</w:t>
      </w:r>
      <w:r>
        <w:rPr>
          <w:rtl w:val="true"/>
        </w:rPr>
        <w:t>]</w:t>
      </w:r>
      <w:bookmarkEnd w:id="800"/>
    </w:p>
    <w:p>
      <w:pPr>
        <w:pStyle w:val="BookText"/>
        <w:rPr/>
      </w:pPr>
      <w:r>
        <w:rPr>
          <w:rFonts w:ascii="IRNazanin" w:hAnsi="IRNazanin" w:eastAsia="IRNazanin"/>
          <w:color w:val="111111"/>
          <w:sz w:val="28"/>
          <w:sz w:val="28"/>
          <w:szCs w:val="28"/>
          <w:rtl w:val="true"/>
          <w:lang w:bidi="fa-IR"/>
        </w:rPr>
        <w:t>و أمّا المختلف أحواله من الرواة بالخلط فی زمان و الاستقامة فی زمان آخر فتفصیل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إمّا أن یعلم بتاریخ کلّ من زمان أداء الروایة و زمان التخلیط، و إمّا أن یعلم بتاریخ زمان الأداء دون تاریخ زمان الخلط، و إمّا أن یعلم بتاریخ زمان الخلط دون زمان الأداء، و إمّا أن لا یعلم بشی‌ء من تاریخهما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فإن علمنا بأداء الروایة فی زمان الاستقامة فلا إشکال فی أنّ حال تخلیطه لا یضرّ باعتبار الروایة، سواء تقدّم علی حال الاستقامة أم تأخّر؛ لأنّ العبرة فی شرائط الراوی بحال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مستقیما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بحال التحمّل حتی یضرّ فرض تقدیم الخلط، و لا بجمیع الأحوال حتی یضرّنا فرض تأخیره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علمنا بأدائها فی زمان الخلط فلا تقبل روایته مطلقا، بناء علی القول باعتبار الإیمان و العدالة فی الراوی، و تقبل علی القول بکفایة الظنّ بصدقه إن استفید الظنّ بصدقه من القرائن الأخر، أو استقام بعد تخلیطه، فإنّ الاستقامة و التوبة بعد الخلط لا یخلو عن الظنّ بإمضاء ما رواه حال الخلط فکأنّه رواه حال الاستقامة، فیفید الروایة حینئذ ما یفیده أدائها حال الاستقامة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الفرض الثانی و هو ما إذا علمنا بزمان الأداء و لم نعلم بزمان الخلط فأصالة تأخیر زمان الخلط عن حال الأداء و إن اقتضی استقامته حال الأداء إن کان الأداء فی أوائل عمره، و عدم استقامته حال الأداء إن کان الأداء فی أواخر عمره، إلّا أنّه أصل مثبت؛ لأنّ المترتّب علیه موضوع الحکم لا نفسه، فالمرجع إلی طرح ما یرویه من هذا حاله من الرواة مطلقا، عند معتبری الإیمان و العدالة، و فی خصوص ما لم یفد الظنّ بصدقه من القرائن الخارجیة أو الداخلیة عند المکتفی بظنّ الصدق</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علی الفرض الثالث و هو ما إذا علمنا بزمان الخلط و لم نعلم بزمان </w:t>
      </w:r>
      <w:bookmarkStart w:id="801" w:name="pg12850_121458"/>
    </w:p>
    <w:p>
      <w:pPr>
        <w:pStyle w:val="BookText"/>
        <w:rPr/>
      </w:pPr>
      <w:bookmarkEnd w:id="801"/>
      <w:r>
        <w:rPr>
          <w:rFonts w:ascii="IRNazanin" w:hAnsi="IRNazanin" w:eastAsia="IRNazanin"/>
          <w:color w:val="111111"/>
          <w:sz w:val="28"/>
          <w:sz w:val="28"/>
          <w:szCs w:val="28"/>
          <w:rtl w:val="true"/>
          <w:lang w:bidi="fa-IR"/>
        </w:rPr>
        <w:t>الأداء فأصالة تأخیر زمان الأداء عن حال الخلط و إن اقتضی أیضا استقامته حال الأداء إن کان الخلط فی أوائل عمره، و عدم استقامته إن کان فی أواخر عمره، إلّا أنّه مثبت أیضا، فالکلام فیه هو الکلام فی الفرض السابق، و المرجع المرجع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الفرض الرابع و هو عدم معرفة شی‌ء من التاریخین فمضافا إلی أنّ أصالة تأخیر کلّ منهما فیه معارض بمثله، یرد علیه ما ورد علی جریانه فی الفرضین السابقین، فالمرجع فیه هو المرجع فی سابقیه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بیان أصل اعتبار العدالة فی الراوی، و عدم اعتبارها فیه قد علم فی ضمن ما قرّرناه بأبلغ الوجوه الوجیهة</w:t>
      </w:r>
      <w:r>
        <w:rPr>
          <w:rFonts w:eastAsia="IRNazanin" w:cs="IRNazanin"/>
          <w:color w:val="111111"/>
          <w:sz w:val="28"/>
          <w:szCs w:val="28"/>
          <w:rtl w:val="true"/>
          <w:lang w:bidi="fa-IR"/>
        </w:rPr>
        <w:t>.</w:t>
      </w:r>
    </w:p>
    <w:p>
      <w:pPr>
        <w:pStyle w:val="Heading5"/>
        <w:numPr>
          <w:ilvl w:val="4"/>
          <w:numId w:val="1"/>
        </w:numPr>
        <w:rPr/>
      </w:pPr>
      <w:bookmarkStart w:id="802" w:name="__RefHeading___Toc2527592_3224264995"/>
      <w:bookmarkStart w:id="803" w:name="_Toc296"/>
      <w:bookmarkEnd w:id="802"/>
      <w:r>
        <w:rPr>
          <w:rtl w:val="true"/>
        </w:rPr>
        <w:t>[</w:t>
      </w:r>
      <w:r>
        <w:rPr>
          <w:rtl w:val="true"/>
        </w:rPr>
        <w:t>طریق معرفة العدالة و ما یترتّب علی هذا البحث</w:t>
      </w:r>
      <w:r>
        <w:rPr>
          <w:rtl w:val="true"/>
        </w:rPr>
        <w:t>]</w:t>
      </w:r>
      <w:bookmarkEnd w:id="803"/>
    </w:p>
    <w:p>
      <w:pPr>
        <w:pStyle w:val="BookText"/>
        <w:rPr/>
      </w:pPr>
      <w:r>
        <w:rPr>
          <w:rFonts w:ascii="IRNazanin" w:hAnsi="IRNazanin" w:eastAsia="IRNazanin"/>
          <w:color w:val="111111"/>
          <w:sz w:val="28"/>
          <w:sz w:val="28"/>
          <w:szCs w:val="28"/>
          <w:rtl w:val="true"/>
          <w:lang w:bidi="fa-IR"/>
        </w:rPr>
        <w:t>و أمّا طریق معرفة عدالة الراوی علی القول باعتبارها ففی انحصار طریقها بعد انسداد طریق الاختبار و الصحبة الکاشفة کشفا قطعیّا عن حالهم بالنسبة إلینا، فی تزکیة عدل کما عن العلّامة</w:t>
      </w:r>
      <w:r>
        <w:rPr>
          <w:rStyle w:val="FootnoteAnchor"/>
          <w:rtl w:val="true"/>
        </w:rPr>
        <w:footnoteReference w:id="557"/>
      </w:r>
      <w:r>
        <w:rPr>
          <w:rFonts w:ascii="IRNazanin" w:hAnsi="IRNazanin" w:eastAsia="IRNazanin"/>
          <w:color w:val="111111"/>
          <w:sz w:val="28"/>
          <w:sz w:val="28"/>
          <w:szCs w:val="28"/>
          <w:rtl w:val="true"/>
          <w:lang w:bidi="fa-IR"/>
        </w:rPr>
        <w:t>، أو العدلین کما علیه صاحب المعالم</w:t>
      </w:r>
      <w:r>
        <w:rPr>
          <w:rStyle w:val="FootnoteAnchor"/>
          <w:rtl w:val="true"/>
        </w:rPr>
        <w:footnoteReference w:id="558"/>
      </w:r>
      <w:r>
        <w:rPr>
          <w:rFonts w:ascii="IRNazanin" w:hAnsi="IRNazanin" w:eastAsia="IRNazanin"/>
          <w:color w:val="111111"/>
          <w:sz w:val="28"/>
          <w:sz w:val="28"/>
          <w:szCs w:val="28"/>
          <w:rtl w:val="true"/>
          <w:lang w:bidi="fa-IR"/>
        </w:rPr>
        <w:t>، أو فی الظنون الاجتهادیة کما علیه مشهور المتأخرین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مرجع النزاع علی ما قالوا إلی أنّ تزکیة الراوی من باب الشهادة، أو الروایة، أو الظنون الاجتهادیة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کون الرجوع إلی ذلک مبنیّ علی مجرّد الاصطلاح لئلا یتطرق إلیه المشاحّة، کما صرّح به من الفحول شیخنا العلّامة، و صاحب الفصول</w:t>
      </w:r>
      <w:r>
        <w:rPr>
          <w:rStyle w:val="FootnoteAnchor"/>
          <w:rtl w:val="true"/>
        </w:rPr>
        <w:footnoteReference w:id="559"/>
      </w:r>
      <w:r>
        <w:rPr>
          <w:rFonts w:ascii="IRNazanin" w:hAnsi="IRNazanin" w:eastAsia="IRNazanin"/>
          <w:color w:val="111111"/>
          <w:sz w:val="28"/>
          <w:sz w:val="28"/>
          <w:szCs w:val="28"/>
          <w:rtl w:val="true"/>
          <w:lang w:bidi="fa-IR"/>
        </w:rPr>
        <w:t>، أو علی أخذ الشهادة موضوعا لما یعتبر فی اعتباره التعدّد شرعا، و الروایة موضوعا لما لم یعتبر فی اعتباره التعدّد شرعا، کما توهّم، مطلب آخر طویل الذیل سیأتی فی ما بعد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فالکلام الآن فی بیان أصل اعتبار العدالة، و التعدّد فی التزکیة، و عدم اعتبارهما یقع تارة فی تشخیص محلّ النزاع، و تارة فی ثمرة النزاع، و تارة ثالثة </w:t>
      </w:r>
    </w:p>
    <w:p>
      <w:pPr>
        <w:pStyle w:val="BookText"/>
        <w:rPr/>
      </w:pPr>
      <w:r>
        <w:rPr>
          <w:rFonts w:ascii="IRNazanin" w:hAnsi="IRNazanin" w:eastAsia="IRNazanin"/>
          <w:color w:val="111111"/>
          <w:sz w:val="28"/>
          <w:sz w:val="28"/>
          <w:szCs w:val="28"/>
          <w:rtl w:val="true"/>
          <w:lang w:bidi="fa-IR"/>
        </w:rPr>
        <w:t>فی تحقیق الحقّ من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محلّ النزاع فإنّما هو فی تزکیة رواة أخبار الأئمة المتوسطة بیننا و بین الأئمة علیهم السّلام فی الأخبار، لا فی تزکیة نقلة الفتوی عن المجتهدین، و لا فی تزکیة الشاهد علی حقوق الناس فی المرافعات، و لا فی تزکیة إمام الجماعة، و لا فی تزکیة المتولّی علی أموال الیتامی و نحوه، فإنّ المشهور فی ذلک کلّه علی اعتبار التعدّد و العدالة بالدلیل الخاصّ من غیر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ثمرة النزاع فأمّا بین القولین الأوّلین فیظهر فی اعتبار التعدّد و عدمه، و أمّا بین کلّ منهما و الأخیر فیظهر فی اعتبار العدالة فی المزکّی علی الأولین، و عدم اعتبارها علی الأخیر، و فی جواز التعویل لنا علی تزکیة المزکّی تعبّدا علی الأولین و لو احتمل الوقوف علی جرح المزکّی لو راجع و اجتهد، و عدم جواز التعویل لنا علی تزکیة المزکّی علی الأخیر بل یجب علینا مع احتمال الوقوف علی مخالفة المزکّی فی الرأی الرجوع إلی ما یؤدّی إلیه رأینا فی التعدیل و الجرح، من المراجعة و الاجتهاد فی مظانّ أحوال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الیأس و عدم احتمال الوقوف علی مخالفة رأی المزکّی لو راجعنا بأنفسنا و اجتهدنا فنعوّل علی تزکیة المزکّی، لکن لا من باب محض التعبّد أیضا بل من باب عدم أداء الاجتهاد و الظنّ إلی ما ورائه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الحقّ من بین الأقوال الثلاثة فهو الأخیر منها، أعنی جواز التعویل فی تعدیل الراوی علی مطلق الظنّ، سواء استند إلی تزکیة العدل، أو إلی سائر الأمارات، وفاقا لجمهور المتأخرین، لوجوه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تحقیقه بأبلغ وجه، من أنّه لا رائحة من اشتراط العدالة، فضلا عن اشتراط التعدّد فی شی‌ء من الآیات و الأخبار الواردة فی حجّیة أخبار الآحاد، بل غایة ما یحصل من مفاد مجموعها هو اشتراط حجّیتها بالظنّ </w:t>
      </w:r>
    </w:p>
    <w:p>
      <w:pPr>
        <w:pStyle w:val="BookText"/>
        <w:rPr/>
      </w:pPr>
      <w:r>
        <w:rPr>
          <w:rFonts w:ascii="IRNazanin" w:hAnsi="IRNazanin" w:eastAsia="IRNazanin"/>
          <w:color w:val="111111"/>
          <w:sz w:val="28"/>
          <w:sz w:val="28"/>
          <w:szCs w:val="28"/>
          <w:rtl w:val="true"/>
          <w:lang w:bidi="fa-IR"/>
        </w:rPr>
        <w:t>بصدورها و الوثوق بصدقها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الظنّ بعدالة الراوی و تحرّزه عن الکذب ممّا یفید الظنّ بصدور الروایة و الوثوق بصدقها، فیجب التعویل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لو بنینا فی تعدیل الرّواة علی اعتبار العدالة و التعدّد فی المزکّی لزم سدّ باب الاستدلال بمعظم الأخبار لکثرة وسائط کلّ خبر من الأخبار، و قلّة ما یتّفق خلوّ جمیع وسائطه عن قدح أو جرح، بحیث یتعذّر أو یتعسّر لنا تعدیل جمیع سلسلة الرواة بتزکیة عادل أو عادلین، حسبما تقدّم بیانه أیضا بأبلغ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نقول بتعذّر تحصیل تزکیة الرواة بالعدل أو العدلین بالسلب الکلّی، حتی ینافینا ثبوت عدالة بعضهم لنا بالتواتر، أو القرائن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إنّما نقول بمنع الإیجاب الکلّی، أعنی منع إمکان تحصیل تزکیة من بهم الکفایة فی إثبات الأحکام، إلّا من باب الظنون الاجتهادیة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قضیة تعذّر تحصیل عدالة المزکّی لنا هو سقوط أصل التزکیة، لا الاکتفاء بالظنّ فی تحصیلها، لقضاء انتفاء الشرط انتفاء المشروط رأسا، لا التعویض عن اشتراط العدالة باشتراط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تمسّکنا بتعذّر تحصیل عدالة المزکّی علینا إنّما هو لدفع ثبوت اعتبارها، لا لرفع اعتبارها الثابت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لکن لو لا الإجماع و الدلیل الخاصّ علی بقاء أصل التزکیة لم نأب عن الالتزام بارتفاع اشتراط التزکیة رأسا؛ بعد تعذّر مشروطها، و هو العدالة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نراه بالعیان و نشاهده بالوجدان من ابتناء أکثر تعدیلات أهل الرجال و تزکیاتهم إلّا ما شذّ منها و ندر علی الاستنباط و الظنون الاجتهادیة، کسائر الفتاوی المدوّنة فی کتب الفقه و الاصولی و النحو و الصرف و البیان، و غیرها من سائر العلوم المبتنیة علی الاستنباط و إعمال الظنون الاجتهادیة، المنافیة </w:t>
      </w:r>
    </w:p>
    <w:p>
      <w:pPr>
        <w:pStyle w:val="BookText"/>
        <w:rPr/>
      </w:pPr>
      <w:r>
        <w:rPr>
          <w:rFonts w:ascii="IRNazanin" w:hAnsi="IRNazanin" w:eastAsia="IRNazanin"/>
          <w:color w:val="111111"/>
          <w:sz w:val="28"/>
          <w:sz w:val="28"/>
          <w:szCs w:val="28"/>
          <w:rtl w:val="true"/>
          <w:lang w:bidi="fa-IR"/>
        </w:rPr>
        <w:t>لطریق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ابتناء أکثر تزکیاتهم علی الاستنباط بمثل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عالم، أو فاضل، أو وجه، أو عین، أو تقیّ، أو ثقة، أو مأمون، أو جیّد، أو ورع، أو حسن التصانیف، أو له تصانیف، أو أنّه أول من نشر الأحادیث فی کذا، أو أنّ الإمام علیهم السّلام استحسن فعله، أو رأیه فی واقعة، أو ترحّم علیه، إلی غیر ذلک ممّا لا یدلّ علی العدالة بنفسه إلّا بضمّ ما یعدّه من الاستنباطات و الاجتهادات الظنّیة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ذلک أیضا اتّفاقهم علی تقدیم الجرح علی التعدیل، نظرا إلی تقدیم المثبت علی النافی، و مع ذلک یجمعون بین تزکیة شخص بأنّه ثقة، و جرحه الآخر بأنّه فطحیّ، أو واقفیّ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فطحیّ ثقة، أو واقفی ثقة، فإنّ هذا الجمع إنّما یناسب ابتناء التزکیة علی الاستنباط لا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الوجوه اللائحة، بل الصریحة فی استناد تزکیات أهل الرجال إلی الاجتهاد لا الشهادة، مع أنّ مجرّد الاستناد إلی الشهادة لو فرضت کیف یعدّ شهادة بعد العلم بابتنائها علی تلک الظنون الاجتهادیة فی حقّ المجتهد بخلافها، أو المحتمل خلافها لو اجتهد؟ بل و مع الشکّ بابتنائها علی ذلک کیف یکون الإلحاق بالشهادة أولی من الإلحاق بغیر الشهادة؟</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بمنطوق آیة النبأ</w:t>
      </w:r>
      <w:r>
        <w:rPr>
          <w:rStyle w:val="FootnoteAnchor"/>
          <w:rtl w:val="true"/>
        </w:rPr>
        <w:footnoteReference w:id="560"/>
      </w:r>
      <w:r>
        <w:rPr>
          <w:rFonts w:ascii="IRNazanin" w:hAnsi="IRNazanin" w:eastAsia="IRNazanin"/>
          <w:color w:val="111111"/>
          <w:sz w:val="28"/>
          <w:sz w:val="28"/>
          <w:szCs w:val="28"/>
          <w:rtl w:val="true"/>
          <w:lang w:bidi="fa-IR"/>
        </w:rPr>
        <w:t>، و 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النّبأ علی التزکیة من جهة الإخبار عن موافقة المعتقد، و صدق التبیّن علی مطلق الظنّ الحاصل بصدقه و لو من الاستنباط و الاجتهاد دون الشهادة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تزکیة أهل الرجال أحدا بلفظ العدالة مع ندوره جدّا کیف یحمل علی الشهادة؟ مع کونه بالنسبة إلینا بطریق المکاتبة لا المشافهة، و أیضا کیف یحمل علی الشهادة؟ مع اختلاف المجتهدین فی معنی العدالة و الجرح، و عدد </w:t>
      </w:r>
    </w:p>
    <w:p>
      <w:pPr>
        <w:pStyle w:val="BookText"/>
        <w:rPr/>
      </w:pPr>
      <w:r>
        <w:rPr>
          <w:rFonts w:ascii="IRNazanin" w:hAnsi="IRNazanin" w:eastAsia="IRNazanin"/>
          <w:color w:val="111111"/>
          <w:sz w:val="28"/>
          <w:sz w:val="28"/>
          <w:szCs w:val="28"/>
          <w:rtl w:val="true"/>
          <w:lang w:bidi="fa-IR"/>
        </w:rPr>
        <w:t>الکبائر، و معنی الکبیرة،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أخر قد تصدّی لبیانها فی الفصول</w:t>
      </w:r>
      <w:r>
        <w:rPr>
          <w:rStyle w:val="FootnoteAnchor"/>
          <w:rtl w:val="true"/>
        </w:rPr>
        <w:footnoteReference w:id="561"/>
      </w:r>
      <w:r>
        <w:rPr>
          <w:rFonts w:ascii="IRNazanin" w:hAnsi="IRNazanin" w:eastAsia="IRNazanin"/>
          <w:color w:val="111111"/>
          <w:sz w:val="28"/>
          <w:sz w:val="28"/>
          <w:szCs w:val="28"/>
          <w:rtl w:val="true"/>
          <w:lang w:bidi="fa-IR"/>
        </w:rPr>
        <w:t>و المناهج</w:t>
      </w:r>
      <w:r>
        <w:rPr>
          <w:rStyle w:val="FootnoteAnchor"/>
          <w:rtl w:val="true"/>
        </w:rPr>
        <w:footnoteReference w:id="562"/>
      </w:r>
      <w:r>
        <w:rPr>
          <w:rFonts w:ascii="IRNazanin" w:hAnsi="IRNazanin" w:eastAsia="IRNazanin"/>
          <w:color w:val="111111"/>
          <w:sz w:val="28"/>
          <w:sz w:val="28"/>
          <w:szCs w:val="28"/>
          <w:rtl w:val="true"/>
          <w:lang w:bidi="fa-IR"/>
        </w:rPr>
        <w:t>، و غیرهما من شاء راجعها، فلا نطیل بذکرها و إن لم یخل بعضها عن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البناء علی الظنون الاجتهادیة فی التزکیة قول حادث من المتأخرین، و خرق للإجماع المرکّب من القدماء، فإنّ بناء القدماء فی التزکیة منحصر فی القولین الأولین اعتبار العدل، أو العدلین، بل لم یحدث ذکر الظنون الاجتهادیة إلّا فی لسان المتأخرین، و ما کان فیه خرق للإجماع لا یثبته شی‌ء ممّا طرقت به الأسماع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القول الثالث من المتأخرین ممنوع، بل الظاهر أنّ مراد المکتفین فی التزکیة بالواحد کلّا أو جلّا هو مطلق الظنون الاجتهادیة أیضا، و أنّ التعبیر عنه بخصوص العدل الواحد إنّما هو فی قبال ردّ توهّم اعتبار التعدّد، کما یظهر من استدلالاتهم الآتیة بما یقتضی نفی اعتبار التعدّد، مع أنّ من المعلوم علی المتتبّع الخبیر انحصار السبیل فی الجرح و التعدیل لرواة أخبار أئمتنا علیهم السّلام علی الظنون الاجتهادیة بین القدماء و المتأخّرین من غیر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مجرّد حدوث القول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التسلیم و التنزّل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خرق الإجماع، و أنّی لک بإثبات الإجماع؟</w:t>
      </w:r>
    </w:p>
    <w:p>
      <w:pPr>
        <w:pStyle w:val="BookText"/>
        <w:rPr/>
      </w:pPr>
      <w:r>
        <w:rPr>
          <w:rFonts w:ascii="Amiri" w:hAnsi="Amiri" w:eastAsia="Amiri" w:cs="Amiri"/>
          <w:color w:val="111111"/>
          <w:sz w:val="28"/>
          <w:sz w:val="28"/>
          <w:szCs w:val="28"/>
          <w:rtl w:val="true"/>
          <w:lang w:bidi="ar-SA"/>
        </w:rPr>
        <w:t>ثمّ إنّ هذا کلّه فی حجّیة القول بکفایة مطلق الظنّ فی التزکیة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حجّة القول بکفایة العدل الواحد دون اعتبار التعدّد فوجوه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العلّامة</w:t>
      </w:r>
      <w:r>
        <w:rPr>
          <w:rStyle w:val="FootnoteAnchor"/>
          <w:rtl w:val="true"/>
        </w:rPr>
        <w:footnoteReference w:id="563"/>
      </w:r>
      <w:r>
        <w:rPr>
          <w:rFonts w:ascii="IRNazanin" w:hAnsi="IRNazanin" w:eastAsia="IRNazanin"/>
          <w:color w:val="111111"/>
          <w:sz w:val="28"/>
          <w:sz w:val="28"/>
          <w:szCs w:val="28"/>
          <w:rtl w:val="true"/>
          <w:lang w:bidi="fa-IR"/>
        </w:rPr>
        <w:t>، و الفاضل الجواد من الاستدلال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التعدیل شرط فی قبول الروایة، و قول الواحد مقبول فیها، فیجب قبوله فیه أیضا، و إلّا لزم </w:t>
      </w:r>
    </w:p>
    <w:p>
      <w:pPr>
        <w:pStyle w:val="BookText"/>
        <w:rPr/>
      </w:pPr>
      <w:r>
        <w:rPr>
          <w:rFonts w:ascii="IRNazanin" w:hAnsi="IRNazanin" w:eastAsia="IRNazanin"/>
          <w:color w:val="111111"/>
          <w:sz w:val="28"/>
          <w:sz w:val="28"/>
          <w:szCs w:val="28"/>
          <w:rtl w:val="true"/>
          <w:lang w:bidi="fa-IR"/>
        </w:rPr>
        <w:t>زیادة الشرط علی مشروطه، و زیادة الاحتیاط فی الفرع علی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فی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 من عدم زیادة الشرط علی المشروط، إذ لا دلیل علیه، سلّمنا، لکن الشرط فی القبول هو العدالة لا التعدیل، نعم هو أحد الطرق إلی معرفة الشرط، سلّمنا، لکن زیادة الشرط بهذا المعنی علی مشروطه بهذه الزیادة المخصوصة أظهر فی الأحکام الشرعیّة عند من یعمل بخبر الواحد من أن یبیّن، یعنی أنّ العامل بخبر الواحد یعوّل علیه فی أصل الأحکام، و لا یعوّل فی مواردها غالبا علی خبر الواحد، فإنّه یکتفی فی الحکم بصحّة عقد، أو إیقاع مثلا بخبر الواحد، و لا یکتفی فی وقوع ذلک العقد، أو الإیقاع بشهادة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جواب المعالم</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مرجع جوابه الأوّل إلی المنع من بطلان اللازم مطلقا، و جوابه الثانی إلی المنع من أصل الملازمة، و جوابه الثالث إلی المنع من بطلان اللازم، لکن لا مطلقا بل فی خصوص ما نحن فیه، و هو ما إذا کان الشرط مقدّمة للثبوت، و الزیادة هی افتقار ثبوته إلی الشاهدین فی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یندفع جوابه الأوّل بما عن بعض أفاضل المتأخرین من أنّ الظاهر من الاکتفاء فی المشروط بخبر الواحد الاکتفاء به فی شرطه، و إلّا لوجب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استشکل علیه الفصول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الظهور المدّعی إن کان بالنسبة إلی الخطاب الذی دلّ علی حجّیة خبر الواحد فی الأحکام فممنوع، و إن کان بالنسبة إلی نفس الحکم فاستحسان و قیاس، لا نقول به</w:t>
      </w:r>
      <w:r>
        <w:rPr>
          <w:rStyle w:val="FootnoteAnchor"/>
          <w:rtl w:val="true"/>
        </w:rPr>
        <w:footnoteReference w:id="565"/>
      </w:r>
      <w:r>
        <w:rPr>
          <w:rFonts w:ascii="IRNazanin" w:hAnsi="IRNazanin" w:eastAsia="IRNazanin"/>
          <w:color w:val="111111"/>
          <w:sz w:val="28"/>
          <w:sz w:val="28"/>
          <w:szCs w:val="28"/>
          <w:rtl w:val="true"/>
          <w:lang w:bidi="fa-IR"/>
        </w:rPr>
        <w:t>فیندفع أیضا</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باختیار الشقّ الأول، و منع منعه من ظهور أدلّة حجّیة خبر الواحد فی الاکتفاء بالعدل الواحد، و ذلک لإطلاق کلّ ما دلّ علی حجّیة خبر الواحد من </w:t>
      </w:r>
    </w:p>
    <w:p>
      <w:pPr>
        <w:pStyle w:val="BookText"/>
        <w:rPr/>
      </w:pPr>
      <w:r>
        <w:rPr>
          <w:rFonts w:ascii="IRNazanin" w:hAnsi="IRNazanin" w:eastAsia="IRNazanin"/>
          <w:color w:val="111111"/>
          <w:sz w:val="28"/>
          <w:sz w:val="28"/>
          <w:szCs w:val="28"/>
          <w:rtl w:val="true"/>
          <w:lang w:bidi="fa-IR"/>
        </w:rPr>
        <w:t>آیة النبأ، و سائر الآیات، و الأخبار المتقدّمة، و أیّ ظهور من الظواهر المعوّل علیها فی الأحکام أظهر ظهورا من إطلاق أدلّة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باختیار الشقّ الثانی، و منع کونه قیاسا باطلا،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فلأولویّة عدم اشتراط التعدّد فی الشرط من عدم اشتراطه فی المشروط، و هذه الأولویة و إن کانت ظنّیة إلّا أنّها کأولویة حرمة الشتم من حرمة التأفیف، فی الاستناد إلی اللفظ و عدم الإشکال فی حجّیتها، و التعبیر عنها بفحوی الخطاب و القیاس الجلیّ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فلتنقیح المناط القطعیّ، و ذلک لأنّ مناط عدم اعتبار خبر الفاسق لیس إلّا من جهة عدم المأمونیّة من الوقوع به فی معرض تندیم العقلاء، و مناط الاکتفاء بخبر العدل الواحد فی أصل الروایة لیس إلّا من جهة المأمونیة بعدالته عن الوقوع فی معرض التندیم، و هذه الجهة کما توجب سقوط اعتبار التعدّد فی أصل الروایة کذلک توجب سقوط اعتبارها فی تعدیل الراوی، فکما یستفاد من القول بعدم وجوب الطهارة لأجل الحضور فی خدمة المعصوم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وجوبها فی مقدّمته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الطریق الموصل إلی الحضور بفحوی الخطاب و تنقیح المناط القطعیّ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یفهم من عدم اشتراط التعدّد فی أصل الراوی عدم اشتراطه فی شرطه، و هو التعدیل</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توهّم الفرق و منع الأولویة، بکون العدالة حدسیّا و الروایة حسیّا، کما فی ظاهر القوانین</w:t>
      </w:r>
      <w:r>
        <w:rPr>
          <w:rStyle w:val="FootnoteAnchor"/>
          <w:rtl w:val="true"/>
        </w:rPr>
        <w:footnoteReference w:id="566"/>
      </w:r>
      <w:r>
        <w:rPr>
          <w:rFonts w:ascii="IRNazanin" w:hAnsi="IRNazanin" w:eastAsia="IRNazanin"/>
          <w:color w:val="111111"/>
          <w:sz w:val="28"/>
          <w:sz w:val="28"/>
          <w:szCs w:val="28"/>
          <w:rtl w:val="true"/>
          <w:lang w:bidi="fa-IR"/>
        </w:rPr>
        <w:t>، و عن شرح الوافیة فمضافا إلی أنّه أخصّ من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جریانه فی الجرح فإنّه حسّی أیضا، بل و لا فی العدالة بناء علی تفسیرها بحسن الظاهر دون الملکة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فارق، لما عرفت فی مبحث الإجماع المنقول من دفع فارقیة هذا الفرق بالنقض و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ردّ الجواب الأول من أجوبة صاحب المعالم</w:t>
      </w:r>
      <w:r>
        <w:rPr>
          <w:rFonts w:eastAsia="IRNazanin" w:cs="IRNazanin"/>
          <w:color w:val="111111"/>
          <w:sz w:val="28"/>
          <w:szCs w:val="28"/>
          <w:rtl w:val="true"/>
          <w:lang w:bidi="fa-IR"/>
        </w:rPr>
        <w:t xml:space="preserve">. </w:t>
      </w:r>
      <w:bookmarkStart w:id="804" w:name="pg12850_121465"/>
    </w:p>
    <w:p>
      <w:pPr>
        <w:pStyle w:val="Heading5"/>
        <w:numPr>
          <w:ilvl w:val="4"/>
          <w:numId w:val="1"/>
        </w:numPr>
        <w:rPr/>
      </w:pPr>
      <w:bookmarkStart w:id="805" w:name="__RefHeading___Toc2527594_3224264995"/>
      <w:bookmarkStart w:id="806" w:name="_Toc297"/>
      <w:bookmarkEnd w:id="804"/>
      <w:bookmarkEnd w:id="805"/>
      <w:r>
        <w:rPr>
          <w:rtl w:val="true"/>
        </w:rPr>
        <w:t>[</w:t>
      </w:r>
      <w:r>
        <w:rPr>
          <w:rtl w:val="true"/>
        </w:rPr>
        <w:t>زیادة الشرط علی مشروطه</w:t>
      </w:r>
      <w:r>
        <w:rPr>
          <w:rtl w:val="true"/>
        </w:rPr>
        <w:t>]</w:t>
      </w:r>
      <w:bookmarkEnd w:id="806"/>
    </w:p>
    <w:p>
      <w:pPr>
        <w:pStyle w:val="BookText"/>
        <w:rPr/>
      </w:pPr>
      <w:r>
        <w:rPr>
          <w:rFonts w:ascii="IRNazanin" w:hAnsi="IRNazanin" w:eastAsia="IRNazanin"/>
          <w:color w:val="111111"/>
          <w:sz w:val="28"/>
          <w:sz w:val="28"/>
          <w:szCs w:val="28"/>
          <w:rtl w:val="true"/>
          <w:lang w:bidi="fa-IR"/>
        </w:rPr>
        <w:t>و یرد علی جوابه الثانی بما فی الفصول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إن قبل قول الواحد فی ثبوت العدالة بطل اشتراط التعدّد، و إلّا لزم بطلان ما سلّمه من عدم زیادة الشرط علی مشروطه</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ثبوت أحکام تلک الماهیات المکتفی فیه بخبر الواحد لیس مشروطا بثبوت وقوع أفرادها، المتوقّف علی شهادة العدلین حتی یصحّ التمسّک به فی المقام علی جواز زیادة الشرط علی المشروط، بخلاف ثبوت حجّیة خبر الواحد فإنّها مشروطة بثبوت العدالة، و شتّان ما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إرادة الشارع الأحکام الکلّیة من طهارة الماء و نجاسته، و حدّ الزانی مع عدم إرادة وقوع أفرادها من طهارة الماء الخاصّ أو نجاسته، و من حدّ الزانی الخاصّ و نحوه، بل و إرادة عدم أفرادها، کما یشهد به سیرتهم فی باب الطهارة و النجاسة، من رشّ الماء علی ثیابه علیه السّلام عند الدخول فی بیت الخلاء، توصّلا إلی حمل ما لو رأی شیئا من الرطوبة المشکوکة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قوله علیه السّلام فیما لو أصابه رطوبة مشکوکة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أبالی بکونه بولا أو ماء، إذا لم أعلم</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تلقینهم المعترف بالزنا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لمست، أو قبّلت</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ادرأ الحدود بالشبهات</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تَجَسَّسُوا </w:t>
      </w:r>
      <w:r>
        <w:rPr>
          <w:rFonts w:eastAsia="Amiri" w:cs="Amiri" w:ascii="Amiri" w:hAnsi="Amiri"/>
          <w:color w:val="111111"/>
          <w:sz w:val="28"/>
          <w:szCs w:val="28"/>
          <w:rtl w:val="true"/>
          <w:lang w:bidi="ar-SA"/>
        </w:rPr>
        <w:t>...</w:t>
      </w:r>
      <w:r>
        <w:rPr>
          <w:rStyle w:val="FootnoteAnchor"/>
          <w:rtl w:val="true"/>
        </w:rPr>
        <w:footnoteReference w:id="571"/>
      </w:r>
      <w:r>
        <w:rPr>
          <w:rFonts w:ascii="IRNazanin" w:hAnsi="IRNazanin" w:eastAsia="IRNazanin"/>
          <w:color w:val="111111"/>
          <w:sz w:val="28"/>
          <w:sz w:val="28"/>
          <w:szCs w:val="28"/>
          <w:rtl w:val="true"/>
          <w:lang w:bidi="fa-IR"/>
        </w:rPr>
        <w:t xml:space="preserve">إلی غیر ذلک ممّا لا یجوز فی أصل </w:t>
      </w:r>
    </w:p>
    <w:p>
      <w:pPr>
        <w:pStyle w:val="BookText"/>
        <w:rPr/>
      </w:pPr>
      <w:r>
        <w:rPr>
          <w:rFonts w:ascii="IRNazanin" w:hAnsi="IRNazanin" w:eastAsia="IRNazanin"/>
          <w:color w:val="111111"/>
          <w:sz w:val="28"/>
          <w:sz w:val="28"/>
          <w:szCs w:val="28"/>
          <w:rtl w:val="true"/>
          <w:lang w:bidi="fa-IR"/>
        </w:rPr>
        <w:t>الأحکام الکلّیة مع جوازها فی الأحکام الجزئیة، الکاشف عن کون الأحکام الجزئیة نسبتها إلی الأحکام الکلّیة سقوء</w:t>
      </w:r>
      <w:r>
        <w:rPr>
          <w:rStyle w:val="FootnoteAnchor"/>
          <w:rtl w:val="true"/>
        </w:rPr>
        <w:footnoteReference w:id="572"/>
      </w:r>
      <w:r>
        <w:rPr>
          <w:rFonts w:ascii="IRNazanin" w:hAnsi="IRNazanin" w:eastAsia="IRNazanin"/>
          <w:color w:val="111111"/>
          <w:sz w:val="28"/>
          <w:sz w:val="28"/>
          <w:szCs w:val="28"/>
          <w:rtl w:val="true"/>
          <w:lang w:bidi="fa-IR"/>
        </w:rPr>
        <w:t>آخر لا ینبغی أن یقاس علیه نسبة الشرط إلی المشروط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توجیه الفصول ذلک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زیادة الشرط علی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هلال رمضان علی قول من اعتبر قول العدل الواحد، و بمثل إخبار العدل عن فتوی المفتی، إذ الظاهر عدم التأمّل فی کفایة الواحد فیه، و عدم قبول تعدیل الواحد له، و کذا إخبار العدل عن نفسه ببلوغه درجة الفتوی، عند من یکتفی باخباره حیث إنّ شرط قبوله عدالته، و لا یکتفی فیها بشهادة الواحد، و کذلک إخبار الأجیر بقیامه بالعبادة المستأجر علیها حیث یکتفی بخبره مع عدالته، و لا یثبت عدالته بشهادة الواحد، و مثله الکلام فی الوکیل علی تفریق الصدقات حیث یکتفی فیه بخبره مع عدالته، و لا یقبل فی عدالته شهادة الواحد، و قریب من ذلک الشهادات المالیة حیث یقبل فیها أحد الأمرین من شهادة العدلین، و شهادة الواحد مع الیمین، و لا یقبل فی تعدیل الشاهد إلّا الشاهدین</w:t>
      </w:r>
      <w:r>
        <w:rPr>
          <w:rStyle w:val="FootnoteAnchor"/>
          <w:rtl w:val="true"/>
        </w:rPr>
        <w:footnoteReference w:id="573"/>
      </w:r>
      <w:r>
        <w:rPr>
          <w:rFonts w:ascii="IRNazanin" w:hAnsi="IRNazanin" w:eastAsia="IRNazanin"/>
          <w:color w:val="111111"/>
          <w:sz w:val="28"/>
          <w:sz w:val="28"/>
          <w:szCs w:val="28"/>
          <w:rtl w:val="true"/>
          <w:lang w:bidi="fa-IR"/>
        </w:rPr>
        <w:t>فیندفع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کون المذکور من الأمثلة أمثلة لزیادة الشرط علی المشروط سیما مثال إخبار الأجیر بقیامه بالعبادة المستأجر علیها، و إخبار الوکیل علی تفریق الصدقات؛ فإنّ قبول خبرهما غیر مشروط بالعدالة، بل لعلّه من مقتضیات أصالة الصحّة فی أفعال المسلمین، کقبول خبر المخبر بصحّة عقد أو ایقاع</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کون بعضها أمثلة لزیادة الشرط علی المشروط إلّا أنّه مع ذلک لا یتوجّه بها الجواب؛ لأنّا لم ندّع استحالة زیادة الشرط علی المشروط عقلا و إنّما ادّعینا کون الأصل و الظاهر هو عدم زیادته، فلا ینافی الخروج عن الأصل </w:t>
      </w:r>
    </w:p>
    <w:p>
      <w:pPr>
        <w:pStyle w:val="BookText"/>
        <w:rPr/>
      </w:pPr>
      <w:r>
        <w:rPr>
          <w:rFonts w:ascii="IRNazanin" w:hAnsi="IRNazanin" w:eastAsia="IRNazanin"/>
          <w:color w:val="111111"/>
          <w:sz w:val="28"/>
          <w:sz w:val="28"/>
          <w:szCs w:val="28"/>
          <w:rtl w:val="true"/>
          <w:lang w:bidi="fa-IR"/>
        </w:rPr>
        <w:t>و الظاهر فی بعض الموارد، القائم علیها الدلیل المخرج من إجماع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دعوی المعالم بأنّ زیادة الشرط علی المشروط أکثر من أن یحصی</w:t>
      </w:r>
      <w:r>
        <w:rPr>
          <w:rStyle w:val="FootnoteAnchor"/>
          <w:rtl w:val="true"/>
        </w:rPr>
        <w:footnoteReference w:id="574"/>
      </w:r>
      <w:r>
        <w:rPr>
          <w:rFonts w:ascii="IRNazanin" w:hAnsi="IRNazanin" w:eastAsia="IRNazanin"/>
          <w:color w:val="111111"/>
          <w:sz w:val="28"/>
          <w:sz w:val="28"/>
          <w:szCs w:val="28"/>
          <w:rtl w:val="true"/>
          <w:lang w:bidi="fa-IR"/>
        </w:rPr>
        <w:t>لیس له غیر الأمثلة المذکورة مثالا، سوی مثال بعض الحقوق الثابتة بشهادة واحد، بل مرأة واحدة، کربع میراث المستهلّ، و ربع الوصیة، و حکم الحاکم، مع أنّ تزکیة الشاهد، و أهلیة الحاکم للحکم یتوقّف علی الشاهدین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ما فی الأمثلة المتقدّمة من منع کونها أمثلة زیادة الشرط علی المشروط أولا، و من أنّ خروجها عن تحت الأصل، و الظاهر بمخرج خارجیّ و هو خارج عن محلّ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وجوه القول بکفایة العدل الواحد دون اعتبار 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بعموم مفهوم آیة النبأ حیث إنّ مفهومها یدلّ علی اعتبار قول العادل مطلقا، فیتناول التزکیة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علیه فی المعالم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مبنی اشتراط العدالة فی الراوی علی أنّ المراد من الفاسق فی الآیة من له هذه الصفة فی الواقع، فیتوقّف قبول الخبر علی العلم بانتفائها</w:t>
      </w:r>
      <w:r>
        <w:rPr>
          <w:rStyle w:val="FootnoteAnchor"/>
          <w:rtl w:val="true"/>
        </w:rPr>
        <w:footnoteReference w:id="575"/>
      </w:r>
      <w:r>
        <w:rPr>
          <w:rFonts w:ascii="IRNazanin" w:hAnsi="IRNazanin" w:eastAsia="IRNazanin"/>
          <w:color w:val="111111"/>
          <w:sz w:val="28"/>
          <w:sz w:val="28"/>
          <w:szCs w:val="28"/>
          <w:rtl w:val="true"/>
          <w:lang w:bidi="fa-IR"/>
        </w:rPr>
        <w:t>، و فرض العموم فی مفهوم الآیة علی وجه یتناول الإخبار بالعدالة یؤدّی إلی حصول التناقض فی مدلولها؛ و ذلک لأنّ الاکتفاء فی معرفة العدالة بخبر الواحد یقتضی عدم توقف قبول الخبر علی العلم بانتفاء صفة الفسق، ضرورة أنّ خبر العدل بمجرّده لا یوجب العلم، فلا بدّ من حملها علی إرادة الإخبار بما سوی العدالة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أورد علی نفسه النقض بشهادة العدلین حیث إنّها لا تفید العلم أیضا، و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ما دلّ علی قبول شهادة العدلین دلیل خارجیّ، فیجوز تخصیص </w:t>
      </w:r>
    </w:p>
    <w:p>
      <w:pPr>
        <w:pStyle w:val="BookText"/>
        <w:rPr/>
      </w:pPr>
      <w:r>
        <w:rPr>
          <w:rFonts w:ascii="IRNazanin" w:hAnsi="IRNazanin" w:eastAsia="IRNazanin"/>
          <w:color w:val="111111"/>
          <w:sz w:val="28"/>
          <w:sz w:val="28"/>
          <w:szCs w:val="28"/>
          <w:rtl w:val="true"/>
          <w:lang w:bidi="fa-IR"/>
        </w:rPr>
        <w:t>الآیة به، و لا محذور فیه</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فی توجیهه بأنّه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تقیید المفهوم بما سوی الإخبار عن العدالة لیس بأولی من تقیید المنطوق بما 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المنطوق أقوی دلالة من المفهوم، و المفهوم أضعف دلالة منه، فتقییده أولی من تقیید المنطوق، مضافا إلی أنّ المفهوم من لوازم المنطوق، فلا یتعقّل بقاء اللازم علی حاله و انتفاء الملزوم، کما لا یتعقّل بقاء الزوجیة مع تقیید ملزومها، کالأربعة بالثلاثة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یقال أیضا بأنّ توقّف قبول الخبر علی العلم بانتفاء صفة الفسق توقّف لقبول الخبر علی امر متعذّر أو متعسّر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لأنّا نمنع تعذّره و تعسّره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بالبناء علی کون العدالة هو الحسن الظاهر، لا خصوص 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بقیام الشاهدین مقام العلم شرعا رافع لتعذّره و تعسّره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غایة توجیه اعتراض المعالم علی المستدلّ و لکنّه مع ذلک مندفع بمنع دلالة منطوق الآیة علی توقّف قبول خبر الواحد علی العلم بانتفاء صفة الفسق عنه، أعنی منع کون العلم مأخوذا علی وجه الموضوعیة، و إنّما یدلّ علی توقّفه علی انتفاء صفة الفسق عنه فی الواقع، سواء علم به ام لم یعلم نعم حیث لا سبیل إلی الوقوف علی الواقع إلّا بطریق موصل إلیه، فالعقل إنّما یستقلّ بکون العلم طریقا، و أمّا غیره فإن قام دلیل علی کونه طریقا جاز التعویل علیه، و إلّا لم یجز، لکن لا لدلالة الخطاب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یعارض عموم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لحکم العقل بأصالة عدم کون ما لم یثبت کونه طریقا، طریقا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سلّم أنّ الآیة تدلّ بمفهومها علی جواز التعویل علی قول غیر الفاسق </w:t>
      </w:r>
    </w:p>
    <w:p>
      <w:pPr>
        <w:pStyle w:val="BookText"/>
        <w:rPr/>
      </w:pPr>
      <w:r>
        <w:rPr>
          <w:rFonts w:ascii="IRNazanin" w:hAnsi="IRNazanin" w:eastAsia="IRNazanin"/>
          <w:color w:val="111111"/>
          <w:sz w:val="28"/>
          <w:sz w:val="28"/>
          <w:szCs w:val="28"/>
          <w:rtl w:val="true"/>
          <w:lang w:bidi="fa-IR"/>
        </w:rPr>
        <w:t>مطلقا، کانت ناهضة بإثبات طریقیّته، فیرتفع فیه حکم الأصل، و لا تناقض، لکون المفهوم حینئذ حاکما علی المنطوق، و متعرّضا بمدلوله اللفظی لبیان حال المنطوق و تفسیره، و من البیّن أنّه لا تعارض بین الحاکم و المحکوم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أبیت من حکومة المفهوم علی منطوق نفسه کفانا حکومة إطلاق سائر الآیات و الأخبار المتقدّمة، الدالّة علی حجّیة مطلق قول العدل سواء کان فی الروایة، أو التعدیل علی منطوق آیة النبأ، مضافا إلی أنّ مجرّد اعتضاد الشهرة لأحد المتعارضین من وجه کاف فی تقدیمه علی معارضه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القوانین عن المعالم بجواب آخر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العادل و الفاسق الواقعیین لیسا فی مقابل مظنون العدالة و الفسق، بل فی مقابل مجهول الحال، و المراد بهما من یطلق علیه اسم العادل و الفاسق، و هما یطلقان علی من ظنّ عدالته و فسقه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اعترض علیه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کون العادل و الفاسق الواقعیین فی مقابل مجهول الحال، بدلیل أنّ مجهول الحال إمّا عادل واقعیّ، أو فاسق واقعیّ، فکیف یمکن اعتبار المقابلة بینهما؟ و دعوی صحّة الإطلاق علی المظنون اتصافه بأحد الوصفین ممنوعة علی الإطلاق، بل الإطلاق المعتبر هناک مشروط بدلالة دلیل علی اعتبار ذلک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اعتراضه</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یرتفع عنه اعتراض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من کون العادل و الفاسق الواقعیین فی مقابل مجهول الحال، لا مقابل مظنون العدالة و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إطلاق العادل و الفاسق الواقعیین شامل لمعلوم الحال منهما و المجهول، لا لمظنون العدالة و الفسق بالظنّ المنزّل منزلة العلم شرعا؛ لکون الإطلاق وارد مورد بیان إلحاق </w:t>
      </w:r>
    </w:p>
    <w:p>
      <w:pPr>
        <w:pStyle w:val="BookText"/>
        <w:rPr/>
      </w:pPr>
      <w:r>
        <w:rPr>
          <w:rFonts w:ascii="IRNazanin" w:hAnsi="IRNazanin" w:eastAsia="IRNazanin"/>
          <w:color w:val="111111"/>
          <w:sz w:val="28"/>
          <w:sz w:val="28"/>
          <w:szCs w:val="28"/>
          <w:rtl w:val="true"/>
          <w:lang w:bidi="fa-IR"/>
        </w:rPr>
        <w:t>مجهول الحال لا بیان مظنون العدالة و الفسق حتی یعارض عموم المفهوم، و إذا لم یکن المظنون داخلا فی إطلاق المنطوق لم یعارض المنطوق دخوله فی إطلاق المفهوم البتة، لصیرورة المفهوم حینئذ کالحاکم علی المنطوق لا المعارض له فتبیّن من ذلک رجوع جواب القوانین إلی الجواب الأول و ارتفاع إیراد الفصول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إیراده الآخر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دعوی صحّة الإطلاق علی المظنون اتصافه بأحد الوصفین ممنوعة علی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Style w:val="FootnoteAnchor"/>
          <w:rtl w:val="true"/>
        </w:rPr>
        <w:footnoteReference w:id="579"/>
      </w:r>
      <w:r>
        <w:rPr>
          <w:rFonts w:ascii="IRNazanin" w:hAnsi="IRNazanin" w:eastAsia="IRNazanin"/>
          <w:color w:val="111111"/>
          <w:sz w:val="28"/>
          <w:sz w:val="28"/>
          <w:szCs w:val="28"/>
          <w:rtl w:val="true"/>
          <w:lang w:bidi="fa-IR"/>
        </w:rPr>
        <w:t>أیضا لا ورود له علی القوانین؛ إذ الدلیل علی اعتبار ذلک الظنّ هو إطلاق مفهوم آیة النبأ، مضافا إلی إطلاق سائر الآیات و الأخبار، و غیره من الأدلّة المتسالمة بینهما، فضلا عمّا یختصّ به القوانین من حجّیة مطلق الظنّ</w:t>
      </w:r>
      <w:r>
        <w:rPr>
          <w:rStyle w:val="FootnoteAnchor"/>
          <w:rtl w:val="true"/>
        </w:rPr>
        <w:footnoteReference w:id="580"/>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زاد القوانین فی الجواب عن المعالم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اشتراط العلم بالعدالة مستفاد من المنطوق، فلا مانع من تخصیصه بمفهومها</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 علیه الفصول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اشتراط العلم مستفاد من القاعدة القطعیة لا من الخطاب، مع أنّه علی تقدیر استفادته منه فهو مستفاد من المفهوم، دون المنطوق، کما لا یخفی</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 بما فی إیراده أیضا من عدم الورود، فإنّ المستفاد من المفهوم إنّما هو نفس اشتراط العدالة، و أمّا اشتراط العلم بعد التنزّل فهو من المنطوق قطعا، بناء علی أنّ المراد من التبیّن التبیّن العلمیّ لا الظنّی، أو المراد من التعلیل هو الاحتراز عمّا عدا العلم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الإیراد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المفهوم و إن صلح لتخصیص المناطیق علی </w:t>
      </w:r>
      <w:bookmarkStart w:id="807" w:name="pg12850_121471"/>
    </w:p>
    <w:p>
      <w:pPr>
        <w:pStyle w:val="BookText"/>
        <w:rPr/>
      </w:pPr>
      <w:bookmarkEnd w:id="807"/>
      <w:r>
        <w:rPr>
          <w:rFonts w:ascii="IRNazanin" w:hAnsi="IRNazanin" w:eastAsia="IRNazanin"/>
          <w:color w:val="111111"/>
          <w:sz w:val="28"/>
          <w:sz w:val="28"/>
          <w:szCs w:val="28"/>
          <w:rtl w:val="true"/>
          <w:lang w:bidi="fa-IR"/>
        </w:rPr>
        <w:t>التحقیق إلّا أنّه لا یصلح لتخصیص منطوق نفسه، لکونه من لوازم منطوقه، فکیف یتعقّل تخصیصه به؟</w:t>
      </w:r>
    </w:p>
    <w:p>
      <w:pPr>
        <w:pStyle w:val="BookText"/>
        <w:rPr/>
      </w:pPr>
      <w:r>
        <w:rPr>
          <w:rFonts w:ascii="IRNazanin" w:hAnsi="IRNazanin" w:eastAsia="IRNazanin"/>
          <w:color w:val="111111"/>
          <w:sz w:val="28"/>
          <w:sz w:val="28"/>
          <w:szCs w:val="28"/>
          <w:rtl w:val="true"/>
          <w:lang w:bidi="fa-IR"/>
        </w:rPr>
        <w:t>و لکن یندفع هذا الإیراد عنه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من تخصیصه حکومته علیه، فإنّ الحکومة أیضا نوع من التخصیص، بل إطلاق الحکومة علی التخصّص اللفظیّ، و التخصیص علی التخصیص العقلیّ إنّما حدث فی ألسنة من عاصرناهم من العلماء، و أمّا فی اصطلاح من تقدّمهم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کصاحب القوانین و متقدّمیه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فیطلق التخصیص علی کلّ من نوعیه</w:t>
      </w:r>
      <w:r>
        <w:rPr>
          <w:rFonts w:eastAsia="IRNazanin" w:cs="IRNazanin"/>
          <w:color w:val="111111"/>
          <w:sz w:val="28"/>
          <w:szCs w:val="28"/>
          <w:rtl w:val="true"/>
          <w:lang w:bidi="fa-IR"/>
        </w:rPr>
        <w:t>.</w:t>
      </w:r>
    </w:p>
    <w:p>
      <w:pPr>
        <w:pStyle w:val="Heading5"/>
        <w:numPr>
          <w:ilvl w:val="4"/>
          <w:numId w:val="1"/>
        </w:numPr>
        <w:rPr/>
      </w:pPr>
      <w:bookmarkStart w:id="808" w:name="__RefHeading___Toc2527596_3224264995"/>
      <w:bookmarkStart w:id="809" w:name="_Toc298"/>
      <w:bookmarkEnd w:id="808"/>
      <w:r>
        <w:rPr>
          <w:rtl w:val="true"/>
        </w:rPr>
        <w:t xml:space="preserve">فصل </w:t>
      </w:r>
      <w:r>
        <w:rPr>
          <w:rtl w:val="true"/>
        </w:rPr>
        <w:t>[</w:t>
      </w:r>
      <w:r>
        <w:rPr>
          <w:rtl w:val="true"/>
        </w:rPr>
        <w:t>الجرح و التعدیل المجرّدان عن ذکر السبب</w:t>
      </w:r>
      <w:r>
        <w:rPr>
          <w:rtl w:val="true"/>
        </w:rPr>
        <w:t>]</w:t>
      </w:r>
      <w:bookmarkEnd w:id="809"/>
    </w:p>
    <w:p>
      <w:pPr>
        <w:pStyle w:val="BookText"/>
        <w:rPr/>
      </w:pPr>
      <w:r>
        <w:rPr>
          <w:rFonts w:ascii="IRNazanin" w:hAnsi="IRNazanin" w:eastAsia="IRNazanin"/>
          <w:color w:val="111111"/>
          <w:sz w:val="28"/>
          <w:sz w:val="28"/>
          <w:szCs w:val="28"/>
          <w:rtl w:val="true"/>
          <w:lang w:bidi="fa-IR"/>
        </w:rPr>
        <w:t>اختلفوا فی قبول الجرح و التعدیل المجرّدین عن ذکر السبب علی أقوال،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التعدیل فیقبل، و الجرح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بینهما بعکس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ما إذا کان المزکّی و الجارح عارفین بالأسباب فیقبل،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المحکی عن العلّامة</w:t>
      </w:r>
      <w:r>
        <w:rPr>
          <w:rStyle w:val="FootnoteAnchor"/>
          <w:rtl w:val="true"/>
        </w:rPr>
        <w:footnoteReference w:id="583"/>
      </w:r>
      <w:r>
        <w:rPr>
          <w:rFonts w:ascii="IRNazanin" w:hAnsi="IRNazanin" w:eastAsia="IRNazanin"/>
          <w:color w:val="111111"/>
          <w:sz w:val="28"/>
          <w:sz w:val="28"/>
          <w:szCs w:val="28"/>
          <w:rtl w:val="true"/>
          <w:lang w:bidi="fa-IR"/>
        </w:rPr>
        <w:t>، وفاقا للرازی</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القبول فیهما إن علم عدم المخالفة، و إلّا فلا، و هو مختار المعالم، و حکاه عن والده الشهید الثانی</w:t>
      </w:r>
      <w:r>
        <w:rPr>
          <w:rStyle w:val="FootnoteAnchor"/>
          <w:rtl w:val="true"/>
        </w:rPr>
        <w:footnoteReference w:id="585"/>
      </w:r>
      <w:r>
        <w:rPr>
          <w:rFonts w:ascii="IRNazanin" w:hAnsi="IRNazanin" w:eastAsia="IRNazanin"/>
          <w:color w:val="111111"/>
          <w:sz w:val="28"/>
          <w:sz w:val="28"/>
          <w:szCs w:val="28"/>
          <w:rtl w:val="true"/>
          <w:lang w:bidi="fa-IR"/>
        </w:rPr>
        <w:t>، إلّا أنّه راجع إلی القول الثانی، و هو عدم القبول مطلقا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ما قبله راجع إلی القول الأول، و هو القبول مطلقا؛ لأنّ عدم القبول من جهة عدم معرفة الشاهد بالأسباب کعدم القبول من جهة عدم ضبطه، أو عدم عدالته، جهة خارجیّة لا توجب التفصیل فی قبول الجرح و التعدیل المجرّدین من حیث هو، فإنّ دیدن الباحثین جار علی البحث عن کلّ مسألة من حیث هی، مع الإغماض عن الجهات الخارجیّة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کیف کان، فالأقرب من بین الأقوال هو القول الأول، أعنی القبول لمقدّمتین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الشهادة بالملک و النکاح و الحرّیة و الرقّیة و التزکیة، و ما أشبه ذلک ممّا وقع الاختلاف فی أسبابها، مع عدم مطالبة السبب اتّفاقا، کما هو الظاهر من السیرة المستمرّة، و عموم الأدلّة و إطلاقها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الاتفاق و السیرة المستمرّة علی قبول الشهادة من غیر ذکر السبب فی هذه المواضع لیس مخالفا للأصل و القاعدة حتی یقتصر علی خصوص مواردها، بل علی المتیقّن من معقدها، بل هو موافق للأصل الأصیل و القاعدة المقرّرة، و هی حمل الألفاظ علی المعانی الواقعیّة و المفاهیم النفس الأمریة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تمهید هاتین المقدّمتین یعلم قبول الجرح و التعدیل المجرّدین عن ذکر السبب أیضا؛ لأنّ کلّا من العدالة و الفسق حالة نفسانیة وجدانیة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ملکة الاستقامة، أو عدمها، فالاختلاف فیها لیس اختلافا فی نفسها حتی یقدح الإطلاق فی ثبوتها بالإطلاق، بل الاختلاف فیها راجع عند التحقیق إلی الاختلاف فی طرق معرفتها، کما أنّ الاختلاف فی انعقاد الملک بالمعاطاة، أو العقد بالفارسی، أو نحو ذلک راجع إلی الاختلاف فی أسبابها، فکما أنّ اختلاف الأسباب لا یقدح فی حمل المسبّب المشهود به علی المسبّب الواقعیّ أخذا بظهور الألفاظ فی المعانی الواقعیة کذلک اختلاف طرق معرفة العدالة أو الفسق لا یقدح فی حمل ذی الطریق المشهود به و المخبر عنه علی ذی الطریق الواقعیّ، أخذا بظهور اللفظ فیه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أنّه لو بنی علی عدم قبول الجرح و التعدیل فی الأخبار إلّا بعد بیان السبب لانسدّ باب التعدیل فی الأخبار، و لتعذّر أو تعسّر باب الاستدلال فی الفقه و الآثار، علی القول باشتراط التعدیل فی رواة الأخبار، إذ قلّ ما یتّفق فی تعدیل أهل الرجال و جرحهم فی الکتب المدوّنة من ذکر السبب، کما لا یخفی علی </w:t>
      </w:r>
    </w:p>
    <w:p>
      <w:pPr>
        <w:pStyle w:val="BookText"/>
        <w:rPr/>
      </w:pPr>
      <w:r>
        <w:rPr>
          <w:rFonts w:ascii="IRNazanin" w:hAnsi="IRNazanin" w:eastAsia="IRNazanin"/>
          <w:color w:val="111111"/>
          <w:sz w:val="28"/>
          <w:sz w:val="28"/>
          <w:szCs w:val="28"/>
          <w:rtl w:val="true"/>
          <w:lang w:bidi="fa-IR"/>
        </w:rPr>
        <w:t>المتتبّع الخبیر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یدّعی قبول الجرح و التعدیل المجرّدین عن ذکر السبب و الحال أنّ الفتوی متّفق علی عدم قبول الشهادة بالرضاع ما لم یذکر السبب المحرّم؟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ینتقض قبول الجرح و التعدیل المطلقین بعدم قبول الرضاع المطلق، کما لا ینتقض بعدم قبول الشهادة بالوقف، أو الرهن، أو الهبة المجرّدة عن ذکر القبض؛ و ذلک لوجود الفرق الفارق بین الشهادة بالجرح و التعدیل، و بین الشهادة بالرضاع و أخواته، و هو کون العدالة و الفسق من قبیل متّحد المعنی فتقبل الشهادة به، بخلاف الرضاع فإنّه من قبیل متکثّر المعنی؛ لدورانه حقیقة بین ما یبلغ حدّ السبب المحرّم فی الکثرة و اشتداد العظم به، و بین ما لا یبلغ فلا یقبل، کما لا تقبل الشهادة بالوقف، و لا بالرهن، و لا بالهبة ما لم یذکر القبض الملزم لها، و کذا الشهادة بالتطهیر و إزالة النجاسة ما لم یذکر کونه شرعیا؛ لاشتراکه بین التطهیر الشرعی و اللغوی، و العامّ لا یدلّ علی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دار معنی المشهود به و المخبر عنه بین الصحیح و 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کالمتّحد معنی مثل العدالة و الفسق و البیوع و الأنکحة، و المتعدّد معناه بالتعدد الارتباطی کالصلاة و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یسأل الشاهد به فی قبول شهادته عن ذکر السبب، اکتفاء بظهور اللفظ فی المعنی الواقعیّ، و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 دار معنی المشهود به بین التامّ و الناقص و الکثیر و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کالشهادة بالرضاع، أو الوقف، أو الرهن، أو الهبة، أو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یقبل إطلاق الشهادة به؛ لعدم دلالة المطلق علی المقیّد، و لا العامّ علی الخاصّ</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شهد الشاهد بالاخوّة الرضاعیة قبل منه بلا ذکر السبب، لاتّحاد معناه و دورانه بین الصحیح و الفاسد، بخلاف الشهادة بمجرّد الرضاع</w:t>
      </w:r>
      <w:r>
        <w:rPr>
          <w:rFonts w:eastAsia="IRNazanin" w:cs="IRNazanin"/>
          <w:color w:val="111111"/>
          <w:sz w:val="28"/>
          <w:szCs w:val="28"/>
          <w:rtl w:val="true"/>
          <w:lang w:bidi="fa-IR"/>
        </w:rPr>
        <w:t xml:space="preserve">. </w:t>
      </w:r>
      <w:bookmarkStart w:id="810" w:name="pg12850_121474"/>
    </w:p>
    <w:p>
      <w:pPr>
        <w:pStyle w:val="BookText"/>
        <w:rPr/>
      </w:pPr>
      <w:bookmarkEnd w:id="810"/>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الجرح و التعدیل المجرّدین عن ذکر السبب مقبول علی الأقوی، بل هو المشهور المنصور، بل علیه الوفاق و الاتّفاق سیما فی أحوال الرجال و رواة أحکام الحرام و الحلال، فإنّ الخلاف فیه لعلّه مأخوذ عن العامّة، کما قیل، أو مأخوذ عن الخلاف فی الجرح و التعدیل المتعلّق بباب القضاء و المرافعات</w:t>
      </w:r>
      <w:r>
        <w:rPr>
          <w:rFonts w:eastAsia="IRNazanin" w:cs="IRNazanin"/>
          <w:color w:val="111111"/>
          <w:sz w:val="28"/>
          <w:szCs w:val="28"/>
          <w:rtl w:val="true"/>
          <w:lang w:bidi="fa-IR"/>
        </w:rPr>
        <w:t>.</w:t>
      </w:r>
    </w:p>
    <w:p>
      <w:pPr>
        <w:pStyle w:val="Heading5"/>
        <w:numPr>
          <w:ilvl w:val="4"/>
          <w:numId w:val="1"/>
        </w:numPr>
        <w:rPr/>
      </w:pPr>
      <w:bookmarkStart w:id="811" w:name="__RefHeading___Toc2527598_3224264995"/>
      <w:bookmarkStart w:id="812" w:name="_Toc299"/>
      <w:bookmarkEnd w:id="811"/>
      <w:r>
        <w:rPr>
          <w:rtl w:val="true"/>
        </w:rPr>
        <w:t>[</w:t>
      </w:r>
      <w:r>
        <w:rPr>
          <w:rtl w:val="true"/>
        </w:rPr>
        <w:t>تفصیل آخر فی المسألة</w:t>
      </w:r>
      <w:r>
        <w:rPr>
          <w:rtl w:val="true"/>
        </w:rPr>
        <w:t>]</w:t>
      </w:r>
      <w:bookmarkEnd w:id="812"/>
    </w:p>
    <w:p>
      <w:pPr>
        <w:pStyle w:val="BookText"/>
        <w:rPr/>
      </w:pPr>
      <w:r>
        <w:rPr>
          <w:rFonts w:ascii="IRNazanin" w:hAnsi="IRNazanin" w:eastAsia="IRNazanin"/>
          <w:color w:val="111111"/>
          <w:sz w:val="28"/>
          <w:sz w:val="28"/>
          <w:szCs w:val="28"/>
          <w:rtl w:val="true"/>
          <w:lang w:bidi="fa-IR"/>
        </w:rPr>
        <w:t>و إن أبیت عن الوفاق علی قبول الجرح و التعدیل المطلقین مطلقا، و تنزّلنا عنه و التزمنا باحتیاج القبول إلی ذکر السبب فلا نسلّمه مطلقا، بل المتّجه علی تقدیره تفصیل لم یتعرّضوا لبیانه فی 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هذا التفصیل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القول المفسّر للعدالة بأدنی معانیها الثلاثة، و هو ظهور الإسلام مع عدم ظهور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کالشیخ رحمه اللّه</w:t>
      </w:r>
      <w:r>
        <w:rPr>
          <w:rStyle w:val="FootnoteAnchor"/>
          <w:rtl w:val="true"/>
        </w:rPr>
        <w:footnoteReference w:id="586"/>
      </w:r>
      <w:r>
        <w:rPr>
          <w:rFonts w:ascii="IRNazanin" w:hAnsi="IRNazanin" w:eastAsia="IRNazanin"/>
          <w:color w:val="111111"/>
          <w:sz w:val="28"/>
          <w:sz w:val="28"/>
          <w:szCs w:val="28"/>
          <w:rtl w:val="true"/>
          <w:lang w:bidi="fa-IR"/>
        </w:rPr>
        <w:t>و 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یحتاج قبول التعدیل إلی ذکر السبب، لا فی باب أحوال الرجال من الرواة، و لا فی باب القضاء و الشهادات؛ لأنّ هذا التعدیل إن استند فی الواقع إلی أدنی طرقه فالمفروض صحّة طریقیته إلیه، و إن استند إلی ما هو أعلی سببا منه فأولی بالایصال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المفسّر للعدالة بحسن الظاهر فلا یحتاج قبول التعدیل إلی ذکر السبب فی باب أحوال الرواة خاصّة؛ و ذلک لأنّ احتمال استناده فی الواقع إلی سببیّة حسن الظاهر مصادف للمبنی المفروض، فلا یقدح تقدیر تحقّقه له و احتمال استناده إلی الأعلی سببا منه کالملکة فأولی بالایصال و القرب</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احتمال استناده إلی الأدنی سببا، و هو مجرّد ظهور الإسلام مع عدم ظهور الفسق فلأنّ هذا الاحتمال و إن منع من قبول التعدیل مطلقا إلّا أنّ باب احتمال الاستناد إلیه إنّما یختصّ بباب القضاء و الشهادات، دون باب أحوال </w:t>
      </w:r>
    </w:p>
    <w:p>
      <w:pPr>
        <w:pStyle w:val="BookText"/>
        <w:rPr/>
      </w:pPr>
      <w:r>
        <w:rPr>
          <w:rFonts w:ascii="IRNazanin" w:hAnsi="IRNazanin" w:eastAsia="IRNazanin"/>
          <w:color w:val="111111"/>
          <w:sz w:val="28"/>
          <w:sz w:val="28"/>
          <w:szCs w:val="28"/>
          <w:rtl w:val="true"/>
          <w:lang w:bidi="fa-IR"/>
        </w:rPr>
        <w:t>الرواة، فمانعیّة هذا الاحتمال عن قبول التعدیل مطلقا خاصّ بالتعدیل فی باب القضاء دون باب أحوال الرواة، لانسداد باب احتماله فیه؛ و ذلک لأنّ استمرار دیدن أهل الرجال علی ضبط مجاهیل الرواة، و عدم تعدیل المجاهیل فی شی‌ء من کتبهم المدوّنة شاهد علی عدم استنادهم فی التعدیل إلی هذا السبب، و انحصار تعدیلهم فی أحد السببین الآخرین، و هو العلم بالملکة، أو حسن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قیل بانحصاره فی الأول منهما بناء علی أنّهم صنّفوا کتب الرجال لتکون مرجعا للکلّ لا لبعض دون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أنّ الشیخ مع مصیره إلی تفسیر العدالة بمجرّد الاسلام، و عدم ظهور الفسق لم یعدّل أحدا من المجاهیل فی رجاله و إن کان لازم مذهبه عدالة جمیع المجاهیل من الرواة حیث احرز إسلامهم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المفسّر للعدالة بالملکة فلا یحتاج قبول التعدیل إلی ذکر السبب، علی تقدیر استناد التعدیل إلی حسن الظاهر، لا فی باب أحوال الرواة، و لا فی باب القضاء و الشهادات، کما لا یحتاج إلیه علی تقدیر استناده إلی العلم بالملکة فی شی‌ء من البابین؛ و ذلک لأنّ مانعیة ثبوت العدالة الملکیة بمجرّد حسن الظاهر مبنیّ علی توهّم انحصار الطریق إلی الملکة فی العلم، أو توهّم کون المفسّر للعدالة بحسن الظاهر یرید الحسن الظاهر من باب الموضوعیة و التعبّد، لا من باب الطریقیة و الکشف</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کلا المبنیین فاسدان، فإنّ الظاهر الاتّفاق علی کفایة الظنّ فی ثبوت الملکات، و علی طریقیة حسن الظاهر و کاشفیّته عن العدالة، دون موضوعیّته، لاستلزامه اجتماع وصفی العدالة و الفسق واقعا فی من اتّصف بحسن الظاهر عند بعض و بعدمه عند آخر فی زمان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التعدیل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الجرح فإن کان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عادل فکالتعدیل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إلّا أنّه بالعکس، فعلی مذهب المفسّر للعدالة بالملکة لا یحتاج قبوله إلی ذکر السبب، لا فی باب الرجال، و لا فی باب القضاء، لانتفاء الملکة بانتفائها من أیّ سبب من أسبابها، فتنتفی العدالة الملکیة بمجرّد نفی العدالة، سواء أراد النافی نفی الملکة، أو نفی حسن الظاهر، أو نفی الإسلام مع عدم ظهور 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مذهب التفسیر بحسن الظاهر فلعدم قدحه تعدّد الأسباب إلّا بإرادة خصوص نفی الملکة، حیث لا یستلزم نفی العدالة التی بمعنی حسن الظاهر، و لکن قدحه مبنیّ علی تقدیر موضوعیة حسن الظاهر للعدالة، لا طریقیّته لها و قد عرفت فساد هذا المبنی و استلزامه اجتماع وصفی العدالة و الفسق فیمن اتّصف بحسن الظاهر عند بعض و بعدمه عند آخر فی زمان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مذهب الشیخ المفسّر للعدالة بظهور الإسلام مع عدم ظهور</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الفسق، فیحتاج قبول الجرح إلی ذکر السّبب فی البابین؛ لاحتمال إرادة الجارح من نفی العدالة نفی الملکة، أو نفی حسن الظاهر دون نفی ظهور الإسلام مع عدم ظهور الفسق، المفروض هو معنی العدالة عند السامع و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الجرح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فلا یحتاج قبوله إلی ذکر السبب فی شی‌ء من البابین؛ و ذلک لانحصار سببه فی فعل المجروح ما یخرج به عن طاعة اللّه بحسب الواقع، المنوط بمعتقد الفاعل بعد معذوریة الجاهل و الغافل، لا بمعتقد الجارح و لا بمعتقد الحاکم السامع له، فإنّه لا عبرة بغیر معتقد الفاعل فی تحقّق معنی الظاهر من الفسق بعد معذوریة الجاهل و الغافل</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فعل ما یعتقد کونه مخرجا عن طاعة اللّه و لو من باب قوله بحرمة التجرّی صار فاسقا بذلک الفعل، و جاز جرحه به و لو لم یکن مخرجا عنه </w:t>
      </w:r>
    </w:p>
    <w:p>
      <w:pPr>
        <w:pStyle w:val="BookText"/>
        <w:rPr/>
      </w:pPr>
      <w:r>
        <w:rPr>
          <w:rFonts w:ascii="IRNazanin" w:hAnsi="IRNazanin" w:eastAsia="IRNazanin"/>
          <w:color w:val="111111"/>
          <w:sz w:val="28"/>
          <w:sz w:val="28"/>
          <w:szCs w:val="28"/>
          <w:rtl w:val="true"/>
          <w:lang w:bidi="fa-IR"/>
        </w:rPr>
        <w:t>فی الواقع، و أمّا إذا فعل ما لا یعتقد کونه مخرجا عنه و لو من باب عدم اعتقاده حرمة التجرّی لم یخرج به عن الطاعة و لو کان مخرجا عنه فی الواقع، و لم یوجب ذلک الفعل فسقه و لا جواز جرحه به و إن کان ذلک الفعل مخرجا للفاعل عن الطاعة بحسب معتقد الجارح أو الحاکم؛ إذ العبرة لیست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فاحتمال استناد جرح الجارح بالفسق إلی ما یخرج المجروح عن الطاعة بحسب معتقد الجارح، أو الحاکم مناف لظاهر الفسق و عدالة الجارح، المفروض اشتراطها و إحرازها فی الجرح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رأی الجارح فعل ما یعلم توقّف الفاعل فی کبیریته و صغیریته، أو یشکّ فی مذهب فاعله ففی جواز جرح الفاعل بذلک الفعل، نظرا إلی أنّ الأصل فی کلّ معصیة أن تکون کبیرة، إلّا ما ثبت العفو عنه بترک الکبائر، و مأخذه إمّا أصالة عدم ثبوت العفو عن المشکوک، و إمّا حجّیة العامّ المخصّص بالمجمل المفهومی فی المشکوک،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یَجْتَنِبُونَ کَبائِرَ الْإِثْمِ وَ الْفَواحِشَ إِلَّا اللَّمَمَ</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عدم جواز جرحه به، نظرا إلی أصالة عدم کبیریة المشکوک کبیریته عند الفاعل، و أصالة صحّة أفعال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التفصیل بین کبیریة ذلک الفعل عند الجارح فیجوز جرح فاعله به، و بین عدم کبیریّته عنده فلا یجوز جرحه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التفصیل بین سبق عدالة الفاعل علی فعله هذا فلا یجوز جرحه به؛ لمکان استصحاب العدالة و عدم قادحیة المشکوک فیها، و بین عدم سبقها علیه فیجوز؛ لمکان استصحاب عدم العدالة و عدم المقتضی لها مع فعل المشکوک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وجوه، أوجهها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فتلخّص و تبیّن ممّا ذکرنا أنّ الخلاف فی تفسیر </w:t>
      </w:r>
      <w:bookmarkStart w:id="813" w:name="pg12850_121478"/>
    </w:p>
    <w:p>
      <w:pPr>
        <w:pStyle w:val="BookText"/>
        <w:rPr/>
      </w:pPr>
      <w:bookmarkEnd w:id="813"/>
      <w:r>
        <w:rPr>
          <w:rFonts w:ascii="IRNazanin" w:hAnsi="IRNazanin" w:eastAsia="IRNazanin"/>
          <w:color w:val="111111"/>
          <w:sz w:val="28"/>
          <w:sz w:val="28"/>
          <w:szCs w:val="28"/>
          <w:rtl w:val="true"/>
          <w:lang w:bidi="fa-IR"/>
        </w:rPr>
        <w:t>العدالة بالملکة، أو حسن الظاهر، أو ظهور الإسلام مع عدم ظهور الفسق، و کذا الخلاف فی أسباب الجرح و عدد الکبائر، و معنی الکبیرة لا یقدح فی تعدیل المعدّل و جرح الجارح مطلقا، و لا یوجب اعتبار ذکر السبب مطلقا مع عدم الاطّلاع علی رأی المعدّل و الجارح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تنزّلنا عن عدم الاحتیاج إلیه مطلقا و التزمنا بالاحتیاج إلیه فالمتّجه علی تقدیره لیس الاحتیاج إلیه مطلقا بل التفصیل بین باب القضاء و باب الرجال، و بین التعدیل و الجرح، و بین أسباب الجرح و أسباب التعدیل حسبما حرّر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حجج سائر الأقوال الأخر فلتطلب من سائر الکتب المألوفة کالقوانین</w:t>
      </w:r>
      <w:r>
        <w:rPr>
          <w:rStyle w:val="FootnoteAnchor"/>
          <w:rtl w:val="true"/>
        </w:rPr>
        <w:footnoteReference w:id="589"/>
      </w:r>
      <w:r>
        <w:rPr>
          <w:rFonts w:ascii="IRNazanin" w:hAnsi="IRNazanin" w:eastAsia="IRNazanin"/>
          <w:color w:val="111111"/>
          <w:sz w:val="28"/>
          <w:sz w:val="28"/>
          <w:szCs w:val="28"/>
          <w:rtl w:val="true"/>
          <w:lang w:bidi="fa-IR"/>
        </w:rPr>
        <w:t>و الفصول</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4" w:name="__RefHeading___Toc2527600_3224264995"/>
      <w:bookmarkStart w:id="815" w:name="_Toc300"/>
      <w:bookmarkEnd w:id="814"/>
      <w:r>
        <w:rPr>
          <w:rtl w:val="true"/>
        </w:rPr>
        <w:t>[</w:t>
      </w:r>
      <w:r>
        <w:rPr>
          <w:rtl w:val="true"/>
        </w:rPr>
        <w:t>فصل تعارض الجرح و التعدیل</w:t>
      </w:r>
      <w:r>
        <w:rPr>
          <w:rtl w:val="true"/>
        </w:rPr>
        <w:t>]</w:t>
      </w:r>
      <w:bookmarkEnd w:id="815"/>
    </w:p>
    <w:p>
      <w:pPr>
        <w:pStyle w:val="BookText"/>
        <w:rPr/>
      </w:pPr>
      <w:r>
        <w:rPr>
          <w:rFonts w:ascii="IRNazanin" w:hAnsi="IRNazanin" w:eastAsia="IRNazanin"/>
          <w:color w:val="111111"/>
          <w:sz w:val="28"/>
          <w:sz w:val="28"/>
          <w:szCs w:val="28"/>
          <w:rtl w:val="true"/>
          <w:lang w:bidi="fa-IR"/>
        </w:rPr>
        <w:t>إذا تعارض الجرح و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اتّحدا زمانا إذ لا تعارض فی ما اختلفا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بتقدیم التعدیل علی الجرح بناء علی أنّ تسارع طباع الناس إلی الجرح أغلب و أقرب من تسارعهم إلی التعدیل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أغلبیة تسارعهم إلی الجرح من تسارعهم إلی البناء علی الصحّة و الظاهر فی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بتقدیم الجرح علی التعدیل بناء علی أنّ الجرح من قبیل المثبت و التعدیل من قبیل النافی، و المثبت مقدّم علی النافی لما فیه من الجمع بینهما لا الطرح، نسبه فی المعالم إلی أکثر الناس</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أیضا؛ إذ لیس التعدیل مجرّد عدم العلم بالفسق بل هو علم بالعدم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 بالتفصیل بین ما کان التعارض من حیث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أمکن الجمع بینهما من غیر أن یلزم تکذیب أحدها من تقدیم الآخر فیقدّم 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ما کان التعارض من حیث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لم یمکن الجمع بینهما، کما لو قال الجارح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 یشرب الخمر فی وقت کذا، و قال المزکّی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وجدته فی ذلک الزمان نائما، أو مصلّیا، أو أنّه توفّی قبل ذلک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أشبه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فأوجب الرجوع إلی المرجّحات کالأکثریة و الأورعیة و الأعدلیة، و غیر ذلک، و هو مختار الفصول</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استقوی فی المعالم تبعا لما حکاه عن ابن طاوس</w:t>
      </w:r>
      <w:r>
        <w:rPr>
          <w:rStyle w:val="FootnoteAnchor"/>
          <w:rtl w:val="true"/>
        </w:rPr>
        <w:footnoteReference w:id="593"/>
      </w:r>
      <w:r>
        <w:rPr>
          <w:rFonts w:ascii="IRNazanin" w:hAnsi="IRNazanin" w:eastAsia="IRNazanin"/>
          <w:color w:val="111111"/>
          <w:sz w:val="28"/>
          <w:sz w:val="28"/>
          <w:szCs w:val="28"/>
          <w:rtl w:val="true"/>
          <w:lang w:bidi="fa-IR"/>
        </w:rPr>
        <w:t>، و القوانین تبعا لما حکاه عن جماعة من المحقّقین، الرجوع إلی المرجّحات مطلقا</w:t>
      </w:r>
      <w:r>
        <w:rPr>
          <w:rStyle w:val="FootnoteAnchor"/>
          <w:rtl w:val="true"/>
        </w:rPr>
        <w:footnoteReference w:id="594"/>
      </w:r>
      <w:r>
        <w:rPr>
          <w:rFonts w:ascii="IRNazanin" w:hAnsi="IRNazanin" w:eastAsia="IRNazanin"/>
          <w:color w:val="111111"/>
          <w:sz w:val="28"/>
          <w:sz w:val="28"/>
          <w:szCs w:val="28"/>
          <w:rtl w:val="true"/>
          <w:lang w:bidi="fa-IR"/>
        </w:rPr>
        <w:t>، و مع فقدها فإلی 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مرادهم المساواة بین تعارض الجرح و التعدیل، و بین تعارض الأخبار فی الأحکام المقرّرة من الرجوع أولا إلی المرجّحات الدلالتیّة، و ملاحظة أنّهما إن کانا من قبیل الوارد و المورود قدّم الوارد، أو من قبیل النصّ و الظاهر کالعامّ و الخاصّ، و المطلق و المقیّد قدّم النصّ، أو من قبیل الظاهر و الأظهر المعبّر عنه بالحاکم و المحکوم قدّم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فقد المراتب الثلاث من المرجّحات الدلالتیة الرجوع إلی قاعدة الجمع بأیّ وجه حصل، أو المرجّحات الخارجیة السندیة من الأشهریة و الأصدقیة و الأعدلیة و غیرها، علی الخلاف بین المشهور و ابن أبی جمهور</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 فقد مراتب المرجّحات السندیة أیضا المرجع إلی التخییر، أو التوقّف </w:t>
      </w:r>
    </w:p>
    <w:p>
      <w:pPr>
        <w:pStyle w:val="BookText"/>
        <w:rPr/>
      </w:pPr>
      <w:r>
        <w:rPr>
          <w:rFonts w:ascii="IRNazanin" w:hAnsi="IRNazanin" w:eastAsia="IRNazanin"/>
          <w:color w:val="111111"/>
          <w:sz w:val="28"/>
          <w:sz w:val="28"/>
          <w:szCs w:val="28"/>
          <w:rtl w:val="true"/>
          <w:lang w:bidi="fa-IR"/>
        </w:rPr>
        <w:t>علی الخلاف بین المشهور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صحّة ما أراد فممنوع علی إطلاقه؛ لأنّ المرجّحات الدلالتیة من تقدیم النصّ علی الظاهر، و الأظهر علی الظاهر إنّما هو من خصائص التعارض فی کلمات متکلّم واحد حقیقة، أو حکما کأخبار المعصومین علیهم السّلام، دون کلمات متکلّمین أجنبیین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المرجّحات الخارجیة فالترجیح بها و إن کان حقّا إلّا أنّ محلّ النزاع هنا فی تعارض الجرح و التعدیل من حیث هو، مع الإغماض عن مقتضی المرجّحات الخارجیة، کما هو الحال فی سائر المسائل حیث إنّ الدأب و الدیدن جار فی البحث عن کلّ منها من حیث هو مع الإغماض عن الجهات و القرائن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 أنّ محلّ النزاع هنا خاصّ بتعارض الجرح و التعدیل من حیث هو فلا یعمّ تعارضهما بملاحظة الجهات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إطلاق کلماتهم یقتضی تعمیم محلّ النزاع من جهات أخر غیر هذه الجهة،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تعمیمه من جهة ما إذا کان الجرح و التعدیل المتعارضان علمیّین، أو ظنّیین، أو مختلفین لإطلاق کلماتهم من تلک الجهة، و عدم تخصیصه بصورة دون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مع الظنّ کیف یجتمعان؟</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اجتماعهما إنّما هو فی محلّ واحد و من شخص واحد، لا فی محلّین مختلفین و من شخصین 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الظنّ و إن أمکن اجتماعه مع العلم إلّا أنّه کیف یقاوم العلم فی المعارضة؟</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مقاومته العلم إنّما هو علی تقدیر عدم حجّیته، و أمّا علی تقدیر حجّیته سیما فی تشخیص أحوال الرجال الذی علیه البناء و المدار فمقاومته واضحة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أیضا الظاهر من إطلاق کلماتهم تعمیم محلّ النزاع لتعارض الجرح و التعدیل المجرّدین عن ذکر السبب و المقارنین و المختلفین فکلّها داخلة فی محلّ النزاع أیضا، لإطلاق کلماتهم من تلک الجهة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الظاهر من إطلاق کلماتهم تعمیم محلّ النزاع لتعارض الجرح و التعدیل للمعلومی التاریخ و المجهولی التاریخ، و علی الأول سواء تقدّم زمان الجرح علی زمان التعدیل، أو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مجهولی التاریخ و معلومیه المتقدّم فیه تاریخ التعدیل علی الجرح فلا إشکال فی دخولهما فی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إشکال فی دخول المتقدّم فیه تاریخ الجرح علی التعدیل إذا کان تقدّمه بمقدار لا یسع لتحصیل ملکة العدالة فیه، بل و کذا المتقدّم بمقدار یسعه من الزمان؛ فإنّ مجرّد سعة الزمان لتحصیله لا یقتضی تحصّله فضلا عن حصوله، و تعمیم محلّ النزاع من هذه الجهة هو إطلاق کلماتهم من تلک الجهة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الظاهر من کلماتهم تعمیم محلّ النزاع أیضا من جهة ما إذا کان الجرح و التعدیل صریحین، أو ظاهرین، أو مختلفین، و ما لو کانا بلفظی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العادل، و اللاعادل، أو بلفظی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العادل، و الفاسق، أو بلفظی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ملکة العدالة، و لیس له ملکة العدالة، أو بلفظی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ملکة العدالة و له ملکة الفسق، أو بغیر ذلک من ألفاظ الجرح و التعدیل</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 قد عرفت محلّ النزاع من هذه الجهات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الأقوی و الأقرب هو التفصیل فی المسألة بین ما إذا کان التعارض من حیث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قال الجارح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الخمر فی وقت کذا، فقال المزکّی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 فی ذلک الوقت نائما، أو مصلّیا، أو أنّه توفی قبل ذلک الوقت، فیتوقّف فی الترجیح بالنظر إلی نفس تعارضهما و إن کان بالنظر إلی المرجّحات الخارجیة تابع لحصول الظنّ و أقوی الظنّین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ما إذا کان التعارض من حیث الإطلاق فیقدّم الجرح علی التعدیل، لکن لا لمجرّد کون الجرح من قبیل المثبت و اشتمال تقدّمه علی الجمع بینهما</w:t>
      </w:r>
      <w:r>
        <w:rPr>
          <w:rFonts w:eastAsia="IRNazanin" w:cs="IRNazanin"/>
          <w:color w:val="111111"/>
          <w:sz w:val="28"/>
          <w:szCs w:val="28"/>
          <w:rtl w:val="true"/>
          <w:lang w:bidi="fa-IR"/>
        </w:rPr>
        <w:t xml:space="preserve">- </w:t>
      </w:r>
      <w:bookmarkStart w:id="816" w:name="pg12850_121482"/>
    </w:p>
    <w:p>
      <w:pPr>
        <w:pStyle w:val="BookText"/>
        <w:rPr/>
      </w:pPr>
      <w:bookmarkEnd w:id="816"/>
      <w:r>
        <w:rPr>
          <w:rFonts w:ascii="IRNazanin" w:hAnsi="IRNazanin" w:eastAsia="IRNazanin"/>
          <w:color w:val="111111"/>
          <w:sz w:val="28"/>
          <w:sz w:val="28"/>
          <w:szCs w:val="28"/>
          <w:rtl w:val="true"/>
          <w:lang w:bidi="fa-IR"/>
        </w:rPr>
        <w:t>حتی یمنع إطلاقه بما مرّ و نهوضه فی جمیع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لأنّ التعدیل و إن لم یمکن الجمع بینه و بین الجرح فی بعض صور التصریح، إلّا أنّه لمّا کان مستندا إلی الظنّ و الحدس لا محالة، ضرورة أنّ ملکة العدالة من السرائر التی لا یطلع علی حقیقتها سوی علّام الغیوب و امنائه الکرام، بخلاف الجرح فإنّه مستند إلی العلم و الحسّ لا محالة فیقدّم علی التعدیل مطلقا؛ لعدم مقاومة المستند إلی الظنّ و الحدس للمستند إلی العلم و الحسّ عند المعارضة</w:t>
      </w:r>
      <w:r>
        <w:rPr>
          <w:rFonts w:eastAsia="IRNazanin" w:cs="IRNazanin"/>
          <w:color w:val="111111"/>
          <w:sz w:val="28"/>
          <w:szCs w:val="28"/>
          <w:rtl w:val="true"/>
          <w:lang w:bidi="fa-IR"/>
        </w:rPr>
        <w:t>.</w:t>
      </w:r>
    </w:p>
    <w:p>
      <w:pPr>
        <w:pStyle w:val="Heading5"/>
        <w:numPr>
          <w:ilvl w:val="4"/>
          <w:numId w:val="1"/>
        </w:numPr>
        <w:rPr/>
      </w:pPr>
      <w:bookmarkStart w:id="817" w:name="__RefHeading___Toc2527602_3224264995"/>
      <w:bookmarkStart w:id="818" w:name="_Toc301"/>
      <w:bookmarkEnd w:id="817"/>
      <w:r>
        <w:rPr>
          <w:rtl w:val="true"/>
        </w:rPr>
        <w:t xml:space="preserve">فصل </w:t>
      </w:r>
      <w:r>
        <w:rPr>
          <w:rtl w:val="true"/>
        </w:rPr>
        <w:t>[</w:t>
      </w:r>
      <w:r>
        <w:rPr>
          <w:rtl w:val="true"/>
        </w:rPr>
        <w:t>أنحاء تحمّل الحدیث</w:t>
      </w:r>
      <w:r>
        <w:rPr>
          <w:rtl w:val="true"/>
        </w:rPr>
        <w:t>]</w:t>
      </w:r>
      <w:bookmarkEnd w:id="818"/>
    </w:p>
    <w:p>
      <w:pPr>
        <w:pStyle w:val="BookText"/>
        <w:rPr/>
      </w:pPr>
      <w:r>
        <w:rPr>
          <w:rFonts w:ascii="IRNazanin" w:hAnsi="IRNazanin" w:eastAsia="IRNazanin"/>
          <w:color w:val="111111"/>
          <w:sz w:val="28"/>
          <w:sz w:val="28"/>
          <w:szCs w:val="28"/>
          <w:rtl w:val="true"/>
          <w:lang w:bidi="fa-IR"/>
        </w:rPr>
        <w:t>فی أنحاء تحمّل الحدیث و ما یصحّ استناد الراوی فی روایته إلیه، و تقبل روایته بسببه، و له وجوه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السماع، و القراءة، و الإجازة، و المناولة، و الکتابة، و الإعلام، و الوجادة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المقام یقع تارة فی تشخیص أعداد أنحاء التحمّل، و بیان ما یصحّ الاستناد إلیه منها و ما لا یصحّ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ثانیة فی تشخیص ما هو أعلی من بینهما و تمییزه عمّا هو أدنی منه، لیثمر فی باب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ثالثة فی تشخیص ما یختصّ من الألفاظ فی التعبیر ببعض الأنحاء، دون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رابعة فی تشخیص ما یصحّ من أنحاء التحمّل لعمل المتحمّل بمضمون ما تحمّله و ما لا یصحّ لعمله به منها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تارة خامسة فی تشخیص ما یصحّ من أنحاء التحمّل لروایة المتحمّل، و ما لا یصح للروایة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إذن فی مراحل خمس أمّا المرحلة</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bookmarkStart w:id="819" w:name="pg12850_121483"/>
    </w:p>
    <w:p>
      <w:pPr>
        <w:pStyle w:val="BookText"/>
        <w:rPr/>
      </w:pPr>
      <w:bookmarkEnd w:id="819"/>
      <w:r>
        <w:rPr>
          <w:rFonts w:ascii="Amiri" w:hAnsi="Amiri" w:eastAsia="Amiri" w:cs="Amiri"/>
          <w:color w:val="111111"/>
          <w:sz w:val="28"/>
          <w:sz w:val="28"/>
          <w:szCs w:val="28"/>
          <w:rtl w:val="true"/>
          <w:lang w:bidi="ar-SA"/>
        </w:rPr>
        <w:t>بسم اللّه الرّحمن الرّحیم</w:t>
      </w:r>
    </w:p>
    <w:p>
      <w:pPr>
        <w:pStyle w:val="Heading5"/>
        <w:numPr>
          <w:ilvl w:val="4"/>
          <w:numId w:val="1"/>
        </w:numPr>
        <w:rPr/>
      </w:pPr>
      <w:bookmarkStart w:id="820" w:name="__RefHeading___Toc2527604_3224264995"/>
      <w:bookmarkStart w:id="821" w:name="_Toc302"/>
      <w:bookmarkEnd w:id="820"/>
      <w:r>
        <w:rPr>
          <w:rtl w:val="true"/>
        </w:rPr>
        <w:t>[</w:t>
      </w:r>
      <w:r>
        <w:rPr>
          <w:rtl w:val="true"/>
        </w:rPr>
        <w:t>الدلیل الرابع من أدلّة حجّیة الخبر</w:t>
      </w:r>
      <w:r>
        <w:rPr>
          <w:rtl w:val="true"/>
        </w:rPr>
        <w:t>]</w:t>
      </w:r>
      <w:bookmarkEnd w:id="821"/>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الماتن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 من أدلّة حجّیة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 هو من وجوه، بعضها یختصّ بإثبات حجّیة خبر الواحد، و بعضها یثبت حجّیة الظنّ مطلقا، أو فی الجملة، فیدخل فیه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دخول الخبر دخول نوعه المظنون صدوره، لا دخول جمیع أفراده حتی الغیر المظنون، ضرورة أنّ محطّ النظر فی حجّیة الاخبار حجّیة نوعها فی مقابل السلب الکلّی، لا حجّیة جمیع أفرادها فی مقابل السلب الجزئی، مضافا إلی أنّ من الواضح کون النسبة بین ما یقتضی من الأدلّة العقلیة حجّیة الخبر بالخصوص، و ما یقتضی حجّیة الظنّ عموم من وجه، لا عموم مطلق حتی یدخل فیه الخبر مطلقا و لو لم یکن مظنون الصدور، کما لا یخفی</w:t>
      </w:r>
      <w:r>
        <w:rPr>
          <w:rFonts w:eastAsia="IRNazanin" w:cs="IRNazanin"/>
          <w:color w:val="111111"/>
          <w:sz w:val="28"/>
          <w:szCs w:val="28"/>
          <w:rtl w:val="true"/>
          <w:lang w:bidi="fa-IR"/>
        </w:rPr>
        <w:t>.</w:t>
      </w:r>
    </w:p>
    <w:p>
      <w:pPr>
        <w:pStyle w:val="Heading5"/>
        <w:numPr>
          <w:ilvl w:val="4"/>
          <w:numId w:val="1"/>
        </w:numPr>
        <w:rPr/>
      </w:pPr>
      <w:bookmarkStart w:id="822" w:name="__RefHeading___Toc2527606_3224264995"/>
      <w:bookmarkStart w:id="823" w:name="_Toc303"/>
      <w:bookmarkEnd w:id="822"/>
      <w:r>
        <w:rPr>
          <w:rtl w:val="true"/>
        </w:rPr>
        <w:t>[</w:t>
      </w:r>
      <w:r>
        <w:rPr>
          <w:rtl w:val="true"/>
        </w:rPr>
        <w:t>دلیل الانسداد علی حجّیة الخبر الواحد</w:t>
      </w:r>
      <w:r>
        <w:rPr>
          <w:rtl w:val="true"/>
        </w:rPr>
        <w:t>]</w:t>
      </w:r>
      <w:bookmarkEnd w:id="823"/>
    </w:p>
    <w:p>
      <w:pPr>
        <w:pStyle w:val="BookText"/>
        <w:rPr/>
      </w:pPr>
      <w:r>
        <w:rPr>
          <w:rFonts w:ascii="IRNazanin" w:hAnsi="IRNazanin" w:eastAsia="IRNazanin"/>
          <w:color w:val="111111"/>
          <w:sz w:val="28"/>
          <w:sz w:val="28"/>
          <w:szCs w:val="28"/>
          <w:rtl w:val="true"/>
          <w:lang w:bidi="fa-IR"/>
        </w:rPr>
        <w:t>ثمّ المحصّل فی تقریر الوجه الأول من وجوه تقریر دلیل الانسداد، المقتضی حجّیة الأخبار عقلا هو دعوی العلم الإجمالی بوجود کثیر من الاخبار الصادرة عن أئمتنا علیهم السّلام فی الکتب الأربعة، بل و فی غیرها من سائر کتب الأصحاب، فإذا ثبت العلم الإجمالی بوجود الأخبار الصادرة فیها وجب بحکم العقل بعد انسداد باب العلم فی امتیازها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الظنّ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فینتج وجوب العمل بکلّ خبر مظنون الصدور من أخبار الکتب الأربعة إن فرض اختصاص دائرة العلم الإجمالی بخصوص ما فی الکتب الأربعة، دون غیرها، و من مطلق أخبار کتب الأصحاب إن فرض تعمیم دائرة العلم الإجمالی لمطلق ما فی أیدینا من الأخبار</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 ینتج مطلق مظنون الطریقیة من بین الأخبار و الشهرات </w:t>
      </w:r>
      <w:bookmarkStart w:id="824" w:name="pg12850_121484"/>
    </w:p>
    <w:p>
      <w:pPr>
        <w:pStyle w:val="BookText"/>
        <w:rPr/>
      </w:pPr>
      <w:bookmarkEnd w:id="824"/>
      <w:r>
        <w:rPr>
          <w:rFonts w:ascii="IRNazanin" w:hAnsi="IRNazanin" w:eastAsia="IRNazanin"/>
          <w:color w:val="111111"/>
          <w:sz w:val="28"/>
          <w:sz w:val="28"/>
          <w:szCs w:val="28"/>
          <w:rtl w:val="true"/>
          <w:lang w:bidi="fa-IR"/>
        </w:rPr>
        <w:t>و الإجماعات المحکیّة، و غیرها من أمارات الواقع إن فرض توسیع أطراف العلم الإجمالی و تعمیم دائرته لمطلق ما یحتمل الطریقیة للواقع، کما هو مذهب الفصول رحمه اللّه المعبّر عنه بحجّیة الظنّ الطریقی</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کما أنّه ینتج حجّیة مطلق الظنّ بالأحکام الواقعیّة إن فرض تعمیم دائرة العلم الإجمالی لمطلق الظنون، کما هو مذهب القوانین المعبّر عنه بحجّیة مطلق الظنّ</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5" w:name="__RefHeading___Toc2527608_3224264995"/>
      <w:bookmarkStart w:id="826" w:name="_Toc304"/>
      <w:bookmarkEnd w:id="825"/>
      <w:r>
        <w:rPr>
          <w:rtl w:val="true"/>
        </w:rPr>
        <w:t>[</w:t>
      </w:r>
      <w:r>
        <w:rPr>
          <w:rtl w:val="true"/>
        </w:rPr>
        <w:t>دلیل الانسداد فی کلّ ما انسدّ فیه باب العلم</w:t>
      </w:r>
      <w:r>
        <w:rPr>
          <w:rtl w:val="true"/>
        </w:rPr>
        <w:t>]</w:t>
      </w:r>
      <w:bookmarkEnd w:id="826"/>
    </w:p>
    <w:p>
      <w:pPr>
        <w:pStyle w:val="BookText"/>
        <w:rPr/>
      </w:pPr>
      <w:r>
        <w:rPr>
          <w:rFonts w:ascii="IRNazanin" w:hAnsi="IRNazanin" w:eastAsia="IRNazanin"/>
          <w:color w:val="111111"/>
          <w:sz w:val="28"/>
          <w:sz w:val="28"/>
          <w:szCs w:val="28"/>
          <w:rtl w:val="true"/>
          <w:lang w:bidi="fa-IR"/>
        </w:rPr>
        <w:t>بل لا ینحصر جری دلیل الانسداد فی ما ذکر، فإنّه یجری فی کلّ ما انسدّ باب العلم فی تشخیصه مع بقائه علی صفة المطلوبیة، و عدم ارتفاع التکلیف عن تمییزه بعد طروّ الإجمال علی العلم التفصیلی، فإن کان دائرة العلم الإجمالی منحصرا فی الأخبار أفاد انسداد باب العلم فی تمیّز الصادر عن غیر الصادر منها حجّیة مطلق مظنون الصدور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عمّت دائرة العلم الإجمالی لطریقیة سائر الطرق، أفاد انسداد باب العلم فی تمیّز الطریق عن غیر ذی الطریق منها، حجّیة مطلق مظنون الطریقیة من طرق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عمّت دائرة العلم الإجمالی مطلق الأحکام الواقعیّة، أفاد انسداد باب العلم فی تمیّز المطابق عن غیر المطابق منها للواقع، حجّیة مطلق الظنّ بالأحکام الواقعیة</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 إذا انسدّ باب العلم فی تشخیص موضوع من موضوعات الأحکام، أو تشخیص جزء أو شرط من أجزاء الأحکام و شروطها مع العلم الإجمالی ببقاء مطلوبیة ذلک الحکم المنسدّ باب العلم فی تمییز موضوعه، أو شرطه، أو جزئه </w:t>
      </w:r>
      <w:bookmarkStart w:id="827" w:name="pg12850_121485"/>
    </w:p>
    <w:p>
      <w:pPr>
        <w:pStyle w:val="BookText"/>
        <w:rPr/>
      </w:pPr>
      <w:bookmarkEnd w:id="827"/>
      <w:r>
        <w:rPr>
          <w:rFonts w:ascii="IRNazanin" w:hAnsi="IRNazanin" w:eastAsia="IRNazanin"/>
          <w:color w:val="111111"/>
          <w:sz w:val="28"/>
          <w:sz w:val="28"/>
          <w:szCs w:val="28"/>
          <w:rtl w:val="true"/>
          <w:lang w:bidi="fa-IR"/>
        </w:rPr>
        <w:t>أفاد العقل حجّیة مطلق الظنّ فی تشخیص موضوع ذلک الحکم، أو شرطه، أو جزئه، کالظنّ لتشخیص المسافة لحکم القصر، و تشخیص العدالة و القبلة للأحکام المشروطة بهما، و تشخیص معنی الحائر لإتمام المقصّر، و تشخیص غیر المهزول للهدی و الأضحیّة، و تشخیص البلاد المفتوحة عنوة للأحکام المترتّبة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کلّ ما یفرض فی تشخیصه، أو تشخیص موضوعه، أو جزئه، أو شرطه انسداد باب العلم، مع بقاء التکلیف به، و عدم التمکّن من الاحتیاط فیه من طرق الواقع و أحکامه و أجزاء الأحکام و شروطها و موضوعاتها، التی لا تحصی فی کلّ باب من أبواب الفقه</w:t>
      </w:r>
      <w:r>
        <w:rPr>
          <w:rFonts w:eastAsia="IRNazanin" w:cs="IRNazanin"/>
          <w:color w:val="111111"/>
          <w:sz w:val="28"/>
          <w:szCs w:val="28"/>
          <w:rtl w:val="true"/>
          <w:lang w:bidi="fa-IR"/>
        </w:rPr>
        <w:t>.</w:t>
      </w:r>
    </w:p>
    <w:p>
      <w:pPr>
        <w:pStyle w:val="Heading5"/>
        <w:numPr>
          <w:ilvl w:val="4"/>
          <w:numId w:val="1"/>
        </w:numPr>
        <w:rPr/>
      </w:pPr>
      <w:bookmarkStart w:id="828" w:name="__RefHeading___Toc2527610_3224264995"/>
      <w:bookmarkStart w:id="829" w:name="_Toc305"/>
      <w:bookmarkEnd w:id="828"/>
      <w:r>
        <w:rPr>
          <w:rtl w:val="true"/>
        </w:rPr>
        <w:t>[</w:t>
      </w:r>
      <w:r>
        <w:rPr>
          <w:rtl w:val="true"/>
        </w:rPr>
        <w:t>دراسة مقدّمات دلیل الانسداد</w:t>
      </w:r>
      <w:r>
        <w:rPr>
          <w:rtl w:val="true"/>
        </w:rPr>
        <w:t>]</w:t>
      </w:r>
      <w:bookmarkEnd w:id="829"/>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و لا تأمّل و لا خلاف فی أنّه فی کلّ مورد من موارد العلم الإجمالی بوجود ما انسدّ من التکالیف باب العلم فی تشخیصه، أو تشخیص ما یتعلّق به من الموضوعات، أو الأجزاء، أو الشروط مع مطلوبیة الامتثال بذلک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معذوریة الجاهل به بالبناء علی أصالة العدم فی مظانّ احتماله، و عدم التمکّن من الاحتیاط فی تحصیل الامتثال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العقل المستقلّ بحجّیة الظنّ، و تعیین طریق الامتثال فیه، و قیام الامتثال الظنّی مقام الامتثال العلمی عند فقد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یحکم أیضا بتعیین طریق الامتثال فی الاحتمال لو فقد الظنّ، ضرورة أنّ الموافقة الاحتمالیة عند انسداد باب الموافقة القطعیة و الظنّیة أرجح فی نظر العقل من المخالفة القطعیة، و ترجیح المرجوح علی الراجح قبیح، إلّا أنّ الشأن فی إثبات هذه المقدّمات فی ما نحن فیه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مقدّمة العلم الإجمالی بوجود الصادر عن الأئمة علیهم السّلام من الأخبار المأمورین بالعمل بها لا محالة فی جملة الکتب الأربعة، أو فی مطلق کتب الأصحاب المدوّنة فی جمع الأخبار الصادرة عن الأئمة علیهم السّلام فی الأحکام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البدیهیات الوجدانیة التی یکفی فی إثباتها قضاء العادة بها، من غیر حاجة إلی التتبّع فی أحوال الرّواة، و ملاحظة کیفیة اهتمام أرباب الکتب من المشایخ الثلاثة و من تقدّمهم، حسبما تصدّی له الماتن قدّس سرّه</w:t>
      </w:r>
      <w:r>
        <w:rPr>
          <w:rStyle w:val="FootnoteAnchor"/>
          <w:rtl w:val="true"/>
        </w:rPr>
        <w:footnoteReference w:id="599"/>
      </w:r>
      <w:r>
        <w:rPr>
          <w:rFonts w:ascii="IRNazanin" w:hAnsi="IRNazanin" w:eastAsia="IRNazanin"/>
          <w:color w:val="111111"/>
          <w:sz w:val="28"/>
          <w:sz w:val="28"/>
          <w:szCs w:val="28"/>
          <w:rtl w:val="true"/>
          <w:lang w:bidi="fa-IR"/>
        </w:rPr>
        <w:t>، فإنّا و إن أغمضنا عن جمیع أحوال رواة أخبارنا و کیفیة اهتمامهم فی ضبط الصادر و تمیّزه عن غیره و جلالة شئونهم المنحصر بهم من جمیع الجهات، من جهة العلم و الفهم و الفضل و الحفظ و کثرة الضبط و شدّة الزهد و التقوی و التورّع فی الاحتیاط القریب إلی الإفراد، و لم ندّع ما ادّعاه الأخباریة من القطع بصدور جمیع ما فی الکتب الأربعة فلا أقلّ من حصول العلم الإجمالی بصدور کثیر منها، بل أکثرها عن أهل بیت العصمة علیهم السّلام، إذ یکفی فی الدلیل علی ذلک مجرّد قضاء عادة المؤلّفین من تألیفاتهم علی الصدق فی الجملة إن لم یکن بالجملة، کما نشاهد ذلک العلم الإجمالی بالصدق فی الجملة بالنسبة إلی الکتب المألوفة فی اللغة و النحو و الصرف و البیان و المنطق و الحکمة و الکلام و الهیئة و النجوم و الطب، و غیرها من کلّ من ألّف حتی من کتب البراهمة و الملاحدة و الیهود و النصاری، فإذا کان الناس لا یرضون بنقل ما لا یوثق به فی کتبهم المؤلّفة فی التواریخ التی لا یترتّب علی وقوع الکذب فیها أثر دینی و لا دنیوی فکیف فی کتبهم المؤلّفة لرجوع ما یأتی إلیها فی أمور الدین و قوام شریعة سیّد المرسلین علی ما أخبرهم الإمام علیه السّلام بأنّه یأتی علی الناس زمان هرج لا یأنسون إلّا بکتبهم</w:t>
      </w:r>
      <w:r>
        <w:rPr>
          <w:rStyle w:val="FootnoteAnchor"/>
          <w:rtl w:val="true"/>
        </w:rPr>
        <w:footnoteReference w:id="600"/>
      </w:r>
      <w:r>
        <w:rPr>
          <w:rFonts w:ascii="IRNazanin" w:hAnsi="IRNazanin" w:eastAsia="IRNazanin"/>
          <w:color w:val="111111"/>
          <w:sz w:val="28"/>
          <w:sz w:val="28"/>
          <w:szCs w:val="28"/>
          <w:rtl w:val="true"/>
          <w:lang w:bidi="fa-IR"/>
        </w:rPr>
        <w:t>، و علی ما ذکره الکلینی قدّس سرّه فی دیباجة الکافی من کون کتابه مرجعا لجمیع من یأتی بعد ذلک</w:t>
      </w:r>
      <w:r>
        <w:rPr>
          <w:rStyle w:val="FootnoteAnchor"/>
          <w:rtl w:val="true"/>
        </w:rPr>
        <w:footnoteReference w:id="601"/>
      </w:r>
      <w:r>
        <w:rPr>
          <w:rFonts w:ascii="IRNazanin" w:hAnsi="IRNazanin" w:eastAsia="IRNazanin"/>
          <w:color w:val="111111"/>
          <w:sz w:val="28"/>
          <w:sz w:val="28"/>
          <w:szCs w:val="28"/>
          <w:rtl w:val="true"/>
          <w:lang w:bidi="fa-IR"/>
        </w:rPr>
        <w:t>، و الصدوق فی دیباجة کتابه من المعاهدة بأنّه لا یذکر فیه إلّا ما هو حجّة بینه و بین ربّه</w:t>
      </w:r>
      <w:r>
        <w:rPr>
          <w:rStyle w:val="FootnoteAnchor"/>
          <w:rtl w:val="true"/>
        </w:rPr>
        <w:footnoteReference w:id="602"/>
      </w:r>
      <w:r>
        <w:rPr>
          <w:rFonts w:ascii="IRNazanin" w:hAnsi="IRNazanin" w:eastAsia="IRNazanin"/>
          <w:color w:val="111111"/>
          <w:sz w:val="28"/>
          <w:sz w:val="28"/>
          <w:szCs w:val="28"/>
          <w:rtl w:val="true"/>
          <w:lang w:bidi="fa-IR"/>
        </w:rPr>
        <w:t xml:space="preserve">، و علی تنبّهوا له و نبّههم </w:t>
      </w:r>
    </w:p>
    <w:p>
      <w:pPr>
        <w:pStyle w:val="BookText"/>
        <w:rPr/>
      </w:pPr>
      <w:r>
        <w:rPr>
          <w:rFonts w:ascii="IRNazanin" w:hAnsi="IRNazanin" w:eastAsia="IRNazanin"/>
          <w:color w:val="111111"/>
          <w:sz w:val="28"/>
          <w:sz w:val="28"/>
          <w:szCs w:val="28"/>
          <w:rtl w:val="true"/>
          <w:lang w:bidi="fa-IR"/>
        </w:rPr>
        <w:t>علی الأئمة علیهم السّلام من أنّ الکذّابة کانوا یدسّون الأخبار المکذوبة فی کتب أصحاب الأئمة علیهم السّلام</w:t>
      </w:r>
      <w:r>
        <w:rPr>
          <w:rStyle w:val="FootnoteAnchor"/>
          <w:rtl w:val="true"/>
        </w:rPr>
        <w:footnoteReference w:id="603"/>
      </w:r>
      <w:r>
        <w:rPr>
          <w:rFonts w:ascii="IRNazanin" w:hAnsi="IRNazanin" w:eastAsia="IRNazanin"/>
          <w:color w:val="111111"/>
          <w:sz w:val="28"/>
          <w:sz w:val="28"/>
          <w:szCs w:val="28"/>
          <w:rtl w:val="true"/>
          <w:lang w:bidi="fa-IR"/>
        </w:rPr>
        <w:t>سیّما من کان مؤلّفه ممّن قال المعصوم فی حقّهم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هؤلاء لاندرست آثار النبوة</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الشواهد الخارجیة لوجود العلم الإجمالی التی لا حاجة لنا فی الاستشهاد بها بعد کونه من البدیهیات التی یقضی العادة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اعتذار الماتن قدّس سرّه فی الآخر عن الاستشهاد بها بأنّ المقصود ممّا ذکرنا دفع ما ربما یکابره المتعسّف الخالی عن التتبّع</w:t>
      </w:r>
      <w:r>
        <w:rPr>
          <w:rStyle w:val="FootnoteAnchor"/>
          <w:rtl w:val="true"/>
        </w:rPr>
        <w:footnoteReference w:id="605"/>
      </w:r>
      <w:r>
        <w:rPr>
          <w:rFonts w:ascii="IRNazanin" w:hAnsi="IRNazanin" w:eastAsia="IRNazanin"/>
          <w:color w:val="111111"/>
          <w:sz w:val="28"/>
          <w:sz w:val="28"/>
          <w:szCs w:val="28"/>
          <w:rtl w:val="true"/>
          <w:lang w:bidi="fa-IR"/>
        </w:rPr>
        <w:t>و إلّا فدعوی العلم الإجمالی بوجود الصادر عن الائمة کثیرا فی الکتب المألوفة بدیهیة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مکابرة المتعسّف فی إنکار أصل دعوی العلم الإجمالی لیست بأهون علیه من إنکار الشواهد المذکورة فی أحوال الرّواة، بتعسّف عدّها من أخبار الآحاد المفروض عدم ثبوت حجّیتها بعد لیلحق إثبات حجّیة الأخبار بمعونة تلک الشواهد إلی الدور و المصادرة، و العیاذ باللّه من العناد و المکابرة، و لیس ذلک إلّا من جهة أنّ إثبات البدیهی بغیر الحوالة إلی البداهة أمر مستحیل، و لهذا جری دیدنه تعالی فی کتابه الکریم علی حوالة البدیهیات إلی البداهة جریا علی طریقة العقلاء</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مقدّمة انسداد باب العلم فی تشخیص الصادر عن غیر الصادر عن الأئمة علیهم السّلام فمن الواضح تحقّقها سیما بالنسبة إلینا معاشر أهل هذا الزمان المخفی فیه القرائن العلمیة، بواسطة تطاول الزمان و تباعده عن زمن الائمة علیهم السّلام، و عروض الدسّ من المخالفین و الاشتباه و الغفلة و النسیان فی التقطیع و النقل بالمعنی من </w:t>
      </w:r>
    </w:p>
    <w:p>
      <w:pPr>
        <w:pStyle w:val="BookText"/>
        <w:rPr/>
      </w:pPr>
      <w:r>
        <w:rPr>
          <w:rFonts w:ascii="IRNazanin" w:hAnsi="IRNazanin" w:eastAsia="IRNazanin"/>
          <w:color w:val="111111"/>
          <w:sz w:val="28"/>
          <w:sz w:val="28"/>
          <w:szCs w:val="28"/>
          <w:rtl w:val="true"/>
          <w:lang w:bidi="fa-IR"/>
        </w:rPr>
        <w:t>الموافقین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الأخباریة قطعیة صدور جمیع ما فی الکتب الأربعة</w:t>
      </w:r>
      <w:r>
        <w:rPr>
          <w:rStyle w:val="FootnoteAnchor"/>
          <w:rtl w:val="true"/>
        </w:rPr>
        <w:footnoteReference w:id="606"/>
      </w:r>
      <w:r>
        <w:rPr>
          <w:rFonts w:ascii="IRNazanin" w:hAnsi="IRNazanin" w:eastAsia="IRNazanin"/>
          <w:color w:val="111111"/>
          <w:sz w:val="28"/>
          <w:sz w:val="28"/>
          <w:szCs w:val="28"/>
          <w:rtl w:val="true"/>
          <w:lang w:bidi="fa-IR"/>
        </w:rPr>
        <w:t>بالشواهد المقرّرة لرواتها 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لغیر القطع بعد کون الاشتباه و النسیان من طباع الإنسان و إن بلغ ما بلغ من التقوی و الإیمان، کما أنّ معلومیة بعضها بتواتر و استفاضة ممّا لا یرفع به الحاجة و لا یرفع العلم الإجمالی عن التتمّة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مقدّمة بقاء التکلیف فی العمل بالأخبار الصادرة و عدم معذوریة القاصر عن تمییزها بطریق العلم فمعلومة التحقق أیضا، ضرورة أنّ الاحتیاط فی العمل بکلّ ما یحتمل التکلیف به من الأخبار متعسّر جدّا، بل متعذّر قطعا، و أنّ البناء علی أصالة البراءة و عدم التکلیف فی کلّ مورد من مظانّ التکلیف بمضمون تلک الأخبار یوجب الخروج عن الدین بالیقین، إذ لا مسرح لتوهم کون اشتباه الأخبار الصادرة عن الأئمة علیهم السّلام بالأخبار الغیر الصادرة التی بأیدینا من قبیل الشبهة الغیر المحصورة، و شبهة القلیل بالکثیر الملحق فیها القلیل بحکم الکثیر فی ارتفاع التکلیف عنه بأصالة العدم، لوضوح کونها من قبیل الشبهة المحصورة و اشتباه الکثیر بالقلیل أو بالکثیر الغیر المعذور فیها الجاهل</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لتوهّم عدم دخول جمیع أطراف الشبهة من الأخبار تحت ابتلاء مکلّف واحد، لکون بعضها فی أحکام المعاملات الغیر المبتلی بها المتعبّدین، و بعضها فی العبادات الغیر المبتلی بها المعاملین، و بعضها فی الآداب و السنن الغیر الواجب بها العمل، و بعضها منطبقة علی الاصول، و لا نزاع فی جواز العمل بها لیکون العلم الإجمالی بوجود الصادر عن الأئمة من أخبار الکتب بالنسبة إلی کلّ واحد من المکلّفین، نظیر العلم الإجمالی بالنسبة إلی کلّ واحد من واجدی المنی فی الثوب المشترک فی عدم تنجّزه التکلیف و جواز نفی کلّ واحد منهم التکلیف عن نفسه </w:t>
      </w:r>
      <w:bookmarkStart w:id="830" w:name="pg12850_121489"/>
    </w:p>
    <w:p>
      <w:pPr>
        <w:pStyle w:val="BookText"/>
        <w:rPr/>
      </w:pPr>
      <w:bookmarkEnd w:id="830"/>
      <w:r>
        <w:rPr>
          <w:rFonts w:ascii="Amiri" w:hAnsi="Amiri" w:eastAsia="Amiri" w:cs="Amiri"/>
          <w:color w:val="111111"/>
          <w:sz w:val="28"/>
          <w:sz w:val="28"/>
          <w:szCs w:val="28"/>
          <w:rtl w:val="true"/>
          <w:lang w:bidi="ar-SA"/>
        </w:rPr>
        <w:t>بالبراءة و أصالة العدم</w:t>
      </w:r>
      <w:r>
        <w:rPr>
          <w:rFonts w:eastAsia="Amiri" w:cs="Amiri" w:ascii="Amiri" w:hAnsi="Amiri"/>
          <w:color w:val="111111"/>
          <w:sz w:val="28"/>
          <w:szCs w:val="28"/>
          <w:rtl w:val="true"/>
          <w:lang w:bidi="ar-SA"/>
        </w:rPr>
        <w:t>.</w:t>
      </w:r>
    </w:p>
    <w:p>
      <w:pPr>
        <w:pStyle w:val="Heading5"/>
        <w:numPr>
          <w:ilvl w:val="4"/>
          <w:numId w:val="1"/>
        </w:numPr>
        <w:rPr/>
      </w:pPr>
      <w:bookmarkStart w:id="831" w:name="__RefHeading___Toc2527612_3224264995"/>
      <w:bookmarkStart w:id="832" w:name="_Toc306"/>
      <w:bookmarkEnd w:id="831"/>
      <w:r>
        <w:rPr>
          <w:rtl w:val="true"/>
        </w:rPr>
        <w:t>[</w:t>
      </w:r>
      <w:r>
        <w:rPr>
          <w:rtl w:val="true"/>
        </w:rPr>
        <w:t>اشارة إلی فساد موضوعیة العمل بالأخبار</w:t>
      </w:r>
      <w:r>
        <w:rPr>
          <w:rtl w:val="true"/>
        </w:rPr>
        <w:t>]</w:t>
      </w:r>
      <w:bookmarkEnd w:id="832"/>
    </w:p>
    <w:p>
      <w:pPr>
        <w:pStyle w:val="BookText"/>
        <w:rPr/>
      </w:pPr>
      <w:r>
        <w:rPr>
          <w:rFonts w:ascii="IRNazanin" w:hAnsi="IRNazanin" w:eastAsia="IRNazanin"/>
          <w:color w:val="111111"/>
          <w:sz w:val="28"/>
          <w:sz w:val="28"/>
          <w:szCs w:val="28"/>
          <w:rtl w:val="true"/>
          <w:lang w:bidi="fa-IR"/>
        </w:rPr>
        <w:t>و وجه فساد هذا الوهم أیضا هو ضرورة الوجدان علی وجود العلم الإجمالی لکلّ واحد واحد من المکلّفین بصدور کثیر من الأخبار المبتلی بها کلّ واحد واحد منهم، و وجود الفرق البیّن بین العلم الإجمالی بالتکلیف الحاصل لواجدی المنی فی الثوب المشترک و العلم الإجمالی بالتکلیف الحاصل لکلّ واحد واحد منّا؛ بأنّ جلّ أجزاء الصلاة و الزکاة و الحجّ و المتاجر و الأنکحة و شرائطها و موانعها إنّما یثبت بالأخبار الغیر القطعیة بحیث نقطع بخروج حقائق هذه الامور عن کونها هذه الامور، عند ترک العمل بخبر الواحد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ممّا قرّرنا صحّة جمیع مقدّمات الدلیل العقلیّ المنتج بداهة قیام الظنّ مقام العلم و حجّیة مطلق مظنون الصدور من الأخبار من دون إشکال و لا 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غایة ما یمکن الاعتراض به علی الدلیل المذکور هو ما اعتراض به الماتن علیه بعد أن کان معتمدا علیه فی السابق</w:t>
      </w:r>
      <w:r>
        <w:rPr>
          <w:rStyle w:val="FootnoteAnchor"/>
          <w:rtl w:val="true"/>
        </w:rPr>
        <w:footnoteReference w:id="607"/>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بأعمّیته من المدّعی مطلقا، و ثانیا،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بأخصیّته منه من وجه، بتقریب الجواب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تخصیصک النتیجة بحجّیة مظنون الصدور من الأخبار دون حجّیة مطلق مظنون الطریقیة من سائر طرق الواقع مع اشتراک الجمیع فی الانسداد و فی العلم الإجمالی و فی غیر ذلک من مقدّمات الانتاج إنّما یبتنی علی القول بمطلوبیة العمل بالأخبار الصادرة عن المعصومین من باب الموضوعیة و التعبّد، کالصلاة و الصوم کما هو المنسوب إلی السیّد الصدر، و ظاهر الفاضل التونی</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مبنی فاسد؛ لما هو الحقّ المحقّق فی محلّه من طریقیة أخبار المعصومین و عدم مدخلیة قول الشارع فی مطلوبیة المطلوب واقعا، سوی </w:t>
      </w:r>
      <w:bookmarkStart w:id="833" w:name="pg12850_121490"/>
    </w:p>
    <w:p>
      <w:pPr>
        <w:pStyle w:val="BookText"/>
        <w:rPr/>
      </w:pPr>
      <w:bookmarkEnd w:id="833"/>
      <w:r>
        <w:rPr>
          <w:rFonts w:ascii="IRNazanin" w:hAnsi="IRNazanin" w:eastAsia="IRNazanin"/>
          <w:color w:val="111111"/>
          <w:sz w:val="28"/>
          <w:sz w:val="28"/>
          <w:szCs w:val="28"/>
          <w:rtl w:val="true"/>
          <w:lang w:bidi="fa-IR"/>
        </w:rPr>
        <w:t>الکاشفیة و المرآتیة عن الواقع فضلا عن قول غیره، کما هو قضیة الملازمة الکلّیة بین حکمی الشرع و العقل من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المشهور المنصور من اعتبار الأخبار من باب الطریقیة لا الموضوعیة فیلغی جهة خصوصیة الأخبار و یکون مفاد دلیل الانسداد المشترک بین الأخبار و غیرها هو حجّیة مطلق ما یفید الظنّ بصدور الحکم الشرعی التکلیفی، سواء کان المفید للظنّ خبرا أو شهرة أو غیرهما أو حجّیة مطلق الظنّ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فدلیل الانسداد المذکور لم یفد حجّیة خصوص الجزء کما هو المدّعی و إنّما أفاد حجّیة مطلق الظنّ الطریقی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مذهب الفصول</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مطلق الظنّ بالواقع کما هو مذهب القوانین</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4" w:name="__RefHeading___Toc2527614_3224264995"/>
      <w:bookmarkStart w:id="835" w:name="_Toc307"/>
      <w:bookmarkEnd w:id="834"/>
      <w:r>
        <w:rPr>
          <w:rtl w:val="true"/>
        </w:rPr>
        <w:t>[</w:t>
      </w:r>
      <w:r>
        <w:rPr>
          <w:rtl w:val="true"/>
        </w:rPr>
        <w:t>اناطة مجری دلیل الانسداد بالعلم بمطلوبیة المنسدّ فیه باب العلم</w:t>
      </w:r>
      <w:r>
        <w:rPr>
          <w:rtl w:val="true"/>
        </w:rPr>
        <w:t>]</w:t>
      </w:r>
      <w:bookmarkEnd w:id="835"/>
    </w:p>
    <w:p>
      <w:pPr>
        <w:pStyle w:val="BookText"/>
        <w:rPr/>
      </w:pPr>
      <w:r>
        <w:rPr>
          <w:rFonts w:ascii="IRNazanin" w:hAnsi="IRNazanin" w:eastAsia="IRNazanin"/>
          <w:color w:val="111111"/>
          <w:sz w:val="28"/>
          <w:sz w:val="28"/>
          <w:szCs w:val="28"/>
          <w:rtl w:val="true"/>
          <w:lang w:bidi="fa-IR"/>
        </w:rPr>
        <w:t>ثمّ إنّه ممّا ذکرنا یعلم أنّ مجری انسداد باب العلم، القاضی بحکم العقل لقیام الظنّ مقامه فی کلّ مورد و باب من أبواب الفقه و موضوعات الأحکام، منوط بعلمنا من حال الشارع مطلوبیة ذلک الموضوع علی کلّ حال، و عدم معذوریّة الجاهل بتشخیصه من طریق العلم بالبناء علی أصالة العدم فی جمیع مظانّه أو علی الأخذ بالاحتیاط فی تحصیله، کما علمنا ذلک من حال الشرع فی تشخیص موضوع العدالة و عدم رضائه بتعطیل الشهادات و القضاوات، و سدّ أبواب الجمعة و الجماعات و الأطلقة و الولایات عند انسداد باب العلم فی تشخیصه بالبناء علی أصالة عدم العدالة فی مظانّ العدالة</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ما علمنا من حال الشرع عدم مطلوبیّته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من الجاهل الغیر القادر علی تشخیصه بطریق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یقتضی انسداد باب العلم بقیام الظنّ </w:t>
      </w:r>
      <w:bookmarkStart w:id="836" w:name="pg12850_121491"/>
    </w:p>
    <w:p>
      <w:pPr>
        <w:pStyle w:val="BookText"/>
        <w:rPr/>
      </w:pPr>
      <w:bookmarkEnd w:id="836"/>
      <w:r>
        <w:rPr>
          <w:rFonts w:ascii="IRNazanin" w:hAnsi="IRNazanin" w:eastAsia="IRNazanin"/>
          <w:color w:val="111111"/>
          <w:sz w:val="28"/>
          <w:sz w:val="28"/>
          <w:szCs w:val="28"/>
          <w:rtl w:val="true"/>
          <w:lang w:bidi="fa-IR"/>
        </w:rPr>
        <w:t>مقامه، بل یجوز البناء علی أصالة العدم فی کلّ مورد من مظانّ وجوده و إن لزم ما لزم، کما علمنا ذلک من حاله فی باب الطهارة و النجاسة، و عدم بقاء وجوب الاجتناب عن موضوع النجاسة الواقعیة عند عدم العلم بها، و رضائه بجریان أصالة الطهارة و عدم النجاسة فی کلّ مورد من مظانّ وجودها و إن علمنا بعدم انفکاک مجری أصالة العدم فی جمیع مظانّها فی تمام العمر عن الوقوع فیها أحیانا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یقتضی الانسداد حجّیة الظنّ فی ما لم یعلم من حال الشرع مطلوبیة الموضوع، المکلّف به حال عدم العلم و لا عدم مطلوبیته، فإنّه أیضا یجری أصالة العدم فی جمیع مظانّ وجوده، و لم یقم الظنّ مقام العلم فی تشخیصه أخذا بعموم أدلّة أصالة العدم و البراءة، کما لا یخفی</w:t>
      </w:r>
      <w:r>
        <w:rPr>
          <w:rFonts w:eastAsia="IRNazanin" w:cs="IRNazanin"/>
          <w:color w:val="111111"/>
          <w:sz w:val="28"/>
          <w:szCs w:val="28"/>
          <w:rtl w:val="true"/>
          <w:lang w:bidi="fa-IR"/>
        </w:rPr>
        <w:t>.</w:t>
      </w:r>
    </w:p>
    <w:p>
      <w:pPr>
        <w:pStyle w:val="Heading5"/>
        <w:numPr>
          <w:ilvl w:val="4"/>
          <w:numId w:val="1"/>
        </w:numPr>
        <w:rPr/>
      </w:pPr>
      <w:bookmarkStart w:id="837" w:name="__RefHeading___Toc2527616_3224264995"/>
      <w:bookmarkStart w:id="838" w:name="_Toc308"/>
      <w:bookmarkEnd w:id="837"/>
      <w:r>
        <w:rPr>
          <w:rtl w:val="true"/>
        </w:rPr>
        <w:t>[</w:t>
      </w:r>
      <w:r>
        <w:rPr>
          <w:rtl w:val="true"/>
        </w:rPr>
        <w:t>حکم العقل فی ما انسدّ باب العلم</w:t>
      </w:r>
      <w:r>
        <w:rPr>
          <w:rtl w:val="true"/>
        </w:rPr>
        <w:t>]</w:t>
      </w:r>
      <w:bookmarkEnd w:id="838"/>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انسدّ باب العلم فی تشخیص شی‌ء من موضوعات التکالیف المطلوبة مثلا، فإمّا أن یعلم من حال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رضاءه ببناء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أصالة عدم ذلک الموضوع فی جمیع مظانّ وجوده، کما علمنا ذلک منه فی باب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نعلم من حاله عدم رضائه بذلک، و بقاء مطلوبیّة التکالیف و الآثار المترتّبة علی تشخیص ذلک الموضوع فی کلّ حال، کما علمنا ذلک منه فی باب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یشکّ فی رضائه و عدم رضائه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فالمجری فیه مجری البراءة و أصالة العدم، فی کلّ مورد مورد من مظانّ احتمال تحقّق ذلک الموضوع إلی أن یتحقّق تحقّقه بالیقین، و کذا الثالث أخذا بعموم أدلّة البراءة و أصالة العدم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الفرض الثانی فالمجری فیه مجری الاحتیاط إن لم یتعسّر، و إلّا </w:t>
      </w:r>
      <w:bookmarkStart w:id="839" w:name="pg12850_121492"/>
    </w:p>
    <w:p>
      <w:pPr>
        <w:pStyle w:val="BookText"/>
        <w:rPr/>
      </w:pPr>
      <w:bookmarkEnd w:id="839"/>
      <w:r>
        <w:rPr>
          <w:rFonts w:ascii="IRNazanin" w:hAnsi="IRNazanin" w:eastAsia="IRNazanin"/>
          <w:color w:val="111111"/>
          <w:sz w:val="28"/>
          <w:sz w:val="28"/>
          <w:szCs w:val="28"/>
          <w:rtl w:val="true"/>
          <w:lang w:bidi="fa-IR"/>
        </w:rPr>
        <w:t>فالمرجع فی تشخیص ذلک الموضوع إلی الظنّ عقلا، و مع فقده فإلی الشکّ و مع فقده فإلی الوهم بحکم العقل المستقلّ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حکم عقلیّ کبرویّ لا کلام فیه أصلا و إنّما الکلام فی انطباقه علی ما نحن فیه لینتج حجّیة الأخبار المظنونة الصدور و عدم انطباقه لئلّا ینتج ذلک</w:t>
      </w:r>
      <w:r>
        <w:rPr>
          <w:rFonts w:eastAsia="IRNazanin" w:cs="IRNazanin"/>
          <w:color w:val="111111"/>
          <w:sz w:val="28"/>
          <w:szCs w:val="28"/>
          <w:rtl w:val="true"/>
          <w:lang w:bidi="fa-IR"/>
        </w:rPr>
        <w:t>.</w:t>
      </w:r>
    </w:p>
    <w:p>
      <w:pPr>
        <w:pStyle w:val="Heading5"/>
        <w:numPr>
          <w:ilvl w:val="4"/>
          <w:numId w:val="1"/>
        </w:numPr>
        <w:rPr/>
      </w:pPr>
      <w:bookmarkStart w:id="840" w:name="__RefHeading___Toc2527618_3224264995"/>
      <w:bookmarkStart w:id="841" w:name="_Toc309"/>
      <w:bookmarkEnd w:id="840"/>
      <w:r>
        <w:rPr>
          <w:rtl w:val="true"/>
        </w:rPr>
        <w:t>[</w:t>
      </w:r>
      <w:r>
        <w:rPr>
          <w:rtl w:val="true"/>
        </w:rPr>
        <w:t>تطبیق حکم العقل فی مسألة العمل بالأخبار</w:t>
      </w:r>
      <w:r>
        <w:rPr>
          <w:rtl w:val="true"/>
        </w:rPr>
        <w:t>]</w:t>
      </w:r>
      <w:bookmarkEnd w:id="841"/>
    </w:p>
    <w:p>
      <w:pPr>
        <w:pStyle w:val="BookText"/>
        <w:rPr/>
      </w:pPr>
      <w:r>
        <w:rPr>
          <w:rFonts w:ascii="IRNazanin" w:hAnsi="IRNazanin" w:eastAsia="IRNazanin"/>
          <w:color w:val="111111"/>
          <w:sz w:val="28"/>
          <w:sz w:val="28"/>
          <w:szCs w:val="28"/>
          <w:rtl w:val="true"/>
          <w:lang w:bidi="fa-IR"/>
        </w:rPr>
        <w:t>و حاصل الکلام فی تقریر انطباق ذلک الدلیل العقلیّ المنتج حجّیة الأخبار المظنونة الصدور من بین الأخبار الموجودة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بعد ملاحظة وجود العلم الإجمالی بصدور أکثر الأخبار الموجودة فی أیدینا عن الأئمة علیهم السّلام بالوجدان و قضاء العادة، مضافا إلی الشواهد المذکورة لرواتها و بعد ملاحظة انحصار طریق الامتثال بها فی الظنّ بواسطة تعذّر الاحتیاط أو تعسّره، و عدم جواز الرجوع إلی البراءة و أصالة العدم فی جمیع مظانّه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لاستلزامه الخروج عن الدین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بوجوب العمل بمطلق مظنون الصدور من تلک الأخبار</w:t>
      </w:r>
      <w:r>
        <w:rPr>
          <w:rFonts w:eastAsia="IRNazanin" w:cs="IRNazanin"/>
          <w:color w:val="111111"/>
          <w:sz w:val="28"/>
          <w:szCs w:val="28"/>
          <w:rtl w:val="true"/>
          <w:lang w:bidi="fa-IR"/>
        </w:rPr>
        <w:t>.</w:t>
      </w:r>
    </w:p>
    <w:p>
      <w:pPr>
        <w:pStyle w:val="Heading5"/>
        <w:numPr>
          <w:ilvl w:val="4"/>
          <w:numId w:val="1"/>
        </w:numPr>
        <w:rPr/>
      </w:pPr>
      <w:bookmarkStart w:id="842" w:name="__RefHeading___Toc2527620_3224264995"/>
      <w:bookmarkStart w:id="843" w:name="_Toc310"/>
      <w:bookmarkEnd w:id="842"/>
      <w:r>
        <w:rPr>
          <w:rtl w:val="true"/>
        </w:rPr>
        <w:t>[</w:t>
      </w:r>
      <w:r>
        <w:rPr>
          <w:rtl w:val="true"/>
        </w:rPr>
        <w:t>مجمل الایراد علی دلیل الانسداد فی حجّیة الاخبار</w:t>
      </w:r>
      <w:r>
        <w:rPr>
          <w:rtl w:val="true"/>
        </w:rPr>
        <w:t>]</w:t>
      </w:r>
      <w:bookmarkEnd w:id="843"/>
    </w:p>
    <w:p>
      <w:pPr>
        <w:pStyle w:val="BookText"/>
        <w:rPr/>
      </w:pPr>
      <w:r>
        <w:rPr>
          <w:rFonts w:ascii="IRNazanin" w:hAnsi="IRNazanin" w:eastAsia="IRNazanin"/>
          <w:color w:val="111111"/>
          <w:sz w:val="28"/>
          <w:sz w:val="28"/>
          <w:szCs w:val="28"/>
          <w:rtl w:val="true"/>
          <w:lang w:bidi="fa-IR"/>
        </w:rPr>
        <w:t>و حاصل الجواب عنه علی تقدیر صحّته غیر راجع إلی منع شی‌ء من مقدّماته، لما عرفت من أنّها من قبیل القضایا التی قیاساتها معها، و لا إلی منع انتاجها لأنّها بدیهیة الانتاج، بل هو راجع علی حسبما ذکره الماتن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دعوی أعمّیة دلیل الانسداد المذکور من إثبات حجّیة خصوص مظنون الصدور من الأخبار، دون مظنون الطریقیة من سائر طرق الواقع إلّا علی القول باعتبار الأخبار من باب الموضوعیة فی عرض الواقع، دون ما هو المشهور المنصور من اعتبارها من باب الطریقیة و الکاشفیة و المرآتیة عن الأحکام الواقعیة، إذ علی الکاشفیة یلغی اعتبار خصوصیة جهة الإخبار و ینتج عموم دائرة العلم الإجمالی حجّیة مطلق مظنون الطریقیة من الأخبار و الشهرة و غیرهما</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أخصّیته من المدّعی من وجه باعتبار أنّ اللازم منه عدم حجّیة الخبر الغیر المظنون مطابقته للواقع و لو کان مظنون الصدور</w:t>
      </w:r>
      <w:r>
        <w:rPr>
          <w:rFonts w:eastAsia="IRNazanin" w:cs="IRNazanin"/>
          <w:color w:val="111111"/>
          <w:sz w:val="28"/>
          <w:szCs w:val="28"/>
          <w:rtl w:val="true"/>
          <w:lang w:bidi="fa-IR"/>
        </w:rPr>
        <w:t xml:space="preserve">. </w:t>
      </w:r>
      <w:bookmarkStart w:id="844" w:name="pg12850_121493"/>
    </w:p>
    <w:p>
      <w:pPr>
        <w:pStyle w:val="BookText"/>
        <w:rPr/>
      </w:pPr>
      <w:bookmarkEnd w:id="844"/>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أخصّ من المدّعی من وجه آخر، باعتبار أنّ اللازم منه عدم حجّیة الأخبار النافیة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محصّل أجوبة الماتن الثلاثة</w:t>
      </w:r>
      <w:r>
        <w:rPr>
          <w:rStyle w:val="FootnoteAnchor"/>
          <w:rtl w:val="true"/>
        </w:rPr>
        <w:footnoteReference w:id="611"/>
      </w:r>
      <w:r>
        <w:rPr>
          <w:rFonts w:ascii="IRNazanin" w:hAnsi="IRNazanin" w:eastAsia="IRNazanin"/>
          <w:color w:val="111111"/>
          <w:sz w:val="28"/>
          <w:sz w:val="28"/>
          <w:szCs w:val="28"/>
          <w:rtl w:val="true"/>
          <w:lang w:bidi="fa-IR"/>
        </w:rPr>
        <w:t>عن الدلیل المذکور</w:t>
      </w:r>
      <w:r>
        <w:rPr>
          <w:rFonts w:eastAsia="IRNazanin" w:cs="IRNazanin"/>
          <w:color w:val="111111"/>
          <w:sz w:val="28"/>
          <w:szCs w:val="28"/>
          <w:rtl w:val="true"/>
          <w:lang w:bidi="fa-IR"/>
        </w:rPr>
        <w:t>.</w:t>
      </w:r>
    </w:p>
    <w:p>
      <w:pPr>
        <w:pStyle w:val="Heading5"/>
        <w:numPr>
          <w:ilvl w:val="4"/>
          <w:numId w:val="1"/>
        </w:numPr>
        <w:rPr/>
      </w:pPr>
      <w:bookmarkStart w:id="845" w:name="__RefHeading___Toc2527622_3224264995"/>
      <w:bookmarkStart w:id="846" w:name="_Toc311"/>
      <w:bookmarkEnd w:id="845"/>
      <w:r>
        <w:rPr>
          <w:rtl w:val="true"/>
        </w:rPr>
        <w:t>[</w:t>
      </w:r>
      <w:r>
        <w:rPr>
          <w:rtl w:val="true"/>
        </w:rPr>
        <w:t>الردّ علی ما أورد علی دلیل الانسداد</w:t>
      </w:r>
      <w:r>
        <w:rPr>
          <w:rtl w:val="true"/>
        </w:rPr>
        <w:t>]</w:t>
      </w:r>
      <w:bookmarkEnd w:id="846"/>
    </w:p>
    <w:p>
      <w:pPr>
        <w:pStyle w:val="BookText"/>
        <w:rPr/>
      </w:pPr>
      <w:r>
        <w:rPr>
          <w:rFonts w:ascii="IRNazanin" w:hAnsi="IRNazanin" w:eastAsia="IRNazanin"/>
          <w:color w:val="111111"/>
          <w:sz w:val="28"/>
          <w:sz w:val="28"/>
          <w:szCs w:val="28"/>
          <w:rtl w:val="true"/>
          <w:lang w:bidi="fa-IR"/>
        </w:rPr>
        <w:t>و لکن لا یخفی أنّ مجموعها غیر موجّهة علی المستدلّ؛ لأنّ استنتاج المستدلّ من دلیله المذکور حجّیة خصوص الأخبار، إن کان من جهة اعتباره الأخبار من باب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قضیة الجواب الأوّل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مسرح لتوجّه شی‌ء من جوابیه الآخرین علیه، لمنع الملازمة فی کلّ منهما علی هذا التقدیر، و إن لم یکن من جهة اعتبار الأخبار من باب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قضیة الملازمة المدّعاة فی کلّ من الجوابین الأخیرین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مسرح لتوجّه جوابه الأوّل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ینبغی للمجیب بهذه الأجوبة الثلاثة أن لا یطلق فی الجواب بکلّ من أجوبته الثلاثة بل یشقّق و یقول للمستدلّ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استنتاجک حجّیة خصوص مظنون الصدور من الأخبار من جهة اعتبارک الأخبار من باب الموضوعیة توجّه علیک الجواب الأول، و إن لم یکن من تلک الجهة توجّه علیک الجوابین الأخیرین، فإطلاق جوابه بکلّ من الثلاثة یوهم توجه کلّ منها علیه علی تقدیر واحد، و الحال أنّ توجّه کلّ من الأول و الآخرین مبنیّ علی تقدیر لا یجامع تقدیر الآخر</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 یمکن علاوة علی ذلک توجیه کلام المستدلّ بما لا یتوجّه علیه شی‌ء من الأجوبة الثلاثة علاوة علی عدم توجّه مجموعها علیه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یجاب عن کلّ من الجوابین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مراد المستدلّ هو الاستدلال بالدلیل العقلی علی حجّیة أخبار الآحاد فی الجملة، فی مقابل السلب الکلّی کما هو محطّ نظر </w:t>
      </w:r>
    </w:p>
    <w:p>
      <w:pPr>
        <w:pStyle w:val="BookText"/>
        <w:rPr/>
      </w:pPr>
      <w:r>
        <w:rPr>
          <w:rFonts w:ascii="IRNazanin" w:hAnsi="IRNazanin" w:eastAsia="IRNazanin"/>
          <w:color w:val="111111"/>
          <w:sz w:val="28"/>
          <w:sz w:val="28"/>
          <w:szCs w:val="28"/>
          <w:rtl w:val="true"/>
          <w:lang w:bidi="fa-IR"/>
        </w:rPr>
        <w:t>المتنازعین فی هذه المسألة، لا حجّیتهما بالجملة فی مقابل السلب الجزئی، فإنّ هذا الفرض خارج عن محطّ أنظارنا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فلا یتوجّه علیه شی‌ء من الجوابین الآخرین، مضافا إلی أنّه یکفی فی منع توجّههما ضمیمة عدم القول بالفصل فی حجّیة الأخبار بین الناقل و المقرّر، و لا بین الموافق للاحتیاط و المخالف للإجماع، علی أنّه إن کان لحجّیة الأخبار شرط أو قید فهو الظنّ بالصدور أو الوثوق به لیس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الأول بأنّ تخصیص المستدلّ الحجّیة بخصوص مظنون الصدور من الأخبار دون مطلق مظنون الطریقیة من سائر الطرق مع اشتراک الکلّ فی العلم الإجمالی و انسداد باب العلم الإجمالی لا ینحصر مبناه فی القول باعتبار الأخبار من باب الموضوعیة، حتی یندفع بوضوح فساد هذا المبنی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لعلّ مبناه کون الاستدلال علی حجّیة الأخبار فی المقام مسوق فی مقابل ردّ السیّد</w:t>
      </w:r>
      <w:r>
        <w:rPr>
          <w:rStyle w:val="FootnoteAnchor"/>
          <w:rtl w:val="true"/>
        </w:rPr>
        <w:footnoteReference w:id="612"/>
      </w:r>
      <w:r>
        <w:rPr>
          <w:rFonts w:ascii="IRNazanin" w:hAnsi="IRNazanin" w:eastAsia="IRNazanin"/>
          <w:color w:val="111111"/>
          <w:sz w:val="28"/>
          <w:sz w:val="28"/>
          <w:szCs w:val="28"/>
          <w:rtl w:val="true"/>
          <w:lang w:bidi="fa-IR"/>
        </w:rPr>
        <w:t>و تابعیه</w:t>
      </w:r>
      <w:r>
        <w:rPr>
          <w:rStyle w:val="FootnoteAnchor"/>
          <w:rtl w:val="true"/>
        </w:rPr>
        <w:footnoteReference w:id="613"/>
      </w:r>
      <w:r>
        <w:rPr>
          <w:rFonts w:ascii="IRNazanin" w:hAnsi="IRNazanin" w:eastAsia="IRNazanin"/>
          <w:color w:val="111111"/>
          <w:sz w:val="28"/>
          <w:sz w:val="28"/>
          <w:szCs w:val="28"/>
          <w:rtl w:val="true"/>
          <w:lang w:bidi="fa-IR"/>
        </w:rPr>
        <w:t>المنکرین حجّیة الأخبار بالخصوص، فکأنّ تخصیصه الحجّیة بخصوص الأخبار لأجل مراعاة المقابلة المناسبة بین المتنازعین، و إلّا فلا یأب المستدلّ علی حجّیة الأخبار بذلک الدلیل من قضاء دلیله حجّیة سائر الطرق المظنونة الطریقیة إذا لم یمنعها مانع</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 و لو کان أعمّیّة الدلیل من المدّعی من معایب الاستدلال لانحصر الاستدلال الغیر المعیب فی التمثیل و الاستقراء و القیاس الاستثنائی، و سقط الاستدلال بکلّ ما یرجع إلی القیاس الاقترانی و الشکل الأول من الأدلّة، إذ ما من منها إلّا و هو أعمّ من المدّعی، بل من شرائط انتاج الشکل الأول کلّیة کبرویة، أ لا تری الاستدلال علی حرمة الخمر بکلّیة الاسکار، و علی حرمة الغصب بکلّیة </w:t>
      </w:r>
    </w:p>
    <w:p>
      <w:pPr>
        <w:pStyle w:val="BookText"/>
        <w:rPr/>
      </w:pPr>
      <w:r>
        <w:rPr>
          <w:rFonts w:ascii="IRNazanin" w:hAnsi="IRNazanin" w:eastAsia="IRNazanin"/>
          <w:color w:val="111111"/>
          <w:sz w:val="28"/>
          <w:sz w:val="28"/>
          <w:szCs w:val="28"/>
          <w:rtl w:val="true"/>
          <w:lang w:bidi="fa-IR"/>
        </w:rPr>
        <w:t>الظلم، و علی عصمة الإمام بکلّیة اللطف، إلی غیر ذلک ممّا لا 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لعلّ مبنی استنتاجه خصوص مظنون الصدور من الأخبار هو الأخذ بالمتیقّن من بین طرق الواقع، و من أطراف العلم الإجمالی، و هذا المتیقّن لیس إلّا الأخبار، لسلامة طریقها عمّا فی طریقیّة سائر الطرق إلی الواقع من احتمال المانعیة و شوائب المنع، فإنّ طریقیّة الأخبار للواقع و بناء العالم علیها خلفا عن سلف من خلقة آدم إلی یومنا هذا، و وجود العلم الإجمالی بالأحکام الواقعیة فی جملتها ممّا لا کلام لغیر السیّد و تابعیه فیه، حتی أنّ الأخباریة المنکرة لطریقیة الکتاب و الإجماع و العقل، و لوجود العلم الإجمالی فیها لا تنکر طریقیة الأخبار للواقع، و وجود العلم الإجمالی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طریقیة سائر الطرق من الشهرة و الاستقراء و الأولویة الظنّیة، فإنّها لیست بمثابة الأخبار فی الطریقیة و المعروفیة و عموم البلوی و وضوح المدرک، بل فی طریقتها من الکلام و احتمال الموانع و الأوهام ما لیس فی طریقیة الأخبار معشارها، فقد استوجه جماعة من الأخباریة و کثیر من الأصولیة اندراجها تحت عموم الآیات الناهیة عن العمل بالظنّ مع تسلیمهم طریقیة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انحصار طریق الواقع فیها و اختصاص العلم الإجمالی بها بأنّ المراد من الآیات الناهیة عن الظن النهی عن الظنون الاستنباطیة کالشهرة و الاستقراء و المدالیل الخفیّة من الألفاظ، فلا یشمل نصوص الأخبار و مدالیلها الجلیّة لخروجها عن الظنّ حکما بل اسما</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طریقیة الأخبار و وجود العلم الإجمالی فیها هو المتیقّن من بین الطرق و من أطراف العلم الإجمالی، إذ کلّ من قال بطریقیة الشهرة و الاستقراء قال بطریقیة الأخبار و لا عکس، و کلّ من قال بوجود العلم بالأحکام الواقعیة فی جملة الشهرة و الاستقراء قال بوجوده فی جملة الأخبار أیضا و لا </w:t>
      </w:r>
      <w:bookmarkStart w:id="847" w:name="pg12850_121496"/>
    </w:p>
    <w:p>
      <w:pPr>
        <w:pStyle w:val="BookText"/>
        <w:rPr/>
      </w:pPr>
      <w:bookmarkEnd w:id="847"/>
      <w:r>
        <w:rPr>
          <w:rFonts w:ascii="IRNazanin" w:hAnsi="IRNazanin" w:eastAsia="IRNazanin"/>
          <w:color w:val="111111"/>
          <w:sz w:val="28"/>
          <w:sz w:val="28"/>
          <w:szCs w:val="28"/>
          <w:rtl w:val="true"/>
          <w:lang w:bidi="fa-IR"/>
        </w:rPr>
        <w:t>عکس، صحّ للمستدلّ علی حجیة الأخبار الإغماض عن ما عدا الأخبار ببنائه علی الأخذ بالمتیقّن من أطراف العلم الإجمالی، و من طریقیة الطرق للواقع، و ما هو إلّا الأخبار، فیکون استدلاله علی حجّیة الأخبار مع الإغماض و السکوت عن نفی حجّیة ما عداها، لا مع التعریض لنفی ما عداها</w:t>
      </w:r>
      <w:r>
        <w:rPr>
          <w:rFonts w:eastAsia="IRNazanin" w:cs="IRNazanin"/>
          <w:color w:val="111111"/>
          <w:sz w:val="28"/>
          <w:szCs w:val="28"/>
          <w:rtl w:val="true"/>
          <w:lang w:bidi="fa-IR"/>
        </w:rPr>
        <w:t>.</w:t>
      </w:r>
    </w:p>
    <w:p>
      <w:pPr>
        <w:pStyle w:val="Heading5"/>
        <w:numPr>
          <w:ilvl w:val="4"/>
          <w:numId w:val="1"/>
        </w:numPr>
        <w:rPr/>
      </w:pPr>
      <w:bookmarkStart w:id="848" w:name="__RefHeading___Toc2527624_3224264995"/>
      <w:bookmarkStart w:id="849" w:name="_Toc312"/>
      <w:bookmarkEnd w:id="848"/>
      <w:r>
        <w:rPr>
          <w:rtl w:val="true"/>
        </w:rPr>
        <w:t>[</w:t>
      </w:r>
      <w:r>
        <w:rPr>
          <w:rtl w:val="true"/>
        </w:rPr>
        <w:t>اشارة إلی کشف الشهرة عن مدرک من الأخبار و الآثار</w:t>
      </w:r>
      <w:r>
        <w:rPr>
          <w:rtl w:val="true"/>
        </w:rPr>
        <w:t>]</w:t>
      </w:r>
      <w:bookmarkEnd w:id="849"/>
    </w:p>
    <w:p>
      <w:pPr>
        <w:pStyle w:val="BookText"/>
        <w:rPr/>
      </w:pPr>
      <w:r>
        <w:rPr>
          <w:rFonts w:ascii="IRNazanin" w:hAnsi="IRNazanin" w:eastAsia="IRNazanin"/>
          <w:color w:val="111111"/>
          <w:sz w:val="28"/>
          <w:sz w:val="28"/>
          <w:szCs w:val="28"/>
          <w:rtl w:val="true"/>
          <w:lang w:bidi="fa-IR"/>
        </w:rPr>
        <w:t>بل و له أیضا التعریض فی استدلاله علی حجّیة الأخبار لنفی حجّیة ما عداها بمنع وجود العلم الإجمالی فی ما عدا الأخبار من بین سائر طرق الواقع، نظرا إلی رجوع الشهرات و الاستقراءات الموافقة للأخبار إلی الأخبار، و کذا الإجماعات المنقولة و الأولویات الظنیة و الرؤیات مطلقا راجعة أیضا علی تقدیر حجّیتها إلی الأخبار، بدلالة الالتزام فإنّ حاکی الإجمالی یحکی قول الإمام علیه السّلام بدلالة 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 کذا الشهرات المخالفة للأخبار علی تقدیر حجّیتها أیضا راجعة إلی الأخبار بالنظر إلی أنّ من شأنها الکشف الظنّی عن مدرک من الأخبار و الآثار لا محالة و إن لم نقف علی ذلک المدرک تفصیلا، بل وقفنا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فینحصر بهذا الاعتبار طرق الواقع فی الأخبار، و لم یبق ما یحتمل للطریقیة غیر الأخبار فی الآثار، و لو بقی شی‌ء بعد لم یبق فیه علم إجمالی بل یخرج من أطراف العلم الإجمالی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یجاب بالمنع من ذلک 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إرجاع ما یوافق الأخبار من سائر الأمارات إلی الأخبار ثمّ دعوی خروج المخالف للأخبار من سائر الطرق عن أطراف العلم الإجمالی لیس بأولی من العکس، أعنی من إرجاع ما یوافق الشهرة و الإجماع المنقول من الأخبار إلی الشهرة و الإجماع المنقول ثمّ دعوی خروج المخالف لهما من سائر الأخبار الباقیة عن دائرة العلم الإجمالی</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بشهادة الوجدان علی اشتراک العلم الإجمالی بین المجموع و عدم </w:t>
      </w:r>
    </w:p>
    <w:p>
      <w:pPr>
        <w:pStyle w:val="BookText"/>
        <w:rPr/>
      </w:pPr>
      <w:r>
        <w:rPr>
          <w:rFonts w:ascii="IRNazanin" w:hAnsi="IRNazanin" w:eastAsia="IRNazanin"/>
          <w:color w:val="111111"/>
          <w:sz w:val="28"/>
          <w:sz w:val="28"/>
          <w:szCs w:val="28"/>
          <w:rtl w:val="true"/>
          <w:lang w:bidi="fa-IR"/>
        </w:rPr>
        <w:t>انحصاره فی الاخبار، بل و بشهادة إعمال المیزان المقرّر فی المتن لتشخیص سعة دائرة العلم الإجمالی و ضیقه عند الشکّ،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متی شکّ فی کون العلم الإجمالی بوجود الأوانی النجسة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فی خصوص طائفة خاصّة من الأوانی، أم مشترک بین تلک الطائفة و طائفة اخری من الأوانی فاختبر تشخیص ذلک بإخراج القدر المعلوم إجمالا نجاسته و عزله عن باقی أفراد تلک الطائفة ثمّ اضمم الطائفة الاخری من الأوانی إلی تتمّة ما بقی من الطائفة الاولی المحتمل انحصار العلم الإجمالی بها، فإن وجدت ارتفاع العلم الإجمالی و عدم بقاء شی‌ء من أثره بعد إخراج القدر المعلوم نجاسته إجمالا تبیّن انحصار العلم الإجمالی فی أفراد الطائفة الاولی، و إن وجدت عدم ارتفاعه و بقاء شی‌ء من أثره تبیّن سعة دائرة العلم الإجمالی و اشتراکه بین أفراد کلّ من الطائفتین المذکورتین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نحن فیه من هذا القبیل، فإنّا إذا عزلنا من الأخبار قطعة توجب انتفاء العلم الإجمالی فیها و ضممنا إلیها مکانها باقی الأمارات من الشهرة و الإجماع المنقول و الاستقراء و الأولویة الظنّیة وجدنا بقاء العلم الإجمالی بطریقیة بعضها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لنا الجواب عن النقض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عدم أولویة إرجاع ما عدا الأخبار من الأمارات المذکورة إلی الأخبار من العکس؛ و ذلک لضرورة أنّه ما من إجماع منقول و لا شهرة و لا رؤیا و لا أولویة إلّا و هو مظنون الاستناد إلی الخبر و مأخوذ من الخبر و إن لم نعلم به تفصیلا، بخلاف الأخبار فإنّها لیست بمظنونة الاستناد إلی الشهرة أو الاجماع المنقول أو غیرهما من سائر الأمارات، بل الأخبار کالاصول و المبانی لسائر الأمارات و هی کالفروع المأخوذة منها، و معلوم أنّ إرجاع الفرع إلی الأصل أولی من العکس</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حلّ النقض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بشهادة الوجدان علی اشتراک العلم الإجمالی فی مجموع الأمارات المذکورة دون انحصاره فی الأخبار بالمنع؛ لما عرفت من </w:t>
      </w:r>
    </w:p>
    <w:p>
      <w:pPr>
        <w:pStyle w:val="BookText"/>
        <w:rPr/>
      </w:pPr>
      <w:r>
        <w:rPr>
          <w:rFonts w:ascii="IRNazanin" w:hAnsi="IRNazanin" w:eastAsia="IRNazanin"/>
          <w:color w:val="111111"/>
          <w:sz w:val="28"/>
          <w:sz w:val="28"/>
          <w:szCs w:val="28"/>
          <w:rtl w:val="true"/>
          <w:lang w:bidi="fa-IR"/>
        </w:rPr>
        <w:t>أنّ العلم الإجمالی الموجود فی ما عدا الأخبار من سائر الأمارات إنّما هو فی المأخوذ منها عن الأخبار و المستند منها إلی الأخبار، و إلّا فما لم یظنّ استناده إلی الأخبار من الشهرات المخالفة للأخبار لم یکن من أطراف العلم الإجمالی بوجود الطریق إلی الواقع فیها قطعا، بضرورة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الحلّ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بشهادة المیزان المذکور علی اشتراک العلم الإجمالی بین مجموع الأمارات و عدم انحصاره فی خصوص الأخبار بعدم شهادته، بل بشهادته علی العدم لعین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ذلک المیزان و إن کان میزان عدل نافع لتشخیص سعة دائرة العلم الإجمالی و ضیقه للشاکّ فی دائرة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لتشخیص کون العلم الإجمالی واحدا أم متعدّدا فی کلّ باب من أبواب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فی تعقّل الشاکّ فی کیفیة علمه أو کمّیته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مضافا إلی أن فی الوجدان بنفسه الکفایة بل الغنیة عن إعمال هذا المیزان لتشخیصه علی تقدیر تعقّل الشکّ فیه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أنّه یکفی أیضا فی تشخیص ذلک إعمال المیزان المذکور بوجه أسهل، و ذلک لأنّ تشخیص بقاء أثر من العلم الإجمالی و ارتفاعه رأسا یظهر أیضا بمجرّد عزل الطائفة المحتمل انحصار العلم الإجمالی فیها عن سائر الطوائف الأخر، و الرجوع إلی الوجدان فی باقی الطوائف من غیر حاجة إلی مقدّمة الضمّ و الضمیمة، فإنک إذا عزلت فی ما نحن فیه تمام طائفة الأخبار المحتمل انحصار العلم الإجمالی فیها عن سائر الأمارات الأخر و لو راجعت وجدانک فی سائر الأمارات الباقیة شخّصت بقاء العلم الإجمالی فیها و عدمه من غیر حاجة إلی عزلک من الأخبار خصوص القطعیة الموجبة لانتفاء العلم الإجمالی فی باقیها ثمّ ضمّک إلی ذلک الباقی مکان المعزول سائر الأمارات، لکی یرجع إلی الوجدان </w:t>
      </w:r>
      <w:bookmarkStart w:id="850" w:name="pg12850_121499"/>
    </w:p>
    <w:p>
      <w:pPr>
        <w:pStyle w:val="BookText"/>
        <w:rPr/>
      </w:pPr>
      <w:bookmarkEnd w:id="850"/>
      <w:r>
        <w:rPr>
          <w:rFonts w:ascii="IRNazanin" w:hAnsi="IRNazanin" w:eastAsia="IRNazanin"/>
          <w:color w:val="111111"/>
          <w:sz w:val="28"/>
          <w:sz w:val="28"/>
          <w:szCs w:val="28"/>
          <w:rtl w:val="true"/>
          <w:lang w:bidi="fa-IR"/>
        </w:rPr>
        <w:t>المشخص لبقاء العلم الإجمالی و ارتفاعه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فإعمال المیزان المرقوم فی المتن لتشخیص سعة دائرة العلم الإجمالی و ضیقه، أو لتشخیص کون العلم الإجمالی واحدا أم متعدّدا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أنّ الأول من قبیل الشکّ فی الکیفیة و الشکّ فی الحادث، و الثانی من قبیل الشکّ فی الکمّیة و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میزانا عدلا نافعا فی کلّ باب من أبواب الفقه إلّا أنّ فی استشهاد الماتن به علی دخول سائر الأمارات فی أطراف العلم الإجمالی الموجود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شهادته علیه کمنع شهادة الوجدان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 بنفس الوجدان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بطریق أسهل منه حسبما مرّ تفصیل کلّها</w:t>
      </w:r>
      <w:r>
        <w:rPr>
          <w:rFonts w:eastAsia="IRNazanin" w:cs="IRNazanin"/>
          <w:color w:val="111111"/>
          <w:sz w:val="28"/>
          <w:szCs w:val="28"/>
          <w:rtl w:val="true"/>
          <w:lang w:bidi="fa-IR"/>
        </w:rPr>
        <w:t>.</w:t>
      </w:r>
    </w:p>
    <w:p>
      <w:pPr>
        <w:pStyle w:val="Heading5"/>
        <w:numPr>
          <w:ilvl w:val="4"/>
          <w:numId w:val="1"/>
        </w:numPr>
        <w:rPr/>
      </w:pPr>
      <w:bookmarkStart w:id="851" w:name="__RefHeading___Toc2527626_3224264995"/>
      <w:bookmarkStart w:id="852" w:name="_Toc313"/>
      <w:bookmarkEnd w:id="851"/>
      <w:r>
        <w:rPr>
          <w:rtl w:val="true"/>
        </w:rPr>
        <w:t>[</w:t>
      </w:r>
      <w:r>
        <w:rPr>
          <w:rtl w:val="true"/>
        </w:rPr>
        <w:t>ایراد آخر أورده الماتن علی الوجوه العقلیة علی حجّیة الخبر</w:t>
      </w:r>
      <w:r>
        <w:rPr>
          <w:rtl w:val="true"/>
        </w:rPr>
        <w:t>]</w:t>
      </w:r>
      <w:bookmarkEnd w:id="852"/>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الکلام فی إیراد آخر أورده الماتن قدّس سرّه علی الدلیل المذکور بل و علی کلّ من الوجوه العقلیة الآتیة لإثبات حجّیة الخبر الواحد</w:t>
      </w:r>
      <w:r>
        <w:rPr>
          <w:rStyle w:val="FootnoteAnchor"/>
          <w:rtl w:val="true"/>
        </w:rPr>
        <w:footnoteReference w:id="614"/>
      </w: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الدلیل العقلیّ المذکور لا یقتضی العمل بالأخبار علی وجه التعبّدیة فی مخالفة الاصول العملیة و اللفظیة حتی ینهض لصرف ظواهر الکتاب و السنة القطعیة الذی هو معنی الحجّیة، بل غایة ما یقتضی هو العمل بها علی وجه الرجاء لتحصیل الواقع کالعمل بما یقتضیه الاحتیاط أو الاشتغال، کصلاة المشتبه علیه القبلة إلی کلّ جهة من الجهات الأربع، لتحصیل القبلة الواقعیة، و الاجتناب عن جمیع الأوانی المشتبه، فکما أنّ الصلاة إلی غیر القبلة من سائر الجهات المشتبهة بها و الاجتناب عن غیر النجسة من سائر الأوانی المشتبهة بها لا یعدّ من معنی الحجیة فی شی‌ء و لا القبلة و لا النجاسة فکذلک العمل بالأخبار فی ما نحن فیه، بدلیل العقل لیس من معنی الحجیة فی شی‌ء، فیکون حال الدلیل العقلی المستدلّ به علی حجّیة </w:t>
      </w:r>
      <w:bookmarkStart w:id="853" w:name="pg12850_121500"/>
    </w:p>
    <w:p>
      <w:pPr>
        <w:pStyle w:val="BookText"/>
        <w:rPr/>
      </w:pPr>
      <w:bookmarkEnd w:id="853"/>
      <w:r>
        <w:rPr>
          <w:rFonts w:ascii="IRNazanin" w:hAnsi="IRNazanin" w:eastAsia="IRNazanin"/>
          <w:color w:val="111111"/>
          <w:sz w:val="28"/>
          <w:sz w:val="28"/>
          <w:szCs w:val="28"/>
          <w:rtl w:val="true"/>
          <w:lang w:bidi="fa-IR"/>
        </w:rPr>
        <w:t>الأخبار هو حال الاحتیاط لتحصیل الواقع المشتبه فی اقتضائه الاتیان بکلّ ما یحتمل المطلوبیة و الترک لکلّ ما یحتمل المبغوضیة، لکن لا بعنوان أنّه مطلوب أو مبغوض فی الواقع بل برجاء إدراک الواقع و احتمال کونه الواقع، فلا یجوز علی ذلک إفتاء المفتی و لا اجتهاد المجتهد فی مضمون الأخبار المثبت حجّیتها بالاحتیاط؛ لکون المأخوذ فی موضوع الاحتیاط هو عدم الدلیل، و المأخوذ فی موضوعه عدم الدلیل، کیف یقاوم الدلیل و یخصّص الدلیل و یقیّد إطلاقه؟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تقریب الإیراد</w:t>
      </w:r>
      <w:r>
        <w:rPr>
          <w:rFonts w:eastAsia="IRNazanin" w:cs="IRNazanin"/>
          <w:color w:val="111111"/>
          <w:sz w:val="28"/>
          <w:szCs w:val="28"/>
          <w:rtl w:val="true"/>
          <w:lang w:bidi="fa-IR"/>
        </w:rPr>
        <w:t>.</w:t>
      </w:r>
    </w:p>
    <w:p>
      <w:pPr>
        <w:pStyle w:val="Heading5"/>
        <w:numPr>
          <w:ilvl w:val="4"/>
          <w:numId w:val="1"/>
        </w:numPr>
        <w:rPr/>
      </w:pPr>
      <w:bookmarkStart w:id="854" w:name="__RefHeading___Toc2527628_3224264995"/>
      <w:bookmarkStart w:id="855" w:name="_Toc314"/>
      <w:bookmarkEnd w:id="854"/>
      <w:r>
        <w:rPr>
          <w:rtl w:val="true"/>
        </w:rPr>
        <w:t>[</w:t>
      </w:r>
      <w:r>
        <w:rPr>
          <w:rtl w:val="true"/>
        </w:rPr>
        <w:t>دفع ایراد الماتن</w:t>
      </w:r>
      <w:r>
        <w:rPr>
          <w:rtl w:val="true"/>
        </w:rPr>
        <w:t>]</w:t>
      </w:r>
      <w:bookmarkEnd w:id="855"/>
    </w:p>
    <w:p>
      <w:pPr>
        <w:pStyle w:val="BookText"/>
        <w:rPr/>
      </w:pPr>
      <w:r>
        <w:rPr>
          <w:rFonts w:ascii="IRNazanin" w:hAnsi="IRNazanin" w:eastAsia="IRNazanin"/>
          <w:color w:val="111111"/>
          <w:sz w:val="28"/>
          <w:sz w:val="28"/>
          <w:szCs w:val="28"/>
          <w:rtl w:val="true"/>
          <w:lang w:bidi="fa-IR"/>
        </w:rPr>
        <w:t>و لکنه مدفوع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بالمعارضة بأنّه إن تمّ هذا الإیراد کفی أدلّة الانسداد من الإبطال و الافساد، و لم یثمر بعده الاستعداد المملئ کتابا من السواد، فإنّ التعرض لدلالة أدلّة الانسداد بعد فرض عدم إفادتها الحجّیة و الاجتهاد کالنفخ بلا ضرام لا یثمر التخصیص و التقیید فی الأحکام، فما الغرض بعده من هذا النقض و الإبرام و التفصیل المتفرد به المقام، بل لعلّه مناف لعدالة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المستدلّ بحکم العقل تارة یستدلّ به علی تعیین الأمر الغیر المجعول طریقا خاصّا من قبل الشارع طریقا موصلا إلیه من قبل نفسه، کتعیینه الاحتیاط طریقا لتحصیل فراغ الذمّة عن الاشتغال</w:t>
      </w:r>
      <w:r>
        <w:rPr>
          <w:rFonts w:eastAsia="IRNazanin" w:cs="IRNazanin"/>
          <w:color w:val="111111"/>
          <w:sz w:val="28"/>
          <w:szCs w:val="28"/>
          <w:rtl w:val="true"/>
          <w:lang w:bidi="fa-IR"/>
        </w:rPr>
        <w:t>.</w:t>
      </w:r>
    </w:p>
    <w:p>
      <w:pPr>
        <w:pStyle w:val="Heading5"/>
        <w:numPr>
          <w:ilvl w:val="4"/>
          <w:numId w:val="1"/>
        </w:numPr>
        <w:rPr/>
      </w:pPr>
      <w:bookmarkStart w:id="856" w:name="__RefHeading___Toc2527630_3224264995"/>
      <w:bookmarkStart w:id="857" w:name="_Toc315"/>
      <w:bookmarkEnd w:id="856"/>
      <w:r>
        <w:rPr>
          <w:rtl w:val="true"/>
        </w:rPr>
        <w:t>[</w:t>
      </w:r>
      <w:r>
        <w:rPr>
          <w:rtl w:val="true"/>
        </w:rPr>
        <w:t>المقصود من دلیل الانسداد و نحوه تمییز الطریق المجعول شرعا</w:t>
      </w:r>
      <w:r>
        <w:rPr>
          <w:rtl w:val="true"/>
        </w:rPr>
        <w:t>]</w:t>
      </w:r>
      <w:bookmarkEnd w:id="857"/>
    </w:p>
    <w:p>
      <w:pPr>
        <w:pStyle w:val="BookText"/>
        <w:rPr/>
      </w:pPr>
      <w:r>
        <w:rPr>
          <w:rFonts w:ascii="IRNazanin" w:hAnsi="IRNazanin" w:eastAsia="IRNazanin"/>
          <w:color w:val="111111"/>
          <w:sz w:val="28"/>
          <w:sz w:val="28"/>
          <w:szCs w:val="28"/>
          <w:rtl w:val="true"/>
          <w:lang w:bidi="fa-IR"/>
        </w:rPr>
        <w:t>و تارة اخری یستدلّ به علی تمییز الطریق المجعول طریقا خاصّا من قبل الشارع عن أغیاره المشتبه به</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نحن فیه من قبیل الثانی لا الأول، و الذی لا یثبت حجّیة الأخبار علی الوجه الناهض لصرف ظواهر الکتاب و السنّة هو ما کان من قبیل الأول لا الثانی؛ و ذلک لأنّ تمسّکنا بحکم العقل لیس لإثبات أصل طریقیة الأخبار للواقع حتی یکون نظیر الاحتیاط فی عدم تخصیصه الدلیل لکون المأخوذ فی موضوعه عدم الدلیل، بل إنّما هو لتمییز الطریق الثابت طریقیته من قبل الشارع، و هو الصادر </w:t>
      </w:r>
      <w:bookmarkStart w:id="858" w:name="pg12850_121501"/>
    </w:p>
    <w:p>
      <w:pPr>
        <w:pStyle w:val="BookText"/>
        <w:rPr/>
      </w:pPr>
      <w:bookmarkEnd w:id="858"/>
      <w:r>
        <w:rPr>
          <w:rFonts w:ascii="IRNazanin" w:hAnsi="IRNazanin" w:eastAsia="IRNazanin"/>
          <w:color w:val="111111"/>
          <w:sz w:val="28"/>
          <w:sz w:val="28"/>
          <w:szCs w:val="28"/>
          <w:rtl w:val="true"/>
          <w:lang w:bidi="fa-IR"/>
        </w:rPr>
        <w:t>عن المعصوم عن الغیر الثابت طریقیته عنه، و هو الغیر الصادر المشتبه به</w:t>
      </w:r>
      <w:r>
        <w:rPr>
          <w:rFonts w:eastAsia="IRNazanin" w:cs="IRNazanin"/>
          <w:color w:val="111111"/>
          <w:sz w:val="28"/>
          <w:szCs w:val="28"/>
          <w:rtl w:val="true"/>
          <w:lang w:bidi="fa-IR"/>
        </w:rPr>
        <w:t>.</w:t>
      </w:r>
    </w:p>
    <w:p>
      <w:pPr>
        <w:pStyle w:val="Heading5"/>
        <w:numPr>
          <w:ilvl w:val="4"/>
          <w:numId w:val="1"/>
        </w:numPr>
        <w:rPr/>
      </w:pPr>
      <w:bookmarkStart w:id="859" w:name="__RefHeading___Toc2527632_3224264995"/>
      <w:bookmarkStart w:id="860" w:name="_Toc316"/>
      <w:bookmarkEnd w:id="859"/>
      <w:r>
        <w:rPr>
          <w:rtl w:val="true"/>
        </w:rPr>
        <w:t>[</w:t>
      </w:r>
      <w:r>
        <w:rPr>
          <w:rtl w:val="true"/>
        </w:rPr>
        <w:t>دعوی الماتن ان للشارع طریق خاص مجعول إلی أحکامه الواقعیة</w:t>
      </w:r>
      <w:r>
        <w:rPr>
          <w:rtl w:val="true"/>
        </w:rPr>
        <w:t>]</w:t>
      </w:r>
      <w:bookmarkEnd w:id="860"/>
    </w:p>
    <w:p>
      <w:pPr>
        <w:pStyle w:val="BookText"/>
        <w:rPr/>
      </w:pPr>
      <w:r>
        <w:rPr>
          <w:rFonts w:ascii="IRNazanin" w:hAnsi="IRNazanin" w:eastAsia="IRNazanin"/>
          <w:color w:val="111111"/>
          <w:sz w:val="28"/>
          <w:sz w:val="28"/>
          <w:szCs w:val="28"/>
          <w:rtl w:val="true"/>
          <w:lang w:bidi="fa-IR"/>
        </w:rPr>
        <w:t>نعم، لو فرضنا أنّ الشارع فی مقام الانسداد باب العلم فی تشخیص طریقه المجعول من قبله إلی أحکامه ألغی الطریق الخاص لأحکامه و حوّلهم عند انسداد باب العلم إلی الطریق العامّ العقلائی، و هو الاحتیاط بالقدر المحصّل للواقع فی الأحکام توجّه إیراد المورد علی المستدلّ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مجرّد العلم الإجمالی بوجود الأحکام الصادرة عن الأئمة المنسدّ فی تشخیصها باب العلم لا یقتضی حجّیة الظنّ بالصدور علی الوجه الناهض لتخصیص الکتاب و السنّة القطعیة، بل غایة ما یقتضی علی تقدیر تسلیمه هو العمل بمظنون الصدور من الأخبار علی الوجه المحتمل مصادفته الواقع، و کأنّ رفعه الید عما فی مشکوکات الصدور و موهوماته لأجل دفع العسر و الحرج من قبیل رفعه الید عن اجتناب بعض الشبهة المحصورة للضرورة الملجئة إلی ارتکابه فی بقاء التکلیف بالاجتناب عن الباقی قطعا، و من قبیل رفعه الید عن فعل الصلاة فی بعض الجهات الأربع للضرورة الداعیة إلی ترکه فی بقاء التکلیف بالصلاة إلی سائر الجهات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من الإجماعیات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الشیخ</w:t>
      </w:r>
      <w:r>
        <w:rPr>
          <w:rStyle w:val="FootnoteAnchor"/>
          <w:rtl w:val="true"/>
        </w:rPr>
        <w:footnoteReference w:id="615"/>
      </w:r>
      <w:r>
        <w:rPr>
          <w:rFonts w:ascii="Amiri" w:hAnsi="Amiri" w:eastAsia="Amiri" w:cs="Amiri"/>
          <w:color w:val="111111"/>
          <w:sz w:val="28"/>
          <w:sz w:val="28"/>
          <w:szCs w:val="28"/>
          <w:rtl w:val="true"/>
          <w:lang w:bidi="ar-SA"/>
        </w:rPr>
        <w:t>و العلّامة</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من ضروریات المذهب بل الدین أنّ للشارع طریق خاصّ مجعول إلی أحکامه الواقعیة و لم یحوّل المکلّفین بها إلی الطریق العقلائی العامّ المذکور، و أنّ ذلک الطریق المجعول إمّا خصوص الأخبار الصادرة عن المعصوم علیه السّلام، أو ما یعمّها، فیکون الأخبار الصادرة عن المعصوم علیه السّلام بخصوصها طریق مجعول، أو فی جملة الطرق الأخر، فهی علی التقدیرین مجعولة بالإجماع و ضرورة المذهب بل الدین</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الماتن قدّس سرّه فی ردّ الدلیل الثالث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المتیقن من معقد </w:t>
      </w:r>
      <w:bookmarkStart w:id="861" w:name="pg12850_121502"/>
    </w:p>
    <w:p>
      <w:pPr>
        <w:pStyle w:val="BookText"/>
        <w:rPr/>
      </w:pPr>
      <w:bookmarkEnd w:id="861"/>
      <w:r>
        <w:rPr>
          <w:rFonts w:ascii="IRNazanin" w:hAnsi="IRNazanin" w:eastAsia="IRNazanin"/>
          <w:color w:val="111111"/>
          <w:sz w:val="28"/>
          <w:sz w:val="28"/>
          <w:szCs w:val="28"/>
          <w:rtl w:val="true"/>
          <w:lang w:bidi="fa-IR"/>
        </w:rPr>
        <w:t>الإجماع و الضرورة هو مجعولیة المقطوع بصدورها عن المعصوم علیه السّلام طریقا و أمّا الغیر المقطوع بصدورها عن المعصوم ممّا نحن فیه من الأخبار فلم یثبت مجعولیتها طریقا للواقع، لیخصّص بها عمومات الکتاب و السنّة القطعیة، فلعلّ الحوالة فی تحصیل ما فیها من الأحکام الواقعیة إلی الطریق العقلائی العامّ و هو الاحتیاط و لو بالقدر الممکن</w:t>
      </w:r>
      <w:r>
        <w:rPr>
          <w:rFonts w:eastAsia="IRNazanin" w:cs="IRNazanin"/>
          <w:color w:val="111111"/>
          <w:sz w:val="28"/>
          <w:szCs w:val="28"/>
          <w:rtl w:val="true"/>
          <w:lang w:bidi="fa-IR"/>
        </w:rPr>
        <w:t>.</w:t>
      </w:r>
    </w:p>
    <w:p>
      <w:pPr>
        <w:pStyle w:val="Heading5"/>
        <w:numPr>
          <w:ilvl w:val="4"/>
          <w:numId w:val="1"/>
        </w:numPr>
        <w:rPr/>
      </w:pPr>
      <w:bookmarkStart w:id="862" w:name="__RefHeading___Toc2527634_3224264995"/>
      <w:bookmarkStart w:id="863" w:name="_Toc317"/>
      <w:bookmarkEnd w:id="862"/>
      <w:r>
        <w:rPr>
          <w:rtl w:val="true"/>
        </w:rPr>
        <w:t>[</w:t>
      </w:r>
      <w:r>
        <w:rPr>
          <w:rtl w:val="true"/>
        </w:rPr>
        <w:t>ردّ دعوی الماتن</w:t>
      </w:r>
      <w:r>
        <w:rPr>
          <w:rtl w:val="true"/>
        </w:rPr>
        <w:t>]</w:t>
      </w:r>
      <w:bookmarkEnd w:id="863"/>
    </w:p>
    <w:p>
      <w:pPr>
        <w:pStyle w:val="BookText"/>
        <w:rPr/>
      </w:pPr>
      <w:r>
        <w:rPr>
          <w:rFonts w:ascii="IRNazanin" w:hAnsi="IRNazanin" w:eastAsia="IRNazanin"/>
          <w:color w:val="111111"/>
          <w:sz w:val="28"/>
          <w:sz w:val="28"/>
          <w:szCs w:val="28"/>
          <w:rtl w:val="true"/>
          <w:lang w:bidi="fa-IR"/>
        </w:rPr>
        <w:t>مدفوعة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الاحتمال ممّا لم یحتمله أحد من علماء السلف و لا الخلف، مع أنّ المحتملین منهم لانسداد باب العلم فی هذه الأزمان کثیرون، إذ ما من فرقة من فرق الإسلام إلّا و بناؤه مستقر علی الاجتهاد و التقلید فی تحصیل الأحکام فی هذه الأیام المنسدّ فیه باب العلم بالأحکام، کما أنّ بناءهم مستقر علی ذلک عند انفتاح باب العلم بالأحکام، و لو لا أنّ بقاء الطریق المجعول فی الأحکام من المقدّمات المطویة فی الأذهان لانسدّ باب الاجتهاد و التقلید و الإفتاء و الاستفتاء رأسا، و ساوی المجتهد للمقلدین العوام و العوام للمجتهدین الأعلام، لانحصار طریق الکلّ إلی الواقع فی الاحتیاط و عدم جواز التعرّض لتخصیص عمومات الکتاب و السنّة القطعیة بشی‌ء من الأدلّة الظنّیة و إن وجب تطبیق العمل علی وفقها و هو العمل بکلّ ما یحتمل المطلوبیة رجاء تحصیل المکلّف به، و ترک کلّما یحتمل المبغوضیة حذرا من الوقوع فی غیر المشروع من دون الافتاء بحرمة شی‌ء، و لا وجوب شی‌ء، بل و لا بإباحة شی‌ء؛ لکون المفروض عدم الطریق له إلی الواقع فی شی‌ء من الأحکام فیعمل بها لا بعنوان أنّها مباحة فی الواقع، بل لأجل خلوّها عن احتمال الوجوب و الحرمة و الاستحباب و الکراهة</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خلوّ الفعل عن هذه الأحکام لا یستلزم الإباحة فی الواقع، لجواز الخلوّ عنها أیضا کأفعال المجانین و الصبیان الخالیة عن جمیع الأحکام الواقعیة، و هذا اللازم ممّا لم یلتزم به أحد من فرق الإسلام فی العمل بالأحکام و إن التزموا </w:t>
      </w:r>
      <w:bookmarkStart w:id="864" w:name="pg12850_121503"/>
    </w:p>
    <w:p>
      <w:pPr>
        <w:pStyle w:val="BookText"/>
        <w:rPr/>
      </w:pPr>
      <w:bookmarkEnd w:id="864"/>
      <w:r>
        <w:rPr>
          <w:rFonts w:ascii="IRNazanin" w:hAnsi="IRNazanin" w:eastAsia="IRNazanin"/>
          <w:color w:val="111111"/>
          <w:sz w:val="28"/>
          <w:sz w:val="28"/>
          <w:szCs w:val="28"/>
          <w:rtl w:val="true"/>
          <w:lang w:bidi="fa-IR"/>
        </w:rPr>
        <w:t>بانسداد باب العلم فی بعض الأیام، و ما هو إلّا من جهة الإجماع و الضرورة علی أنّ الأحکام الشرعیة کما أنّها باقیة و لیست بمرتفعة عن المکلّفین بواسطة طروّ انسداد باب العلم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کارتفاعها عن المجانین بواسطة طروّ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الطریق الخاصّ المجعول لها أیضا باقیا علی طریقیته و لم یبدل بالحوالة إلی الطریق العامّ فی تحصیل الأحکام، و ذلک الطریق إمّا هو خصوص الأخبار، أو ما یعمّها، و علی کلّ من التقدیرین فالأخبار مسلّمة الطریقیة فیؤخذ بمظنون الصدور منها عند عدم کفایة مقطوع الصدور فی رفع الحاجة عن معظم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احتمال ارتفاع طریقیة الأخبار الصادرة عند انسداد باب العلم فی تمییزها، و الحوالة فی مضامینها إلی الطریق العقلائی العامّ مضافا إلی عدم احتماله أحد من الخلف و السلف قد استفیض بل تواتر التصریح بنفیه من الخلف و السلف، ردّا علی السیّد و أتباعه کما تقدّم فی المتن</w:t>
      </w:r>
      <w:r>
        <w:rPr>
          <w:rStyle w:val="FootnoteAnchor"/>
          <w:rtl w:val="true"/>
        </w:rPr>
        <w:footnoteReference w:id="617"/>
      </w:r>
      <w:r>
        <w:rPr>
          <w:rFonts w:ascii="IRNazanin" w:hAnsi="IRNazanin" w:eastAsia="IRNazanin"/>
          <w:color w:val="111111"/>
          <w:sz w:val="28"/>
          <w:sz w:val="28"/>
          <w:szCs w:val="28"/>
          <w:rtl w:val="true"/>
          <w:lang w:bidi="fa-IR"/>
        </w:rPr>
        <w:t>عن الشیخ و العلّامة و المجلسی و ابن طاوس و غیرهم من الفحول و الأساطین فی تقریب وجوه تحصیل الإجماع علی حجّیة أخبار الآحاد، حتی من السیّد و أتباعه</w:t>
      </w:r>
      <w:r>
        <w:rPr>
          <w:rFonts w:eastAsia="IRNazanin" w:cs="IRNazanin"/>
          <w:color w:val="111111"/>
          <w:sz w:val="28"/>
          <w:szCs w:val="28"/>
          <w:rtl w:val="true"/>
          <w:lang w:bidi="fa-IR"/>
        </w:rPr>
        <w:t>.</w:t>
      </w:r>
    </w:p>
    <w:p>
      <w:pPr>
        <w:pStyle w:val="Heading5"/>
        <w:numPr>
          <w:ilvl w:val="4"/>
          <w:numId w:val="1"/>
        </w:numPr>
        <w:rPr/>
      </w:pPr>
      <w:bookmarkStart w:id="865" w:name="__RefHeading___Toc2527636_3224264995"/>
      <w:bookmarkStart w:id="866" w:name="_Toc318"/>
      <w:bookmarkEnd w:id="865"/>
      <w:r>
        <w:rPr>
          <w:rtl w:val="true"/>
        </w:rPr>
        <w:t>[</w:t>
      </w:r>
      <w:r>
        <w:rPr>
          <w:rtl w:val="true"/>
        </w:rPr>
        <w:t>التقریر الثانی من وجوه العقل و مقایسته مع الاول</w:t>
      </w:r>
      <w:r>
        <w:rPr>
          <w:rtl w:val="true"/>
        </w:rPr>
        <w:t>]</w:t>
      </w:r>
      <w:bookmarkEnd w:id="866"/>
    </w:p>
    <w:p>
      <w:pPr>
        <w:pStyle w:val="BookText"/>
        <w:rPr/>
      </w:pPr>
      <w:r>
        <w:rPr>
          <w:rFonts w:ascii="IRNazanin" w:hAnsi="IRNazanin" w:eastAsia="IRNazanin"/>
          <w:color w:val="111111"/>
          <w:sz w:val="28"/>
          <w:sz w:val="28"/>
          <w:szCs w:val="28"/>
          <w:rtl w:val="true"/>
          <w:lang w:bidi="fa-IR"/>
        </w:rPr>
        <w:t>قال الماتن طاب ثراه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الوافیة</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تقریر الوجه الثانی یساوق تقریر الوجه الأول، فالتقریب التقریب، و الجواب الجواب، و الصواب الصواب، إلّا أنّه یفترق فی تخصّص المدّعی بأخبار الکتب المعتمدة للشیعة دون أخبار سائر الکتب، و بالأخبار الغیر المردودة للشیعة دون المردودة، و بالأخبار المعمول بها جماعة من الشیعة دون الغیر المعمول بها جماعة، فیزید فی جوابه علی الأجوبة المتقدّمة عن الأول بأعمّیّة الدلیل من المدّعی من جهة اخری، و هی هذه الجهات، فإنّه لا </w:t>
      </w:r>
      <w:bookmarkStart w:id="867" w:name="pg12850_121504"/>
    </w:p>
    <w:p>
      <w:pPr>
        <w:pStyle w:val="BookText"/>
        <w:rPr/>
      </w:pPr>
      <w:bookmarkEnd w:id="867"/>
      <w:r>
        <w:rPr>
          <w:rFonts w:ascii="IRNazanin" w:hAnsi="IRNazanin" w:eastAsia="IRNazanin"/>
          <w:color w:val="111111"/>
          <w:sz w:val="28"/>
          <w:sz w:val="28"/>
          <w:szCs w:val="28"/>
          <w:rtl w:val="true"/>
          <w:lang w:bidi="fa-IR"/>
        </w:rPr>
        <w:t>داعی إلی اشتراط الشروط الثلاثة المذکورة فی العمل بالأخبار علی تقدیر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عرفت أنّ أعمّیّة الدلیل من المدّعی لا یضرّ بتمامیة الدلیل، مضافا إلی إمکان أن یجیب المستدلّ بتخصیص الدلیل و هو العلم الإجمالی بخصوص المجتمع للشروط الثلاثة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کان له أن یجیب عن سائر الإیرادات السابقة بما قد عرفت</w:t>
      </w:r>
      <w:r>
        <w:rPr>
          <w:rFonts w:eastAsia="IRNazanin" w:cs="IRNazanin"/>
          <w:color w:val="111111"/>
          <w:sz w:val="28"/>
          <w:szCs w:val="28"/>
          <w:rtl w:val="true"/>
          <w:lang w:bidi="fa-IR"/>
        </w:rPr>
        <w:t>.</w:t>
      </w:r>
    </w:p>
    <w:p>
      <w:pPr>
        <w:pStyle w:val="Heading5"/>
        <w:numPr>
          <w:ilvl w:val="4"/>
          <w:numId w:val="1"/>
        </w:numPr>
        <w:rPr/>
      </w:pPr>
      <w:bookmarkStart w:id="868" w:name="__RefHeading___Toc2527638_3224264995"/>
      <w:bookmarkStart w:id="869" w:name="_Toc319"/>
      <w:bookmarkEnd w:id="868"/>
      <w:r>
        <w:rPr>
          <w:rtl w:val="true"/>
        </w:rPr>
        <w:t>[</w:t>
      </w:r>
      <w:r>
        <w:rPr>
          <w:rtl w:val="true"/>
        </w:rPr>
        <w:t>مقتضی الدلیل الثالث العقلی</w:t>
      </w:r>
      <w:r>
        <w:rPr>
          <w:rtl w:val="true"/>
        </w:rPr>
        <w:t>]</w:t>
      </w:r>
      <w:bookmarkEnd w:id="869"/>
    </w:p>
    <w:p>
      <w:pPr>
        <w:pStyle w:val="BookText"/>
        <w:rPr/>
      </w:pPr>
      <w:r>
        <w:rPr>
          <w:rFonts w:ascii="IRNazanin" w:hAnsi="IRNazanin" w:eastAsia="IRNazanin"/>
          <w:color w:val="111111"/>
          <w:sz w:val="28"/>
          <w:sz w:val="28"/>
          <w:szCs w:val="28"/>
          <w:rtl w:val="true"/>
          <w:lang w:bidi="fa-IR"/>
        </w:rPr>
        <w:t>فالمدّعی من التقریر الأول أعمّ منه من التقریر الثانی، کما أنّه من التقریر الثالث أعمّ منه من کلیهما بواسطة اقتضائه فی الثالث حجّیة الظنّ بمدلول الکتاب أو بمدلول السنّة التی هی أعمّ من قول المعصوم أو فعله أو تقریره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یخرج عن مقتضی الدلیل الثالث الظنّ الحاصل بالواقع من أمارة لا یظنّ کونها مدلولا للکتاب و السنّة کما إذا ظنّ من الأولویة العقلیة أو الاستقراء أنّ الحکم کذا فی الواقع و لم یظن بصدوره عن الحجّة، أو قطعنا بعدم صدوره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الظنّ الحاصل من الأمارة تارة یتعلّق بالواقع من دون وساطة تعلّقه أوّلا بمدلول الکتاب أو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یتعلّق بالواقع بواسطة تعلّقه أولا بمدلول الکتاب أو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یتعلّق بالواقع ثمّ یتبعه التعلّق بمدلول الکتاب و السنّة بواسطة تعلقه أوّلا بالواقع بعکس الصورة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لا یتعلّق بالواقع بوجه من الوجوه المذکورة بل یتعلّق بمدلول الکتاب و السنّة، کالأخبار المحتملة للتقیّة</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فجمیع هذه الصور داخلة فی مقتضی الدلیل الثالث القائم علی حجّیة الظنّ، إلّا الصورة الاولی منها فإنّها خارجة، و بخروجها یمتاز مقتضاه عن مقتضی دلیل </w:t>
      </w:r>
      <w:bookmarkStart w:id="870" w:name="pg12850_121505"/>
    </w:p>
    <w:p>
      <w:pPr>
        <w:pStyle w:val="BookText"/>
        <w:rPr/>
      </w:pPr>
      <w:bookmarkEnd w:id="870"/>
      <w:r>
        <w:rPr>
          <w:rFonts w:ascii="IRNazanin" w:hAnsi="IRNazanin" w:eastAsia="IRNazanin"/>
          <w:color w:val="111111"/>
          <w:sz w:val="28"/>
          <w:sz w:val="28"/>
          <w:szCs w:val="28"/>
          <w:rtl w:val="true"/>
          <w:lang w:bidi="fa-IR"/>
        </w:rPr>
        <w:t>الانسداد الآتی لحجّیة مطلق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بیان المراد من التقریر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صحّة ما أراد فحاله حال التقریرین الأولین، فالجواب الجواب، و الصواب الصواب، و التوجیه التوجیه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فعمدة ما أورد علیه فی المتن هو رجوعه إلی دلیل الانسداد</w:t>
      </w:r>
      <w:r>
        <w:rPr>
          <w:rStyle w:val="FootnoteAnchor"/>
          <w:rtl w:val="true"/>
        </w:rPr>
        <w:footnoteReference w:id="619"/>
      </w:r>
      <w:r>
        <w:rPr>
          <w:rFonts w:ascii="IRNazanin" w:hAnsi="IRNazanin" w:eastAsia="IRNazanin"/>
          <w:color w:val="111111"/>
          <w:sz w:val="28"/>
          <w:sz w:val="28"/>
          <w:szCs w:val="28"/>
          <w:rtl w:val="true"/>
          <w:lang w:bidi="fa-IR"/>
        </w:rPr>
        <w:t>القاضی بحجّیة مطلق الظنّ بالواقع و لو لم یظن کونه مدلولا للکتاب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بإمکان أن یوجّه الاستدلال المذکور بابتنائه علی القول باعتبار الکتاب و السنّة من باب الموضوعیة، و لکن التوجیه به غیر وجیه، بالفساد مضافا إلی أنّه غیر مراد</w:t>
      </w:r>
      <w:r>
        <w:rPr>
          <w:rFonts w:eastAsia="IRNazanin" w:cs="IRNazanin"/>
          <w:color w:val="111111"/>
          <w:sz w:val="28"/>
          <w:szCs w:val="28"/>
          <w:rtl w:val="true"/>
          <w:lang w:bidi="fa-IR"/>
        </w:rPr>
        <w:t>.</w:t>
      </w:r>
    </w:p>
    <w:p>
      <w:pPr>
        <w:pStyle w:val="Heading5"/>
        <w:numPr>
          <w:ilvl w:val="4"/>
          <w:numId w:val="1"/>
        </w:numPr>
        <w:rPr/>
      </w:pPr>
      <w:bookmarkStart w:id="871" w:name="__RefHeading___Toc2527640_3224264995"/>
      <w:bookmarkStart w:id="872" w:name="_Toc320"/>
      <w:bookmarkEnd w:id="871"/>
      <w:r>
        <w:rPr>
          <w:rtl w:val="true"/>
        </w:rPr>
        <w:t>[</w:t>
      </w:r>
      <w:r>
        <w:rPr>
          <w:rtl w:val="true"/>
        </w:rPr>
        <w:t>العلم العادی بصدور حکم المسائل العامة البلوی من الائمة و ندرة عدم صدور حکم واقعی عن الأئمة علیهم السلام</w:t>
      </w:r>
      <w:r>
        <w:rPr>
          <w:rtl w:val="true"/>
        </w:rPr>
        <w:t>]</w:t>
      </w:r>
      <w:bookmarkEnd w:id="872"/>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تخصیص الحجّیة بما یظنّ کونه مدلولا لأحد الثلاثة دون مطلق الظنّ بالواقع هو ندور الظنّ الحاصل بالواقع من أمارة لا یظن کونها مدلولا لأحد الثلاثة، و ذلک لأنّه و إن أمکن أن یکون حکم واقعی لم یصدر عن الأئمة و بقی مخزونا عندهم لمصلحة من المصالح إلّا أنّ هذا نادر جدا؛ للعلم العادی بأنّ هذه المسائل العامّة البلوی قد صدر حکمها فی الکتاب أو ببیان الحجّة قولا أو فعلا أو تقریرا، فکلّما ظنّ من أمارة بحکم اللّه تعالی فقد ظنّ بصدور ذلک الحکم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علیه مضافا إلی العلم العادی، الآیات و الأخبار بأنّه ما فَرَّطْنا فِی الْکِتابِ مِنْ شَیْ‌ءٍ</w:t>
      </w:r>
      <w:r>
        <w:rPr>
          <w:rStyle w:val="FootnoteAnchor"/>
          <w:rtl w:val="true"/>
        </w:rPr>
        <w:footnoteReference w:id="62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تبیان لکل شی‌ء</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و أنّه صلّی اللّه علیه و آله بیّن جمیع الأحکام حتی أرش الخدش فی الوجه</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أعمّیة الدلیل من المدّعی لا یضرّ المدّعی إذا ارید منه التمثیل لا التخصیص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أخذ خصوصیة الأخبار فی المدّعی، إلّا أنّه نمنع أعمّیة الدلیل منه بواسطة تخصیص دائرة العلم الإجمالی بخصوص الأخبار دون غیرها، و لا أقلّ من الشکّ فی تعمیم دائرة العلم الإجمالی فیقتصر علی المتیقّن منه، و هو الأخبار حسبما تقدّم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یورد ثانیا علی الاستدلال المذکور بأنّه إن ارید دعوی الإجماع و الضرورة علی حجّیة الکتاب و السنّة حجّیة دلالتهما فیسلّم الإجماع و الضرورة، لکنه إنّما یثبت حجّیة مظنون الدلالة من القطعی سنده منهما، لا حجّیة ظنّی السند منهما الذی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من المدّعی حجّیة ظنّی السند منهما فنمنع الإجماع و الضرورة؛ لأنّ المتیقّن من معقدهما هو حجّیة قطعیّ الصدور و السند من الکتاب و السنّة کما هو قضیة انصراف الکتاب و السنّة إلی الکتاب و السنّة الواقعیة لا المحکیّة و الظنّیة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إمکان معارضة الدلیل المذکور بأنّه لو اقتضی حجّیة مظنون الخبریة من الأخبار المحکیّة لاقتضی أیضا حجّیة مظنون الکتابیة من القراءات المحکیّة عن علی علیه السّلام، أو غیره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یجاب عن المعارضة بمنع حصول الظنّ بقرآنیّة المحکیّ بمجرّد حکایته عن علیّ علیه السّلام، أو غیره من الصحابة بناء علی ما قیل من أنّ القرآن متواتر فما لیس بمتواتر لیس من القرآن، أو نمنع دخول الظنّ الحاصل منه علی تقدیر حصوله فی دائرة العلم الإجمالی، أو بالالتزام بحجّیة مظنون الکتاب من القراءات أیضا بناء علی منع تواتر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یجاب عن منع حجّیة مظنون السندیّة من الکتاب و السنّة بما تقدّم الجواب عنه تفصیلا، فراجع فلا نطیل بالإعادة</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تمام الکلام فی الأدلّة الأربعة التی أقاموها علی حجّیة أخبار الآحاد، </w:t>
      </w:r>
      <w:bookmarkStart w:id="873" w:name="pg12850_121507"/>
    </w:p>
    <w:p>
      <w:pPr>
        <w:pStyle w:val="Heading5"/>
        <w:numPr>
          <w:ilvl w:val="4"/>
          <w:numId w:val="1"/>
        </w:numPr>
        <w:rPr/>
      </w:pPr>
      <w:bookmarkStart w:id="874" w:name="__RefHeading___Toc2527642_3224264995"/>
      <w:bookmarkStart w:id="875" w:name="_Toc321"/>
      <w:bookmarkEnd w:id="873"/>
      <w:bookmarkEnd w:id="874"/>
      <w:r>
        <w:rPr>
          <w:rtl w:val="true"/>
        </w:rPr>
        <w:t>[</w:t>
      </w:r>
      <w:r>
        <w:rPr>
          <w:rtl w:val="true"/>
        </w:rPr>
        <w:t>تمامیة دلالة کل واحد من الأدلة الأربعة علی حجّیة الأخبار</w:t>
      </w:r>
      <w:r>
        <w:rPr>
          <w:rtl w:val="true"/>
        </w:rPr>
        <w:t>]</w:t>
      </w:r>
      <w:bookmarkEnd w:id="875"/>
    </w:p>
    <w:p>
      <w:pPr>
        <w:pStyle w:val="BookText"/>
        <w:rPr/>
      </w:pPr>
      <w:r>
        <w:rPr>
          <w:rFonts w:ascii="IRNazanin" w:hAnsi="IRNazanin" w:eastAsia="IRNazanin"/>
          <w:color w:val="111111"/>
          <w:sz w:val="28"/>
          <w:sz w:val="28"/>
          <w:szCs w:val="28"/>
          <w:rtl w:val="true"/>
          <w:lang w:bidi="fa-IR"/>
        </w:rPr>
        <w:t>و قد علمت دلالة کلّ واحد منها علیه بوجوهه العدیدة بالتقاریر السدیدة، و دفع جمیع الإیرادات القریبة و البعیدة، کما لا یخفی علی اولی الأوصاف الحمیدة، و أنّ دلالتها سیما الوجوه العقلیة إنّما هو علی حجّیة مطلق مظنون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شدّة انهماک الماتن طاب ثراه فی التدقیقات، و کثرة تورّعه فی الاقتصار علی المتیقّنات، حیث قال بعد الفراغ عن ذکر الأدلّة المذکورة و قد علمت دلالة بعضها و عدم دلالة البعض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الانصاف أنّ الدالّ منها لم یدل إلّا علی وجوب العمل بما یفید الوثوق و الاطمئنان بمؤدّاه</w:t>
      </w:r>
      <w:r>
        <w:rPr>
          <w:rStyle w:val="FootnoteAnchor"/>
          <w:rtl w:val="true"/>
        </w:rPr>
        <w:footnoteReference w:id="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5"/>
        <w:numPr>
          <w:ilvl w:val="4"/>
          <w:numId w:val="1"/>
        </w:numPr>
        <w:rPr/>
      </w:pPr>
      <w:bookmarkStart w:id="876" w:name="__RefHeading___Toc2527644_3224264995"/>
      <w:bookmarkStart w:id="877" w:name="_Toc322"/>
      <w:bookmarkEnd w:id="876"/>
      <w:r>
        <w:rPr>
          <w:rtl w:val="true"/>
        </w:rPr>
        <w:t>[</w:t>
      </w:r>
      <w:r>
        <w:rPr>
          <w:rtl w:val="true"/>
        </w:rPr>
        <w:t>الاستدلال علی حجّیة الظن</w:t>
      </w:r>
      <w:r>
        <w:rPr>
          <w:rtl w:val="true"/>
        </w:rPr>
        <w:t>]</w:t>
      </w:r>
      <w:bookmarkEnd w:id="87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 ممّا تلونا أیضا أنّ إنکار دلالة شی‌ء من الأدلّة المذکورة أو إنکار دلالتها علی حجّیة مطلق مظنون الصدور من الأخبار لیس من الانصاف، بل هو إجحاف و احتراف عن طریقة الأشراف، فإنّ الإباء عن ظهور ظاهر منها لیس بأهون من الإباء عن ظهور حدیث الغدیر فی خلافة الأمیر علیه السّلام، و حدیث الثقلین المتواتر بین الفریقین علی اقتران العترة بالکتاب فی الحجّیة و الصواب و العصمة و الانتخاب علی جمیع الأصحاب، و عدم خلوّ الدهر منهم بالغیاب إلی یوم الحساب، فإنّ الاقتحام فی الصغائر افتتاح باب الکبائر کما لا یخفی علی أولی البصائر، و لو لا المتشابهات لم یؤجر علی المحکمات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مخالفة المجتهد لما ظنّه من الحکم الوجوبی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5"/>
        <w:numPr>
          <w:ilvl w:val="4"/>
          <w:numId w:val="1"/>
        </w:numPr>
        <w:rPr/>
      </w:pPr>
      <w:bookmarkStart w:id="878" w:name="__RefHeading___Toc2527646_3224264995"/>
      <w:bookmarkStart w:id="879" w:name="_Toc323"/>
      <w:bookmarkEnd w:id="878"/>
      <w:r>
        <w:rPr>
          <w:rtl w:val="true"/>
        </w:rPr>
        <w:t>[</w:t>
      </w:r>
      <w:r>
        <w:rPr>
          <w:rtl w:val="true"/>
        </w:rPr>
        <w:t>محلّ النزاع فی حجّیة مطلق الظنّ و الاستدلال علی حجّیته</w:t>
      </w:r>
      <w:r>
        <w:rPr>
          <w:rtl w:val="true"/>
        </w:rPr>
        <w:t>]</w:t>
      </w:r>
      <w:bookmarkEnd w:id="87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الخوض فی الدلیل ینبغی أولا تحریر محلّ النزاع فی حجّیة مطلق الظنّ</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الظنّ المطلق فلیس المراد منه الحاصل من أیّ سبب من الأسباب و لو من مثل الاستخارة و الجفر و القیاس، کما ربما یتوهّم علی المبتدین، بل المراد منه الحاصل من الأسباب العادیة للظنّ الغیر القائم علی إلغاء اعتبارها </w:t>
      </w:r>
      <w:bookmarkStart w:id="880" w:name="pg12850_121508"/>
    </w:p>
    <w:p>
      <w:pPr>
        <w:pStyle w:val="BookText"/>
        <w:rPr/>
      </w:pPr>
      <w:bookmarkEnd w:id="880"/>
      <w:r>
        <w:rPr>
          <w:rFonts w:ascii="IRNazanin" w:hAnsi="IRNazanin" w:eastAsia="IRNazanin"/>
          <w:color w:val="111111"/>
          <w:sz w:val="28"/>
          <w:sz w:val="28"/>
          <w:szCs w:val="28"/>
          <w:rtl w:val="true"/>
          <w:lang w:bidi="fa-IR"/>
        </w:rPr>
        <w:t>دلیل خاصّ، مخرج إیّاها عن تحت دلیل اعتبار مطلق الظنّ سواء فی ذلک الحاصل من الکتاب أم السنّة أم الشهرة أم الاستقراء أم الأولویة الظنّیة أم الرؤیا، فی مقابل الظنّ الخاصّ حصوله من خصوص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لک اندفاع تشنیع بعض المشنّعین علی القائلین بحجّیة مطلق الظنّ بمثل الاستخارة و القیاس و نحوهما</w:t>
      </w:r>
      <w:r>
        <w:rPr>
          <w:rFonts w:eastAsia="IRNazanin" w:cs="IRNazanin"/>
          <w:color w:val="111111"/>
          <w:sz w:val="28"/>
          <w:szCs w:val="28"/>
          <w:rtl w:val="true"/>
          <w:lang w:bidi="fa-IR"/>
        </w:rPr>
        <w:t>.</w:t>
      </w:r>
    </w:p>
    <w:p>
      <w:pPr>
        <w:pStyle w:val="Heading5"/>
        <w:numPr>
          <w:ilvl w:val="4"/>
          <w:numId w:val="1"/>
        </w:numPr>
        <w:rPr/>
      </w:pPr>
      <w:bookmarkStart w:id="881" w:name="__RefHeading___Toc2527648_3224264995"/>
      <w:bookmarkStart w:id="882" w:name="_Toc324"/>
      <w:bookmarkEnd w:id="881"/>
      <w:r>
        <w:rPr>
          <w:rtl w:val="true"/>
        </w:rPr>
        <w:t>[</w:t>
      </w:r>
      <w:r>
        <w:rPr>
          <w:rtl w:val="true"/>
        </w:rPr>
        <w:t>المراد من حجّیة الظن عند القائلین بها</w:t>
      </w:r>
      <w:r>
        <w:rPr>
          <w:rtl w:val="true"/>
        </w:rPr>
        <w:t>]</w:t>
      </w:r>
      <w:bookmarkEnd w:id="882"/>
    </w:p>
    <w:p>
      <w:pPr>
        <w:pStyle w:val="BookText"/>
        <w:rPr/>
      </w:pPr>
      <w:r>
        <w:rPr>
          <w:rFonts w:ascii="IRNazanin" w:hAnsi="IRNazanin" w:eastAsia="IRNazanin"/>
          <w:color w:val="111111"/>
          <w:sz w:val="28"/>
          <w:sz w:val="28"/>
          <w:szCs w:val="28"/>
          <w:rtl w:val="true"/>
          <w:lang w:bidi="fa-IR"/>
        </w:rPr>
        <w:t>و أمّا المراد من حجّیته فلیس العمل علی طبقه برجاء إدراک الواقع و لا العمل علی طبقه علی أنّه الواقع و أمر به الشارع من دون رجوعه إلی المقدّمات العلمیة؛ ضرورة عدم الخلاف فی جوازه بالمعنی الأول لرجوعه إلی الاحتیاط المستحسن عقلا إذا لم یعارضه احتیاط آخر، و عدم جوازه بالمعنی الثانی لرجوعه إلی الافتراء و التشریع المحرّم عقلا و شرعا، بل إنّما المراد من حجّیته هو جواز التعبّد و التدیّن به بواسطة رجوعه إلی مقدّمات علمیة بالأخرة علی نهج ما هو المراد من حجیة سائر الأمارات الشرعیة، فإنّ حجّیة الظنّ من حیث إنّه ظنّ من دون أن یرجع إلی العلم و لو بألف واسطة غیر معقول</w:t>
      </w:r>
      <w:r>
        <w:rPr>
          <w:rFonts w:eastAsia="IRNazanin" w:cs="IRNazanin"/>
          <w:color w:val="111111"/>
          <w:sz w:val="28"/>
          <w:szCs w:val="28"/>
          <w:rtl w:val="true"/>
          <w:lang w:bidi="fa-IR"/>
        </w:rPr>
        <w:t>.</w:t>
      </w:r>
    </w:p>
    <w:p>
      <w:pPr>
        <w:pStyle w:val="Heading5"/>
        <w:numPr>
          <w:ilvl w:val="4"/>
          <w:numId w:val="1"/>
        </w:numPr>
        <w:rPr/>
      </w:pPr>
      <w:bookmarkStart w:id="883" w:name="__RefHeading___Toc2527650_3224264995"/>
      <w:bookmarkStart w:id="884" w:name="_Toc325"/>
      <w:bookmarkEnd w:id="883"/>
      <w:r>
        <w:rPr>
          <w:rtl w:val="true"/>
        </w:rPr>
        <w:t>[</w:t>
      </w:r>
      <w:r>
        <w:rPr>
          <w:rtl w:val="true"/>
        </w:rPr>
        <w:t>مناقشة بعض ایرادات الماتن</w:t>
      </w:r>
      <w:r>
        <w:rPr>
          <w:rtl w:val="true"/>
        </w:rPr>
        <w:t>]</w:t>
      </w:r>
      <w:bookmarkEnd w:id="884"/>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لک اندفاع ما سیورده الماتن</w:t>
      </w:r>
      <w:r>
        <w:rPr>
          <w:rStyle w:val="FootnoteAnchor"/>
          <w:rtl w:val="true"/>
        </w:rPr>
        <w:footnoteReference w:id="624"/>
      </w:r>
      <w:r>
        <w:rPr>
          <w:rFonts w:ascii="IRNazanin" w:hAnsi="IRNazanin" w:eastAsia="IRNazanin"/>
          <w:color w:val="111111"/>
          <w:sz w:val="28"/>
          <w:sz w:val="28"/>
          <w:szCs w:val="28"/>
          <w:rtl w:val="true"/>
          <w:lang w:bidi="fa-IR"/>
        </w:rPr>
        <w:t xml:space="preserve">علی إثبات حجّیة مطلق الظنّ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دفع الضرر المظنون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إن ارید من ذلک إثبات العمل علی طبق الظنّ برجاء إدراک الواقع فیأتی بالمظنون حذرا من ترتّب الضرر علی ترکه، و یترک الموهوم حذرا من التضرّر بفعله، فإثبات العمل بالظنّ بهذا المعنی و إن استقلّ العقل بحسنه، و ان کانت الأمارة المفیدة للظنّ ممّا ورد النهی عن اعتباره کالقیاس، إلّا أنّه من شئون العمل بالاحتیاط المقیّد جوازه بما إذا لم یعارضه احتیاط آخر کما فی صورة الشکّ فی المکلّف به، لا من شئون معنی حجّیة الظنّ علی الوجه المتّبع فی مخالفة الاصول العملیة و اللفظیة مطلقا کحجیة </w:t>
      </w:r>
      <w:bookmarkStart w:id="885" w:name="pg12850_121509"/>
    </w:p>
    <w:p>
      <w:pPr>
        <w:pStyle w:val="BookText"/>
        <w:rPr/>
      </w:pPr>
      <w:bookmarkEnd w:id="885"/>
      <w:r>
        <w:rPr>
          <w:rFonts w:ascii="Amiri" w:hAnsi="Amiri" w:eastAsia="Amiri" w:cs="Amiri"/>
          <w:color w:val="111111"/>
          <w:sz w:val="28"/>
          <w:sz w:val="28"/>
          <w:szCs w:val="28"/>
          <w:rtl w:val="true"/>
          <w:lang w:bidi="ar-SA"/>
        </w:rPr>
        <w:t>سائر الأمارات المتّبعة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ارید منه تطبیق العمل علی مؤدّاه علی أنّه الواقع و التّدین به علی أنّه من الشارع کما هو معنی الحجّیة فهو تشریع و افتراء یستقلّ العقل بقبحه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اندفاع هذا الإیراد عن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کون التدیّن بالظنّ افتراء یستقلّ العقل بقبحه، و کون الاستناد إلیه مع معرضیته لتفویت واقع أو طرح ظاهر محرّما بأدلّة الواقع و الظاهر إنما هو مقتضی الأصل الأولی فی حکم الظنّ المشکوک الاعتبار أو المعلوم عدم الاعتبار، و هو خارج عن محلّ النزاع لما عرفت من عدم تعقّل النزاع فی عدم جواز العمل بالظنّ من حیث إنّه ظنّ و إن لم یرجع إلی مقدمات علمیة و ان النزاع إنّما هو فی جواز العمل به من حیث إرجاعه إلی مقدّمات علمیة بالأخرة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محلّ النزاع فی حکم الظنّ لیس فی حکمه بمقتضی الأصل الأوّلی الذی هو مرجع الشاکّ فی حجّیته عند عدم الدلیل علی حجّیته حتی یکون هو الحرمة عقلا و شرعا، بل إنّما هو فی حکمه بمقتضی الأصل الثانوی الذی هو مرجع غیر الشاکّ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بیان المراد من مطلق الظنّ و من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ثمرة النزاع فتظهر فی مرجعیة مطلق الظنّ علی القول بحجّیته و مرجعیة أصل البراءة أو الاستصحاب و إن کان موهوما علی القول بعدم حجّیته</w:t>
      </w:r>
      <w:r>
        <w:rPr>
          <w:rFonts w:eastAsia="IRNazanin" w:cs="IRNazanin"/>
          <w:color w:val="111111"/>
          <w:sz w:val="28"/>
          <w:szCs w:val="28"/>
          <w:rtl w:val="true"/>
          <w:lang w:bidi="fa-IR"/>
        </w:rPr>
        <w:t>.</w:t>
      </w:r>
    </w:p>
    <w:p>
      <w:pPr>
        <w:pStyle w:val="Heading5"/>
        <w:numPr>
          <w:ilvl w:val="4"/>
          <w:numId w:val="1"/>
        </w:numPr>
        <w:rPr/>
      </w:pPr>
      <w:bookmarkStart w:id="886" w:name="__RefHeading___Toc2527652_3224264995"/>
      <w:bookmarkStart w:id="887" w:name="_Toc326"/>
      <w:bookmarkEnd w:id="886"/>
      <w:r>
        <w:rPr>
          <w:rtl w:val="true"/>
        </w:rPr>
        <w:t>[</w:t>
      </w:r>
      <w:r>
        <w:rPr>
          <w:rtl w:val="true"/>
        </w:rPr>
        <w:t>انقسام الأدلّة المستدلّ بها علی حجّیة الظن إلی نقلیة و عقلیة</w:t>
      </w:r>
      <w:r>
        <w:rPr>
          <w:rtl w:val="true"/>
        </w:rPr>
        <w:t>]</w:t>
      </w:r>
      <w:bookmarkEnd w:id="887"/>
    </w:p>
    <w:p>
      <w:pPr>
        <w:pStyle w:val="BookText"/>
        <w:rPr/>
      </w:pPr>
      <w:r>
        <w:rPr>
          <w:rFonts w:ascii="IRNazanin" w:hAnsi="IRNazanin" w:eastAsia="IRNazanin"/>
          <w:color w:val="111111"/>
          <w:sz w:val="28"/>
          <w:sz w:val="28"/>
          <w:szCs w:val="28"/>
          <w:rtl w:val="true"/>
          <w:lang w:bidi="fa-IR"/>
        </w:rPr>
        <w:t>و إذ قد عرفت محلّ النزاع و ثمرته، فاعلم أنّ الأدلّة التی استدلّ بها علی حجّیة مطلق الظنّ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نقلیة و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الوجوه النقلیة فقد تعرّضنا لنقلها مستقصی فی أول حجّیة المظنة عند التعرض لکلام الماتن فی تأسیس الأصل و من شاء فلیراجع، فلا نطیل بالإعادة</w:t>
      </w:r>
      <w:r>
        <w:rPr>
          <w:rFonts w:eastAsia="IRNazanin" w:cs="IRNazanin"/>
          <w:color w:val="111111"/>
          <w:sz w:val="28"/>
          <w:szCs w:val="28"/>
          <w:rtl w:val="true"/>
          <w:lang w:bidi="fa-IR"/>
        </w:rPr>
        <w:t>.</w:t>
      </w:r>
    </w:p>
    <w:p>
      <w:pPr>
        <w:pStyle w:val="Heading5"/>
        <w:numPr>
          <w:ilvl w:val="4"/>
          <w:numId w:val="1"/>
        </w:numPr>
        <w:rPr/>
      </w:pPr>
      <w:bookmarkStart w:id="888" w:name="__RefHeading___Toc2527654_3224264995"/>
      <w:bookmarkStart w:id="889" w:name="_Toc327"/>
      <w:bookmarkEnd w:id="888"/>
      <w:r>
        <w:rPr>
          <w:rtl w:val="true"/>
        </w:rPr>
        <w:t>[</w:t>
      </w:r>
      <w:r>
        <w:rPr>
          <w:rtl w:val="true"/>
        </w:rPr>
        <w:t>دراسة الوجوه العقلیة علی حجّیة الظن</w:t>
      </w:r>
      <w:r>
        <w:rPr>
          <w:rtl w:val="true"/>
        </w:rPr>
        <w:t>]</w:t>
      </w:r>
      <w:bookmarkEnd w:id="889"/>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الوجوه العقلیة فقد تعرض الماتن لنقلها مستقصی فی المقام حیث </w:t>
      </w:r>
      <w:bookmarkStart w:id="890" w:name="pg12850_121510"/>
    </w:p>
    <w:p>
      <w:pPr>
        <w:pStyle w:val="BookText"/>
        <w:rPr/>
      </w:pPr>
      <w:bookmarkEnd w:id="89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مخالفة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مخالفة ما ظنّه المجتهد حکم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أو ترکا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مظنّة للضرر بالترک فی الأول، و الفعل فی الثانی، عقابا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الأشاعرة المنکرة للتحسین و التقبیح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یعمّه و المفسدة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العدلیة القائلون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الضرر المظنون لازم واجب فیجب العمل بالظنّ دفعا له، أمّا الصغری فحسّیة، و أمّا الکبری فعقلیة، و النتیجة ضروریة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بوجوه ذکر أکثرها فی المتن</w:t>
      </w:r>
      <w:r>
        <w:rPr>
          <w:rStyle w:val="FootnoteAnchor"/>
          <w:rtl w:val="true"/>
        </w:rPr>
        <w:footnoteReference w:id="625"/>
      </w:r>
      <w:r>
        <w:rPr>
          <w:rFonts w:ascii="IRNazanin" w:hAnsi="IRNazanin" w:eastAsia="IRNazanin"/>
          <w:color w:val="111111"/>
          <w:sz w:val="28"/>
          <w:sz w:val="28"/>
          <w:szCs w:val="28"/>
          <w:rtl w:val="true"/>
          <w:lang w:bidi="fa-IR"/>
        </w:rPr>
        <w:t>و لم یذکر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لم یذکر فی المتن دعوی معارضة الدلیل بمثله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یحتمل أن یکون فی ترک العمل بالمظنون ضرر کذلک یحتمل أن یکون فی فعله أیضا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الموهوم لا یعارض المظنون عقلا، لرجحان المظنون علی الموهوم قطعا، بل لو استدللنا علی حجّیة الظنّ بدفع الضرر المحتمل لا بدفع الضرر المظنون لم یعارض الضرر الموهوم للضرر الغیر الموهوم، نظرا إلی أنّ دفع الضرر المحتمل لا یشمل الموهوم کما لم یشمله الضرر المظنون، فلا یصلح للمعارضة و المقاومة لغیره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المتن من الأجوبة عن الدلیل المذکور فخمسة قد تعرّض الماتن لدفع ثلاثة منها، و استصوب اثنین منها بالأخرة، و سنبیّن فی ضمن الشرح اندفاع الکلّ، و تمامیّة الدلیل المذکور بما هو أقرب إلی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فاسد، لأنّ الحکم المذکور حکم إلزامی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5"/>
        <w:numPr>
          <w:ilvl w:val="4"/>
          <w:numId w:val="1"/>
        </w:numPr>
        <w:rPr/>
      </w:pPr>
      <w:bookmarkStart w:id="891" w:name="__RefHeading___Toc2527656_3224264995"/>
      <w:bookmarkStart w:id="892" w:name="_Toc328"/>
      <w:bookmarkEnd w:id="891"/>
      <w:r>
        <w:rPr>
          <w:rtl w:val="true"/>
        </w:rPr>
        <w:t>[</w:t>
      </w:r>
      <w:r>
        <w:rPr>
          <w:rtl w:val="true"/>
        </w:rPr>
        <w:t>وجوه لزوم دفع الضرر المظنون</w:t>
      </w:r>
      <w:r>
        <w:rPr>
          <w:rtl w:val="true"/>
        </w:rPr>
        <w:t>]</w:t>
      </w:r>
      <w:bookmarkEnd w:id="892"/>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أنّ دفع الضرر حکم إلزامی مضافا إلی ما استدلّ به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العقل المستقلّ</w:t>
      </w:r>
      <w:r>
        <w:rPr>
          <w:rStyle w:val="FootnoteAnchor"/>
          <w:rtl w:val="true"/>
        </w:rPr>
        <w:footnoteReference w:id="626"/>
      </w:r>
      <w:r>
        <w:rPr>
          <w:rFonts w:ascii="IRNazanin" w:hAnsi="IRNazanin" w:eastAsia="IRNazanin"/>
          <w:color w:val="111111"/>
          <w:sz w:val="28"/>
          <w:sz w:val="28"/>
          <w:szCs w:val="28"/>
          <w:rtl w:val="true"/>
          <w:lang w:bidi="fa-IR"/>
        </w:rPr>
        <w:t>و بناء العقلاء و بما فی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الذی </w:t>
      </w:r>
      <w:bookmarkStart w:id="893" w:name="pg12850_121511"/>
    </w:p>
    <w:p>
      <w:pPr>
        <w:pStyle w:val="BookText"/>
        <w:rPr/>
      </w:pPr>
      <w:bookmarkEnd w:id="893"/>
      <w:r>
        <w:rPr>
          <w:rFonts w:ascii="IRNazanin" w:hAnsi="IRNazanin" w:eastAsia="IRNazanin"/>
          <w:color w:val="111111"/>
          <w:sz w:val="28"/>
          <w:sz w:val="28"/>
          <w:szCs w:val="28"/>
          <w:rtl w:val="true"/>
          <w:lang w:bidi="fa-IR"/>
        </w:rPr>
        <w:t>نقله استاذنا العلّامة عن جمال الدین فی شرح الشرح و عن صاحب الطوالع فی طوالعه، و قبح ترجیح المرجوح و هو الموهوم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 أدلّة الاحتیاط، و عموم أدلّة نفی العسر و الحرج</w:t>
      </w:r>
      <w:r>
        <w:rPr>
          <w:rStyle w:val="FootnoteAnchor"/>
          <w:rtl w:val="true"/>
        </w:rPr>
        <w:footnoteReference w:id="627"/>
      </w:r>
      <w:r>
        <w:rPr>
          <w:rFonts w:ascii="IRNazanin" w:hAnsi="IRNazanin" w:eastAsia="IRNazanin"/>
          <w:color w:val="111111"/>
          <w:sz w:val="28"/>
          <w:sz w:val="28"/>
          <w:szCs w:val="28"/>
          <w:rtl w:val="true"/>
          <w:lang w:bidi="fa-IR"/>
        </w:rPr>
        <w:t>، و عموم أدلّة نفی الضرر و الضرار</w:t>
      </w:r>
      <w:r>
        <w:rPr>
          <w:rStyle w:val="FootnoteAnchor"/>
          <w:rtl w:val="true"/>
        </w:rPr>
        <w:footnoteReference w:id="628"/>
      </w:r>
      <w:r>
        <w:rPr>
          <w:rFonts w:ascii="IRNazanin" w:hAnsi="IRNazanin" w:eastAsia="IRNazanin"/>
          <w:color w:val="111111"/>
          <w:sz w:val="28"/>
          <w:sz w:val="28"/>
          <w:szCs w:val="28"/>
          <w:rtl w:val="true"/>
          <w:lang w:bidi="fa-IR"/>
        </w:rPr>
        <w:t>نظرا إلی أنّ وجوب الرجوع إلی البراءة فی موارد الظنّ بالضرر یوجب العسر و الحرج و الضرر المنفیّة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الأقوی وفاقا للشیخ</w:t>
      </w:r>
      <w:r>
        <w:rPr>
          <w:rStyle w:val="FootnoteAnchor"/>
          <w:rtl w:val="true"/>
        </w:rPr>
        <w:footnoteReference w:id="629"/>
      </w:r>
      <w:r>
        <w:rPr>
          <w:rFonts w:ascii="Amiri" w:hAnsi="Amiri" w:eastAsia="Amiri" w:cs="Amiri"/>
          <w:color w:val="111111"/>
          <w:sz w:val="28"/>
          <w:sz w:val="28"/>
          <w:szCs w:val="28"/>
          <w:rtl w:val="true"/>
          <w:lang w:bidi="ar-SA"/>
        </w:rPr>
        <w:t>و السیّد</w:t>
      </w:r>
      <w:r>
        <w:rPr>
          <w:rStyle w:val="FootnoteAnchor"/>
          <w:rtl w:val="true"/>
        </w:rPr>
        <w:footnoteReference w:id="630"/>
      </w:r>
      <w:r>
        <w:rPr>
          <w:rFonts w:ascii="IRNazanin" w:hAnsi="IRNazanin" w:eastAsia="IRNazanin"/>
          <w:color w:val="111111"/>
          <w:sz w:val="28"/>
          <w:sz w:val="28"/>
          <w:szCs w:val="28"/>
          <w:rtl w:val="true"/>
          <w:lang w:bidi="fa-IR"/>
        </w:rPr>
        <w:t>و الماتن</w:t>
      </w:r>
      <w:r>
        <w:rPr>
          <w:rStyle w:val="FootnoteAnchor"/>
          <w:rtl w:val="true"/>
        </w:rPr>
        <w:footnoteReference w:id="631"/>
      </w:r>
      <w:r>
        <w:rPr>
          <w:rFonts w:ascii="IRNazanin" w:hAnsi="IRNazanin" w:eastAsia="IRNazanin"/>
          <w:color w:val="111111"/>
          <w:sz w:val="28"/>
          <w:sz w:val="28"/>
          <w:szCs w:val="28"/>
          <w:rtl w:val="true"/>
          <w:lang w:bidi="fa-IR"/>
        </w:rPr>
        <w:t>قدّس سرّه لزوم دفع الضرر المحتمل فضلا عن المظنون و إن افترق الضرر المحتمل عن المظنون، من جهة اختصاص لزوم دفعه عند من عدا الأخباریة بما قبل ثبوت الشرع و الشریعة، و من جهة أنّ الناهض حجّة علی لزومه بعض الوجوه الناهضة حجّة علی لزوم دفع الضرر المظنون لا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لولاه لم یثبت وجوب النظر فی المعجزة و لم یکن للّه علی غیر الناظر حجّة</w:t>
      </w:r>
      <w:r>
        <w:rPr>
          <w:rFonts w:eastAsia="IRNazanin" w:cs="IRNazanin"/>
          <w:color w:val="111111"/>
          <w:sz w:val="28"/>
          <w:szCs w:val="28"/>
          <w:rtl w:val="true"/>
          <w:lang w:bidi="fa-IR"/>
        </w:rPr>
        <w:t>».</w:t>
      </w:r>
    </w:p>
    <w:p>
      <w:pPr>
        <w:pStyle w:val="Heading5"/>
        <w:numPr>
          <w:ilvl w:val="4"/>
          <w:numId w:val="1"/>
        </w:numPr>
        <w:rPr/>
      </w:pPr>
      <w:bookmarkStart w:id="894" w:name="__RefHeading___Toc2527658_3224264995"/>
      <w:bookmarkStart w:id="895" w:name="_Toc329"/>
      <w:bookmarkEnd w:id="894"/>
      <w:r>
        <w:rPr>
          <w:rtl w:val="true"/>
        </w:rPr>
        <w:t>[</w:t>
      </w:r>
      <w:r>
        <w:rPr>
          <w:rtl w:val="true"/>
        </w:rPr>
        <w:t>انحصار الملزم للمکلّف بالنظر فی المعجزة فی العقل</w:t>
      </w:r>
      <w:r>
        <w:rPr>
          <w:rtl w:val="true"/>
        </w:rPr>
        <w:t>]</w:t>
      </w:r>
      <w:bookmarkEnd w:id="895"/>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 إلزام المکلّف بالنظر فی المعجزة و استحقاق العقاب علی ترکه بالدلیل الشرعی قبل إثبات أصل الشرع دور باطل، فینحصر الملزم له فی الدلیل العقلی، و هو استقلال العقل بدفع الضرر و لو محتملا، إلّا علی مذهب الأشاعرة المنکرة لحکم العقل المانعة من الدور المذکور بمنع استحقاق غیر </w:t>
      </w:r>
      <w:bookmarkStart w:id="896" w:name="pg12850_121512"/>
    </w:p>
    <w:p>
      <w:pPr>
        <w:pStyle w:val="BookText"/>
        <w:rPr/>
      </w:pPr>
      <w:bookmarkEnd w:id="896"/>
      <w:r>
        <w:rPr>
          <w:rFonts w:ascii="IRNazanin" w:hAnsi="IRNazanin" w:eastAsia="IRNazanin"/>
          <w:color w:val="111111"/>
          <w:sz w:val="28"/>
          <w:sz w:val="28"/>
          <w:szCs w:val="28"/>
          <w:rtl w:val="true"/>
          <w:lang w:bidi="fa-IR"/>
        </w:rPr>
        <w:t>الناظر فی المعجزة العقاب علی مخالفة حکم العقل و إنّما هو علی مخالفة العلم الفطریّ اللدنّی الذی یزعمون إیجاده فی المکلّف بقدرته تعالی من دون سبب 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أنّه خلاف مذهب الشیعة</w:t>
      </w:r>
      <w:r>
        <w:rPr>
          <w:rFonts w:eastAsia="IRNazanin" w:cs="IRNazanin"/>
          <w:color w:val="111111"/>
          <w:sz w:val="28"/>
          <w:szCs w:val="28"/>
          <w:rtl w:val="true"/>
          <w:lang w:bidi="fa-IR"/>
        </w:rPr>
        <w:t>».</w:t>
      </w:r>
    </w:p>
    <w:p>
      <w:pPr>
        <w:pStyle w:val="Heading5"/>
        <w:numPr>
          <w:ilvl w:val="4"/>
          <w:numId w:val="1"/>
        </w:numPr>
        <w:rPr/>
      </w:pPr>
      <w:bookmarkStart w:id="897" w:name="__RefHeading___Toc2527660_3224264995"/>
      <w:bookmarkStart w:id="898" w:name="_Toc330"/>
      <w:bookmarkEnd w:id="897"/>
      <w:r>
        <w:rPr>
          <w:rtl w:val="true"/>
        </w:rPr>
        <w:t>[</w:t>
      </w:r>
      <w:r>
        <w:rPr>
          <w:rtl w:val="true"/>
        </w:rPr>
        <w:t>تحقیق فی أدلّة حرمة القیاس</w:t>
      </w:r>
      <w:r>
        <w:rPr>
          <w:rtl w:val="true"/>
        </w:rPr>
        <w:t>]</w:t>
      </w:r>
      <w:bookmarkEnd w:id="89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الظاهر من إطلاق کلمات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کإطلاق نواهی العمل بالقیاس</w:t>
      </w: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حرمة العمل بالقیاس مطلقا إلّا أنّ الأظهر من ذلک أنّ منصرف جمیع هذه الإطلاقات هو القیاس الغیر المفید للظنّ بالواقع، إلّا فی بادئ النظر کالقیاس المعمول به عند العامّة المستغنی به عن قول المعصومین و سائر الأمارات، التی هی أقدم رتبة و أغلب إیصالا إلی الواقع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یرشد إلیه أنّ أغلب موارد النهی عن القیاس کأغلب موارد النهی عن تفسیر القرآن بالرأی و الاستحسان هم المخالفون العامّة، کأبی حنیفة و نحوه، لا الموافقون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أغلب الآیات الناهیة عن العمل بالظنّ إنّما هی فی مقام ردع الکفّار عن الظنون البدویّة و المستحسنات الوهمیة المستغنی بها عن سائر الأمارات القطعیة و غیر القطعیة، التی هی أقدم رتبة و أغلب إیصالا</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ردع أبان بن تغلب عن القیاس الذی عمل به</w:t>
      </w:r>
      <w:r>
        <w:rPr>
          <w:rStyle w:val="FootnoteAnchor"/>
          <w:rtl w:val="true"/>
        </w:rPr>
        <w:footnoteReference w:id="633"/>
      </w:r>
      <w:r>
        <w:rPr>
          <w:rFonts w:ascii="IRNazanin" w:hAnsi="IRNazanin" w:eastAsia="IRNazanin"/>
          <w:color w:val="111111"/>
          <w:sz w:val="28"/>
          <w:sz w:val="28"/>
          <w:szCs w:val="28"/>
          <w:rtl w:val="true"/>
          <w:lang w:bidi="fa-IR"/>
        </w:rPr>
        <w:t>مع کونه من الخاصّة لا العامّة بل و مع استفادته القطع من قیاسه لا مجرّد الظنّ فإنّما هو لأجل أنّه إنّما عمل بالقیاس فی مقابل النصّ الوارد إلیه بخلافه کالعامّة، حیث إنّه لمجرّد القیاس أطرح النصّ الوارد بخلافه، بل قد تجسّر غایة التجسّر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المخبر به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استفادته القطع بل و کذا الظنّ من قیاسه لا یزید علی استفادته القطع أو الظنّ من سائر الأسباب الغیر العادیة للقطع أو الظنّ فی اللحوق بالقطّاع و الظنّان </w:t>
      </w:r>
    </w:p>
    <w:p>
      <w:pPr>
        <w:pStyle w:val="BookText"/>
        <w:rPr/>
      </w:pPr>
      <w:r>
        <w:rPr>
          <w:rFonts w:ascii="IRNazanin" w:hAnsi="IRNazanin" w:eastAsia="IRNazanin"/>
          <w:color w:val="111111"/>
          <w:sz w:val="28"/>
          <w:sz w:val="28"/>
          <w:szCs w:val="28"/>
          <w:rtl w:val="true"/>
          <w:lang w:bidi="fa-IR"/>
        </w:rPr>
        <w:t>فی عدم العبرة بقطعه و ظنّه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العامل فی کلّ مسألة من مسائل الحلال و الحرام بکلّ ما ورد فی تلک المسألة من نصوص خلفاء الملک العلّام الراجع فی غیرها من الوقائع المجرّدة عن نصوص الأحکام إلی مطلق العمل بالظنّ و لو حصل من القیاس فلا دلیل علی بطلانه؛ لأنّ الظنّ المعمول فی الوقائع الخالیة عما عدا الظنّ من جمیع الأمارات الواقعیة لیس من الظنون البدویّة و المستحسنات الوهمیة المعمولة عند العامیة حتی فی الوقائع الغیر الخالیة عن الأمارات الواقعیة، بل هو من الظنون العقلائیة و مرکز جمیع الطباع الإنسیة فی جمیع الامور الدنیویة و الدینیة، کما لا یخفی علی أولی الأفهام الجلیة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یرشد إلیه أیضا ما یظهر من بعض الأخبار من احتجاج أئمتنا علیهم السّلام بالقیاس علی الناس فی غیر موضع من المواضع</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حمله علی التقیة، أو المجادلة بالتی هی أحسن، أو علی تعلیم أصحابهم طریق دفاع المخالفین، أو علی مجرّد تقریب الحکم إلی فهم المخاطب و دفع الاستبعاد، دون الاحتجاج خلاف الظاهر قطعا</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تتبّع و تأمّل بعین الانصاف و رفع الید عن الإجحاف و الاحتراف تبیّن له أنّ منصرف جمیع الإطلاقات الناهیة عن العمل بالظنّ و القیاس هو الکفّار و العامّة المستغنیة بالظنّ و القیاس عن الواقع، و عن أماراته المجعولة طریقا إلی الواقع فی کلّ الوقائع، کقول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جعفر علیه السّلام صحفی،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Style w:val="FootnoteAnchor"/>
          <w:rtl w:val="true"/>
        </w:rPr>
        <w:footnoteReference w:id="635"/>
      </w:r>
      <w:r>
        <w:rPr>
          <w:rFonts w:ascii="IRNazanin" w:hAnsi="IRNazanin" w:eastAsia="IRNazanin"/>
          <w:color w:val="111111"/>
          <w:sz w:val="28"/>
          <w:sz w:val="28"/>
          <w:szCs w:val="28"/>
          <w:rtl w:val="true"/>
          <w:lang w:bidi="fa-IR"/>
        </w:rPr>
        <w:t>، و قول إبلیس فی مقابل أمره تعالی بالسجود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خَلَقْتَنِی مِنْ نارٍ وَ خَلَقْتَهُ مِنْ طِینٍ</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موارد العمل بالظنّ و القیاس علی وجه الموضوعیة و المقابلیة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المخالفیة للأمارات الواقعیة، دون العمل بالظنّ و القیاس علی وجه الکاشفیة و التوصّلیة إلی الواقع فی الوقائع الخالیة عن الأمارات الواقعیة، الدائر أمرها بین الرجوع إلی الظنّ و لو کان من القیاس و بین الرجوع إلی البراءة و الاستصحاب و لو کان مطابقتهما الواقع موهوما لا مظنونا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أرجحیة العمل بالظنّ و أغلبیة إیصاله إلی الواقع من الوهم، کما لا ریب فی انحصار انطباق تعلیلات نواهی العمل بالظنّ و القیاس 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دین اللّه لا یصاب بالعقول</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شی‌ء أبعد عن دین اللّه من عقول الناس</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إذا قیست محق الدین</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علی العمل بالظنّ البدوی و القیاس الوهمی فی مقابل الدلیل العلمی، کما هو دأب المخالفین فی مقابلة المعصومین و دأب الشیطان فی مقابل الرحمن، و عدم انطباق شی‌ء من تلک التعلیلات علی العمل بالظنّ فی مقابل العمل بالوهم بالرجوع إلی البراءة أو الاستصحاب، کما هو مدّعی القائلین بحجّیة مطلق الظنّ من الخاصّة و الموافقین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کیف یتعقّل أن ینهی الشارع عن العمل بالظنّ فی مقابل العمل بالوهم و الرجوع إلی البراءة و الاستصحاب مع اشتمال مورد کلّ من البراءة و الاستصحاب علی القیاس مع الفارق فضلا عن أصل القیاس، أعنی مقایسة مورد الشکّ اللاحق علی مورد الیقین السابق</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المستفاد من تعلیلات نواهی العمل بالظنّ و القیاس </w:t>
      </w:r>
    </w:p>
    <w:p>
      <w:pPr>
        <w:pStyle w:val="BookText"/>
        <w:rPr/>
      </w:pPr>
      <w:r>
        <w:rPr>
          <w:rFonts w:ascii="IRNazanin" w:hAnsi="IRNazanin" w:eastAsia="IRNazanin"/>
          <w:color w:val="111111"/>
          <w:sz w:val="28"/>
          <w:sz w:val="28"/>
          <w:szCs w:val="28"/>
          <w:rtl w:val="true"/>
          <w:lang w:bidi="fa-IR"/>
        </w:rPr>
        <w:t>و مواردها لیس حرمة العمل بهما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من عدم انطباق التعلیلات المذکورة لها علی الحرمة النفسیة و التعبّدیة، بل إنّما هو حرمة العمل بالظنّ و القیاس لأجل عدم الایصال إلی الواقع کما فی صورة الاستغناء به عن قول المعصومین و الإغماض عن سائر أمارات الواقع المتقدّمة علیه، لا فی صورة التوصّل به إلی الواقع و إلی رأی المعصومین، کحرمة العمل بالعامّ قبل الفحص عن المخصّص أو بالخاصّ قبل الفحص عن المعارض، فیکون حکم الظنّ و القیاس هو حکم سائر طرق الواقع من الأخبار و غیرها، لا حکم نفسی تعبّدی مخالف لقواعد العقل و النقل کما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العمل بالعامّ لا یجوز قبل الفحص عن المخصّص و العمل بکلّ خبر لا یجوز قبل الفحص عن المعارض لعدم حصول الظنّ الحقیقی و الإیصال الغالبی منه إلی الواقع کذلک العمل بالظنّ و القیاس إنّما لا یجوز قبل الفحص عن المخصّص و المعارض علی ما هو دأب العامّة، لعدم حصول الظنّ الحقیقی و الایصال الغالبی منه إلی الواقع، لا بعد الفحص و حصول الظنّ الحقیقی و الایصال الغالبی منه إلی الواقع کما هو دأب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 أنّ حال القیاس و الظنّ هو حال سائر أمارات الواقع فی أنّ اعتبارها إنّما هو من باب الطریقیة و الکاشفیة و المرآتیة عن الواقع، فینوط بحصول الظنّ لا من باب الموضوعیة و السببیة و التعبّدیة الصرفة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حال القیاس حال سائر أدلّة الواقع و أماراته فی إناطة اعتبارها بحصول الظنّ لا مطلقا فما وجه تخصیص نواهی الشرع بالقیاس و الظنّ، دون سائر أمارات الواقع؟</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تخصیصهما بالنهی من بین سائر الأمارات هو اختصاص مخالفة الکفّار بالظنون الحاصلة من مستحسنات أوهامهم القاصرة دون مخالفتهم </w:t>
      </w:r>
    </w:p>
    <w:p>
      <w:pPr>
        <w:pStyle w:val="BookText"/>
        <w:rPr/>
      </w:pPr>
      <w:r>
        <w:rPr>
          <w:rFonts w:ascii="IRNazanin" w:hAnsi="IRNazanin" w:eastAsia="IRNazanin"/>
          <w:color w:val="111111"/>
          <w:sz w:val="28"/>
          <w:sz w:val="28"/>
          <w:szCs w:val="28"/>
          <w:rtl w:val="true"/>
          <w:lang w:bidi="fa-IR"/>
        </w:rPr>
        <w:t>فی سائر الأدلّة و الأمارات، و اختصاص مخالفة العامّة بالقیاس و المصالح المرسلة دون مخالفتهم فی سائر الأدلّة و الأمارات، و معلوم أنّ البلاغة فی الکلام هو مطابقته لمقتضی الحال و المقام، و لهذا اختصّ جمیع نواهی العمل بالظنّ بلسان الشارع فی القرآن دون ورود شی‌ء فی السنّة بلسان أحد المعصومین، و جمیع نواهی العمل بالقیاس بالأخبار الوصویة دون ورود شی‌ء منها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فی الأخبار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اختصاص حرمة العمل بالظنّ البدوی الذی یعمل به الکفّار علی وجه الاستغناء و الإغماض عما هو أقدم رتبة و أقرب إیصالا من سائر الأمارات لکان مقتضی اللطف و العادة ورود شی‌ء من نواهیه فی السنّة النبویة أو الأخبار الوصویة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لو لا اختصاص حرمة القیاس بالقیاس الوهمیّ المعمول به عند العامّة علی وجه الاستغناء و الإغماض عما هو أقدم رتبة منه و أقرب إیصالا إلی الواقع لکان مقتضی اللطف و العادة ورود شی‌ء من نواهیه فی الأخبار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فی الأخبار النبویة أیضا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ستفترق أمّتی علی بضع و سبعین فرقة أعظمهم فتنة قوم یقیسون الامور برأیهم</w:t>
      </w:r>
      <w:r>
        <w:rPr>
          <w:rFonts w:eastAsia="IRNazanin" w:cs="IRNazanin"/>
          <w:color w:val="111111"/>
          <w:sz w:val="28"/>
          <w:szCs w:val="28"/>
          <w:rtl w:val="true"/>
          <w:lang w:bidi="fa-IR"/>
        </w:rPr>
        <w:t>»</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تعمل هذه الامّة برهة بالکتاب، و برهة بالسنّة، و برهة بالقیاس، فإذا فعلوا ذلک فقد ضلّوا</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من عدم حرمة القیاس فی الأخبار النبویة عدم ورود إطلاق حرمته فی الأخبار النبویة علی النحو الوارد إطلاق حرمته فی الأخبار الوصویة، لا عدم ورود حرمة العمل المستحدث بالقیاس بعد زمان النبیّ، کما </w:t>
      </w:r>
      <w:bookmarkStart w:id="899" w:name="pg12850_121517"/>
    </w:p>
    <w:p>
      <w:pPr>
        <w:pStyle w:val="BookText"/>
        <w:rPr/>
      </w:pPr>
      <w:bookmarkEnd w:id="899"/>
      <w:r>
        <w:rPr>
          <w:rFonts w:ascii="IRNazanin" w:hAnsi="IRNazanin" w:eastAsia="IRNazanin"/>
          <w:color w:val="111111"/>
          <w:sz w:val="28"/>
          <w:sz w:val="28"/>
          <w:szCs w:val="28"/>
          <w:rtl w:val="true"/>
          <w:lang w:bidi="fa-IR"/>
        </w:rPr>
        <w:t>یدلّ علیه التسویف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ستفترق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ورود حرمة هذا النحو من القیاس فی الأخبار النبویة أدلّ علی المطلوب لا مناف للمطلوب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5"/>
        <w:numPr>
          <w:ilvl w:val="4"/>
          <w:numId w:val="1"/>
        </w:numPr>
        <w:rPr/>
      </w:pPr>
      <w:bookmarkStart w:id="900" w:name="__RefHeading___Toc2527662_3224264995"/>
      <w:bookmarkStart w:id="901" w:name="_Toc331"/>
      <w:bookmarkEnd w:id="900"/>
      <w:r>
        <w:rPr>
          <w:rtl w:val="true"/>
        </w:rPr>
        <w:t>[</w:t>
      </w:r>
      <w:r>
        <w:rPr>
          <w:rtl w:val="true"/>
        </w:rPr>
        <w:t>حجّیة مطلق الظنّ</w:t>
      </w:r>
      <w:r>
        <w:rPr>
          <w:rtl w:val="true"/>
        </w:rPr>
        <w:t>]</w:t>
      </w:r>
      <w:bookmarkEnd w:id="901"/>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یؤدّی إلیه نظری القاصر فی المقام هو حجّیة مطلق الظنّ فی الأحکام وفاقا لأعلم أساتیذنا الأعلام بعد ما کنت مخالفا له فی سالف الأیام و إن کان من سنن الرحمن کتمان الإیمان من جهّال أهل الزمان، کما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 ذهبک و ذهابک و مذهبک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الحقّ أعزّ من أن یطلق، إذ ما من دلیل یدلّ علی حجّیة ظنّ بالخصوص إلّا و یدلّ أیضا علی حجّیة سائر الظنون بالفحوی أو الأولویة فتفرقة المفرّق فی العمل ببعض ما یسمّیه ظنّا خاصا من بین الظنون و عدم العمل بما یسمّیه ظنا مطلقا منها لا یرجع إلی محصّل، نظیر تفرقة الأخباریة بین أخبار الکتب الأربعة و أخبار غیرها، فی تسمیتهم الأولی قطعیة الصدور، و الاخری ظنّیة الصدور، مع أنّ الکلّ ظنّیة، بل نظیر ما نقل عن رأس البابیة من تجزئته الرغیف الواحد بأجزاء صغار یأکل بعضها و یسقط بعضها الآخر، مدّعیا بأنّ الذی آکله ممّا آمن و الذی لا آکله من الأجزاء ممّا لم یؤمن، و من تفرقته فی الطعام الواحد المصنوع فی قدر واحد بین ما اوتی به من رأس القدر فلم یأکله، و ما اوتی به من کعب القدر فأکله، مدعیا بأنّ الذی أکلته ممّا أمن و الذی لم آکله ممّا لم یؤمن</w:t>
      </w:r>
      <w:r>
        <w:rPr>
          <w:rFonts w:eastAsia="IRNazanin" w:cs="IRNazanin"/>
          <w:color w:val="111111"/>
          <w:sz w:val="28"/>
          <w:szCs w:val="28"/>
          <w:rtl w:val="true"/>
          <w:lang w:bidi="fa-IR"/>
        </w:rPr>
        <w:t>.</w:t>
      </w:r>
    </w:p>
    <w:p>
      <w:pPr>
        <w:pStyle w:val="Heading5"/>
        <w:numPr>
          <w:ilvl w:val="4"/>
          <w:numId w:val="1"/>
        </w:numPr>
        <w:rPr/>
      </w:pPr>
      <w:bookmarkStart w:id="902" w:name="__RefHeading___Toc2527664_3224264995"/>
      <w:bookmarkStart w:id="903" w:name="_Toc332"/>
      <w:bookmarkEnd w:id="902"/>
      <w:r>
        <w:rPr>
          <w:rtl w:val="true"/>
        </w:rPr>
        <w:t>[</w:t>
      </w:r>
      <w:r>
        <w:rPr>
          <w:rtl w:val="true"/>
        </w:rPr>
        <w:t>وجوه خروج القیاس عن حجّیة مطلق الظن</w:t>
      </w:r>
      <w:r>
        <w:rPr>
          <w:rtl w:val="true"/>
        </w:rPr>
        <w:t>]</w:t>
      </w:r>
      <w:bookmarkEnd w:id="903"/>
    </w:p>
    <w:p>
      <w:pPr>
        <w:pStyle w:val="BookText"/>
        <w:rPr/>
      </w:pPr>
      <w:r>
        <w:rPr>
          <w:rFonts w:ascii="IRNazanin" w:hAnsi="IRNazanin" w:eastAsia="IRNazanin"/>
          <w:color w:val="111111"/>
          <w:sz w:val="28"/>
          <w:sz w:val="28"/>
          <w:szCs w:val="28"/>
          <w:rtl w:val="true"/>
          <w:lang w:bidi="fa-IR"/>
        </w:rPr>
        <w:t>هذا کلّه بیان من تقریبات حجّیة مطلق الظنّ، و بیان اندفاع نقض الناقض حجّیته بالقیاس بمنع خروجه عن حکم سائر الظنون المطلقة علی تقدیر حجیتها، و إن أبیت عن حجّیة مطلق الظنّ فالقیاس أولی بالإباء</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أبیت عن حجیّة القیاس بالخصوص مع تسلیم حجّیة مطلق الظنّ ففی بیان کیفیة خروجه عن تحت أدلّة حجّیة مطلق الظنّ وجوه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اشیر إلیه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الشارع إذا ألغی ظنّا تبیّن أنّ فی العمل به ضررا أعظم من ضرر ترک العمل</w:t>
      </w:r>
      <w:r>
        <w:rPr>
          <w:rStyle w:val="FootnoteAnchor"/>
          <w:rtl w:val="true"/>
        </w:rPr>
        <w:footnoteReference w:id="642"/>
      </w:r>
      <w:r>
        <w:rPr>
          <w:rFonts w:ascii="IRNazanin" w:hAnsi="IRNazanin" w:eastAsia="IRNazanin"/>
          <w:color w:val="111111"/>
          <w:sz w:val="28"/>
          <w:sz w:val="28"/>
          <w:szCs w:val="28"/>
          <w:rtl w:val="true"/>
          <w:lang w:bidi="fa-IR"/>
        </w:rPr>
        <w:t>به کما أنّ الطبیب الحاذق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العطوف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 بقطع عضو من أعضاء المتمرض ببعض الأمراض تبیّن أنّ فی إبقائه ضررا مسریا أعظم من ضرر قطعه، فکذا نهی الشارع عن القیاس و نحوه کاشف عن أنّ فی العمل به ضررا أعظم من ضرر ترک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من جهة ابتناء الشریعة علی جمع المختلفات و تفریق المتّفقات بحیث لا یحصل الظنّ من إعمال القیاس فی الأحکام و إن حصل من إعماله فی غیر الأحکام و إمّا من جهة أنّه و إن حصل الظنّ من إعماله إلّا أنّ الظنّ الحاصل من إعماله فی الأحکام کالظنّ الحاصل من الأسباب الغیر العادیة للظّانّ فی سقوطه عن درجة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من جهة عدم حصول الظنّ العادی من إعماله فی الموارد المتضمّنة للنصوص الخاصّة من أحد المعصومین، و من جهة حکمة الاطّراد فی سائر الموارد الخالیة عن نصّ خاص تسهیلا علی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من جهة أنّ سلوک طریق القیاس و لو فی الموارد الخالیة عن نصّ خاص لمّا کان شبیها بمسلک المخالفین ألغاه الشارع رأسا، دفعا لشوائب أهل الخلاف و حثّا علی الرجوع إلی مسلک الأشراف و تمییزا بین أهل الوفاق و الخلاف</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الجهات الکامنة لحرمة العمل بالقیاس و إن کانت تعلیلات حرمة العمل به إنّما تنطبق علی الجهتین الأولیتین دون الأخیرتین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توجیه ما قیل فی دفع انتقاض حجّیة مطلق الظنّ بالقیاس من أنّ الشارع إذا ألغی ظنّا تبیّن أنّ فی العمل به ضررا أعظم من ضرر ترک العمل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لکن مع ذلک یضعّفه ما أشار إلیه الماتن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أنّ الأمارات التی یقطع بعدم حجّیتها کالقیاس و نحوه یکون فی العمل بها بمعنی التدیّن بمؤدّاها و جعله حکما شرعیا ضررا أعظم من الضرر المظنون فلا اختصاص لهذا الضرر بتلک الظنون؛ لأن کلّ ظنّ لم یقم علی اعتباره قاطع یکون فی العمل به بذلک المعنی هذا الضرر العظیم، أعنی التشریع، و إن أراد ثبوت الضرر فی العمل بها بمعنی اتیان ما ظنّ وجوبه حذرا من الوقوع فی مضرّة ترک الواجب و ترک ما ظنّ حرمته لذلک فلا ریب فی استقلال العقل و بداهة حکمه بعدم الضرر فی ذلک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ذلک فی الظنّ القیاسی بل و إن کان ذلک فی الوهم و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لهذا المجیب أن یبدّل دعوی الضرر فی العمل بتلک الأمارات المنهی عنها بالخصوص بدعوی أنّ فی نهی الشارع عن الاعتناء بها و ترخیصه فی مخالفتها مع علمه بأنّ ترکها ربما یفضی إلی ترک الواجب و فعل الحرام مصلحة یتدارک بها الضرر المظنون علی تقدیر ثبوته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Style w:val="FootnoteAnchor"/>
          <w:rtl w:val="true"/>
        </w:rPr>
        <w:footnoteReference w:id="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وجه الأولویة و التأمل فی کلامه فیظهر من ملاحظة الفرق بین الوجهین، و أمّا الفرق بینهما، فمن حیث الماهیة هو کون المصلحة فی إیجاد العمل علی طبق ما یخالف القیاس فی الوجه الأول، و فی تطبیق العمل علی ما یخالف القیاس و الالتزام بأنّ مؤدّاه هو الواقع فی ترتیب آثار الواقع علیه فی الوجه الثانی</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المصلحة فی نفس العمل بما یخالف القیاس الناشئ عن الالتزام به فی الأول، و فی نفس الالتزام الناشئ منه العمل به فی الثانی، نظیر الفرق بین الأوامر الحقیقیة و التوطینیة حیث إنّ مصلحة الأول فی نفس المأمور به و الثانی فی نفس الأمر، و نظیر الفرق بین قیام الأمارة علی نفس حکم شرعی، </w:t>
      </w:r>
    </w:p>
    <w:p>
      <w:pPr>
        <w:pStyle w:val="BookText"/>
        <w:rPr/>
      </w:pPr>
      <w:r>
        <w:rPr>
          <w:rFonts w:ascii="IRNazanin" w:hAnsi="IRNazanin" w:eastAsia="IRNazanin"/>
          <w:color w:val="111111"/>
          <w:sz w:val="28"/>
          <w:sz w:val="28"/>
          <w:szCs w:val="28"/>
          <w:rtl w:val="true"/>
          <w:lang w:bidi="fa-IR"/>
        </w:rPr>
        <w:t xml:space="preserve">و قیامها علی موضوع خارجی کحیاة زید و موت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تصدّی المصنف لبیانه فی الفرق بین الوجه الثالث و الثانی من وجوه طریقیة الظنّ فی أوّل رسالة حجّیة الظنّ، فإن شئت راجعه</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من حیث الخاصیة فإنّهما و إن لم یفترقا فی صورة عدم انکشاف الخلاف من رأس أو انکشافه قبل الشروع فی العمل أو شی‌ء من لوازمه، إلّا أنّهما یفترقان فی صورة انکشافه بعد العمل أو بعد ترتیب شی‌ء من لوازمه، حیث إنّ لازم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التصویب فی الأحکام الثانویة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الإجزاء و سقوط القضاء و الإعادة، لمفروضیّة أنّ مؤدّاه حکم واقعی ثانوی فی حقّ الجاهل عن الحکم الواقعی الأوّلی، فبعد الکشف و العلم بالحکم الواقعی الأولی ینقلب موضوع الحکم واقعا إلی موضوع آخر، کانقلاب موضوع الحاضر بالمسافر بعد فعل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لازم الوجه الثانی هو عدم الإجزاء و عدم سقوط القضاء و لا الإعادة و وجب تدارک ما یمکن تدارکه علی طبق عدم وجوبه فی نفس الأمر من أوّل الأمر، لأنّ المفروض عدم حدوث الوجوب النفس الأمری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کلام الماتن فی أوائل حجّیة الظنّ</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w:t>
      </w:r>
      <w:r>
        <w:rPr>
          <w:rStyle w:val="FootnoteAnchor"/>
          <w:rtl w:val="true"/>
        </w:rPr>
        <w:footnoteReference w:id="646"/>
      </w:r>
      <w:r>
        <w:rPr>
          <w:rFonts w:ascii="IRNazanin" w:hAnsi="IRNazanin" w:eastAsia="IRNazanin"/>
          <w:color w:val="111111"/>
          <w:sz w:val="28"/>
          <w:sz w:val="28"/>
          <w:szCs w:val="28"/>
          <w:rtl w:val="true"/>
          <w:lang w:bidi="fa-IR"/>
        </w:rPr>
        <w:t>وجه التأمل إشارة إلی أنّ احتمال کون نهی الشارع عن بعض الظنون فیه مصلحة متدارکة للضرر المظنون لیس بأولی من حمل نهیه علی صورة التدیّن بالظنّ المحرّم تشریعا، مضافا إلی أنّ مجرّد احتمال المصلحة المتدارکة للضرر المظنون غیر مانع من تأثّر المقتضی أثره، لأصالة عدمه عند العقلاء</w:t>
      </w:r>
      <w:r>
        <w:rPr>
          <w:rFonts w:eastAsia="IRNazanin" w:cs="IRNazanin"/>
          <w:color w:val="111111"/>
          <w:sz w:val="28"/>
          <w:szCs w:val="28"/>
          <w:rtl w:val="true"/>
          <w:lang w:bidi="fa-IR"/>
        </w:rPr>
        <w:t xml:space="preserve">. </w:t>
      </w:r>
      <w:bookmarkStart w:id="904" w:name="pg12850_121521"/>
    </w:p>
    <w:p>
      <w:pPr>
        <w:pStyle w:val="BookText"/>
        <w:rPr/>
      </w:pPr>
      <w:bookmarkEnd w:id="904"/>
      <w:r>
        <w:rPr>
          <w:rFonts w:ascii="IRNazanin" w:hAnsi="IRNazanin" w:eastAsia="IRNazanin"/>
          <w:color w:val="111111"/>
          <w:sz w:val="28"/>
          <w:sz w:val="28"/>
          <w:szCs w:val="28"/>
          <w:rtl w:val="true"/>
          <w:lang w:bidi="fa-IR"/>
        </w:rPr>
        <w:t>أو إشارة إلی کون الالتزام بکاشفیة النهی عن المصلحة مبنیّ علی القول بتبعیة الأحکام للمصالح و المفاسد، و أما علی القول بعدم التبعیّة فلا یکشف النهی عن المصلحة کما لا یکشف عن المضرّة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فالأولی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القول راجع إلی الجواب الثالث الذی أجاب به سابقا عن الدلیل،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فالأولی أن 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اعاده لمجرّد التوضیح</w:t>
      </w:r>
    </w:p>
    <w:p>
      <w:pPr>
        <w:pStyle w:val="Heading5"/>
        <w:numPr>
          <w:ilvl w:val="4"/>
          <w:numId w:val="1"/>
        </w:numPr>
        <w:rPr/>
      </w:pPr>
      <w:bookmarkStart w:id="905" w:name="__RefHeading___Toc2527666_3224264995"/>
      <w:bookmarkStart w:id="906" w:name="_Toc333"/>
      <w:bookmarkEnd w:id="905"/>
      <w:r>
        <w:rPr>
          <w:rtl w:val="true"/>
        </w:rPr>
        <w:t>[</w:t>
      </w:r>
      <w:r>
        <w:rPr>
          <w:rtl w:val="true"/>
        </w:rPr>
        <w:t>النسبة بین قاعدتی قبح العقاب و دفع الضرر المظنون</w:t>
      </w:r>
      <w:r>
        <w:rPr>
          <w:rtl w:val="true"/>
        </w:rPr>
        <w:t>]</w:t>
      </w:r>
      <w:bookmarkEnd w:id="906"/>
    </w:p>
    <w:p>
      <w:pPr>
        <w:pStyle w:val="BookText"/>
        <w:rPr/>
      </w:pPr>
      <w:r>
        <w:rPr>
          <w:rFonts w:ascii="IRNazanin" w:hAnsi="IRNazanin" w:eastAsia="IRNazanin"/>
          <w:color w:val="111111"/>
          <w:sz w:val="28"/>
          <w:sz w:val="28"/>
          <w:szCs w:val="28"/>
          <w:rtl w:val="true"/>
          <w:lang w:bidi="fa-IR"/>
        </w:rPr>
        <w:t>و محصّل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منع صغری الدلیل، أعنی منع وجود مظنون الضرریة فی الأحکام الغیر المعلومة شرعا بدعوی أنّ المستفاد من التتبّع و الاستقراء فی الأحکام الشرعیة و حکم الشارع قطعا أو ظنّا بالرجوع فی موارد الظنّ الحاصل من القیاس أو غیره إلی البراءة و الاستصحاب، و ترخیصه لترک مراعاة الظنّ هو القطع أو الظنّ بتدارک ذلک الضرر المظنون بوجود المؤمّن من عقابه الاخروی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مفسدته الدنیویة بالملازمة، و بعد حصول الظنّ من الاستقراء بتدارک الضرر المظنون فی الأحکام الغیر المعلومة شرعا لا مسرح لحصول الظنّ بالضرر فیها، و إلّا یلزم اجتماع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 الأخبار الظنّیة لا تعارض العقل المستقلّ بدفع الضرر المظنون، و علی تقدیر معارضته فتقدیم مفاد الأخبار علی مقتضی العقل لیس بأولی من العکس</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تصویر وقوع المعارضة بینهما مبنیّ علی تقدیر أن یکون ترخیص الشارع لترک العمل بالظنّ لا عن مصلحة یتدارک بها الضرر المتفق منه، أو علی أن یکون حکم العقل بدفع الضرر المظنون هو العمل بالظنّ من باب التعبّد العقلائی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کلا المبنیین فاسدان؛ ضرورة أنّ الشارع لا یحکم بجواز الاقتحام فی مظانّ الضرر إلّا عن مصلحة یتدارک بها الضرر المظنون علی تقدیر ثبوته، و أنّ العقل لا یحکم بوجوب العمل بالظنّ إلّا من باب الإرشاد و الاحتراز عن الوقوع فی الضرر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هاتین المقدّمتین لا ینبغی الإشکال فی أنّ ترخیص الشارع لترک العمل بالظنّ رافع لموضوع الضرریة، و ناف لصغری حکم العقل بلزوم دفع الضرر المظنون، فهو وارد و مزیل لحکم العقل کنسبة الأدلّة إلی الاصول، فلا یتصوّر المعارضة بینهما بعد ذلک، کما لا یتصوّر بین الأدلّة و الاصول المأخوذ فی موضوعها عدم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العقل أو الأخبار هو نفی العقاب بلا بیان، و حکم العقل بالتحرّز عن مظنون الضرریة بیان، فیکون المأخوذ فی موضوع نفی العقاب عدم حکم العقل بدفع الضرر المظنون، لا أنّ المأخوذ فی موضوع دفع الضرر المظنون عدم حکم الشارع بنفی العقاب کما هو المدّعی، و علی ذلک یکون الوارد من القاعدتین علی الاخری هو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الضرر المظنون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العقاب بلا بیان</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بیانیة حکم العقل بدفع الضرر المظنون مبنیّ علی أن یکون حکم العقل بدفع الضرر المظنون من باب التعبّد العقلائی و هو فاسد؛ ضرورة أنّ حکم العقل بالعمل بالظنّ علی تقدیره لیس حکما إلزامیا بل إنّما هو حکم إرشادی، مراعی بمصادفة المظنون للواقع و عدمه، فیرجع محصّله إلی أنّک لا تترک العمل بالظن لئلا یصبک ضرر الترک لو صادف المظنون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أنّ هذا مرجع عقلائی لموارد الشکّ و الحیرة فکیف یتعقّل کونه بیانا بالنسبة إلی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العقاب بلا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ینفی العقاب عمّا من شأن الشارع بیانه و لم یبیّنه، کالأحکام الکلّیة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العصیر الکلّی حرام أو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لیس من شأن الشارع بیانه، کتشخیص الموضوعات الجزئیة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هذا عصیر أو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ینفی الشارع العقاب بلا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عموم أدلّة نفی العقاب بلا بیان تقتضی عموم نفی العقاب بلا بیان، سواء کان المعدوم بیانه ممّا من شأن الشارع بیانه و لم یبیّنه کالأحکام الکلّیة، أو ممّا من شأن غیر الشارع بیانه و لم یتبیّن لنا کلّما تفحّصنا مظانّ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یکفی فی المطلوب ضمیمة عدم القول بالفصل فی نفی العقاب بلا بیان بین أن یکون عدم البیان ممّا بیانه من شأن الشارع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یکفی فی المطلوب و هو منع نهوض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حجّیة مطلق الظنّ ورود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و لو فی الجملة لا بالجملة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فرضت ورود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الضرر المظنون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یبقی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الضرر المظنون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الباقی لها من الموارد جمیع موارد الظنّ بالضرر من الامور الدنیویة اتّفاقا، بل و جمیع موارد الظنّ بالضرر من الامور الاخرویة فی الشبهات المحصورة، عند المشهور القائلین بأنّ العلم الإجمالی الموجود فی الشبهات المحصورة مخرج إیّاها عن موضوع عدم البیان المنفیّ عنه العقاب، فلم یخرج عن تحتها بواسطة ورود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إلّا موارد الشکّ و الظنّ من الامور الاخرویة فی الشبهات البدویة</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بخلاف ما لو فرض ورود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الضرر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یستوعب جمیع موارد نفی العقاب بلا بیان استیعابا یلغی معه امتنان </w:t>
      </w:r>
      <w:bookmarkStart w:id="907" w:name="pg12850_121524"/>
    </w:p>
    <w:p>
      <w:pPr>
        <w:pStyle w:val="BookText"/>
        <w:rPr/>
      </w:pPr>
      <w:bookmarkEnd w:id="907"/>
      <w:r>
        <w:rPr>
          <w:rFonts w:ascii="IRNazanin" w:hAnsi="IRNazanin" w:eastAsia="IRNazanin"/>
          <w:color w:val="111111"/>
          <w:sz w:val="28"/>
          <w:sz w:val="28"/>
          <w:szCs w:val="28"/>
          <w:rtl w:val="true"/>
          <w:lang w:bidi="fa-IR"/>
        </w:rPr>
        <w:t>الشارع علینا بنفی العقاب بلا بیان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امّتی ما لا یعلمون</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حجب اللّه علمه عنه فهو موضوع</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إلی غیر ذلک من الأخبار الواردة فی مقام 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قیل بورود دفع الضرر المظنون علی نفی العقاب بلا بیان لم یستلزم ما استلزمه ورود دفع الضرر المحتمل، من استیعاب جمیع موارد نفی العقاب بلا بیان</w:t>
      </w:r>
      <w:r>
        <w:rPr>
          <w:rFonts w:eastAsia="IRNazanin" w:cs="IRNazanin"/>
          <w:color w:val="111111"/>
          <w:sz w:val="28"/>
          <w:szCs w:val="28"/>
          <w:rtl w:val="true"/>
          <w:lang w:bidi="fa-IR"/>
        </w:rPr>
        <w:t>.</w:t>
      </w:r>
    </w:p>
    <w:p>
      <w:pPr>
        <w:pStyle w:val="Heading5"/>
        <w:numPr>
          <w:ilvl w:val="4"/>
          <w:numId w:val="1"/>
        </w:numPr>
        <w:rPr/>
      </w:pPr>
      <w:bookmarkStart w:id="908" w:name="__RefHeading___Toc2527668_3224264995"/>
      <w:bookmarkStart w:id="909" w:name="_Toc334"/>
      <w:bookmarkEnd w:id="908"/>
      <w:r>
        <w:rPr>
          <w:rtl w:val="true"/>
        </w:rPr>
        <w:t>[</w:t>
      </w:r>
      <w:r>
        <w:rPr>
          <w:rtl w:val="true"/>
        </w:rPr>
        <w:t>إلزام قاعدة دفع الضرر المحتمل للنظر فی المعجزة و المعرفة</w:t>
      </w:r>
      <w:r>
        <w:rPr>
          <w:rtl w:val="true"/>
        </w:rPr>
        <w:t>]</w:t>
      </w:r>
      <w:bookmarkEnd w:id="909"/>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فرضنا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الضرر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صحّ التمسک بدفع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 النظر فی المعرفة و المعجزة و وجوب شکر المنعم، و غیر ذلک من موارد عدم البیان، بل جاز للمکلّف إغماض بصره عن ظهور المعجزة علیه و وضع أصابعه فی اذنیه من إسماع الإعجاز تعویلا علی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یحصل له بیان قهریّ بقدرته تعالی من دون سبب عادیّ، و الحال إطباق المتکلّمین و العقلاء ثابت علی انحصار دلیل وجوب النظر إلی المعرفة و المعجزة و شکر المنعم، و استحقاق العقاب علی التارک فی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الضرر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لو فرضنا ورود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یصح عقاب التارک للاحتیاط فی الشکّ فی المکلّف به و الشبهات المحصورة، و لا عقاب الجاهل المقصّر فی تحصیل المسائل علی کلّ ما یفوته من الواجبات بواسطة الجهل لعدم تحقّق البیان فی شی‌ء من تلک الموارد الأربعة</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النظر إلی المعرفة و المعجزة فاستحقاق تارکه العقاب من جهة عدم المؤمّن له عن العقاب بلا بیان، لأنّ المؤمّن إن کان هو الشارع فالمفروض </w:t>
      </w:r>
      <w:bookmarkStart w:id="910" w:name="pg12850_121525"/>
    </w:p>
    <w:p>
      <w:pPr>
        <w:pStyle w:val="BookText"/>
        <w:rPr/>
      </w:pPr>
      <w:bookmarkEnd w:id="910"/>
      <w:r>
        <w:rPr>
          <w:rFonts w:ascii="IRNazanin" w:hAnsi="IRNazanin" w:eastAsia="IRNazanin"/>
          <w:color w:val="111111"/>
          <w:sz w:val="28"/>
          <w:sz w:val="28"/>
          <w:szCs w:val="28"/>
          <w:rtl w:val="true"/>
          <w:lang w:bidi="fa-IR"/>
        </w:rPr>
        <w:t>عدم إثباته بعد، و إن کان هو العقل فمن الواضح أنّ العقل لا یؤمّن المکلّف عن العقاب بلا بیان إذا استند عدم بیانه إلی إغماض المکلّف عن البیان بالطریق المتعارف، و إلّا لانسدّ باب بیانه تعالی الأحکام و التکلیفات و التبلیغات، إلّا بالطرق الخارقة للعادات المؤدّیة إلی إجبار المکلّفین بایجاد البیان القهریّ فیهم من دون سبب عادی، و قد أبی اللّه أن یجری الأشیاء إلّا بأسبابها العادیة و الطرق العقلائیة، فی بیان الأحکام و التبلیغات و السیاسات و إرسال الرسل و إنزال الکتب، و لهذا تری لم یرسل لکلّ شخص رسولا علی حدة و لم یحفظ رسوله غالبا بعد الإبلاغ و إتمام الحجّة من القتل و الصلب و الحرق بالطرق الخارقة للعادة، و عدم إظهار خلیفته بعد تسبیب الناس لإخفائه، و هذا معنی أنّ وجوده لطف و تصرّفه لطف آخر و عدمه منّا</w:t>
      </w:r>
      <w:r>
        <w:rPr>
          <w:rFonts w:eastAsia="IRNazanin" w:cs="IRNazanin"/>
          <w:color w:val="111111"/>
          <w:sz w:val="28"/>
          <w:szCs w:val="28"/>
          <w:rtl w:val="true"/>
          <w:lang w:bidi="fa-IR"/>
        </w:rPr>
        <w:t>.</w:t>
      </w:r>
    </w:p>
    <w:p>
      <w:pPr>
        <w:pStyle w:val="Heading5"/>
        <w:numPr>
          <w:ilvl w:val="4"/>
          <w:numId w:val="1"/>
        </w:numPr>
        <w:rPr/>
      </w:pPr>
      <w:bookmarkStart w:id="911" w:name="__RefHeading___Toc2527670_3224264995"/>
      <w:bookmarkStart w:id="912" w:name="_Toc335"/>
      <w:bookmarkEnd w:id="911"/>
      <w:r>
        <w:rPr>
          <w:rtl w:val="true"/>
        </w:rPr>
        <w:t>[</w:t>
      </w:r>
      <w:r>
        <w:rPr>
          <w:rtl w:val="true"/>
        </w:rPr>
        <w:t>وجه التنجیز فی الشبهات المحصورة</w:t>
      </w:r>
      <w:r>
        <w:rPr>
          <w:rtl w:val="true"/>
        </w:rPr>
        <w:t>]</w:t>
      </w:r>
      <w:bookmarkEnd w:id="912"/>
    </w:p>
    <w:p>
      <w:pPr>
        <w:pStyle w:val="BookText"/>
        <w:rPr/>
      </w:pPr>
      <w:r>
        <w:rPr>
          <w:rFonts w:ascii="IRNazanin" w:hAnsi="IRNazanin" w:eastAsia="IRNazanin"/>
          <w:color w:val="111111"/>
          <w:sz w:val="28"/>
          <w:sz w:val="28"/>
          <w:szCs w:val="28"/>
          <w:rtl w:val="true"/>
          <w:lang w:bidi="fa-IR"/>
        </w:rPr>
        <w:t xml:space="preserve">و أمّا الشبهات المحصورة و سائر موارد الاحتیاط فاستحقاق مرتکبها العقاب علی القول به لیس من جهة عدم ورود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دفع الضرر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إنّما هو من جهة عدّ العلم الإجمالی بیانا ببناء العقلاء کالعلم التفصیلی</w:t>
      </w:r>
      <w:r>
        <w:rPr>
          <w:rFonts w:eastAsia="IRNazanin" w:cs="IRNazanin"/>
          <w:color w:val="111111"/>
          <w:sz w:val="28"/>
          <w:szCs w:val="28"/>
          <w:rtl w:val="true"/>
          <w:lang w:bidi="fa-IR"/>
        </w:rPr>
        <w:t>.</w:t>
      </w:r>
    </w:p>
    <w:p>
      <w:pPr>
        <w:pStyle w:val="Heading5"/>
        <w:numPr>
          <w:ilvl w:val="4"/>
          <w:numId w:val="1"/>
        </w:numPr>
        <w:rPr/>
      </w:pPr>
      <w:bookmarkStart w:id="913" w:name="__RefHeading___Toc2527672_3224264995"/>
      <w:bookmarkStart w:id="914" w:name="_Toc336"/>
      <w:bookmarkEnd w:id="913"/>
      <w:r>
        <w:rPr>
          <w:rtl w:val="true"/>
        </w:rPr>
        <w:t>[</w:t>
      </w:r>
      <w:r>
        <w:rPr>
          <w:rtl w:val="true"/>
        </w:rPr>
        <w:t>عقاب الجاهل المقصّر و کذا الکافر</w:t>
      </w:r>
      <w:r>
        <w:rPr>
          <w:rtl w:val="true"/>
        </w:rPr>
        <w:t>]</w:t>
      </w:r>
      <w:bookmarkEnd w:id="914"/>
    </w:p>
    <w:p>
      <w:pPr>
        <w:pStyle w:val="BookText"/>
        <w:rPr/>
      </w:pPr>
      <w:r>
        <w:rPr>
          <w:rFonts w:ascii="IRNazanin" w:hAnsi="IRNazanin" w:eastAsia="IRNazanin"/>
          <w:color w:val="111111"/>
          <w:sz w:val="28"/>
          <w:sz w:val="28"/>
          <w:szCs w:val="28"/>
          <w:rtl w:val="true"/>
          <w:lang w:bidi="fa-IR"/>
        </w:rPr>
        <w:t>و أمّا الجاهل المقصّر فی تحصیل الأحکام فعقابه علی کلّ ما یفوته من الواجبات مع جهله بها إنّما هو من جهة استناد عدم البیان إلی سوء الاختیار، و الامتناع بالاختیار لا ینافی الاختیار، و لهذا یعاقب الکفّار علی الفروع کما یعاقبون علی الاصول</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فتلخّص من جمیع ما ذکرنا أنّ مقتضی لزوم دفع الضرر المظنون هو حجّیة مطلق الظنّ بالأصل الأوّلی، و لکن المستفاد من الاستقراء فی الأحکام الشرعیة و حکم الشارع قطعا أو ظنا بالرجوع فی موارد الظنّ الحاصل من القیاس أو غیره إلی البراءة أو الاستصحاب هو القطع أو الظنّ بوجود أصل ثانوی وارد علی </w:t>
      </w:r>
      <w:bookmarkStart w:id="915" w:name="pg12850_121526"/>
    </w:p>
    <w:p>
      <w:pPr>
        <w:pStyle w:val="BookText"/>
        <w:rPr/>
      </w:pPr>
      <w:bookmarkEnd w:id="915"/>
      <w:r>
        <w:rPr>
          <w:rFonts w:ascii="IRNazanin" w:hAnsi="IRNazanin" w:eastAsia="IRNazanin"/>
          <w:color w:val="111111"/>
          <w:sz w:val="28"/>
          <w:sz w:val="28"/>
          <w:szCs w:val="28"/>
          <w:rtl w:val="true"/>
          <w:lang w:bidi="fa-IR"/>
        </w:rPr>
        <w:t xml:space="preserve">الأصل الأوّلی فی الأحکام الشرعیة، و مؤمّن من الضرر فیها و هو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بالتوجیهات المتقدّمة</w:t>
      </w:r>
      <w:r>
        <w:rPr>
          <w:rFonts w:eastAsia="IRNazanin" w:cs="IRNazanin"/>
          <w:color w:val="111111"/>
          <w:sz w:val="28"/>
          <w:szCs w:val="28"/>
          <w:rtl w:val="true"/>
          <w:lang w:bidi="fa-IR"/>
        </w:rPr>
        <w:t>.</w:t>
      </w:r>
    </w:p>
    <w:p>
      <w:pPr>
        <w:pStyle w:val="Heading5"/>
        <w:numPr>
          <w:ilvl w:val="4"/>
          <w:numId w:val="1"/>
        </w:numPr>
        <w:rPr/>
      </w:pPr>
      <w:bookmarkStart w:id="916" w:name="__RefHeading___Toc2527674_3224264995"/>
      <w:bookmarkStart w:id="917" w:name="_Toc337"/>
      <w:bookmarkEnd w:id="916"/>
      <w:r>
        <w:rPr>
          <w:rtl w:val="true"/>
        </w:rPr>
        <w:t>[</w:t>
      </w:r>
      <w:r>
        <w:rPr>
          <w:rtl w:val="true"/>
        </w:rPr>
        <w:t>مآل قاعدة قبح العقاب ان استندت إلی العقل</w:t>
      </w:r>
      <w:r>
        <w:rPr>
          <w:rtl w:val="true"/>
        </w:rPr>
        <w:t>]</w:t>
      </w:r>
      <w:bookmarkEnd w:id="917"/>
    </w:p>
    <w:p>
      <w:pPr>
        <w:pStyle w:val="BookText"/>
        <w:rPr/>
      </w:pPr>
      <w:r>
        <w:rPr>
          <w:rFonts w:ascii="IRNazanin" w:hAnsi="IRNazanin" w:eastAsia="IRNazanin"/>
          <w:color w:val="111111"/>
          <w:sz w:val="28"/>
          <w:sz w:val="28"/>
          <w:szCs w:val="28"/>
          <w:rtl w:val="true"/>
          <w:lang w:bidi="fa-IR"/>
        </w:rPr>
        <w:t xml:space="preserve">و لکنه مع کلّ تلک التوجیهات مردود بأنّ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هو العقل، أعنی قبح العقاب بلا بیان عقلا فمن المعلوم أنّ قبحه العقلی إنّما هو فی العقاب علی المحتملات المشکوکة و الموهومة، دون العقاب علی المظنونات المتّبعة عقلا؛ لاختصاص عدم البیان المستقبح علیه العقاب عقلا بالمحتملات لا المظنونات المتّبعة عقلا، فقاعدة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استنادها إلی العقل إنّما تکون واردة بعد ثبوت الشریعة علی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دفع الضرر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المتّبعة عقلا قبل ثبوت الشریعة، لا علی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دفع الضرر المظنون</w:t>
      </w:r>
      <w:r>
        <w:rPr>
          <w:rFonts w:eastAsia="IRNazanin" w:cs="IRNazanin"/>
          <w:color w:val="111111"/>
          <w:sz w:val="28"/>
          <w:szCs w:val="28"/>
          <w:rtl w:val="true"/>
          <w:lang w:bidi="fa-IR"/>
        </w:rPr>
        <w:t>».</w:t>
      </w:r>
    </w:p>
    <w:p>
      <w:pPr>
        <w:pStyle w:val="Heading5"/>
        <w:numPr>
          <w:ilvl w:val="4"/>
          <w:numId w:val="1"/>
        </w:numPr>
        <w:rPr/>
      </w:pPr>
      <w:bookmarkStart w:id="918" w:name="__RefHeading___Toc2527676_3224264995"/>
      <w:bookmarkStart w:id="919" w:name="_Toc338"/>
      <w:bookmarkEnd w:id="918"/>
      <w:r>
        <w:rPr>
          <w:rtl w:val="true"/>
        </w:rPr>
        <w:t>[</w:t>
      </w:r>
      <w:r>
        <w:rPr>
          <w:rtl w:val="true"/>
        </w:rPr>
        <w:t>حدّ قاعدة القبح ان استندت إلی الشرع</w:t>
      </w:r>
      <w:r>
        <w:rPr>
          <w:rtl w:val="true"/>
        </w:rPr>
        <w:t>]</w:t>
      </w:r>
      <w:bookmarkEnd w:id="919"/>
    </w:p>
    <w:p>
      <w:pPr>
        <w:pStyle w:val="BookText"/>
        <w:rPr/>
      </w:pPr>
      <w:r>
        <w:rPr>
          <w:rFonts w:ascii="IRNazanin" w:hAnsi="IRNazanin" w:eastAsia="IRNazanin"/>
          <w:color w:val="111111"/>
          <w:sz w:val="28"/>
          <w:sz w:val="28"/>
          <w:szCs w:val="28"/>
          <w:rtl w:val="true"/>
          <w:lang w:bidi="fa-IR"/>
        </w:rPr>
        <w:t>و أمّا علی تقدیر استنادها إلی الشرع فمن الواضح علی من تأمّل فی مفاد الأخبار المستندة لها أنّ غایة مفادها هو نفی العقاب علی المحتملات مطلقا و علی المظنونات فی الشبهات الموضوعیة، لا مطلقا حتی فی الشبهات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حصل الظنّ من القیاس فإطلاق الأخبار الناهیة عنه تقتضی نفی العقاب علی مخالفته مطلقا، حتی فی الشبهات الحکمیة علی إشکال سبق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حصل الظنّ فی الشبهات الحکمیة سیّما من غیر القیاس فلا دلالة فی شی‌ء من أخبار نفی العقاب بلا بیان و لا فی أخبار البراءة و لا فی أخبار الاستصحاب علی التأمین من ضرر مخالفته، بل غایة دلالتها إنّما هو علی التأمین من الضرر المحتمل مطلقا، و من الضرر المظنون فی الشبهات الموضوعیة لا غیر</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سلّمنا دلالتها علی التأمین مطلقا حتی عن الضرر المظنون فی الأحکام من غیر القیاس فهو مبنیّ علی تقدیر انفتاح باب العلم و الظنّ الخاصّ، </w:t>
      </w:r>
    </w:p>
    <w:p>
      <w:pPr>
        <w:pStyle w:val="BookText"/>
        <w:rPr/>
      </w:pPr>
      <w:r>
        <w:rPr>
          <w:rFonts w:ascii="IRNazanin" w:hAnsi="IRNazanin" w:eastAsia="IRNazanin"/>
          <w:color w:val="111111"/>
          <w:sz w:val="28"/>
          <w:sz w:val="28"/>
          <w:szCs w:val="28"/>
          <w:rtl w:val="true"/>
          <w:lang w:bidi="fa-IR"/>
        </w:rPr>
        <w:t xml:space="preserve">بقدر الکفایة و رفع الحاجة عن معظم الأحکام، و أمّا علی تقدیر انسداد بابه فلا تکون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مؤمّنة عن الضرر المظنون مطلقا، لأنّه بعد فرض انسداد باب البیان الخاصّ التفصیلی فی الأحکام لا إشکال فی کفایة البیان العامّ الإجمالی بالطریق العامّ العقلائی، و هو ترجیح المظنونات علی الموهومات فی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کفایة هذا النحو من البیان العامّ لم یبق مسرح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فیرجع حاصل الکلام فی ما ادّعاه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دلالة الاستقراء و التتبّع علی ورود المؤمّن شرعا من الضرر المظنون إلی منع عموم المؤمّن المستفاد من الاستقراء، حتی عن الضرر المظنون فی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سلّمنا عموم المؤمّن فوروده علی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دفع الضرر المظنون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 الأحکام مبنیّ علی تقدیر انفتاح باب العلم و الظنّ الخاصّ لا مطلقا حتی علی تقدیر الانسداد الآتی بیان ثبوته فی زماننا نوعا</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قاعدة لزوم دفع الضرر المظنون علی تقدیر تمامیته راجع إلی دلیل الانسداد فلا وجه لعدّه دلیلا برأسه، لما عرفت من أنّا منعنا أولا توقّفه علی الانسداد، و بعد التنزّل و التسلیم فتوقّفه علی الانسداد غیر رجوعه إلیه، کما لا یخفی علی المتأمّل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0" w:name="pg12850_121531"/>
      <w:bookmarkStart w:id="921" w:name="pg12850_121531"/>
      <w:bookmarkEnd w:id="921"/>
    </w:p>
    <w:p>
      <w:pPr>
        <w:pStyle w:val="Heading3"/>
        <w:numPr>
          <w:ilvl w:val="2"/>
          <w:numId w:val="1"/>
        </w:numPr>
        <w:rPr/>
      </w:pPr>
      <w:bookmarkStart w:id="922" w:name="pg12850_121531"/>
      <w:bookmarkStart w:id="923" w:name="__RefHeading___Toc2527678_3224264995"/>
      <w:bookmarkStart w:id="924" w:name="_Toc339"/>
      <w:bookmarkEnd w:id="922"/>
      <w:bookmarkEnd w:id="923"/>
      <w:r>
        <w:rPr>
          <w:rtl w:val="true"/>
        </w:rPr>
        <w:t>فهرس الموضوعات</w:t>
      </w:r>
      <w:bookmarkEnd w:id="924"/>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IRNazanin" w:hAnsi="IRNazanin" w:eastAsia="IRNazanin"/>
          <w:color w:val="111111"/>
          <w:sz w:val="28"/>
          <w:sz w:val="28"/>
          <w:szCs w:val="28"/>
          <w:rtl w:val="true"/>
          <w:lang w:bidi="fa-IR"/>
        </w:rPr>
        <w:t xml:space="preserve">مقدّمة التحقیق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أحوال المکلّف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موارد الاصول العملیّة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تحقیق فی أصل الاباحة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حجّیة القطع ذاتیة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نظائر القطع فی عدم معقولیة تعلّق الجعل به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الماهیّة و لوازمها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وجوب المقدّمة و لابدّیتها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العلم الاجمالی بوجوب مردّد بین شیئین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اعتبار الظن عند انسداد باب العلم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اعتبار الاستصحاب و الید و السوق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الأحکام الوضعیة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طریقیة الطریق المنجعل موضوعیة الطریق الجعلی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اختلاف اطلاق الحجّة علی القطع عن اطلاقها علی سائر الأمارات </w:t>
      </w:r>
      <w:r>
        <w:rPr>
          <w:rFonts w:eastAsia="IRNazanin" w:cs="IRNazanin"/>
          <w:color w:val="111111"/>
          <w:sz w:val="28"/>
          <w:szCs w:val="28"/>
          <w:lang w:bidi="fa-IR"/>
        </w:rPr>
        <w:t>21</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الواسطة فی الثبوت و الواسطة فی الاثبات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التصویب فی الموضوعات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تصرّف المعصوم فی الموضوعات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انقسام رأی الأخباریة فی حجّیة مطلق العلم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وجه رجوع المقلّد إلی الغیر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قیام الأمارات و بعض الاصول العملیة مقام القطع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حدّ تنزیل الإمارات و الاصول التنزیلیة منزلة القطع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التجرّی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بحث التجرّی مسألة فقهیة أو اصولیة أو غیرهما؟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مصبّ النزاع فی حکم التجرّی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الأقوال فی حکم مسألة التجرّی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اشارة إلی الاحباط عند الإمامیة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دعوی الاجماع علی حکم التجرّی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اشارة إلی حقیقة الحکم الوضعی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دراسة بناء العقلاء فی مسألة التجرّی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دراسة حکم العقل باستحقاق الذم عند التجری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بحث فی عدم العقاب علی أمر لا یرجع إلی الاختیار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امکان التفاوت فی حق الحکیم بین صورة مصادفة التجرّی و بین عدمها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النسبة بین قبح التجرّی من حیث النیّة و قبحه من حیث النیّة و من حیث المنوی </w:t>
      </w:r>
      <w:r>
        <w:rPr>
          <w:rFonts w:eastAsia="IRNazanin" w:cs="IRNazanin"/>
          <w:color w:val="111111"/>
          <w:sz w:val="28"/>
          <w:szCs w:val="28"/>
          <w:lang w:bidi="fa-IR"/>
        </w:rPr>
        <w:t>50</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دراسة ظهور حرمة الأکل علی الزاعم طلوع الفجر فی حرمة الفعل المتجرّی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استدلال آخر بالکتاب و السنّة علی حرمة التجرّی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ما یصدق معه التجرّی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ما نسب إلی أکثر الاخباریة فی مسألة حجّیة ما یحتمل الخطأ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ما نسب إلی السید الصدر من ملازمة حکم العقل لحکم الشرع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المناقشة فی دعوی الفرق بین قطعیات العقل النظری و بین قطعیات النقل الوصوی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فائدة القواعد المنطقیة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منشأ الخلافات فی الفروع الفقهیة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هل یتصوّر التعارض بین القطعین؟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تفصیل فی اعتبار الأحکام العقلیة بین الإنّی و اللمّی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المراد من ذمّ العقول فی الروایات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قطع القطاع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ظنّ الظنّان و شکّ الشکّاک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تصویر الحکم علی القاطع بالرجوع إلی العمل بخلاف قطعه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تفصیل فی قطع القطّاع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اتّصاف العلم بالتفصیل و الاجمال انّما هو باعتبار معلومه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الامتثال الإجمالی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محلّ النزاع فی کفایة الامتثال الإجمالی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هل المطلوب تحقّق الإطاعة أو یعتبر معها أمر آخر؟ </w:t>
      </w:r>
      <w:r>
        <w:rPr>
          <w:rFonts w:eastAsia="IRNazanin" w:cs="IRNazanin"/>
          <w:color w:val="111111"/>
          <w:sz w:val="28"/>
          <w:szCs w:val="28"/>
          <w:lang w:bidi="fa-IR"/>
        </w:rPr>
        <w:t>83</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دراسة ما استظهره المصنّف من عدم جواز الاکتفاء بالامتثال الاجمالی فی محلّ النزاع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جواز ترک تحصیل الظن إلی العمل بالاحتیاط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تأثیر العلم الاجمالی فی التنجیز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المخالفة غیر العملیة للعلم الاجمالی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محلّ النزاع فی وجوب الالتزام بالحکم المعیّن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المراد من وجوب الالتزام بالحکم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حرمة المخالفة الالتزامیة استقلالیة 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تحدید أثر القول بوجوب الالتزام و حرمة المخالفة الالتزامیة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الأقوال فی مسألة وجوب الالتزام بالحکم المعیّن و عدمه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المخالفة العملیة للعلم الاجمالی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الردّ علی أدلّة مجوّزی المخالفة العملیة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اشارة إلی توهّم انصراف دلیل حکم النجاسة و نحوها إلی المعلوم بالتفصیل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اشارة إلی تقدّم عموم أدلّة الاصول علی اطلاق موضوع النجس و اطلاق العلم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مخالفة الخطاب المردّد بین خطابین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وجه جواز المخالفة فی الشبهة الموضوعیة من مفروض المسألة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فی حکم تردّد شخص المکلّف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صور مخالفة الخطاب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حکم الحامل و المحمول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حکم الخنثی </w:t>
      </w:r>
      <w:r>
        <w:rPr>
          <w:rFonts w:eastAsia="IRNazanin" w:cs="IRNazanin"/>
          <w:color w:val="111111"/>
          <w:sz w:val="28"/>
          <w:szCs w:val="28"/>
          <w:lang w:bidi="fa-IR"/>
        </w:rPr>
        <w:t>114</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تعرّض لحکم الجاهل بالجهر أو الإخفات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مباحث الظن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أصالة الإمکان فی الأشیاء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فی تحقیق الردّ علی ایراد ابن قبّة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الوجوه الممکنة للتعبد بالظن طریقا إلی الواقع غیر ما ذکره الماتن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التصویب الباطل بمعنی آخر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ما یصدق معه فوت الواجب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محل الکلام فی التخطئة و التصویب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فی وقوع التعبد بالظن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أقسام الظن و معانی العمل به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الردّ علی ما استظهره من المتن فی حکم العمل بالظنّ بأقسامه و دفعه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تحقیق فی أدلّة المانعین من العمل بالظن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ایراد صاحب القوانین علی الاستدلال بالآیات و الروایات علی حرمة العمل بالظن عموما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جوانب من استاذه عن ایراد صاحب القوانین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ارجاع الی الفصول فی دفع ایرادات صاحب القوانین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ادلّة المجوّزین للعمل بالظن و انقسامها إلی قسمین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مناقشة کلام الماتن من کفایة عدم العلم بورود التعبد فی حرمة العمل بالظن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دراسة تقریر آخر للأصل فی المسألة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تقریر آخر للأصل فی المسألة و تحقیقه </w:t>
      </w:r>
      <w:r>
        <w:rPr>
          <w:rFonts w:eastAsia="IRNazanin" w:cs="IRNazanin"/>
          <w:color w:val="111111"/>
          <w:sz w:val="28"/>
          <w:szCs w:val="28"/>
          <w:lang w:bidi="fa-IR"/>
        </w:rPr>
        <w:t>147</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المائز بین الظن الخاص و الظن المطلق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 ما نسب إلی الأمین الاسترابادی من عدم تجویز العمل بظواهر الألفاظ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اختلاف الاخباریین فی المنع عن العمل بظاهر الکتاب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حجّیة محکمات القرآن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ردّ ما استدل به علی عدم حجّیة ظواهر الکتاب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مناقشة کلام الماتن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انحلال العلم الاجمالی بوجود مخالفات لظواهر الکتاب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ردّ ما ادّعی من عدم العلم بکون الظواهر من المحکمات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وجوه محکیّة عن الشیخ الحر علی منع حجّیة ظاهر الکتاب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توهّم عدم الجدوی فی نزاع حجّیة الظواهر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الردّ علی القول بتواتر القراءات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إذا تعارضت القراءتان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جواز الاستدلال بالکتاب علی کل حال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توهّم استلزام العمل بظاهر الکتاب لعدم جوازه و جوابه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تعریض بصاحب القوانین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عدم شمول آیات الناهیة عن العمل بالظن لأنفسها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توجیه تفصیل صاحب القوانین بین من قصد إفهامه و غیره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ردّ تفصیل صاحب القوانین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لا مانع من جریان اصل عدم الغفلة من الغائب عن مجلس المشافهة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مناقشة کلام الماتن </w:t>
      </w:r>
      <w:r>
        <w:rPr>
          <w:rFonts w:eastAsia="IRNazanin" w:cs="IRNazanin"/>
          <w:color w:val="111111"/>
          <w:sz w:val="28"/>
          <w:szCs w:val="28"/>
          <w:lang w:bidi="fa-IR"/>
        </w:rPr>
        <w:t>171</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مدلول خبر الثقلین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تفصیل النظر فی ما أورده صاحب المعالم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کیفیة اعتبار الظواهر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ما یعتبر فی حجّیة الظواهر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الأصل فی المسألة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وجوه الأقوال فی کیفیة حجّیة الظواهر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تعرّض لاستصحاب الاطلاق و العموم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فی تمیّز الظهور العرفی عن موارد الاجمال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تعارض الظهورین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الظاهر المکتنف بمشکوک القرینة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الظاهر الشأنی و الفعلی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دراسة التفصیل بین الاتصال بما یحتمل القرینیة و بین انفصاله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الظاهر المکتنف بما یشکّ فی مقدار قرینیته و صارفیته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المثبت و المشخص للظهور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ثبوت الموضوعات المستنبطة بالظن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الانسداد الشخصی فی تشخیص الظواهر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حجّیة الظن فی اثبات الظواهر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الردّ علی دعوی الماتن من معلومیّة أکثر موارد اللغات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کلمات منقولة فی کفایة الظن لتشخیص الظواهر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دفع الإیراد عن دعوی الاجماع فی المسألة </w:t>
      </w:r>
      <w:r>
        <w:rPr>
          <w:rFonts w:eastAsia="IRNazanin" w:cs="IRNazanin"/>
          <w:color w:val="111111"/>
          <w:sz w:val="28"/>
          <w:szCs w:val="28"/>
          <w:lang w:bidi="fa-IR"/>
        </w:rPr>
        <w:t>199</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استدلّ به صاحب الضوابط علی کفایة قول اللغوی فی تشخیص الظواهر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الاجماع المنقول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محل النزاع فیه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وجه إعراض القائلین بحجّیة الاجماع المنقول عن الاجماع المنقول أحیانا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الاجماع المنقول مضافا إلی من عدا الإمام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ان النزاع فی الاجماع المنقول إنما هو من جهة استکشاف الناقل و حدسه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وجه اعتبار الاجماع المنقول عند بعض مانعی حجّیة الاجماع المنقول أحیانا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صحة سند فقه الرضا علیه السلام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معنی حجّیة الإجماع المنقول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الأقوال فی حجّیة الإجماع المنقول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الردّ علی منع الماتن حجّیة الاجماع المنقول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ردّ ما یمکن أن یدّعی فی منع دلالة آیة النبأ علی حجّیة الإجماع المنقول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الکلام فی أن الإخبار بالحدس أکثر خطأ من الإخبار بالحسّ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احتمال عدم إطلاق الشاهد و الراوی علی غیر الضابط أو انصرافهما عنه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مناقشة کلام الماتن فی وجه عدم الاستدلال بآیة النبأ علی حجّیة فتوی الفقیه علی العامی </w:t>
      </w:r>
      <w:r>
        <w:rPr>
          <w:rFonts w:eastAsia="IRNazanin" w:cs="IRNazanin"/>
          <w:color w:val="111111"/>
          <w:sz w:val="28"/>
          <w:szCs w:val="28"/>
          <w:lang w:bidi="fa-IR"/>
        </w:rPr>
        <w:t>216</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مناقشة کلام الماتن من عدم اعتبار الشهادة فی المحسوسات </w:t>
      </w:r>
    </w:p>
    <w:p>
      <w:pPr>
        <w:pStyle w:val="BookText"/>
        <w:rPr/>
      </w:pPr>
      <w:r>
        <w:rPr>
          <w:rFonts w:ascii="IRNazanin" w:hAnsi="IRNazanin" w:eastAsia="IRNazanin"/>
          <w:color w:val="111111"/>
          <w:sz w:val="28"/>
          <w:sz w:val="28"/>
          <w:szCs w:val="28"/>
          <w:rtl w:val="true"/>
          <w:lang w:bidi="fa-IR"/>
        </w:rPr>
        <w:t xml:space="preserve">ان لم یستند إلی الحسّ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تحقیق فی معنی الشهادة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اطلاق الاجماع علی مجرّد الاتفاق الکاشف مسامحة فی الاطلاق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اطلاق الاجماع علی ما عدا اتفاق الکل مسامحة فیه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حمل اللفظ علی مصطلح مستعمله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سماع الحکم من الإمام علیه السلام فی زماننا فی المنام بل فی الیقظة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انفتاح باب تحصیل الاجماع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توضیح فی نسبة ما سمعه من الإمام فی المنام إلی الاجماع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تفصیل لتوضیح الحال فی التکلّم بالظاهر الغیر المطابق للواقع و لا للقصد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استناد اجماعات الشیخ إلی قاعدة اللطف لا یمنع من الاعتماد علی حکایته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ردّ علی الماتن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عدم تعیّن استناد القول باعتبار عدم المخالف من أهل العصر فی الاجماع إلی قاعدة اللطف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احتمال استناد الإجماع المنقول إلی طریق موصل کاف فی القبول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دراسة کلام الماتن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تأکید ما تقدّم من جواز حصول السماع من الإمام علیه السلام فی زماننا </w:t>
      </w:r>
      <w:r>
        <w:rPr>
          <w:rFonts w:eastAsia="IRNazanin" w:cs="IRNazanin"/>
          <w:color w:val="111111"/>
          <w:sz w:val="28"/>
          <w:szCs w:val="28"/>
          <w:lang w:bidi="fa-IR"/>
        </w:rPr>
        <w:t>230</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السیرة علی قبول قول کل خبیر من أهل الخبرة المستند إلی الحدس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یقبل من قول المجتهد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حجّیة الاجماع المنقول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مرجعیة الاجتهادات فی العلوم و الفنون مع کثرة تطرّق الخطأ علی مقدّماتها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وجود الدلیل الخاص علی حجّیة الظن الحاصل من نقل الاجماع للمنقول له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عدم التوقّف فی العمل بقول الشاهد فی الامور الحدسیة بمجرّد احتمال استناد إلی طریق غیر موصل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عدم التوقف فی العمل بقول الشاهد فی الامور الحسّیة مع احتمال استناده فی الشهادة إلی الحدس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إخبار الوکیل و ذی الید و إخبار العدل عن فتوی المفتی و اخبار الشاهد ببیع أو عقد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ردّ دعوی الماتن من ظهور لفظ الاجماع فی إجماع أهل عصر واحد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ما نقل عن کاشف الغطاء من تحصیل الاجماع من مجرّد الوقوف علی ارسال فتوی فی الدروس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أخذ الأصحاب بشرائع علی بن بابویه عند اعوزاز النصوص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استکشاف قول الإمام من قول جملة من العلماء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الشواهد المورثة للعلم بقول الإمام بإجماع أهل عصر واحد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دفع استبعاد الماتن اعتبار الاجماع المنقول بمجرّد احتمال الخطأ فی مدّعیه </w:t>
      </w:r>
      <w:r>
        <w:rPr>
          <w:rFonts w:eastAsia="IRNazanin" w:cs="IRNazanin"/>
          <w:color w:val="111111"/>
          <w:sz w:val="28"/>
          <w:szCs w:val="28"/>
          <w:lang w:bidi="fa-IR"/>
        </w:rPr>
        <w:t>239</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وهن الاجماع المنقول بنفسه بما ذکره الماتن من موهناته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صدور الحکم المختلف عن الإمام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تعارض أخبار المضایقة مع أخبار المواسعة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وجه تعارض الاجماعات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دیدن العلماء و سیرتهم فی نقل موارد الشهرة أو عدم الخلاف أو الاجماع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تأمّل فی کلام الماتن حول حجّیة الخبر المتضمّن لافتاء جمیع أهل الفتوی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انحاء نقل الإجماع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التواتر المنقول، الضرورة المنقولة، الشهرة المنقولة الاستفاضة المنقولة و غیر ذلک من اوصاف الخبر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معنی المتواتر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محل النزاع فی التواتر المنقول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إشارة إلی النظر فی اعتبار التواتر فی القراءة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حجّیة التواتر المنقول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الردّ علی ما ذهب إلیه الماتن من عدم حجّیة التواتر المنقول بدعوی عدم استلزام ثبوته لشخص لثبوته فی نفس الأمر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النظر فی اعتراض المحقّق الأردبیلی و صاحب المدارک علی المحقّق و الشهید الثانیین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البحث فی حجّیة الشهرة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مراحل البحث فی حجّیة الشهرة </w:t>
      </w:r>
      <w:r>
        <w:rPr>
          <w:rFonts w:eastAsia="IRNazanin" w:cs="IRNazanin"/>
          <w:color w:val="111111"/>
          <w:sz w:val="28"/>
          <w:szCs w:val="28"/>
          <w:lang w:bidi="fa-IR"/>
        </w:rPr>
        <w:t>254</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الحجّیة المتنازع فی ثبوتها للشهرة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الأقوال فی حجّیة الشهرة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محل النزاع من أقسام الشهرة هو الشهرة الفتوائیة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عدم حجّیة الشهرة الفتوائیة غیر المقیدة للظن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حجّیة الشهرة الکاشفة قطعا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تفصیل الکلام فی حجّیة الشهرة الفتوائیة الکاشفة ظنّا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الکلام فی بناء العقلاء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حجیة بناء العقلاء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تقریب آخر فی حجّیة بناء العقلاء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افتراق بناء العرف عن بناء العقلاء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استقرار بناء العقلاء علی وجه التعلیق علی العمل بجملة من الظنون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بناء العقلاء علی العمل بالظن الحاصل من قول أهل الخبرة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بناء العقلاء علی العمل بالظنون المعمولة لتشخیص کلّ مذهب و رویّة من مذاهب الرؤساء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استمرار بناء العقلاء من العلماء علی ابتناء اجتهاداتهم الفرعیّة علی مبانی ظنیّة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انحصار طریق المنع عن بناء العقلاء فی التنصیص بالنصوص المتضافرة بل المتواترة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تقویة اکتفاء صاحب القوانین بمجرّد عدم الدلیل علی المنع فی حجّیة الشهرة و سائر الظنون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تقویة توجیه الشهید الثانی فی حجّیة الشیاع الظنی </w:t>
      </w:r>
      <w:r>
        <w:rPr>
          <w:rFonts w:eastAsia="IRNazanin" w:cs="IRNazanin"/>
          <w:color w:val="111111"/>
          <w:sz w:val="28"/>
          <w:szCs w:val="28"/>
          <w:lang w:bidi="fa-IR"/>
        </w:rPr>
        <w:t>263</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استظهار الاجماع علی حجّیة الشهرة من عبارة الشهید فی التمهید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الاستدلال بالکتاب علی حجّیة الشهرة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بحث فی مفاد آیة النبأ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دفع الأوهام عن دلالة الآیة علی حجّیة الشهرة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المحتملات فی مراد مانعی حجّیة الشهرة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الاستدلال بالاخبار علی حجیة الشهرة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البحث فی سند مقبولة عمر بن حنظلة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المراد من کون الراوی من أصحاب الإجماع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کیفیة الاستدلال بالمقبولة علی حجیة الشهرة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لا بدّ للتعلیل من زیادة الفائدة علی المعلول عند المخاطب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شیوع الفتوی و الاستنباط بین الصحابة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اقتضاء المقبولة لشمول الشهرتین الروائیة و الفتوائیة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الشهرة الروائیة أعم من روایتها و الافتاء بها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تمامیة دلالة المقبولة علی حجیة الشهرة الفتوائیة و الروائیة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دفع توهّم اختصاص حجّیتها بصورة الکشف القطعی عن الواقع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الاستدلال بمرفوعة زرارة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جبر ضعف سند المرفوعة بموافقتها لسیرة العلماء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وجه مناقشة المحدّث البحرانی فی سند مرفوعة زرارة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الشهرة الفتوائیة الکاشفة عن مدرک ظنّی أو قطعی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الظن الطریقی و الظن غیر الطریقی </w:t>
      </w:r>
      <w:r>
        <w:rPr>
          <w:rFonts w:eastAsia="IRNazanin" w:cs="IRNazanin"/>
          <w:color w:val="111111"/>
          <w:sz w:val="28"/>
          <w:szCs w:val="28"/>
          <w:lang w:bidi="fa-IR"/>
        </w:rPr>
        <w:t>277</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السیرة فی تشخیص خبریة الأخبار الموقوفة و المضمرة و جبر الضعف و الإرسال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الشهرة المنضمّة إلی روایة ضعیفة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حجّیة الروایة المنضمّة إلی الشهرة لا الشهرة المنضمة إلیها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الثمرة بین القولین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جواز العمل بکل ما طابق الشهرة من فقرات کتاب فقه الرضا علیه السلام علی تقدیر حجّیة الشهرة الجابرة و عدمه علی القول الآخر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محصّل الکلام فی بحث الشهرة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تجرّد الدعوی من دواعی الکذب و الجعل عند العقلاء یوجب القبول من الفاسق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دلالة منطوق آیة النبأ علی قبول قول الفاسق بعد التبیّن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تعارض شهرة القدماء لشهرة المتأخرین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تقدیم شهرة المتأخرین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تعریض بما فی الفصول و القوانین فی هذا الباب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بحث فی الأخبار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جهات البحث فی الأخبار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الفرق بین جهتی علم الرجال و علم الدرایة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بعض أقسام الخبر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تعریف الخبر المتواتر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اشکال صاحب القوانین علی التمثیل للمتواتر و دفعه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اشکال صاحب المنتقی علی تواتر بعض ما یدّعی تواتره من اخبار الکتب الأربعة </w:t>
      </w:r>
      <w:r>
        <w:rPr>
          <w:rFonts w:eastAsia="IRNazanin" w:cs="IRNazanin"/>
          <w:color w:val="111111"/>
          <w:sz w:val="28"/>
          <w:szCs w:val="28"/>
          <w:lang w:bidi="fa-IR"/>
        </w:rPr>
        <w:t>288</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انقسام المتواتر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الفارق بین المتواتر اللفظی و المعنوی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تواتر حدیثی الثقلین و الغدیر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تعمیم صاحب القوانین المدلول الالتزامی من أنواع التواتر المعنوی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الردّ علی صاحب القوانین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دراسة تمثیل القوانین للتواتر المعنوی بأخبار نجاسة الماء القلیل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المراد من التواتر فی محاورات العلماء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ما اعتبر فی تحقق التواتر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البحث فی اعتبارهم استناد المخبر إلی الحسّ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الأقرب عدم اعتبار الحس فی الخبر المتواتر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اعتبار کثرة المخبرین إلی حدّ یمتنع تواطؤهم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اعتبار استواء الطرفین فی الواسطة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اعتبار عدم کون السامع مسبوقا بالعلم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اعتبار عدم کون الإخبار عن الظن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الفرق بین الخبر المتواتر و غیره من حیث الحکم و الأثر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وجوب العمل بموجب الخبر المتواتر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ارتداد المنکر لموجب الخبر المتواتر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العلم الحاصل من التواتر ضروری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العلم الضروری و العلم النظری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العلم بالتواتر ضروری و نظری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الخلاف فی کیفیة العلم الحاصل من التواتر المعلوم </w:t>
      </w:r>
      <w:r>
        <w:rPr>
          <w:rFonts w:eastAsia="IRNazanin" w:cs="IRNazanin"/>
          <w:color w:val="111111"/>
          <w:sz w:val="28"/>
          <w:szCs w:val="28"/>
          <w:lang w:bidi="fa-IR"/>
        </w:rPr>
        <w:t>302</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الکلام فی الخبر الواحد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تعریف الخبر الواحد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المراد من الاستفاضة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امکان استفادة العلم من الآحاد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الخبر الواحد المحفوف بالقرائن العلمیة حجة بلا اشکال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ما یعتبر لاثبات الحکم الشرعی بالأخبار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هل البحث عن حجّیة الخبر بحث من مباحث علم الاصول؟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إباء أخبار العرض عن الکتاب و السنّة عن التخصیص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هناک دلالات لبعض الآیات ینحصر فهمها منها بالمعصومین علیهم السلام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وجوه الاستدلال بآیة النبأ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شواهد علی قوة التوجیه الثالث فی دلالة آیة النبأ علی حجّیة الخبر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عدم انحصار الاستدلال بآیة النبأ فی الشرط أو الوصف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التحقیق فی ذبّ الاشکالات عن الاستدلال بآیة النبأ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معارضة خبر السید و سائر الأخبار فی الحجّیة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الاشکال العام فی جمیع ذات الوسائط من الأمارات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ما یعرف بالجذر الأصم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فی دلالة آیة النفر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اشارة إلی الاستدلال بآیة النفر علی کون الواجب الکفائی واجبا علی بعض غیر معیّن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وجه الاستدلال بآیة النفر علی حجّیة الخبر الواحد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اشارة إلی الاستعارة التبعیة و الأصلیة </w:t>
      </w:r>
      <w:r>
        <w:rPr>
          <w:rFonts w:eastAsia="IRNazanin" w:cs="IRNazanin"/>
          <w:color w:val="111111"/>
          <w:sz w:val="28"/>
          <w:szCs w:val="28"/>
          <w:lang w:bidi="fa-IR"/>
        </w:rPr>
        <w:t>346</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معنی لندب الحذر مع قیام المقتضی له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محاکمة صاحب الفصول فی ردّه علی صاحب القوانین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الفرق بین الفائدة و الغایة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تحقیق فی دلالة آیة النفر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دفع الأوهام عن دلالة آیة النفر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اشارة إلی الصور المحتملة فی معنی حجّیة الخبر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الاستدلال بآیة الاذن علی حجّیة خبر الواحد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جواب عن ایراد الماتن علی الاستدلال بآیة الاذن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تحقیق فی المراد بآیة الاذن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ردود علی الماتن فی المراد بالآیة و التحقیق فیه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أصل الصحة فی فعل المسلم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ذکر للقسامة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توجیه الاستدلال بآیة الاذن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مناقشة مع الماتن فی دعواه انصراف مفهوم آیة النبأ إلی الخبر المفید للظن الاطمینانی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اشارة إلی حقیقة المطلق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الأخبار المستدلّ بها علی حجّیة الخبر الواحد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فی حدّ مدلول الأخبار الدالّة علی حجّیة الخبر و الأقوال فیه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صاحب العوائد فی مدلول الأخبار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تقیّد أکثر الأخبار بالوثاقة و نحوها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الردّ علی دعوی صاحب المعالم فی حجّیة الخبر </w:t>
      </w:r>
      <w:r>
        <w:rPr>
          <w:rFonts w:eastAsia="IRNazanin" w:cs="IRNazanin"/>
          <w:color w:val="111111"/>
          <w:sz w:val="28"/>
          <w:szCs w:val="28"/>
          <w:lang w:bidi="fa-IR"/>
        </w:rPr>
        <w:t>376</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اشارة إلی عدم اعتبار الایمان فی العدالة المعتبرة فی الراوی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الردّ علی مقالة الماتن فی حدّ مدلول أدلّه الحجّیة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اشارة إلی رأی السید و تابعیه فی حجّیة الخبر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الاعتبار بمطلق مظنون الصدور و المظنون من الأخبار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الشروط التی اعتبرها العلماء فی الخبر الواحد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خبر مجهول الحال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خبر مختلف الأحوال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طریق معرفة العدالة و ما یترتّب علی هذا البحث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زیادة الشرط علی مشروطه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الجرح و التعدیل المجرّدان عن ذکر السبب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تفصیل آخر فی المسألة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تعارض الجرح و التعدیل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أنحاء تحمّل الحدیث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الدلیل الرابع علی حجّیة خبر الواحد العقل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دلیل الانسداد علی حجّیة خبر الواحد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دلیل الانسداد لکلّ ما انسدّ فیه باب العلم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دراسة مقدّمات دلیل الانسداد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اشارة إلی فساد موضوعیة العمل بالأخبار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اناطة مجری دلیل الانسداد بالعلم بمطلوبیة المنسدّ فیه باب العلم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حکم العقل فی ما انسدّ باب العلم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تطبیق حکم العقل فی مسألة العمل بالأخبار </w:t>
      </w:r>
      <w:r>
        <w:rPr>
          <w:rFonts w:eastAsia="IRNazanin" w:cs="IRNazanin"/>
          <w:color w:val="111111"/>
          <w:sz w:val="28"/>
          <w:szCs w:val="28"/>
          <w:lang w:bidi="fa-IR"/>
        </w:rPr>
        <w:t>422</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مجمل الایراد علی دلیل الانسداد فی حجّیة الاخبار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الردّ علی ما أورد علی دلیل الانسداد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اشارة إلی کشف الشهرة عن مدرک من الأخبار و الآثار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ایراد آخر أورده الماتن علی الوجوه العقلیة علی حجّیة الخبر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دفع ایراد الماتن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المقصود من دلیل الانسداد و نحوه تمییز الطریق المجعول شرعا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للشارع طریق خاص مجعول إلی أحکامه الواقعیة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دعوی الماتن فی ذلک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ردّ دعوی الماتن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التقریر الثانی من وجوه العقل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مقایسة التقریرین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مقتضی الدلیل الثالث العقلی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إمکان عدم صدور حکم واقعی عن الأئمة علیهم السلام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العلم العادی بصدور حکم المسائل العامة البلوی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دراسة الوجه الثالث العقلی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تمامیة دلالة کل واحد من الأدلة الأربعة علی حجّیة الأخبار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الاستدلال علی حجّیة الظن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مورد النظر فی الاستدلال علی حجّیة الظن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المراد من حجّیة الظن عند القائلین بها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مناقشة بعض ایرادات الماتن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انقسام الأدلّة المستدلّ بها علی حجّیة الظن إلی نقلیة و عقلیة </w:t>
      </w:r>
      <w:r>
        <w:rPr>
          <w:rFonts w:eastAsia="IRNazanin" w:cs="IRNazanin"/>
          <w:color w:val="111111"/>
          <w:sz w:val="28"/>
          <w:szCs w:val="28"/>
          <w:lang w:bidi="fa-IR"/>
        </w:rPr>
        <w:t>439</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دراسة الوجوه العقلیة علی حجّیة الظن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وجوه لزوم دفع الضرر المظنون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رفع الضرر المحتمل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انحصار الملزم للمکلّف بالنظر فی المعجزة فی العقل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تحقیق فی أدلّة حرمة القیاس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 xml:space="preserve">حجّیة الظن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 xml:space="preserve">وجوه خروج القیاس عن حجّیة مطلق الظن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النسبة بین قاعدتی قبح العقاب و دفع الضرر المظنون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إلزام قاعدة دفع الضرر المحتمل للنظر فی المعجزة و المعرفة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وجه التنجیز فی الشبهات المحصورة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عقاب الجاهل المقصّر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معاقبة الکفّار علی الفروع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مآل قاعدة قبح العقاب ان استندت إلی العقل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حدّ قاعدة القبح ان استندت إلی الشرع </w:t>
      </w:r>
      <w:r>
        <w:rPr>
          <w:rFonts w:eastAsia="IRNazanin" w:cs="IRNazanin"/>
          <w:color w:val="111111"/>
          <w:sz w:val="28"/>
          <w:szCs w:val="28"/>
          <w:lang w:bidi="fa-IR"/>
        </w:rPr>
        <w:t>456</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حواشیه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فاروق الحقّ للسیّد محمد المعروف بالقاضی الدزفولی غیر متوفر لدینا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نظیف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مصادره فی</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ورد عن الصدوق حیث سئل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المعقوفین أضفناه من المصدر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رکو أبیض</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فی 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عن شرحه لجمع الجوامع</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ضمن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یأکل الإیمان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کالواردة فی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 آدابه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المسح علی الجبیرة للکسیر مع الخوف، لاحظ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کما فی التیمم مع الخوف عن طلب الماء، او الخوف من البرد، او خوف العطش، 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و کما فی الإفطار مع الخوف علی النفس أو من ضرر آخر، انظر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یصحّ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هذه الموارد ممّا یسقط فیها الحکم مع خوف الضرر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النهی و ما یناسبهما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هاتان القطعتان فی متن المطبوع من الفرائد المعوّل علیه عندنا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هاتان القطعتان فی متن المطبوع من الفرائد المعوّل علیه عندنا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6353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إحیاء علوم الدین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اتحاف السادة المتّقین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 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هذا المتن فی نسخة الفرائد المعتمدة، و الظاهر أن المقصود هو المتن المعلّق علیه قبله، و تکرّرت التعلیقة علیه نتیجة اضافة بعض الاستدراکات فی النسخة و یظهر علی النسخة تأخر کتابة التعلیقة المتقدّمة عن هذه الأخیرة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ایرادنا</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نهایة السؤل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ما ورد فی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شرح اللمع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بتفاوت فی بعض اللفظ</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تعالی فی 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الآیة فی 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التسلیم و فضل المسلّمین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عقل، و لم نجد هذا اللفظ فی المصادر عن علی علیه السلام، نعم ورد هذا المضمون عن سائر الأئمّة علیهم السّلام، لاحظ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 الصادق علیه السّلام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إحیاء علوم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النقل بالمعنی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ورد مثل هذه القصة فی إحیاء علوم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الدرر النجفیة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تقدیم و تأخیر حصل من إلحاق بعض الزیادات و ارتأینا مناسبة هذه القطعة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ابتداء من کلام المعلّق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جملة قطع القطّاع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الموضع</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 الثانیة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الأربعین للمجلسی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 الأوانی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الفائدة الخامسة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 التنبیهات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الکوفة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نحوه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القمی فی 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الوصول الی علم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بالکفر و نحوه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بالکفر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بالکفر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المحکم و المتشابه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قد ورد ضمن الرسالة فی جامع الأخبار و 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الفوائد الطوسیة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الحیاة المطبوع ضمن الشهاب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تصریح له بهذا المعنی بل هو مستلزم لقوله بحجّیة الظن المطلق للمجتهد، و هو ظاهر من بحثه فی حجّیة الأخبار و مباحث الاجتهاد و التقلید و غیرهما، لاحظ 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نقل بهذا المعنی فی حقّ زرارة، نعم ورد فی حق جابر بن یزید الجعفی، کما فی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الأحادیث قریبا منه فی خصوص القرآن الکریم، راجع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بتصرف یسیر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اصول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الطباطبائی فی مفاتیح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علائم الوضع</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رسائل الشریف المرتضی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کالقاضی ابن البراج فی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و ابن زهرة فی الغنیة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و الحلی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من المحقّق فی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 لاحظ معارج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الوصول الی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ضمن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الذریعة إلی أصول الشریعة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للاستزادة راجع تفسیر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کتب الحدیث، نعم أورد فی المحجّة البیضاء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السلف 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 المؤمن کهانة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یسیر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مسجد المدینة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مع اختلاف یسیر، و الآیة فی 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المصدر السابق</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الشهادة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ذلک فی عدة موارد من الإیضاح،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حاشیة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فی کشف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الشهید الاول فی 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النهی و ما یناسبهما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نقلا عن الشهید دون العلّامة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فی کتب العلامة علی ما نقل عنه من التواتر راجع تذکرة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نهایة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 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تحریر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تبصرة المتعلمین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الضوابط فی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بیان حجیة نفس الشهرة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ما ذکره العلّامة فی المختلف فی وجوب استقبال القبلة فی دفن المیّت حیث تمسّک فیه بالشهرة، و قد استدل فی استحباب رفع الیدین بالتکبیرات فی صلاة الأموات أیضا بالشهرة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ضوابط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ضوابط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ضوابط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ضوابط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ضوابط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ضوابط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ضوابط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ضوابط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لاحظ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فی مفاتیح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ذکرها ملخصة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رجال النجاشی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اکمال الدین و اتمام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منتهی المقال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توثیقه فی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فی هند سنة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ذلک بین حاصرتین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معلما علیه بعلامتی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فلیراجع و لم یرد توثیقه فی الفهرست المطبوع فی النجف الأشرف المصحّح و المعلّق من السید محمد صادق بحر العلوم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الحواشی و لکن حکاه عنه ولده فی 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 أصحاب الاجماع و أمثالهم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أصحابک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النسخة الأصلیة و لعل الصواب فی التعبیر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الروائیة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راجع 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أصول الشریعة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إلی القول بحجیّة الرؤیا فی المنام کما عن بعضهم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النهی و ما یناسبهما 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احکام الوصایا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النذر و العهد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و القرض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و القرض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مصادرهما فی</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الی اصول الشریعة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 فیه اختلاف فی اللفظ</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لاحظ الذریعة إلی أصول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متوفّرة لدینا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المقدّمات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الصمدیة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السلطان علی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یجب علی الناس عند مضی الإمام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العلل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فی أواخر الحدیث التاسع</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طوف</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طوف</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طوف</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قواعد الاحکام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یجب علی الناس عند مضیّ الإمام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أواخر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الودیعة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احکام العشرة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أحکام العشرة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مجمع البحرین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مصادره فی</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السلطان المطبوعة علی هامش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غیرها من هذا الباب، و ایضا 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یلاحظ العوائد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ربما یستفاد منها ذلک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ما بین الحاصرتین علی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انه تتمیم و إلحاق إلا أنه لم یکمله رحمه اللّه کما هو الظاهر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العوائد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 ضمن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تصریح له بذلک و لکنه یستظهر من اعتماده علی دلیل الانسداد فی مقام اثبات حجیة الأخبار المنتج حجیة مطلق الظن و من جملة الظن بالصدور الحاصل من الخبر الواحد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الوصول الی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مناهج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الوصول إلی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نهایة الوصول إلی علم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هذا اللفظ فی أحادیثنا و إنما ورد بنحو آخر فی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و راجع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الوصول إلی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البحر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یعمّ کلامه قدّس سرّه و لعلّه ترکه هنا أو سقط ذلک من النسخة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 الاولی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 ضمن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مفاد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نَزَّلْنا عَلَیْکَ الْکِتابَ تِبْیاناً لِکُلِّ شَیْ‌ءٍ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غیرها من الآیات، و للاستزادة راجع القواعد الفقهیة للسید البجنوردی رحمه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احیاء الموات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و لاحظ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هو السید ابن زهرة کما یظهر بالمراجعة الی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یظهر ذلک من السیّد ابن زهرة من عدم ردّه علی کبری هذه القاعدة عند استدلال المستدلّ بها علی حجیّة الخبر الواحد و إنّما ردّه بالعلم بانتفاء المضرّة مع عدم إعلام الشارع بحکمه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الغنیة ضمن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الاعضاء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الوصایا 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النذر و العهد، سنن النسائی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اتمام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للکراجکی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اللئالئ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انظر الجامع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علی هامش النسخة الأصلیة قبال ما نقله عن الماتن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تقدیر ثبوته فی الواقع 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أنها إلحاق و لیست استدراک سقط</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image" Target="media/image2.jpeg"/><Relationship Id="rId487" Type="http://schemas.openxmlformats.org/officeDocument/2006/relationships/image" Target="media/image2.jpeg"/><Relationship Id="rId488" Type="http://schemas.openxmlformats.org/officeDocument/2006/relationships/footer" Target="footer481.xml"/><Relationship Id="rId489" Type="http://schemas.openxmlformats.org/officeDocument/2006/relationships/footnotes" Target="footnotes.xml"/><Relationship Id="rId490" Type="http://schemas.openxmlformats.org/officeDocument/2006/relationships/numbering" Target="numbering.xml"/><Relationship Id="rId491" Type="http://schemas.openxmlformats.org/officeDocument/2006/relationships/fontTable" Target="fontTable.xml"/><Relationship Id="rId492" Type="http://schemas.openxmlformats.org/officeDocument/2006/relationships/settings" Target="settings.xml"/><Relationship Id="rId4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491</Pages>
  <Words>47702</Words>
  <Characters>204758</Characters>
  <CharactersWithSpaces>251119</CharactersWithSpaces>
  <Paragraphs>1539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2026-08-23T21:01:00Z</dcterms:created>
  <dc:creator>ghaemiyeh.com</dc:creator>
  <dc:description/>
  <dc:language>en-US</dc:language>
  <cp:lastModifiedBy/>
  <dcterms:modified xsi:type="dcterms:W3CDTF">2026-08-24T00:31:12Z</dcterms:modified>
  <cp:revision>1</cp:revision>
  <dc:subject/>
  <dc:title>التعلیقه علی فرائد الاصول جلد 1</dc:title>
</cp:coreProperties>
</file>

<file path=docProps/custom.xml><?xml version="1.0" encoding="utf-8"?>
<Properties xmlns="http://schemas.openxmlformats.org/officeDocument/2006/custom-properties" xmlns:vt="http://schemas.openxmlformats.org/officeDocument/2006/docPropsVTypes"/>
</file>