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55.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رسائل و مقالات تبحث فی مواضیع فقهیه اصولیه کلامیه تراجم و مکاتبات و حورات مع بعض الاعلام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63388_73709187">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6863390_73709187">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6863392_73709187">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6863394_73709187">
            <w:r>
              <w:rPr>
                <w:webHidden/>
                <w:rStyle w:val="IndexLink"/>
                <w:rtl w:val="true"/>
              </w:rPr>
              <w:t>الفصل الأوّل</w:t>
            </w:r>
            <w:r>
              <w:rPr>
                <w:rStyle w:val="IndexLink"/>
                <w:rtl w:val="true"/>
              </w:rPr>
              <w:t xml:space="preserve">: </w:t>
            </w:r>
            <w:r>
              <w:rPr>
                <w:rStyle w:val="IndexLink"/>
                <w:rtl w:val="true"/>
              </w:rPr>
              <w:t>في الكلام والعقائد</w:t>
            </w:r>
            <w:r>
              <w:rPr>
                <w:rStyle w:val="IndexLink"/>
                <w:rtl w:val="true"/>
              </w:rPr>
              <w:tab/>
            </w:r>
            <w:r>
              <w:rPr>
                <w:rStyle w:val="IndexLink"/>
              </w:rPr>
              <w:t>18</w:t>
            </w:r>
          </w:hyperlink>
        </w:p>
        <w:p>
          <w:pPr>
            <w:pStyle w:val="Contents3"/>
            <w:tabs>
              <w:tab w:val="clear" w:pos="8459"/>
              <w:tab w:val="right" w:pos="9026" w:leader="dot"/>
            </w:tabs>
            <w:rPr/>
          </w:pPr>
          <w:hyperlink w:anchor="__RefHeading___Toc6863396_73709187">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6863398_73709187">
            <w:r>
              <w:rPr>
                <w:webHidden/>
                <w:rStyle w:val="IndexLink"/>
                <w:rtl w:val="true"/>
              </w:rPr>
              <w:t>مع ابن تيمية في عقائده</w:t>
            </w:r>
            <w:r>
              <w:rPr>
                <w:rStyle w:val="IndexLink"/>
                <w:rtl w:val="true"/>
              </w:rPr>
              <w:tab/>
            </w:r>
            <w:r>
              <w:rPr>
                <w:rStyle w:val="IndexLink"/>
              </w:rPr>
              <w:t>19</w:t>
            </w:r>
          </w:hyperlink>
        </w:p>
        <w:p>
          <w:pPr>
            <w:pStyle w:val="Contents3"/>
            <w:tabs>
              <w:tab w:val="clear" w:pos="8459"/>
              <w:tab w:val="right" w:pos="9026" w:leader="dot"/>
            </w:tabs>
            <w:rPr/>
          </w:pPr>
          <w:hyperlink w:anchor="__RefHeading___Toc6863400_73709187">
            <w:r>
              <w:rPr>
                <w:webHidden/>
                <w:rStyle w:val="IndexLink"/>
              </w:rPr>
              <w:t>1</w:t>
            </w:r>
            <w:r>
              <w:rPr>
                <w:rStyle w:val="IndexLink"/>
                <w:rtl w:val="true"/>
              </w:rPr>
              <w:t xml:space="preserve"> </w:t>
            </w:r>
            <w:r>
              <w:rPr>
                <w:rStyle w:val="IndexLink"/>
                <w:rtl w:val="true"/>
              </w:rPr>
              <w:t>التجسيم والتشبيه في منهج ابن تيمية</w:t>
            </w:r>
            <w:r>
              <w:rPr>
                <w:rStyle w:val="IndexLink"/>
                <w:rtl w:val="true"/>
              </w:rPr>
              <w:tab/>
            </w:r>
            <w:r>
              <w:rPr>
                <w:rStyle w:val="IndexLink"/>
              </w:rPr>
              <w:t>19</w:t>
            </w:r>
          </w:hyperlink>
        </w:p>
        <w:p>
          <w:pPr>
            <w:pStyle w:val="Contents4"/>
            <w:tabs>
              <w:tab w:val="clear" w:pos="8176"/>
              <w:tab w:val="right" w:pos="9026" w:leader="dot"/>
            </w:tabs>
            <w:rPr/>
          </w:pPr>
          <w:hyperlink w:anchor="__RefHeading___Toc6863402_73709187">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6863404_73709187">
            <w:r>
              <w:rPr>
                <w:webHidden/>
                <w:rStyle w:val="IndexLink"/>
              </w:rPr>
              <w:t>1</w:t>
            </w:r>
            <w:r>
              <w:rPr>
                <w:rStyle w:val="IndexLink"/>
                <w:rtl w:val="true"/>
              </w:rPr>
              <w:t xml:space="preserve">. </w:t>
            </w:r>
            <w:r>
              <w:rPr>
                <w:rStyle w:val="IndexLink"/>
                <w:rtl w:val="true"/>
              </w:rPr>
              <w:t>طلبهم من موسى عليه السلام الإله المجسّم</w:t>
            </w:r>
            <w:r>
              <w:rPr>
                <w:rStyle w:val="IndexLink"/>
                <w:rtl w:val="true"/>
              </w:rPr>
              <w:tab/>
            </w:r>
            <w:r>
              <w:rPr>
                <w:rStyle w:val="IndexLink"/>
              </w:rPr>
              <w:t>19</w:t>
            </w:r>
          </w:hyperlink>
        </w:p>
        <w:p>
          <w:pPr>
            <w:pStyle w:val="Contents4"/>
            <w:tabs>
              <w:tab w:val="clear" w:pos="8176"/>
              <w:tab w:val="right" w:pos="9026" w:leader="dot"/>
            </w:tabs>
            <w:rPr/>
          </w:pPr>
          <w:hyperlink w:anchor="__RefHeading___Toc6863406_73709187">
            <w:r>
              <w:rPr>
                <w:webHidden/>
                <w:rStyle w:val="IndexLink"/>
              </w:rPr>
              <w:t>2</w:t>
            </w:r>
            <w:r>
              <w:rPr>
                <w:rStyle w:val="IndexLink"/>
                <w:rtl w:val="true"/>
              </w:rPr>
              <w:t xml:space="preserve">. </w:t>
            </w:r>
            <w:r>
              <w:rPr>
                <w:rStyle w:val="IndexLink"/>
                <w:rtl w:val="true"/>
              </w:rPr>
              <w:t>طلبهم رؤية اللّه تعالى</w:t>
            </w:r>
            <w:r>
              <w:rPr>
                <w:rStyle w:val="IndexLink"/>
                <w:rtl w:val="true"/>
              </w:rPr>
              <w:tab/>
            </w:r>
            <w:r>
              <w:rPr>
                <w:rStyle w:val="IndexLink"/>
              </w:rPr>
              <w:t>20</w:t>
            </w:r>
          </w:hyperlink>
        </w:p>
        <w:p>
          <w:pPr>
            <w:pStyle w:val="Contents4"/>
            <w:tabs>
              <w:tab w:val="clear" w:pos="8176"/>
              <w:tab w:val="right" w:pos="9026" w:leader="dot"/>
            </w:tabs>
            <w:rPr/>
          </w:pPr>
          <w:hyperlink w:anchor="__RefHeading___Toc6863408_73709187">
            <w:r>
              <w:rPr>
                <w:webHidden/>
                <w:rStyle w:val="IndexLink"/>
              </w:rPr>
              <w:t>3</w:t>
            </w:r>
            <w:r>
              <w:rPr>
                <w:rStyle w:val="IndexLink"/>
                <w:rtl w:val="true"/>
              </w:rPr>
              <w:t xml:space="preserve">. </w:t>
            </w:r>
            <w:r>
              <w:rPr>
                <w:rStyle w:val="IndexLink"/>
                <w:rtl w:val="true"/>
              </w:rPr>
              <w:t>عبادتهم العجل في غياب موسى عليه السلام عنهم</w:t>
            </w:r>
            <w:r>
              <w:rPr>
                <w:rStyle w:val="IndexLink"/>
                <w:rtl w:val="true"/>
              </w:rPr>
              <w:tab/>
            </w:r>
            <w:r>
              <w:rPr>
                <w:rStyle w:val="IndexLink"/>
              </w:rPr>
              <w:t>20</w:t>
            </w:r>
          </w:hyperlink>
        </w:p>
        <w:p>
          <w:pPr>
            <w:pStyle w:val="Contents4"/>
            <w:tabs>
              <w:tab w:val="clear" w:pos="8176"/>
              <w:tab w:val="right" w:pos="9026" w:leader="dot"/>
            </w:tabs>
            <w:rPr/>
          </w:pPr>
          <w:hyperlink w:anchor="__RefHeading___Toc6863410_73709187">
            <w:r>
              <w:rPr>
                <w:webHidden/>
                <w:rStyle w:val="IndexLink"/>
                <w:rtl w:val="true"/>
              </w:rPr>
              <w:t>تطرّق فكرة التجسيم إلى النصرانية</w:t>
            </w:r>
            <w:r>
              <w:rPr>
                <w:rStyle w:val="IndexLink"/>
                <w:rtl w:val="true"/>
              </w:rPr>
              <w:tab/>
            </w:r>
            <w:r>
              <w:rPr>
                <w:rStyle w:val="IndexLink"/>
              </w:rPr>
              <w:t>21</w:t>
            </w:r>
          </w:hyperlink>
        </w:p>
        <w:p>
          <w:pPr>
            <w:pStyle w:val="Contents4"/>
            <w:tabs>
              <w:tab w:val="clear" w:pos="8176"/>
              <w:tab w:val="right" w:pos="9026" w:leader="dot"/>
            </w:tabs>
            <w:rPr/>
          </w:pPr>
          <w:hyperlink w:anchor="__RefHeading___Toc6863412_73709187">
            <w:r>
              <w:rPr>
                <w:webHidden/>
                <w:rStyle w:val="IndexLink"/>
                <w:rtl w:val="true"/>
              </w:rPr>
              <w:t>دور الأحبار و الرهبان في نشر فكرة التجسيم</w:t>
            </w:r>
            <w:r>
              <w:rPr>
                <w:rStyle w:val="IndexLink"/>
                <w:rtl w:val="true"/>
              </w:rPr>
              <w:tab/>
            </w:r>
            <w:r>
              <w:rPr>
                <w:rStyle w:val="IndexLink"/>
              </w:rPr>
              <w:t>22</w:t>
            </w:r>
          </w:hyperlink>
        </w:p>
        <w:p>
          <w:pPr>
            <w:pStyle w:val="Contents4"/>
            <w:tabs>
              <w:tab w:val="clear" w:pos="8176"/>
              <w:tab w:val="right" w:pos="9026" w:leader="dot"/>
            </w:tabs>
            <w:rPr/>
          </w:pPr>
          <w:hyperlink w:anchor="__RefHeading___Toc6863414_73709187">
            <w:r>
              <w:rPr>
                <w:webHidden/>
                <w:rStyle w:val="IndexLink"/>
                <w:rtl w:val="true"/>
              </w:rPr>
              <w:t>عقيدة أهل السنة في التنزيه</w:t>
            </w:r>
            <w:r>
              <w:rPr>
                <w:rStyle w:val="IndexLink"/>
                <w:rtl w:val="true"/>
              </w:rPr>
              <w:tab/>
            </w:r>
            <w:r>
              <w:rPr>
                <w:rStyle w:val="IndexLink"/>
              </w:rPr>
              <w:t>23</w:t>
            </w:r>
          </w:hyperlink>
        </w:p>
        <w:p>
          <w:pPr>
            <w:pStyle w:val="Contents4"/>
            <w:tabs>
              <w:tab w:val="clear" w:pos="8176"/>
              <w:tab w:val="right" w:pos="9026" w:leader="dot"/>
            </w:tabs>
            <w:rPr/>
          </w:pPr>
          <w:hyperlink w:anchor="__RefHeading___Toc6863416_73709187">
            <w:r>
              <w:rPr>
                <w:webHidden/>
                <w:rStyle w:val="IndexLink"/>
                <w:rtl w:val="true"/>
              </w:rPr>
              <w:t>إجابة عن سؤال</w:t>
            </w:r>
            <w:r>
              <w:rPr>
                <w:rStyle w:val="IndexLink"/>
                <w:rtl w:val="true"/>
              </w:rPr>
              <w:tab/>
            </w:r>
            <w:r>
              <w:rPr>
                <w:rStyle w:val="IndexLink"/>
              </w:rPr>
              <w:t>28</w:t>
            </w:r>
          </w:hyperlink>
        </w:p>
        <w:p>
          <w:pPr>
            <w:pStyle w:val="Contents4"/>
            <w:tabs>
              <w:tab w:val="clear" w:pos="8176"/>
              <w:tab w:val="right" w:pos="9026" w:leader="dot"/>
            </w:tabs>
            <w:rPr/>
          </w:pPr>
          <w:hyperlink w:anchor="__RefHeading___Toc6863418_73709187">
            <w:r>
              <w:rPr>
                <w:webHidden/>
                <w:rStyle w:val="IndexLink"/>
                <w:rtl w:val="true"/>
              </w:rPr>
              <w:t>كلام ابن تيمية في العقيدة الواسطية</w:t>
            </w:r>
            <w:r>
              <w:rPr>
                <w:rStyle w:val="IndexLink"/>
                <w:rtl w:val="true"/>
              </w:rPr>
              <w:tab/>
            </w:r>
            <w:r>
              <w:rPr>
                <w:rStyle w:val="IndexLink"/>
              </w:rPr>
              <w:t>29</w:t>
            </w:r>
          </w:hyperlink>
        </w:p>
        <w:p>
          <w:pPr>
            <w:pStyle w:val="Contents4"/>
            <w:tabs>
              <w:tab w:val="clear" w:pos="8176"/>
              <w:tab w:val="right" w:pos="9026" w:leader="dot"/>
            </w:tabs>
            <w:rPr/>
          </w:pPr>
          <w:hyperlink w:anchor="__RefHeading___Toc6863420_73709187">
            <w:r>
              <w:rPr>
                <w:webHidden/>
                <w:rStyle w:val="IndexLink"/>
                <w:rtl w:val="true"/>
              </w:rPr>
              <w:t>موقف أهل البيت عليهم السلام من فكرة التجسيم</w:t>
            </w:r>
            <w:r>
              <w:rPr>
                <w:rStyle w:val="IndexLink"/>
                <w:rtl w:val="true"/>
              </w:rPr>
              <w:tab/>
            </w:r>
            <w:r>
              <w:rPr>
                <w:rStyle w:val="IndexLink"/>
              </w:rPr>
              <w:t>32</w:t>
            </w:r>
          </w:hyperlink>
        </w:p>
        <w:p>
          <w:pPr>
            <w:pStyle w:val="Contents3"/>
            <w:tabs>
              <w:tab w:val="clear" w:pos="8459"/>
              <w:tab w:val="right" w:pos="9026" w:leader="dot"/>
            </w:tabs>
            <w:rPr/>
          </w:pPr>
          <w:hyperlink w:anchor="__RefHeading___Toc6863422_73709187">
            <w:r>
              <w:rPr>
                <w:webHidden/>
                <w:rStyle w:val="IndexLink"/>
              </w:rPr>
              <w:t>2</w:t>
            </w:r>
            <w:r>
              <w:rPr>
                <w:rStyle w:val="IndexLink"/>
                <w:rtl w:val="true"/>
              </w:rPr>
              <w:t xml:space="preserve"> </w:t>
            </w:r>
            <w:r>
              <w:rPr>
                <w:rStyle w:val="IndexLink"/>
                <w:rtl w:val="true"/>
              </w:rPr>
              <w:t>حركة الباري ونزوله عند ابن تيمية</w:t>
            </w:r>
            <w:r>
              <w:rPr>
                <w:rStyle w:val="IndexLink"/>
                <w:rtl w:val="true"/>
              </w:rPr>
              <w:tab/>
            </w:r>
            <w:r>
              <w:rPr>
                <w:rStyle w:val="IndexLink"/>
              </w:rPr>
              <w:t>37</w:t>
            </w:r>
          </w:hyperlink>
        </w:p>
        <w:p>
          <w:pPr>
            <w:pStyle w:val="Contents4"/>
            <w:tabs>
              <w:tab w:val="clear" w:pos="8176"/>
              <w:tab w:val="right" w:pos="9026" w:leader="dot"/>
            </w:tabs>
            <w:rPr/>
          </w:pPr>
          <w:hyperlink w:anchor="__RefHeading___Toc6863424_73709187">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6863426_73709187">
            <w:r>
              <w:rPr>
                <w:webHidden/>
                <w:rStyle w:val="IndexLink"/>
                <w:rtl w:val="true"/>
              </w:rPr>
              <w:t>الأوّل</w:t>
            </w:r>
            <w:r>
              <w:rPr>
                <w:rStyle w:val="IndexLink"/>
                <w:rtl w:val="true"/>
              </w:rPr>
              <w:t xml:space="preserve">: </w:t>
            </w:r>
            <w:r>
              <w:rPr>
                <w:rStyle w:val="IndexLink"/>
                <w:rtl w:val="true"/>
              </w:rPr>
              <w:t>تعريف الحركة</w:t>
            </w:r>
            <w:r>
              <w:rPr>
                <w:rStyle w:val="IndexLink"/>
                <w:rtl w:val="true"/>
              </w:rPr>
              <w:tab/>
            </w:r>
            <w:r>
              <w:rPr>
                <w:rStyle w:val="IndexLink"/>
              </w:rPr>
              <w:t>39</w:t>
            </w:r>
          </w:hyperlink>
        </w:p>
        <w:p>
          <w:pPr>
            <w:pStyle w:val="Contents4"/>
            <w:tabs>
              <w:tab w:val="clear" w:pos="8176"/>
              <w:tab w:val="right" w:pos="9026" w:leader="dot"/>
            </w:tabs>
            <w:rPr/>
          </w:pPr>
          <w:hyperlink w:anchor="__RefHeading___Toc6863428_73709187">
            <w:r>
              <w:rPr>
                <w:webHidden/>
                <w:rStyle w:val="IndexLink"/>
                <w:rtl w:val="true"/>
              </w:rPr>
              <w:t>الثاني</w:t>
            </w:r>
            <w:r>
              <w:rPr>
                <w:rStyle w:val="IndexLink"/>
                <w:rtl w:val="true"/>
              </w:rPr>
              <w:t xml:space="preserve">: </w:t>
            </w:r>
            <w:r>
              <w:rPr>
                <w:rStyle w:val="IndexLink"/>
                <w:rtl w:val="true"/>
              </w:rPr>
              <w:t>وجود الإمكان في المتحرّك</w:t>
            </w:r>
            <w:r>
              <w:rPr>
                <w:rStyle w:val="IndexLink"/>
                <w:rtl w:val="true"/>
              </w:rPr>
              <w:tab/>
            </w:r>
            <w:r>
              <w:rPr>
                <w:rStyle w:val="IndexLink"/>
              </w:rPr>
              <w:t>39</w:t>
            </w:r>
          </w:hyperlink>
        </w:p>
        <w:p>
          <w:pPr>
            <w:pStyle w:val="Contents4"/>
            <w:tabs>
              <w:tab w:val="clear" w:pos="8176"/>
              <w:tab w:val="right" w:pos="9026" w:leader="dot"/>
            </w:tabs>
            <w:rPr/>
          </w:pPr>
          <w:hyperlink w:anchor="__RefHeading___Toc6863430_73709187">
            <w:r>
              <w:rPr>
                <w:webHidden/>
                <w:rStyle w:val="IndexLink"/>
                <w:rtl w:val="true"/>
              </w:rPr>
              <w:t>الثالث</w:t>
            </w:r>
            <w:r>
              <w:rPr>
                <w:rStyle w:val="IndexLink"/>
                <w:rtl w:val="true"/>
              </w:rPr>
              <w:t xml:space="preserve">: </w:t>
            </w:r>
            <w:r>
              <w:rPr>
                <w:rStyle w:val="IndexLink"/>
                <w:rtl w:val="true"/>
              </w:rPr>
              <w:t>ما هي الغاية من الحركة‌؟</w:t>
            </w:r>
            <w:r>
              <w:rPr>
                <w:rStyle w:val="IndexLink"/>
                <w:rtl w:val="true"/>
              </w:rPr>
              <w:tab/>
            </w:r>
            <w:r>
              <w:rPr>
                <w:rStyle w:val="IndexLink"/>
              </w:rPr>
              <w:t>39</w:t>
            </w:r>
          </w:hyperlink>
        </w:p>
        <w:p>
          <w:pPr>
            <w:pStyle w:val="Contents3"/>
            <w:tabs>
              <w:tab w:val="clear" w:pos="8459"/>
              <w:tab w:val="right" w:pos="9026" w:leader="dot"/>
            </w:tabs>
            <w:rPr/>
          </w:pPr>
          <w:hyperlink w:anchor="__RefHeading___Toc6863432_73709187">
            <w:r>
              <w:rPr>
                <w:webHidden/>
                <w:rStyle w:val="IndexLink"/>
              </w:rPr>
              <w:t>3</w:t>
            </w:r>
            <w:r>
              <w:rPr>
                <w:rStyle w:val="IndexLink"/>
                <w:rtl w:val="true"/>
              </w:rPr>
              <w:t xml:space="preserve"> </w:t>
            </w:r>
            <w:r>
              <w:rPr>
                <w:rStyle w:val="IndexLink"/>
                <w:rtl w:val="true"/>
              </w:rPr>
              <w:t>الجهة والمكان للّه سبحانه عند ابن تيمية</w:t>
            </w:r>
            <w:r>
              <w:rPr>
                <w:rStyle w:val="IndexLink"/>
                <w:rtl w:val="true"/>
              </w:rPr>
              <w:tab/>
            </w:r>
            <w:r>
              <w:rPr>
                <w:rStyle w:val="IndexLink"/>
              </w:rPr>
              <w:t>46</w:t>
            </w:r>
          </w:hyperlink>
        </w:p>
        <w:p>
          <w:pPr>
            <w:pStyle w:val="Contents4"/>
            <w:tabs>
              <w:tab w:val="clear" w:pos="8176"/>
              <w:tab w:val="right" w:pos="9026" w:leader="dot"/>
            </w:tabs>
            <w:rPr/>
          </w:pPr>
          <w:hyperlink w:anchor="__RefHeading___Toc6863434_73709187">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6863436_73709187">
            <w:r>
              <w:rPr>
                <w:webHidden/>
                <w:rStyle w:val="IndexLink"/>
                <w:rtl w:val="true"/>
              </w:rPr>
              <w:t>أخبار الآحاد هي المصدر عنده للعقائد</w:t>
            </w:r>
            <w:r>
              <w:rPr>
                <w:rStyle w:val="IndexLink"/>
                <w:rtl w:val="true"/>
              </w:rPr>
              <w:tab/>
            </w:r>
            <w:r>
              <w:rPr>
                <w:rStyle w:val="IndexLink"/>
              </w:rPr>
              <w:t>56</w:t>
            </w:r>
          </w:hyperlink>
        </w:p>
        <w:p>
          <w:pPr>
            <w:pStyle w:val="Contents4"/>
            <w:tabs>
              <w:tab w:val="clear" w:pos="8176"/>
              <w:tab w:val="right" w:pos="9026" w:leader="dot"/>
            </w:tabs>
            <w:rPr/>
          </w:pPr>
          <w:hyperlink w:anchor="__RefHeading___Toc6863438_73709187">
            <w:r>
              <w:rPr>
                <w:webHidden/>
                <w:rStyle w:val="IndexLink"/>
                <w:rtl w:val="true"/>
              </w:rPr>
              <w:t>ابن تيمية وجلوسه سبحانه على العرش</w:t>
            </w:r>
            <w:r>
              <w:rPr>
                <w:rStyle w:val="IndexLink"/>
                <w:rtl w:val="true"/>
              </w:rPr>
              <w:tab/>
            </w:r>
            <w:r>
              <w:rPr>
                <w:rStyle w:val="IndexLink"/>
              </w:rPr>
              <w:t>58</w:t>
            </w:r>
          </w:hyperlink>
        </w:p>
        <w:p>
          <w:pPr>
            <w:pStyle w:val="Contents3"/>
            <w:tabs>
              <w:tab w:val="clear" w:pos="8459"/>
              <w:tab w:val="right" w:pos="9026" w:leader="dot"/>
            </w:tabs>
            <w:rPr/>
          </w:pPr>
          <w:hyperlink w:anchor="__RefHeading___Toc6863440_73709187">
            <w:r>
              <w:rPr>
                <w:webHidden/>
                <w:rStyle w:val="IndexLink"/>
              </w:rPr>
              <w:t>4</w:t>
            </w:r>
            <w:r>
              <w:rPr>
                <w:rStyle w:val="IndexLink"/>
                <w:rtl w:val="true"/>
              </w:rPr>
              <w:t xml:space="preserve"> </w:t>
            </w:r>
            <w:r>
              <w:rPr>
                <w:rStyle w:val="IndexLink"/>
                <w:rtl w:val="true"/>
              </w:rPr>
              <w:t>نظرة إلى تكلّمه سبحانه في منهج ابن تيمية</w:t>
            </w:r>
            <w:r>
              <w:rPr>
                <w:rStyle w:val="IndexLink"/>
                <w:rtl w:val="true"/>
              </w:rPr>
              <w:tab/>
            </w:r>
            <w:r>
              <w:rPr>
                <w:rStyle w:val="IndexLink"/>
              </w:rPr>
              <w:t>61</w:t>
            </w:r>
          </w:hyperlink>
        </w:p>
        <w:p>
          <w:pPr>
            <w:pStyle w:val="Contents4"/>
            <w:tabs>
              <w:tab w:val="clear" w:pos="8176"/>
              <w:tab w:val="right" w:pos="9026" w:leader="dot"/>
            </w:tabs>
            <w:rPr/>
          </w:pPr>
          <w:hyperlink w:anchor="__RefHeading___Toc6863442_73709187">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6863444_73709187">
            <w:r>
              <w:rPr>
                <w:webHidden/>
                <w:rStyle w:val="IndexLink"/>
                <w:rtl w:val="true"/>
              </w:rPr>
              <w:t>نظرية المعتزلة</w:t>
            </w:r>
            <w:r>
              <w:rPr>
                <w:rStyle w:val="IndexLink"/>
                <w:rtl w:val="true"/>
              </w:rPr>
              <w:tab/>
            </w:r>
            <w:r>
              <w:rPr>
                <w:rStyle w:val="IndexLink"/>
              </w:rPr>
              <w:t>61</w:t>
            </w:r>
          </w:hyperlink>
        </w:p>
        <w:p>
          <w:pPr>
            <w:pStyle w:val="Contents4"/>
            <w:tabs>
              <w:tab w:val="clear" w:pos="8176"/>
              <w:tab w:val="right" w:pos="9026" w:leader="dot"/>
            </w:tabs>
            <w:rPr/>
          </w:pPr>
          <w:hyperlink w:anchor="__RefHeading___Toc6863446_73709187">
            <w:r>
              <w:rPr>
                <w:webHidden/>
                <w:rStyle w:val="IndexLink"/>
                <w:rtl w:val="true"/>
              </w:rPr>
              <w:t>نظرية الأشاعرة</w:t>
            </w:r>
            <w:r>
              <w:rPr>
                <w:rStyle w:val="IndexLink"/>
                <w:rtl w:val="true"/>
              </w:rPr>
              <w:tab/>
            </w:r>
            <w:r>
              <w:rPr>
                <w:rStyle w:val="IndexLink"/>
              </w:rPr>
              <w:t>62</w:t>
            </w:r>
          </w:hyperlink>
        </w:p>
        <w:p>
          <w:pPr>
            <w:pStyle w:val="Contents4"/>
            <w:tabs>
              <w:tab w:val="clear" w:pos="8176"/>
              <w:tab w:val="right" w:pos="9026" w:leader="dot"/>
            </w:tabs>
            <w:rPr/>
          </w:pPr>
          <w:hyperlink w:anchor="__RefHeading___Toc6863448_73709187">
            <w:r>
              <w:rPr>
                <w:webHidden/>
                <w:rStyle w:val="IndexLink"/>
                <w:rtl w:val="true"/>
              </w:rPr>
              <w:t>نظرية الإمامية</w:t>
            </w:r>
            <w:r>
              <w:rPr>
                <w:rStyle w:val="IndexLink"/>
                <w:rtl w:val="true"/>
              </w:rPr>
              <w:tab/>
            </w:r>
            <w:r>
              <w:rPr>
                <w:rStyle w:val="IndexLink"/>
              </w:rPr>
              <w:t>63</w:t>
            </w:r>
          </w:hyperlink>
        </w:p>
        <w:p>
          <w:pPr>
            <w:pStyle w:val="Contents4"/>
            <w:tabs>
              <w:tab w:val="clear" w:pos="8176"/>
              <w:tab w:val="right" w:pos="9026" w:leader="dot"/>
            </w:tabs>
            <w:rPr/>
          </w:pPr>
          <w:hyperlink w:anchor="__RefHeading___Toc6863450_73709187">
            <w:r>
              <w:rPr>
                <w:webHidden/>
                <w:rStyle w:val="IndexLink"/>
                <w:rtl w:val="true"/>
              </w:rPr>
              <w:t>نظرية ابن تيمية</w:t>
            </w:r>
            <w:r>
              <w:rPr>
                <w:rStyle w:val="IndexLink"/>
                <w:rtl w:val="true"/>
              </w:rPr>
              <w:tab/>
            </w:r>
            <w:r>
              <w:rPr>
                <w:rStyle w:val="IndexLink"/>
              </w:rPr>
              <w:t>65</w:t>
            </w:r>
          </w:hyperlink>
        </w:p>
        <w:p>
          <w:pPr>
            <w:pStyle w:val="Contents4"/>
            <w:tabs>
              <w:tab w:val="clear" w:pos="8176"/>
              <w:tab w:val="right" w:pos="9026" w:leader="dot"/>
            </w:tabs>
            <w:rPr/>
          </w:pPr>
          <w:hyperlink w:anchor="__RefHeading___Toc6863452_73709187">
            <w:r>
              <w:rPr>
                <w:webHidden/>
                <w:rStyle w:val="IndexLink"/>
                <w:rtl w:val="true"/>
              </w:rPr>
              <w:t>الاستدلال برواية جابر بن عبد اللّه</w:t>
            </w:r>
            <w:r>
              <w:rPr>
                <w:rStyle w:val="IndexLink"/>
                <w:rtl w:val="true"/>
              </w:rPr>
              <w:tab/>
            </w:r>
            <w:r>
              <w:rPr>
                <w:rStyle w:val="IndexLink"/>
              </w:rPr>
              <w:t>69</w:t>
            </w:r>
          </w:hyperlink>
        </w:p>
        <w:p>
          <w:pPr>
            <w:pStyle w:val="Contents4"/>
            <w:tabs>
              <w:tab w:val="clear" w:pos="8176"/>
              <w:tab w:val="right" w:pos="9026" w:leader="dot"/>
            </w:tabs>
            <w:rPr/>
          </w:pPr>
          <w:hyperlink w:anchor="__RefHeading___Toc6863454_73709187">
            <w:r>
              <w:rPr>
                <w:webHidden/>
                <w:rStyle w:val="IndexLink"/>
                <w:rtl w:val="true"/>
              </w:rPr>
              <w:t>تحليل الحديث</w:t>
            </w:r>
            <w:r>
              <w:rPr>
                <w:rStyle w:val="IndexLink"/>
                <w:rtl w:val="true"/>
              </w:rPr>
              <w:tab/>
            </w:r>
            <w:r>
              <w:rPr>
                <w:rStyle w:val="IndexLink"/>
              </w:rPr>
              <w:t>70</w:t>
            </w:r>
          </w:hyperlink>
        </w:p>
        <w:p>
          <w:pPr>
            <w:pStyle w:val="Contents4"/>
            <w:tabs>
              <w:tab w:val="clear" w:pos="8176"/>
              <w:tab w:val="right" w:pos="9026" w:leader="dot"/>
            </w:tabs>
            <w:rPr/>
          </w:pPr>
          <w:hyperlink w:anchor="__RefHeading___Toc6863456_73709187">
            <w:r>
              <w:rPr>
                <w:webHidden/>
                <w:rStyle w:val="IndexLink"/>
                <w:rtl w:val="true"/>
              </w:rPr>
              <w:t>استدلال بحديث آخر</w:t>
            </w:r>
            <w:r>
              <w:rPr>
                <w:rStyle w:val="IndexLink"/>
                <w:rtl w:val="true"/>
              </w:rPr>
              <w:tab/>
            </w:r>
            <w:r>
              <w:rPr>
                <w:rStyle w:val="IndexLink"/>
              </w:rPr>
              <w:t>72</w:t>
            </w:r>
          </w:hyperlink>
        </w:p>
        <w:p>
          <w:pPr>
            <w:pStyle w:val="Contents4"/>
            <w:tabs>
              <w:tab w:val="clear" w:pos="8176"/>
              <w:tab w:val="right" w:pos="9026" w:leader="dot"/>
            </w:tabs>
            <w:rPr/>
          </w:pPr>
          <w:hyperlink w:anchor="__RefHeading___Toc6863458_73709187">
            <w:r>
              <w:rPr>
                <w:webHidden/>
                <w:rStyle w:val="IndexLink"/>
                <w:rtl w:val="true"/>
              </w:rPr>
              <w:t>ذاته سبحانه ليست محلّاً للحوادث</w:t>
            </w:r>
            <w:r>
              <w:rPr>
                <w:rStyle w:val="IndexLink"/>
                <w:rtl w:val="true"/>
              </w:rPr>
              <w:tab/>
            </w:r>
            <w:r>
              <w:rPr>
                <w:rStyle w:val="IndexLink"/>
              </w:rPr>
              <w:t>73</w:t>
            </w:r>
          </w:hyperlink>
        </w:p>
        <w:p>
          <w:pPr>
            <w:pStyle w:val="Contents3"/>
            <w:tabs>
              <w:tab w:val="clear" w:pos="8459"/>
              <w:tab w:val="right" w:pos="9026" w:leader="dot"/>
            </w:tabs>
            <w:rPr/>
          </w:pPr>
          <w:hyperlink w:anchor="__RefHeading___Toc6863460_73709187">
            <w:r>
              <w:rPr>
                <w:webHidden/>
                <w:rStyle w:val="IndexLink"/>
              </w:rPr>
              <w:t>5</w:t>
            </w:r>
            <w:r>
              <w:rPr>
                <w:rStyle w:val="IndexLink"/>
                <w:rtl w:val="true"/>
              </w:rPr>
              <w:t xml:space="preserve"> </w:t>
            </w:r>
            <w:r>
              <w:rPr>
                <w:rStyle w:val="IndexLink"/>
                <w:rtl w:val="true"/>
              </w:rPr>
              <w:t>عقائد شاذّة نابية</w:t>
            </w:r>
            <w:r>
              <w:rPr>
                <w:rStyle w:val="IndexLink"/>
                <w:rtl w:val="true"/>
              </w:rPr>
              <w:tab/>
            </w:r>
            <w:r>
              <w:rPr>
                <w:rStyle w:val="IndexLink"/>
              </w:rPr>
              <w:t>75</w:t>
            </w:r>
          </w:hyperlink>
        </w:p>
        <w:p>
          <w:pPr>
            <w:pStyle w:val="Contents3"/>
            <w:tabs>
              <w:tab w:val="clear" w:pos="8459"/>
              <w:tab w:val="right" w:pos="9026" w:leader="dot"/>
            </w:tabs>
            <w:rPr/>
          </w:pPr>
          <w:hyperlink w:anchor="__RefHeading___Toc6863462_73709187">
            <w:r>
              <w:rPr>
                <w:webHidden/>
                <w:rStyle w:val="IndexLink"/>
              </w:rPr>
              <w:t>6</w:t>
            </w:r>
            <w:r>
              <w:rPr>
                <w:rStyle w:val="IndexLink"/>
                <w:rtl w:val="true"/>
              </w:rPr>
              <w:t xml:space="preserve"> </w:t>
            </w:r>
            <w:r>
              <w:rPr>
                <w:rStyle w:val="IndexLink"/>
                <w:rtl w:val="true"/>
              </w:rPr>
              <w:t>العصمة حقيقتها وآثارها</w:t>
            </w:r>
            <w:r>
              <w:rPr>
                <w:rStyle w:val="IndexLink"/>
                <w:rtl w:val="true"/>
              </w:rPr>
              <w:tab/>
            </w:r>
            <w:r>
              <w:rPr>
                <w:rStyle w:val="IndexLink"/>
              </w:rPr>
              <w:t>78</w:t>
            </w:r>
          </w:hyperlink>
        </w:p>
        <w:p>
          <w:pPr>
            <w:pStyle w:val="Contents4"/>
            <w:tabs>
              <w:tab w:val="clear" w:pos="8176"/>
              <w:tab w:val="right" w:pos="9026" w:leader="dot"/>
            </w:tabs>
            <w:rPr/>
          </w:pPr>
          <w:hyperlink w:anchor="__RefHeading___Toc6863464_73709187">
            <w:r>
              <w:rPr>
                <w:webHidden/>
                <w:rStyle w:val="IndexLink"/>
                <w:rtl w:val="true"/>
              </w:rPr>
              <w:t>لماذا نبحث عن العصمة‌؟</w:t>
            </w:r>
            <w:r>
              <w:rPr>
                <w:rStyle w:val="IndexLink"/>
                <w:rtl w:val="true"/>
              </w:rPr>
              <w:tab/>
            </w:r>
            <w:r>
              <w:rPr>
                <w:rStyle w:val="IndexLink"/>
              </w:rPr>
              <w:t>78</w:t>
            </w:r>
          </w:hyperlink>
        </w:p>
        <w:p>
          <w:pPr>
            <w:pStyle w:val="Contents4"/>
            <w:tabs>
              <w:tab w:val="clear" w:pos="8176"/>
              <w:tab w:val="right" w:pos="9026" w:leader="dot"/>
            </w:tabs>
            <w:rPr/>
          </w:pPr>
          <w:hyperlink w:anchor="__RefHeading___Toc6863466_73709187">
            <w:r>
              <w:rPr>
                <w:webHidden/>
                <w:rStyle w:val="IndexLink"/>
                <w:rtl w:val="true"/>
              </w:rPr>
              <w:t>العصمة في اللغة</w:t>
            </w:r>
            <w:r>
              <w:rPr>
                <w:rStyle w:val="IndexLink"/>
                <w:rtl w:val="true"/>
              </w:rPr>
              <w:tab/>
            </w:r>
            <w:r>
              <w:rPr>
                <w:rStyle w:val="IndexLink"/>
              </w:rPr>
              <w:t>79</w:t>
            </w:r>
          </w:hyperlink>
        </w:p>
        <w:p>
          <w:pPr>
            <w:pStyle w:val="Contents4"/>
            <w:tabs>
              <w:tab w:val="clear" w:pos="8176"/>
              <w:tab w:val="right" w:pos="9026" w:leader="dot"/>
            </w:tabs>
            <w:rPr/>
          </w:pPr>
          <w:hyperlink w:anchor="__RefHeading___Toc6863468_73709187">
            <w:r>
              <w:rPr>
                <w:webHidden/>
                <w:rStyle w:val="IndexLink"/>
                <w:rtl w:val="true"/>
              </w:rPr>
              <w:t>العصمة في مصطلح المتكلمين</w:t>
            </w:r>
            <w:r>
              <w:rPr>
                <w:rStyle w:val="IndexLink"/>
                <w:rtl w:val="true"/>
              </w:rPr>
              <w:tab/>
            </w:r>
            <w:r>
              <w:rPr>
                <w:rStyle w:val="IndexLink"/>
              </w:rPr>
              <w:t>79</w:t>
            </w:r>
          </w:hyperlink>
        </w:p>
        <w:p>
          <w:pPr>
            <w:pStyle w:val="Contents4"/>
            <w:tabs>
              <w:tab w:val="clear" w:pos="8176"/>
              <w:tab w:val="right" w:pos="9026" w:leader="dot"/>
            </w:tabs>
            <w:rPr/>
          </w:pPr>
          <w:hyperlink w:anchor="__RefHeading___Toc6863470_73709187">
            <w:r>
              <w:rPr>
                <w:webHidden/>
                <w:rStyle w:val="IndexLink"/>
                <w:rtl w:val="true"/>
              </w:rPr>
              <w:t>العصمة من مقولة العلم الرادع</w:t>
            </w:r>
            <w:r>
              <w:rPr>
                <w:rStyle w:val="IndexLink"/>
                <w:rtl w:val="true"/>
              </w:rPr>
              <w:tab/>
            </w:r>
            <w:r>
              <w:rPr>
                <w:rStyle w:val="IndexLink"/>
              </w:rPr>
              <w:t>80</w:t>
            </w:r>
          </w:hyperlink>
        </w:p>
        <w:p>
          <w:pPr>
            <w:pStyle w:val="Contents4"/>
            <w:tabs>
              <w:tab w:val="clear" w:pos="8176"/>
              <w:tab w:val="right" w:pos="9026" w:leader="dot"/>
            </w:tabs>
            <w:rPr/>
          </w:pPr>
          <w:hyperlink w:anchor="__RefHeading___Toc6863472_73709187">
            <w:r>
              <w:rPr>
                <w:webHidden/>
                <w:rStyle w:val="IndexLink"/>
                <w:rtl w:val="true"/>
              </w:rPr>
              <w:t>العصمة لا تسلب الاختيار عن صاحبها</w:t>
            </w:r>
            <w:r>
              <w:rPr>
                <w:rStyle w:val="IndexLink"/>
                <w:rtl w:val="true"/>
              </w:rPr>
              <w:tab/>
            </w:r>
            <w:r>
              <w:rPr>
                <w:rStyle w:val="IndexLink"/>
              </w:rPr>
              <w:t>82</w:t>
            </w:r>
          </w:hyperlink>
        </w:p>
        <w:p>
          <w:pPr>
            <w:pStyle w:val="Contents4"/>
            <w:tabs>
              <w:tab w:val="clear" w:pos="8176"/>
              <w:tab w:val="right" w:pos="9026" w:leader="dot"/>
            </w:tabs>
            <w:rPr/>
          </w:pPr>
          <w:hyperlink w:anchor="__RefHeading___Toc6863474_73709187">
            <w:r>
              <w:rPr>
                <w:webHidden/>
                <w:rStyle w:val="IndexLink"/>
                <w:rtl w:val="true"/>
              </w:rPr>
              <w:t>موقف الشيعة من العصمة</w:t>
            </w:r>
            <w:r>
              <w:rPr>
                <w:rStyle w:val="IndexLink"/>
                <w:rtl w:val="true"/>
              </w:rPr>
              <w:tab/>
            </w:r>
            <w:r>
              <w:rPr>
                <w:rStyle w:val="IndexLink"/>
              </w:rPr>
              <w:t>83</w:t>
            </w:r>
          </w:hyperlink>
        </w:p>
        <w:p>
          <w:pPr>
            <w:pStyle w:val="Contents4"/>
            <w:tabs>
              <w:tab w:val="clear" w:pos="8176"/>
              <w:tab w:val="right" w:pos="9026" w:leader="dot"/>
            </w:tabs>
            <w:rPr/>
          </w:pPr>
          <w:hyperlink w:anchor="__RefHeading___Toc6863476_73709187">
            <w:r>
              <w:rPr>
                <w:webHidden/>
                <w:rStyle w:val="IndexLink"/>
                <w:rtl w:val="true"/>
              </w:rPr>
              <w:t>العصمة وآية التطهير</w:t>
            </w:r>
            <w:r>
              <w:rPr>
                <w:rStyle w:val="IndexLink"/>
                <w:rtl w:val="true"/>
              </w:rPr>
              <w:tab/>
            </w:r>
            <w:r>
              <w:rPr>
                <w:rStyle w:val="IndexLink"/>
              </w:rPr>
              <w:t>84</w:t>
            </w:r>
          </w:hyperlink>
        </w:p>
        <w:p>
          <w:pPr>
            <w:pStyle w:val="Contents3"/>
            <w:tabs>
              <w:tab w:val="clear" w:pos="8459"/>
              <w:tab w:val="right" w:pos="9026" w:leader="dot"/>
            </w:tabs>
            <w:rPr/>
          </w:pPr>
          <w:hyperlink w:anchor="__RefHeading___Toc6863478_73709187">
            <w:r>
              <w:rPr>
                <w:webHidden/>
                <w:rStyle w:val="IndexLink"/>
              </w:rPr>
              <w:t>7</w:t>
            </w:r>
            <w:r>
              <w:rPr>
                <w:rStyle w:val="IndexLink"/>
                <w:rtl w:val="true"/>
              </w:rPr>
              <w:t xml:space="preserve"> </w:t>
            </w:r>
            <w:r>
              <w:rPr>
                <w:rStyle w:val="IndexLink"/>
                <w:rtl w:val="true"/>
              </w:rPr>
              <w:t>الأحكام الشرعية،</w:t>
            </w:r>
            <w:r>
              <w:rPr>
                <w:rStyle w:val="IndexLink"/>
                <w:rtl w:val="true"/>
              </w:rPr>
              <w:tab/>
            </w:r>
            <w:r>
              <w:rPr>
                <w:rStyle w:val="IndexLink"/>
              </w:rPr>
              <w:t>87</w:t>
            </w:r>
          </w:hyperlink>
        </w:p>
        <w:p>
          <w:pPr>
            <w:pStyle w:val="Contents4"/>
            <w:tabs>
              <w:tab w:val="clear" w:pos="8176"/>
              <w:tab w:val="right" w:pos="9026" w:leader="dot"/>
            </w:tabs>
            <w:rPr/>
          </w:pPr>
          <w:hyperlink w:anchor="__RefHeading___Toc6863480_73709187">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6863482_73709187">
            <w:r>
              <w:rPr>
                <w:webHidden/>
                <w:rStyle w:val="IndexLink"/>
              </w:rPr>
              <w:t>1</w:t>
            </w:r>
            <w:r>
              <w:rPr>
                <w:rStyle w:val="IndexLink"/>
                <w:rtl w:val="true"/>
              </w:rPr>
              <w:t xml:space="preserve">. </w:t>
            </w:r>
            <w:r>
              <w:rPr>
                <w:rStyle w:val="IndexLink"/>
                <w:rtl w:val="true"/>
              </w:rPr>
              <w:t>صيرورة الإنسان مستعداً لامتثال الأحكام العقلية</w:t>
            </w:r>
            <w:r>
              <w:rPr>
                <w:rStyle w:val="IndexLink"/>
                <w:rtl w:val="true"/>
              </w:rPr>
              <w:tab/>
            </w:r>
            <w:r>
              <w:rPr>
                <w:rStyle w:val="IndexLink"/>
              </w:rPr>
              <w:t>87</w:t>
            </w:r>
          </w:hyperlink>
        </w:p>
        <w:p>
          <w:pPr>
            <w:pStyle w:val="Contents4"/>
            <w:tabs>
              <w:tab w:val="clear" w:pos="8176"/>
              <w:tab w:val="right" w:pos="9026" w:leader="dot"/>
            </w:tabs>
            <w:rPr/>
          </w:pPr>
          <w:hyperlink w:anchor="__RefHeading___Toc6863484_73709187">
            <w:r>
              <w:rPr>
                <w:webHidden/>
                <w:rStyle w:val="IndexLink"/>
              </w:rPr>
              <w:t>2</w:t>
            </w:r>
            <w:r>
              <w:rPr>
                <w:rStyle w:val="IndexLink"/>
                <w:rtl w:val="true"/>
              </w:rPr>
              <w:t xml:space="preserve">. </w:t>
            </w:r>
            <w:r>
              <w:rPr>
                <w:rStyle w:val="IndexLink"/>
                <w:rtl w:val="true"/>
              </w:rPr>
              <w:t>باعثة على معرفة المعبود</w:t>
            </w:r>
            <w:r>
              <w:rPr>
                <w:rStyle w:val="IndexLink"/>
                <w:rtl w:val="true"/>
              </w:rPr>
              <w:tab/>
            </w:r>
            <w:r>
              <w:rPr>
                <w:rStyle w:val="IndexLink"/>
              </w:rPr>
              <w:t>89</w:t>
            </w:r>
          </w:hyperlink>
        </w:p>
        <w:p>
          <w:pPr>
            <w:pStyle w:val="Contents4"/>
            <w:tabs>
              <w:tab w:val="clear" w:pos="8176"/>
              <w:tab w:val="right" w:pos="9026" w:leader="dot"/>
            </w:tabs>
            <w:rPr/>
          </w:pPr>
          <w:hyperlink w:anchor="__RefHeading___Toc6863486_73709187">
            <w:r>
              <w:rPr>
                <w:webHidden/>
                <w:rStyle w:val="IndexLink"/>
              </w:rPr>
              <w:t>3</w:t>
            </w:r>
            <w:r>
              <w:rPr>
                <w:rStyle w:val="IndexLink"/>
                <w:rtl w:val="true"/>
              </w:rPr>
              <w:t xml:space="preserve">. </w:t>
            </w:r>
            <w:r>
              <w:rPr>
                <w:rStyle w:val="IndexLink"/>
                <w:rtl w:val="true"/>
              </w:rPr>
              <w:t>تأكيد العقليات</w:t>
            </w:r>
            <w:r>
              <w:rPr>
                <w:rStyle w:val="IndexLink"/>
                <w:rtl w:val="true"/>
              </w:rPr>
              <w:tab/>
            </w:r>
            <w:r>
              <w:rPr>
                <w:rStyle w:val="IndexLink"/>
              </w:rPr>
              <w:t>90</w:t>
            </w:r>
          </w:hyperlink>
        </w:p>
        <w:p>
          <w:pPr>
            <w:pStyle w:val="Contents4"/>
            <w:tabs>
              <w:tab w:val="clear" w:pos="8176"/>
              <w:tab w:val="right" w:pos="9026" w:leader="dot"/>
            </w:tabs>
            <w:rPr/>
          </w:pPr>
          <w:hyperlink w:anchor="__RefHeading___Toc6863488_73709187">
            <w:r>
              <w:rPr>
                <w:webHidden/>
                <w:rStyle w:val="IndexLink"/>
              </w:rPr>
              <w:t>4</w:t>
            </w:r>
            <w:r>
              <w:rPr>
                <w:rStyle w:val="IndexLink"/>
                <w:rtl w:val="true"/>
              </w:rPr>
              <w:t xml:space="preserve">. </w:t>
            </w:r>
            <w:r>
              <w:rPr>
                <w:rStyle w:val="IndexLink"/>
                <w:rtl w:val="true"/>
              </w:rPr>
              <w:t>محصلة للقرب</w:t>
            </w:r>
            <w:r>
              <w:rPr>
                <w:rStyle w:val="IndexLink"/>
                <w:rtl w:val="true"/>
              </w:rPr>
              <w:tab/>
            </w:r>
            <w:r>
              <w:rPr>
                <w:rStyle w:val="IndexLink"/>
              </w:rPr>
              <w:t>91</w:t>
            </w:r>
          </w:hyperlink>
        </w:p>
        <w:p>
          <w:pPr>
            <w:pStyle w:val="Contents4"/>
            <w:tabs>
              <w:tab w:val="clear" w:pos="8176"/>
              <w:tab w:val="right" w:pos="9026" w:leader="dot"/>
            </w:tabs>
            <w:rPr/>
          </w:pPr>
          <w:hyperlink w:anchor="__RefHeading___Toc6863490_73709187">
            <w:r>
              <w:rPr>
                <w:webHidden/>
                <w:rStyle w:val="IndexLink"/>
              </w:rPr>
              <w:t>5</w:t>
            </w:r>
            <w:r>
              <w:rPr>
                <w:rStyle w:val="IndexLink"/>
                <w:rtl w:val="true"/>
              </w:rPr>
              <w:t xml:space="preserve">. </w:t>
            </w:r>
            <w:r>
              <w:rPr>
                <w:rStyle w:val="IndexLink"/>
                <w:rtl w:val="true"/>
              </w:rPr>
              <w:t>الكشف عن المصالح والمفاسد</w:t>
            </w:r>
            <w:r>
              <w:rPr>
                <w:rStyle w:val="IndexLink"/>
                <w:rtl w:val="true"/>
              </w:rPr>
              <w:tab/>
            </w:r>
            <w:r>
              <w:rPr>
                <w:rStyle w:val="IndexLink"/>
              </w:rPr>
              <w:t>92</w:t>
            </w:r>
          </w:hyperlink>
        </w:p>
        <w:p>
          <w:pPr>
            <w:pStyle w:val="Contents3"/>
            <w:tabs>
              <w:tab w:val="clear" w:pos="8459"/>
              <w:tab w:val="right" w:pos="9026" w:leader="dot"/>
            </w:tabs>
            <w:rPr/>
          </w:pPr>
          <w:hyperlink w:anchor="__RefHeading___Toc6863492_73709187">
            <w:r>
              <w:rPr>
                <w:webHidden/>
                <w:rStyle w:val="IndexLink"/>
              </w:rPr>
              <w:t>8</w:t>
            </w:r>
            <w:r>
              <w:rPr>
                <w:rStyle w:val="IndexLink"/>
                <w:rtl w:val="true"/>
              </w:rPr>
              <w:t xml:space="preserve"> </w:t>
            </w:r>
            <w:r>
              <w:rPr>
                <w:rStyle w:val="IndexLink"/>
                <w:rtl w:val="true"/>
              </w:rPr>
              <w:t>في الرؤية ومعنى الإله</w:t>
            </w:r>
            <w:r>
              <w:rPr>
                <w:rStyle w:val="IndexLink"/>
                <w:rtl w:val="true"/>
              </w:rPr>
              <w:tab/>
            </w:r>
            <w:r>
              <w:rPr>
                <w:rStyle w:val="IndexLink"/>
              </w:rPr>
              <w:t>94</w:t>
            </w:r>
          </w:hyperlink>
        </w:p>
        <w:p>
          <w:pPr>
            <w:pStyle w:val="Contents3"/>
            <w:tabs>
              <w:tab w:val="clear" w:pos="8459"/>
              <w:tab w:val="right" w:pos="9026" w:leader="dot"/>
            </w:tabs>
            <w:rPr/>
          </w:pPr>
          <w:hyperlink w:anchor="__RefHeading___Toc6863494_73709187">
            <w:r>
              <w:rPr>
                <w:webHidden/>
                <w:rStyle w:val="IndexLink"/>
              </w:rPr>
              <w:t>9</w:t>
            </w:r>
            <w:r>
              <w:rPr>
                <w:rStyle w:val="IndexLink"/>
                <w:rtl w:val="true"/>
              </w:rPr>
              <w:t xml:space="preserve"> </w:t>
            </w:r>
            <w:r>
              <w:rPr>
                <w:rStyle w:val="IndexLink"/>
                <w:rtl w:val="true"/>
              </w:rPr>
              <w:t>البداء في الكتاب والسنّة</w:t>
            </w:r>
            <w:r>
              <w:rPr>
                <w:rStyle w:val="IndexLink"/>
                <w:rtl w:val="true"/>
              </w:rPr>
              <w:tab/>
            </w:r>
            <w:r>
              <w:rPr>
                <w:rStyle w:val="IndexLink"/>
              </w:rPr>
              <w:t>97</w:t>
            </w:r>
          </w:hyperlink>
        </w:p>
        <w:p>
          <w:pPr>
            <w:pStyle w:val="Contents4"/>
            <w:tabs>
              <w:tab w:val="clear" w:pos="8176"/>
              <w:tab w:val="right" w:pos="9026" w:leader="dot"/>
            </w:tabs>
            <w:rPr/>
          </w:pPr>
          <w:hyperlink w:anchor="__RefHeading___Toc6863496_73709187">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6863498_73709187">
            <w:r>
              <w:rPr>
                <w:webHidden/>
                <w:rStyle w:val="IndexLink"/>
              </w:rPr>
              <w:t>1</w:t>
            </w:r>
            <w:r>
              <w:rPr>
                <w:rStyle w:val="IndexLink"/>
                <w:rtl w:val="true"/>
              </w:rPr>
              <w:t xml:space="preserve">. </w:t>
            </w:r>
            <w:r>
              <w:rPr>
                <w:rStyle w:val="IndexLink"/>
                <w:rtl w:val="true"/>
              </w:rPr>
              <w:t>البداء ثبوتاً</w:t>
            </w:r>
            <w:r>
              <w:rPr>
                <w:rStyle w:val="IndexLink"/>
                <w:rtl w:val="true"/>
              </w:rPr>
              <w:tab/>
            </w:r>
            <w:r>
              <w:rPr>
                <w:rStyle w:val="IndexLink"/>
              </w:rPr>
              <w:t>99</w:t>
            </w:r>
          </w:hyperlink>
        </w:p>
        <w:p>
          <w:pPr>
            <w:pStyle w:val="Contents4"/>
            <w:tabs>
              <w:tab w:val="clear" w:pos="8176"/>
              <w:tab w:val="right" w:pos="9026" w:leader="dot"/>
            </w:tabs>
            <w:rPr/>
          </w:pPr>
          <w:hyperlink w:anchor="__RefHeading___Toc6863500_73709187">
            <w:r>
              <w:rPr>
                <w:webHidden/>
                <w:rStyle w:val="IndexLink"/>
              </w:rPr>
              <w:t>2</w:t>
            </w:r>
            <w:r>
              <w:rPr>
                <w:rStyle w:val="IndexLink"/>
                <w:rtl w:val="true"/>
              </w:rPr>
              <w:t xml:space="preserve">. </w:t>
            </w:r>
            <w:r>
              <w:rPr>
                <w:rStyle w:val="IndexLink"/>
                <w:rtl w:val="true"/>
              </w:rPr>
              <w:t>البداء إثباتاً</w:t>
            </w:r>
            <w:r>
              <w:rPr>
                <w:rStyle w:val="IndexLink"/>
                <w:rtl w:val="true"/>
              </w:rPr>
              <w:tab/>
            </w:r>
            <w:r>
              <w:rPr>
                <w:rStyle w:val="IndexLink"/>
              </w:rPr>
              <w:t>101</w:t>
            </w:r>
          </w:hyperlink>
        </w:p>
        <w:p>
          <w:pPr>
            <w:pStyle w:val="Contents5"/>
            <w:tabs>
              <w:tab w:val="clear" w:pos="7892"/>
              <w:tab w:val="right" w:pos="9026" w:leader="dot"/>
            </w:tabs>
            <w:rPr/>
          </w:pPr>
          <w:hyperlink w:anchor="__RefHeading___Toc6863502_73709187">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6863504_73709187">
            <w:r>
              <w:rPr>
                <w:webHidden/>
                <w:rStyle w:val="IndexLink"/>
              </w:rPr>
              <w:t>1</w:t>
            </w:r>
            <w:r>
              <w:rPr>
                <w:rStyle w:val="IndexLink"/>
                <w:rtl w:val="true"/>
              </w:rPr>
              <w:t xml:space="preserve">. </w:t>
            </w:r>
            <w:r>
              <w:rPr>
                <w:rStyle w:val="IndexLink"/>
                <w:rtl w:val="true"/>
              </w:rPr>
              <w:t>إخبار يونس عن نزول العذاب</w:t>
            </w:r>
            <w:r>
              <w:rPr>
                <w:rStyle w:val="IndexLink"/>
                <w:rtl w:val="true"/>
              </w:rPr>
              <w:tab/>
            </w:r>
            <w:r>
              <w:rPr>
                <w:rStyle w:val="IndexLink"/>
              </w:rPr>
              <w:t>102</w:t>
            </w:r>
          </w:hyperlink>
        </w:p>
        <w:p>
          <w:pPr>
            <w:pStyle w:val="Contents5"/>
            <w:tabs>
              <w:tab w:val="clear" w:pos="7892"/>
              <w:tab w:val="right" w:pos="9026" w:leader="dot"/>
            </w:tabs>
            <w:rPr/>
          </w:pPr>
          <w:hyperlink w:anchor="__RefHeading___Toc6863506_73709187">
            <w:r>
              <w:rPr>
                <w:webHidden/>
                <w:rStyle w:val="IndexLink"/>
              </w:rPr>
              <w:t>2</w:t>
            </w:r>
            <w:r>
              <w:rPr>
                <w:rStyle w:val="IndexLink"/>
                <w:rtl w:val="true"/>
              </w:rPr>
              <w:t xml:space="preserve">. </w:t>
            </w:r>
            <w:r>
              <w:rPr>
                <w:rStyle w:val="IndexLink"/>
                <w:rtl w:val="true"/>
              </w:rPr>
              <w:t>إخبار موسى بثلاثين ليلة في الميقات</w:t>
            </w:r>
            <w:r>
              <w:rPr>
                <w:rStyle w:val="IndexLink"/>
                <w:rtl w:val="true"/>
              </w:rPr>
              <w:tab/>
            </w:r>
            <w:r>
              <w:rPr>
                <w:rStyle w:val="IndexLink"/>
              </w:rPr>
              <w:t>103</w:t>
            </w:r>
          </w:hyperlink>
        </w:p>
        <w:p>
          <w:pPr>
            <w:pStyle w:val="Contents4"/>
            <w:tabs>
              <w:tab w:val="clear" w:pos="8176"/>
              <w:tab w:val="right" w:pos="9026" w:leader="dot"/>
            </w:tabs>
            <w:rPr/>
          </w:pPr>
          <w:hyperlink w:anchor="__RefHeading___Toc6863508_73709187">
            <w:r>
              <w:rPr>
                <w:webHidden/>
                <w:rStyle w:val="IndexLink"/>
                <w:rtl w:val="true"/>
              </w:rPr>
              <w:t>إطلاق البداء على اللّه سبحانه</w:t>
            </w:r>
            <w:r>
              <w:rPr>
                <w:rStyle w:val="IndexLink"/>
                <w:rtl w:val="true"/>
              </w:rPr>
              <w:tab/>
            </w:r>
            <w:r>
              <w:rPr>
                <w:rStyle w:val="IndexLink"/>
              </w:rPr>
              <w:t>105</w:t>
            </w:r>
          </w:hyperlink>
        </w:p>
        <w:p>
          <w:pPr>
            <w:pStyle w:val="Contents3"/>
            <w:tabs>
              <w:tab w:val="clear" w:pos="8459"/>
              <w:tab w:val="right" w:pos="9026" w:leader="dot"/>
            </w:tabs>
            <w:rPr/>
          </w:pPr>
          <w:hyperlink w:anchor="__RefHeading___Toc6863510_73709187">
            <w:r>
              <w:rPr>
                <w:webHidden/>
                <w:rStyle w:val="IndexLink"/>
              </w:rPr>
              <w:t>10</w:t>
            </w:r>
            <w:r>
              <w:rPr>
                <w:rStyle w:val="IndexLink"/>
                <w:rtl w:val="true"/>
              </w:rPr>
              <w:t xml:space="preserve"> </w:t>
            </w:r>
            <w:r>
              <w:rPr>
                <w:rStyle w:val="IndexLink"/>
                <w:rtl w:val="true"/>
              </w:rPr>
              <w:t>التبرك في الكتاب والسنّة</w:t>
            </w:r>
            <w:r>
              <w:rPr>
                <w:rStyle w:val="IndexLink"/>
                <w:rtl w:val="true"/>
              </w:rPr>
              <w:tab/>
            </w:r>
            <w:r>
              <w:rPr>
                <w:rStyle w:val="IndexLink"/>
              </w:rPr>
              <w:t>108</w:t>
            </w:r>
          </w:hyperlink>
        </w:p>
        <w:p>
          <w:pPr>
            <w:pStyle w:val="Contents4"/>
            <w:tabs>
              <w:tab w:val="clear" w:pos="8176"/>
              <w:tab w:val="right" w:pos="9026" w:leader="dot"/>
            </w:tabs>
            <w:rPr/>
          </w:pPr>
          <w:hyperlink w:anchor="__RefHeading___Toc6863512_73709187">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6863514_73709187">
            <w:r>
              <w:rPr>
                <w:webHidden/>
                <w:rStyle w:val="IndexLink"/>
                <w:rtl w:val="true"/>
              </w:rPr>
              <w:t>التبرّك لغةً‌</w:t>
            </w:r>
            <w:r>
              <w:rPr>
                <w:rStyle w:val="IndexLink"/>
                <w:rtl w:val="true"/>
              </w:rPr>
              <w:tab/>
            </w:r>
            <w:r>
              <w:rPr>
                <w:rStyle w:val="IndexLink"/>
              </w:rPr>
              <w:t>109</w:t>
            </w:r>
          </w:hyperlink>
        </w:p>
        <w:p>
          <w:pPr>
            <w:pStyle w:val="Contents4"/>
            <w:tabs>
              <w:tab w:val="clear" w:pos="8176"/>
              <w:tab w:val="right" w:pos="9026" w:leader="dot"/>
            </w:tabs>
            <w:rPr/>
          </w:pPr>
          <w:hyperlink w:anchor="__RefHeading___Toc6863516_73709187">
            <w:r>
              <w:rPr>
                <w:webHidden/>
                <w:rStyle w:val="IndexLink"/>
                <w:rtl w:val="true"/>
              </w:rPr>
              <w:t>التبرّك اصطلاحاً</w:t>
            </w:r>
            <w:r>
              <w:rPr>
                <w:rStyle w:val="IndexLink"/>
                <w:rtl w:val="true"/>
              </w:rPr>
              <w:tab/>
            </w:r>
            <w:r>
              <w:rPr>
                <w:rStyle w:val="IndexLink"/>
              </w:rPr>
              <w:t>110</w:t>
            </w:r>
          </w:hyperlink>
        </w:p>
        <w:p>
          <w:pPr>
            <w:pStyle w:val="Contents5"/>
            <w:tabs>
              <w:tab w:val="clear" w:pos="7892"/>
              <w:tab w:val="right" w:pos="9026" w:leader="dot"/>
            </w:tabs>
            <w:rPr/>
          </w:pPr>
          <w:hyperlink w:anchor="__RefHeading___Toc6863518_73709187">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6863520_73709187">
            <w:r>
              <w:rPr>
                <w:webHidden/>
                <w:rStyle w:val="IndexLink"/>
              </w:rPr>
              <w:t>1</w:t>
            </w:r>
            <w:r>
              <w:rPr>
                <w:rStyle w:val="IndexLink"/>
                <w:rtl w:val="true"/>
              </w:rPr>
              <w:t xml:space="preserve">. </w:t>
            </w:r>
            <w:r>
              <w:rPr>
                <w:rStyle w:val="IndexLink"/>
                <w:rtl w:val="true"/>
              </w:rPr>
              <w:t>التبرّك في الأُمم السالفة</w:t>
            </w:r>
            <w:r>
              <w:rPr>
                <w:rStyle w:val="IndexLink"/>
                <w:rtl w:val="true"/>
              </w:rPr>
              <w:tab/>
            </w:r>
            <w:r>
              <w:rPr>
                <w:rStyle w:val="IndexLink"/>
              </w:rPr>
              <w:t>111</w:t>
            </w:r>
          </w:hyperlink>
        </w:p>
        <w:p>
          <w:pPr>
            <w:pStyle w:val="Contents5"/>
            <w:tabs>
              <w:tab w:val="clear" w:pos="7892"/>
              <w:tab w:val="right" w:pos="9026" w:leader="dot"/>
            </w:tabs>
            <w:rPr/>
          </w:pPr>
          <w:hyperlink w:anchor="__RefHeading___Toc6863522_73709187">
            <w:r>
              <w:rPr>
                <w:webHidden/>
                <w:rStyle w:val="IndexLink"/>
              </w:rPr>
              <w:t>2</w:t>
            </w:r>
            <w:r>
              <w:rPr>
                <w:rStyle w:val="IndexLink"/>
                <w:rtl w:val="true"/>
              </w:rPr>
              <w:t xml:space="preserve">. </w:t>
            </w:r>
            <w:r>
              <w:rPr>
                <w:rStyle w:val="IndexLink"/>
                <w:rtl w:val="true"/>
              </w:rPr>
              <w:t>التبرّك في القرآن الكريم</w:t>
            </w:r>
            <w:r>
              <w:rPr>
                <w:rStyle w:val="IndexLink"/>
                <w:rtl w:val="true"/>
              </w:rPr>
              <w:tab/>
            </w:r>
            <w:r>
              <w:rPr>
                <w:rStyle w:val="IndexLink"/>
              </w:rPr>
              <w:t>112</w:t>
            </w:r>
          </w:hyperlink>
        </w:p>
        <w:p>
          <w:pPr>
            <w:pStyle w:val="Contents4"/>
            <w:tabs>
              <w:tab w:val="clear" w:pos="8176"/>
              <w:tab w:val="right" w:pos="9026" w:leader="dot"/>
            </w:tabs>
            <w:rPr/>
          </w:pPr>
          <w:hyperlink w:anchor="__RefHeading___Toc6863524_73709187">
            <w:r>
              <w:rPr>
                <w:webHidden/>
                <w:rStyle w:val="IndexLink"/>
                <w:rtl w:val="true"/>
              </w:rPr>
              <w:t>تبرّك الصحابة بآثار النبي صلى الله عليه و آله</w:t>
            </w:r>
            <w:r>
              <w:rPr>
                <w:rStyle w:val="IndexLink"/>
                <w:rtl w:val="true"/>
              </w:rPr>
              <w:tab/>
            </w:r>
            <w:r>
              <w:rPr>
                <w:rStyle w:val="IndexLink"/>
              </w:rPr>
              <w:t>115</w:t>
            </w:r>
          </w:hyperlink>
        </w:p>
        <w:p>
          <w:pPr>
            <w:pStyle w:val="Contents5"/>
            <w:tabs>
              <w:tab w:val="clear" w:pos="7892"/>
              <w:tab w:val="right" w:pos="9026" w:leader="dot"/>
            </w:tabs>
            <w:rPr/>
          </w:pPr>
          <w:hyperlink w:anchor="__RefHeading___Toc6863526_73709187">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6863528_73709187">
            <w:r>
              <w:rPr>
                <w:webHidden/>
                <w:rStyle w:val="IndexLink"/>
              </w:rPr>
              <w:t>1</w:t>
            </w:r>
            <w:r>
              <w:rPr>
                <w:rStyle w:val="IndexLink"/>
                <w:rtl w:val="true"/>
              </w:rPr>
              <w:t xml:space="preserve">. </w:t>
            </w:r>
            <w:r>
              <w:rPr>
                <w:rStyle w:val="IndexLink"/>
                <w:rtl w:val="true"/>
              </w:rPr>
              <w:t>التبرّك بماء وضوئه صلى الله عليه و آله</w:t>
            </w:r>
            <w:r>
              <w:rPr>
                <w:rStyle w:val="IndexLink"/>
                <w:rtl w:val="true"/>
              </w:rPr>
              <w:tab/>
            </w:r>
            <w:r>
              <w:rPr>
                <w:rStyle w:val="IndexLink"/>
              </w:rPr>
              <w:t>115</w:t>
            </w:r>
          </w:hyperlink>
        </w:p>
        <w:p>
          <w:pPr>
            <w:pStyle w:val="Contents5"/>
            <w:tabs>
              <w:tab w:val="clear" w:pos="7892"/>
              <w:tab w:val="right" w:pos="9026" w:leader="dot"/>
            </w:tabs>
            <w:rPr/>
          </w:pPr>
          <w:hyperlink w:anchor="__RefHeading___Toc6863530_73709187">
            <w:r>
              <w:rPr>
                <w:webHidden/>
                <w:rStyle w:val="IndexLink"/>
              </w:rPr>
              <w:t>2</w:t>
            </w:r>
            <w:r>
              <w:rPr>
                <w:rStyle w:val="IndexLink"/>
                <w:rtl w:val="true"/>
              </w:rPr>
              <w:t xml:space="preserve">. </w:t>
            </w:r>
            <w:r>
              <w:rPr>
                <w:rStyle w:val="IndexLink"/>
                <w:rtl w:val="true"/>
              </w:rPr>
              <w:t>التبرّك بقدحه</w:t>
            </w:r>
            <w:r>
              <w:rPr>
                <w:rStyle w:val="IndexLink"/>
                <w:rtl w:val="true"/>
              </w:rPr>
              <w:tab/>
            </w:r>
            <w:r>
              <w:rPr>
                <w:rStyle w:val="IndexLink"/>
              </w:rPr>
              <w:t>116</w:t>
            </w:r>
          </w:hyperlink>
        </w:p>
        <w:p>
          <w:pPr>
            <w:pStyle w:val="Contents5"/>
            <w:tabs>
              <w:tab w:val="clear" w:pos="7892"/>
              <w:tab w:val="right" w:pos="9026" w:leader="dot"/>
            </w:tabs>
            <w:rPr/>
          </w:pPr>
          <w:hyperlink w:anchor="__RefHeading___Toc6863532_73709187">
            <w:r>
              <w:rPr>
                <w:webHidden/>
                <w:rStyle w:val="IndexLink"/>
              </w:rPr>
              <w:t>3</w:t>
            </w:r>
            <w:r>
              <w:rPr>
                <w:rStyle w:val="IndexLink"/>
                <w:rtl w:val="true"/>
              </w:rPr>
              <w:t xml:space="preserve">. </w:t>
            </w:r>
            <w:r>
              <w:rPr>
                <w:rStyle w:val="IndexLink"/>
                <w:rtl w:val="true"/>
              </w:rPr>
              <w:t>التبرّك بسؤره</w:t>
            </w:r>
            <w:r>
              <w:rPr>
                <w:rStyle w:val="IndexLink"/>
                <w:rtl w:val="true"/>
              </w:rPr>
              <w:tab/>
            </w:r>
            <w:r>
              <w:rPr>
                <w:rStyle w:val="IndexLink"/>
              </w:rPr>
              <w:t>116</w:t>
            </w:r>
          </w:hyperlink>
        </w:p>
        <w:p>
          <w:pPr>
            <w:pStyle w:val="Contents5"/>
            <w:tabs>
              <w:tab w:val="clear" w:pos="7892"/>
              <w:tab w:val="right" w:pos="9026" w:leader="dot"/>
            </w:tabs>
            <w:rPr/>
          </w:pPr>
          <w:hyperlink w:anchor="__RefHeading___Toc6863534_73709187">
            <w:r>
              <w:rPr>
                <w:webHidden/>
                <w:rStyle w:val="IndexLink"/>
              </w:rPr>
              <w:t>4</w:t>
            </w:r>
            <w:r>
              <w:rPr>
                <w:rStyle w:val="IndexLink"/>
                <w:rtl w:val="true"/>
              </w:rPr>
              <w:t xml:space="preserve">. </w:t>
            </w:r>
            <w:r>
              <w:rPr>
                <w:rStyle w:val="IndexLink"/>
                <w:rtl w:val="true"/>
              </w:rPr>
              <w:t>التبرّك بمنبره</w:t>
            </w:r>
            <w:r>
              <w:rPr>
                <w:rStyle w:val="IndexLink"/>
                <w:rtl w:val="true"/>
              </w:rPr>
              <w:tab/>
            </w:r>
            <w:r>
              <w:rPr>
                <w:rStyle w:val="IndexLink"/>
              </w:rPr>
              <w:t>116</w:t>
            </w:r>
          </w:hyperlink>
        </w:p>
        <w:p>
          <w:pPr>
            <w:pStyle w:val="Contents5"/>
            <w:tabs>
              <w:tab w:val="clear" w:pos="7892"/>
              <w:tab w:val="right" w:pos="9026" w:leader="dot"/>
            </w:tabs>
            <w:rPr/>
          </w:pPr>
          <w:hyperlink w:anchor="__RefHeading___Toc6863536_73709187">
            <w:r>
              <w:rPr>
                <w:webHidden/>
                <w:rStyle w:val="IndexLink"/>
              </w:rPr>
              <w:t>5</w:t>
            </w:r>
            <w:r>
              <w:rPr>
                <w:rStyle w:val="IndexLink"/>
                <w:rtl w:val="true"/>
              </w:rPr>
              <w:t xml:space="preserve">. </w:t>
            </w:r>
            <w:r>
              <w:rPr>
                <w:rStyle w:val="IndexLink"/>
                <w:rtl w:val="true"/>
              </w:rPr>
              <w:t>التبرّك بالدنيانير الّتي لمسها النبي صلى الله عليه و آله</w:t>
            </w:r>
            <w:r>
              <w:rPr>
                <w:rStyle w:val="IndexLink"/>
                <w:rtl w:val="true"/>
              </w:rPr>
              <w:tab/>
            </w:r>
            <w:r>
              <w:rPr>
                <w:rStyle w:val="IndexLink"/>
              </w:rPr>
              <w:t>118</w:t>
            </w:r>
          </w:hyperlink>
        </w:p>
        <w:p>
          <w:pPr>
            <w:pStyle w:val="Contents5"/>
            <w:tabs>
              <w:tab w:val="clear" w:pos="7892"/>
              <w:tab w:val="right" w:pos="9026" w:leader="dot"/>
            </w:tabs>
            <w:rPr/>
          </w:pPr>
          <w:hyperlink w:anchor="__RefHeading___Toc6863538_73709187">
            <w:r>
              <w:rPr>
                <w:webHidden/>
                <w:rStyle w:val="IndexLink"/>
              </w:rPr>
              <w:t>6</w:t>
            </w:r>
            <w:r>
              <w:rPr>
                <w:rStyle w:val="IndexLink"/>
                <w:rtl w:val="true"/>
              </w:rPr>
              <w:t xml:space="preserve">. </w:t>
            </w:r>
            <w:r>
              <w:rPr>
                <w:rStyle w:val="IndexLink"/>
                <w:rtl w:val="true"/>
              </w:rPr>
              <w:t>التبرّك بالعصا الّتي أعطاها النبي صلى الله عليه و آله</w:t>
            </w:r>
            <w:r>
              <w:rPr>
                <w:rStyle w:val="IndexLink"/>
                <w:rtl w:val="true"/>
              </w:rPr>
              <w:tab/>
            </w:r>
            <w:r>
              <w:rPr>
                <w:rStyle w:val="IndexLink"/>
              </w:rPr>
              <w:t>118</w:t>
            </w:r>
          </w:hyperlink>
        </w:p>
        <w:p>
          <w:pPr>
            <w:pStyle w:val="Contents5"/>
            <w:tabs>
              <w:tab w:val="clear" w:pos="7892"/>
              <w:tab w:val="right" w:pos="9026" w:leader="dot"/>
            </w:tabs>
            <w:rPr/>
          </w:pPr>
          <w:hyperlink w:anchor="__RefHeading___Toc6863540_73709187">
            <w:r>
              <w:rPr>
                <w:webHidden/>
                <w:rStyle w:val="IndexLink"/>
              </w:rPr>
              <w:t>7</w:t>
            </w:r>
            <w:r>
              <w:rPr>
                <w:rStyle w:val="IndexLink"/>
                <w:rtl w:val="true"/>
              </w:rPr>
              <w:t xml:space="preserve">. </w:t>
            </w:r>
            <w:r>
              <w:rPr>
                <w:rStyle w:val="IndexLink"/>
                <w:rtl w:val="true"/>
              </w:rPr>
              <w:t>التبرّك بقميص النبي صلى الله عليه و آله</w:t>
            </w:r>
            <w:r>
              <w:rPr>
                <w:rStyle w:val="IndexLink"/>
                <w:rtl w:val="true"/>
              </w:rPr>
              <w:tab/>
            </w:r>
            <w:r>
              <w:rPr>
                <w:rStyle w:val="IndexLink"/>
              </w:rPr>
              <w:t>119</w:t>
            </w:r>
          </w:hyperlink>
        </w:p>
        <w:p>
          <w:pPr>
            <w:pStyle w:val="Contents5"/>
            <w:tabs>
              <w:tab w:val="clear" w:pos="7892"/>
              <w:tab w:val="right" w:pos="9026" w:leader="dot"/>
            </w:tabs>
            <w:rPr/>
          </w:pPr>
          <w:hyperlink w:anchor="__RefHeading___Toc6863542_73709187">
            <w:r>
              <w:rPr>
                <w:webHidden/>
                <w:rStyle w:val="IndexLink"/>
              </w:rPr>
              <w:t>8</w:t>
            </w:r>
            <w:r>
              <w:rPr>
                <w:rStyle w:val="IndexLink"/>
                <w:rtl w:val="true"/>
              </w:rPr>
              <w:t xml:space="preserve">. </w:t>
            </w:r>
            <w:r>
              <w:rPr>
                <w:rStyle w:val="IndexLink"/>
                <w:rtl w:val="true"/>
              </w:rPr>
              <w:t>التبرّك بالبردة المهداة</w:t>
            </w:r>
            <w:r>
              <w:rPr>
                <w:rStyle w:val="IndexLink"/>
                <w:rtl w:val="true"/>
              </w:rPr>
              <w:tab/>
            </w:r>
            <w:r>
              <w:rPr>
                <w:rStyle w:val="IndexLink"/>
              </w:rPr>
              <w:t>119</w:t>
            </w:r>
          </w:hyperlink>
        </w:p>
        <w:p>
          <w:pPr>
            <w:pStyle w:val="Contents6"/>
            <w:tabs>
              <w:tab w:val="clear" w:pos="7609"/>
              <w:tab w:val="right" w:pos="9026" w:leader="dot"/>
            </w:tabs>
            <w:rPr/>
          </w:pPr>
          <w:hyperlink w:anchor="__RefHeading___Toc6863544_73709187">
            <w:r>
              <w:rPr>
                <w:webHidden/>
                <w:rStyle w:val="IndexLink"/>
                <w:rtl w:val="true"/>
              </w:rPr>
              <w:t>اشارة</w:t>
            </w:r>
            <w:r>
              <w:rPr>
                <w:rStyle w:val="IndexLink"/>
                <w:rtl w:val="true"/>
              </w:rPr>
              <w:tab/>
            </w:r>
            <w:r>
              <w:rPr>
                <w:rStyle w:val="IndexLink"/>
              </w:rPr>
              <w:t>119</w:t>
            </w:r>
          </w:hyperlink>
        </w:p>
        <w:p>
          <w:pPr>
            <w:pStyle w:val="Contents6"/>
            <w:tabs>
              <w:tab w:val="clear" w:pos="7609"/>
              <w:tab w:val="right" w:pos="9026" w:leader="dot"/>
            </w:tabs>
            <w:rPr/>
          </w:pPr>
          <w:hyperlink w:anchor="__RefHeading___Toc6863546_73709187">
            <w:r>
              <w:rPr>
                <w:webHidden/>
                <w:rStyle w:val="IndexLink"/>
                <w:rtl w:val="true"/>
              </w:rPr>
              <w:t>التبرّك بجبّته صلى الله عليه و آله</w:t>
            </w:r>
            <w:r>
              <w:rPr>
                <w:rStyle w:val="IndexLink"/>
                <w:rtl w:val="true"/>
              </w:rPr>
              <w:tab/>
            </w:r>
            <w:r>
              <w:rPr>
                <w:rStyle w:val="IndexLink"/>
              </w:rPr>
              <w:t>120</w:t>
            </w:r>
          </w:hyperlink>
        </w:p>
        <w:p>
          <w:pPr>
            <w:pStyle w:val="Contents5"/>
            <w:tabs>
              <w:tab w:val="clear" w:pos="7892"/>
              <w:tab w:val="right" w:pos="9026" w:leader="dot"/>
            </w:tabs>
            <w:rPr/>
          </w:pPr>
          <w:hyperlink w:anchor="__RefHeading___Toc6863548_73709187">
            <w:r>
              <w:rPr>
                <w:webHidden/>
                <w:rStyle w:val="IndexLink"/>
              </w:rPr>
              <w:t>9</w:t>
            </w:r>
            <w:r>
              <w:rPr>
                <w:rStyle w:val="IndexLink"/>
                <w:rtl w:val="true"/>
              </w:rPr>
              <w:t xml:space="preserve">. </w:t>
            </w:r>
            <w:r>
              <w:rPr>
                <w:rStyle w:val="IndexLink"/>
                <w:rtl w:val="true"/>
              </w:rPr>
              <w:t>التبرّك بالقبر الشريف</w:t>
            </w:r>
            <w:r>
              <w:rPr>
                <w:rStyle w:val="IndexLink"/>
                <w:rtl w:val="true"/>
              </w:rPr>
              <w:tab/>
            </w:r>
            <w:r>
              <w:rPr>
                <w:rStyle w:val="IndexLink"/>
              </w:rPr>
              <w:t>120</w:t>
            </w:r>
          </w:hyperlink>
        </w:p>
        <w:p>
          <w:pPr>
            <w:pStyle w:val="Contents5"/>
            <w:tabs>
              <w:tab w:val="clear" w:pos="7892"/>
              <w:tab w:val="right" w:pos="9026" w:leader="dot"/>
            </w:tabs>
            <w:rPr/>
          </w:pPr>
          <w:hyperlink w:anchor="__RefHeading___Toc6863550_73709187">
            <w:r>
              <w:rPr>
                <w:webHidden/>
                <w:rStyle w:val="IndexLink"/>
              </w:rPr>
              <w:t>10</w:t>
            </w:r>
            <w:r>
              <w:rPr>
                <w:rStyle w:val="IndexLink"/>
                <w:rtl w:val="true"/>
              </w:rPr>
              <w:t xml:space="preserve">. </w:t>
            </w:r>
            <w:r>
              <w:rPr>
                <w:rStyle w:val="IndexLink"/>
                <w:rtl w:val="true"/>
              </w:rPr>
              <w:t>التبرّك بالمواضع الّتي صلّى فيها الرسول صلى الله عليه و آله</w:t>
            </w:r>
            <w:r>
              <w:rPr>
                <w:rStyle w:val="IndexLink"/>
                <w:rtl w:val="true"/>
              </w:rPr>
              <w:tab/>
            </w:r>
            <w:r>
              <w:rPr>
                <w:rStyle w:val="IndexLink"/>
              </w:rPr>
              <w:t>121</w:t>
            </w:r>
          </w:hyperlink>
        </w:p>
        <w:p>
          <w:pPr>
            <w:pStyle w:val="Contents5"/>
            <w:tabs>
              <w:tab w:val="clear" w:pos="7892"/>
              <w:tab w:val="right" w:pos="9026" w:leader="dot"/>
            </w:tabs>
            <w:rPr/>
          </w:pPr>
          <w:hyperlink w:anchor="__RefHeading___Toc6863552_73709187">
            <w:r>
              <w:rPr>
                <w:webHidden/>
                <w:rStyle w:val="IndexLink"/>
              </w:rPr>
              <w:t>11</w:t>
            </w:r>
            <w:r>
              <w:rPr>
                <w:rStyle w:val="IndexLink"/>
                <w:rtl w:val="true"/>
              </w:rPr>
              <w:t xml:space="preserve">. </w:t>
            </w:r>
            <w:r>
              <w:rPr>
                <w:rStyle w:val="IndexLink"/>
                <w:rtl w:val="true"/>
              </w:rPr>
              <w:t>التبرّك بخاتم النبي صلى الله عليه و آله</w:t>
            </w:r>
            <w:r>
              <w:rPr>
                <w:rStyle w:val="IndexLink"/>
                <w:rtl w:val="true"/>
              </w:rPr>
              <w:tab/>
            </w:r>
            <w:r>
              <w:rPr>
                <w:rStyle w:val="IndexLink"/>
              </w:rPr>
              <w:t>121</w:t>
            </w:r>
          </w:hyperlink>
        </w:p>
        <w:p>
          <w:pPr>
            <w:pStyle w:val="Contents5"/>
            <w:tabs>
              <w:tab w:val="clear" w:pos="7892"/>
              <w:tab w:val="right" w:pos="9026" w:leader="dot"/>
            </w:tabs>
            <w:rPr/>
          </w:pPr>
          <w:hyperlink w:anchor="__RefHeading___Toc6863554_73709187">
            <w:r>
              <w:rPr>
                <w:webHidden/>
                <w:rStyle w:val="IndexLink"/>
              </w:rPr>
              <w:t>12</w:t>
            </w:r>
            <w:r>
              <w:rPr>
                <w:rStyle w:val="IndexLink"/>
                <w:rtl w:val="true"/>
              </w:rPr>
              <w:t xml:space="preserve">. </w:t>
            </w:r>
            <w:r>
              <w:rPr>
                <w:rStyle w:val="IndexLink"/>
                <w:rtl w:val="true"/>
              </w:rPr>
              <w:t>التبرّك بالمسح واللمس</w:t>
            </w:r>
            <w:r>
              <w:rPr>
                <w:rStyle w:val="IndexLink"/>
                <w:rtl w:val="true"/>
              </w:rPr>
              <w:tab/>
            </w:r>
            <w:r>
              <w:rPr>
                <w:rStyle w:val="IndexLink"/>
              </w:rPr>
              <w:t>122</w:t>
            </w:r>
          </w:hyperlink>
        </w:p>
        <w:p>
          <w:pPr>
            <w:pStyle w:val="Contents4"/>
            <w:tabs>
              <w:tab w:val="clear" w:pos="8176"/>
              <w:tab w:val="right" w:pos="9026" w:leader="dot"/>
            </w:tabs>
            <w:rPr/>
          </w:pPr>
          <w:hyperlink w:anchor="__RefHeading___Toc6863556_73709187">
            <w:r>
              <w:rPr>
                <w:webHidden/>
                <w:rStyle w:val="IndexLink"/>
                <w:rtl w:val="true"/>
              </w:rPr>
              <w:t>التبرّك في روايات أهل البيت عليهم السلام</w:t>
            </w:r>
            <w:r>
              <w:rPr>
                <w:rStyle w:val="IndexLink"/>
                <w:rtl w:val="true"/>
              </w:rPr>
              <w:tab/>
            </w:r>
            <w:r>
              <w:rPr>
                <w:rStyle w:val="IndexLink"/>
              </w:rPr>
              <w:t>123</w:t>
            </w:r>
          </w:hyperlink>
        </w:p>
        <w:p>
          <w:pPr>
            <w:pStyle w:val="Contents5"/>
            <w:tabs>
              <w:tab w:val="clear" w:pos="7892"/>
              <w:tab w:val="right" w:pos="9026" w:leader="dot"/>
            </w:tabs>
            <w:rPr/>
          </w:pPr>
          <w:hyperlink w:anchor="__RefHeading___Toc6863558_73709187">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6863560_73709187">
            <w:r>
              <w:rPr>
                <w:webHidden/>
                <w:rStyle w:val="IndexLink"/>
              </w:rPr>
              <w:t>1</w:t>
            </w:r>
            <w:r>
              <w:rPr>
                <w:rStyle w:val="IndexLink"/>
                <w:rtl w:val="true"/>
              </w:rPr>
              <w:t xml:space="preserve">. </w:t>
            </w:r>
            <w:r>
              <w:rPr>
                <w:rStyle w:val="IndexLink"/>
                <w:rtl w:val="true"/>
              </w:rPr>
              <w:t>التبرّك باسم اللّه جل وعلا</w:t>
            </w:r>
            <w:r>
              <w:rPr>
                <w:rStyle w:val="IndexLink"/>
                <w:rtl w:val="true"/>
              </w:rPr>
              <w:tab/>
            </w:r>
            <w:r>
              <w:rPr>
                <w:rStyle w:val="IndexLink"/>
              </w:rPr>
              <w:t>123</w:t>
            </w:r>
          </w:hyperlink>
        </w:p>
        <w:p>
          <w:pPr>
            <w:pStyle w:val="Contents5"/>
            <w:tabs>
              <w:tab w:val="clear" w:pos="7892"/>
              <w:tab w:val="right" w:pos="9026" w:leader="dot"/>
            </w:tabs>
            <w:rPr/>
          </w:pPr>
          <w:hyperlink w:anchor="__RefHeading___Toc6863562_73709187">
            <w:r>
              <w:rPr>
                <w:webHidden/>
                <w:rStyle w:val="IndexLink"/>
              </w:rPr>
              <w:t>2</w:t>
            </w:r>
            <w:r>
              <w:rPr>
                <w:rStyle w:val="IndexLink"/>
                <w:rtl w:val="true"/>
              </w:rPr>
              <w:t xml:space="preserve">. </w:t>
            </w:r>
            <w:r>
              <w:rPr>
                <w:rStyle w:val="IndexLink"/>
                <w:rtl w:val="true"/>
              </w:rPr>
              <w:t>التبرّك بالقرآن الكريم</w:t>
            </w:r>
            <w:r>
              <w:rPr>
                <w:rStyle w:val="IndexLink"/>
                <w:rtl w:val="true"/>
              </w:rPr>
              <w:tab/>
            </w:r>
            <w:r>
              <w:rPr>
                <w:rStyle w:val="IndexLink"/>
              </w:rPr>
              <w:t>123</w:t>
            </w:r>
          </w:hyperlink>
        </w:p>
        <w:p>
          <w:pPr>
            <w:pStyle w:val="Contents5"/>
            <w:tabs>
              <w:tab w:val="clear" w:pos="7892"/>
              <w:tab w:val="right" w:pos="9026" w:leader="dot"/>
            </w:tabs>
            <w:rPr/>
          </w:pPr>
          <w:hyperlink w:anchor="__RefHeading___Toc6863564_73709187">
            <w:r>
              <w:rPr>
                <w:webHidden/>
                <w:rStyle w:val="IndexLink"/>
              </w:rPr>
              <w:t>3</w:t>
            </w:r>
            <w:r>
              <w:rPr>
                <w:rStyle w:val="IndexLink"/>
                <w:rtl w:val="true"/>
              </w:rPr>
              <w:t xml:space="preserve">. </w:t>
            </w:r>
            <w:r>
              <w:rPr>
                <w:rStyle w:val="IndexLink"/>
                <w:rtl w:val="true"/>
              </w:rPr>
              <w:t>التبرّك بماء وضوء النبي صلى الله عليه و آله</w:t>
            </w:r>
            <w:r>
              <w:rPr>
                <w:rStyle w:val="IndexLink"/>
                <w:rtl w:val="true"/>
              </w:rPr>
              <w:tab/>
            </w:r>
            <w:r>
              <w:rPr>
                <w:rStyle w:val="IndexLink"/>
              </w:rPr>
              <w:t>124</w:t>
            </w:r>
          </w:hyperlink>
        </w:p>
        <w:p>
          <w:pPr>
            <w:pStyle w:val="Contents5"/>
            <w:tabs>
              <w:tab w:val="clear" w:pos="7892"/>
              <w:tab w:val="right" w:pos="9026" w:leader="dot"/>
            </w:tabs>
            <w:rPr/>
          </w:pPr>
          <w:hyperlink w:anchor="__RefHeading___Toc6863566_73709187">
            <w:r>
              <w:rPr>
                <w:webHidden/>
                <w:rStyle w:val="IndexLink"/>
              </w:rPr>
              <w:t>4</w:t>
            </w:r>
            <w:r>
              <w:rPr>
                <w:rStyle w:val="IndexLink"/>
                <w:rtl w:val="true"/>
              </w:rPr>
              <w:t xml:space="preserve">. </w:t>
            </w:r>
            <w:r>
              <w:rPr>
                <w:rStyle w:val="IndexLink"/>
                <w:rtl w:val="true"/>
              </w:rPr>
              <w:t>التبرّك بقبر النبي صلى الله عليه و آله</w:t>
            </w:r>
            <w:r>
              <w:rPr>
                <w:rStyle w:val="IndexLink"/>
                <w:rtl w:val="true"/>
              </w:rPr>
              <w:tab/>
            </w:r>
            <w:r>
              <w:rPr>
                <w:rStyle w:val="IndexLink"/>
              </w:rPr>
              <w:t>124</w:t>
            </w:r>
          </w:hyperlink>
        </w:p>
        <w:p>
          <w:pPr>
            <w:pStyle w:val="Contents4"/>
            <w:tabs>
              <w:tab w:val="clear" w:pos="8176"/>
              <w:tab w:val="right" w:pos="9026" w:leader="dot"/>
            </w:tabs>
            <w:rPr/>
          </w:pPr>
          <w:hyperlink w:anchor="__RefHeading___Toc6863568_73709187">
            <w:r>
              <w:rPr>
                <w:webHidden/>
                <w:rStyle w:val="IndexLink"/>
                <w:rtl w:val="true"/>
              </w:rPr>
              <w:t>شبهة القائلين بحرمة التبرّك</w:t>
            </w:r>
            <w:r>
              <w:rPr>
                <w:rStyle w:val="IndexLink"/>
                <w:rtl w:val="true"/>
              </w:rPr>
              <w:tab/>
            </w:r>
            <w:r>
              <w:rPr>
                <w:rStyle w:val="IndexLink"/>
              </w:rPr>
              <w:t>125</w:t>
            </w:r>
          </w:hyperlink>
        </w:p>
        <w:p>
          <w:pPr>
            <w:pStyle w:val="Contents3"/>
            <w:tabs>
              <w:tab w:val="clear" w:pos="8459"/>
              <w:tab w:val="right" w:pos="9026" w:leader="dot"/>
            </w:tabs>
            <w:rPr/>
          </w:pPr>
          <w:hyperlink w:anchor="__RefHeading___Toc6863570_73709187">
            <w:r>
              <w:rPr>
                <w:webHidden/>
                <w:rStyle w:val="IndexLink"/>
              </w:rPr>
              <w:t>11</w:t>
            </w:r>
            <w:r>
              <w:rPr>
                <w:rStyle w:val="IndexLink"/>
                <w:rtl w:val="true"/>
              </w:rPr>
              <w:t xml:space="preserve"> </w:t>
            </w:r>
            <w:r>
              <w:rPr>
                <w:rStyle w:val="IndexLink"/>
                <w:rtl w:val="true"/>
              </w:rPr>
              <w:t>التوسّل في الكتاب والسنّة</w:t>
            </w:r>
            <w:r>
              <w:rPr>
                <w:rStyle w:val="IndexLink"/>
                <w:rtl w:val="true"/>
              </w:rPr>
              <w:tab/>
            </w:r>
            <w:r>
              <w:rPr>
                <w:rStyle w:val="IndexLink"/>
              </w:rPr>
              <w:t>131</w:t>
            </w:r>
          </w:hyperlink>
        </w:p>
        <w:p>
          <w:pPr>
            <w:pStyle w:val="Contents4"/>
            <w:tabs>
              <w:tab w:val="clear" w:pos="8176"/>
              <w:tab w:val="right" w:pos="9026" w:leader="dot"/>
            </w:tabs>
            <w:rPr/>
          </w:pPr>
          <w:hyperlink w:anchor="__RefHeading___Toc6863572_73709187">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6863574_73709187">
            <w:r>
              <w:rPr>
                <w:webHidden/>
                <w:rStyle w:val="IndexLink"/>
                <w:rtl w:val="true"/>
              </w:rPr>
              <w:t>أنواع الوسائل</w:t>
            </w:r>
            <w:r>
              <w:rPr>
                <w:rStyle w:val="IndexLink"/>
                <w:rtl w:val="true"/>
              </w:rPr>
              <w:tab/>
            </w:r>
            <w:r>
              <w:rPr>
                <w:rStyle w:val="IndexLink"/>
              </w:rPr>
              <w:t>132</w:t>
            </w:r>
          </w:hyperlink>
        </w:p>
        <w:p>
          <w:pPr>
            <w:pStyle w:val="Contents5"/>
            <w:tabs>
              <w:tab w:val="clear" w:pos="7892"/>
              <w:tab w:val="right" w:pos="9026" w:leader="dot"/>
            </w:tabs>
            <w:rPr/>
          </w:pPr>
          <w:hyperlink w:anchor="__RefHeading___Toc6863576_73709187">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6863578_73709187">
            <w:r>
              <w:rPr>
                <w:webHidden/>
                <w:rStyle w:val="IndexLink"/>
                <w:rtl w:val="true"/>
              </w:rPr>
              <w:t>الأوّل</w:t>
            </w:r>
            <w:r>
              <w:rPr>
                <w:rStyle w:val="IndexLink"/>
                <w:rtl w:val="true"/>
              </w:rPr>
              <w:t xml:space="preserve">: </w:t>
            </w:r>
            <w:r>
              <w:rPr>
                <w:rStyle w:val="IndexLink"/>
                <w:rtl w:val="true"/>
              </w:rPr>
              <w:t>التوسّل بأسماء اللّه وصفاته</w:t>
            </w:r>
            <w:r>
              <w:rPr>
                <w:rStyle w:val="IndexLink"/>
                <w:rtl w:val="true"/>
              </w:rPr>
              <w:tab/>
            </w:r>
            <w:r>
              <w:rPr>
                <w:rStyle w:val="IndexLink"/>
              </w:rPr>
              <w:t>132</w:t>
            </w:r>
          </w:hyperlink>
        </w:p>
        <w:p>
          <w:pPr>
            <w:pStyle w:val="Contents5"/>
            <w:tabs>
              <w:tab w:val="clear" w:pos="7892"/>
              <w:tab w:val="right" w:pos="9026" w:leader="dot"/>
            </w:tabs>
            <w:rPr/>
          </w:pPr>
          <w:hyperlink w:anchor="__RefHeading___Toc6863580_73709187">
            <w:r>
              <w:rPr>
                <w:webHidden/>
                <w:rStyle w:val="IndexLink"/>
                <w:rtl w:val="true"/>
              </w:rPr>
              <w:t>الثاني</w:t>
            </w:r>
            <w:r>
              <w:rPr>
                <w:rStyle w:val="IndexLink"/>
                <w:rtl w:val="true"/>
              </w:rPr>
              <w:t xml:space="preserve">: </w:t>
            </w:r>
            <w:r>
              <w:rPr>
                <w:rStyle w:val="IndexLink"/>
                <w:rtl w:val="true"/>
              </w:rPr>
              <w:t>التوسّل بالقرآن الكريم</w:t>
            </w:r>
            <w:r>
              <w:rPr>
                <w:rStyle w:val="IndexLink"/>
                <w:rtl w:val="true"/>
              </w:rPr>
              <w:tab/>
            </w:r>
            <w:r>
              <w:rPr>
                <w:rStyle w:val="IndexLink"/>
              </w:rPr>
              <w:t>133</w:t>
            </w:r>
          </w:hyperlink>
        </w:p>
        <w:p>
          <w:pPr>
            <w:pStyle w:val="Contents5"/>
            <w:tabs>
              <w:tab w:val="clear" w:pos="7892"/>
              <w:tab w:val="right" w:pos="9026" w:leader="dot"/>
            </w:tabs>
            <w:rPr/>
          </w:pPr>
          <w:hyperlink w:anchor="__RefHeading___Toc6863582_73709187">
            <w:r>
              <w:rPr>
                <w:webHidden/>
                <w:rStyle w:val="IndexLink"/>
                <w:rtl w:val="true"/>
              </w:rPr>
              <w:t>الثالث</w:t>
            </w:r>
            <w:r>
              <w:rPr>
                <w:rStyle w:val="IndexLink"/>
                <w:rtl w:val="true"/>
              </w:rPr>
              <w:t xml:space="preserve">: </w:t>
            </w:r>
            <w:r>
              <w:rPr>
                <w:rStyle w:val="IndexLink"/>
                <w:rtl w:val="true"/>
              </w:rPr>
              <w:t>التوسّل بالأعمال الصالحة</w:t>
            </w:r>
            <w:r>
              <w:rPr>
                <w:rStyle w:val="IndexLink"/>
                <w:rtl w:val="true"/>
              </w:rPr>
              <w:tab/>
            </w:r>
            <w:r>
              <w:rPr>
                <w:rStyle w:val="IndexLink"/>
              </w:rPr>
              <w:t>134</w:t>
            </w:r>
          </w:hyperlink>
        </w:p>
        <w:p>
          <w:pPr>
            <w:pStyle w:val="Contents5"/>
            <w:tabs>
              <w:tab w:val="clear" w:pos="7892"/>
              <w:tab w:val="right" w:pos="9026" w:leader="dot"/>
            </w:tabs>
            <w:rPr/>
          </w:pPr>
          <w:hyperlink w:anchor="__RefHeading___Toc6863584_73709187">
            <w:r>
              <w:rPr>
                <w:webHidden/>
                <w:rStyle w:val="IndexLink"/>
                <w:rtl w:val="true"/>
              </w:rPr>
              <w:t>الرابع</w:t>
            </w:r>
            <w:r>
              <w:rPr>
                <w:rStyle w:val="IndexLink"/>
                <w:rtl w:val="true"/>
              </w:rPr>
              <w:t xml:space="preserve">: </w:t>
            </w:r>
            <w:r>
              <w:rPr>
                <w:rStyle w:val="IndexLink"/>
                <w:rtl w:val="true"/>
              </w:rPr>
              <w:t>التوسل بدعاء الأخ المؤمن</w:t>
            </w:r>
            <w:r>
              <w:rPr>
                <w:rStyle w:val="IndexLink"/>
                <w:rtl w:val="true"/>
              </w:rPr>
              <w:tab/>
            </w:r>
            <w:r>
              <w:rPr>
                <w:rStyle w:val="IndexLink"/>
              </w:rPr>
              <w:t>136</w:t>
            </w:r>
          </w:hyperlink>
        </w:p>
        <w:p>
          <w:pPr>
            <w:pStyle w:val="Contents5"/>
            <w:tabs>
              <w:tab w:val="clear" w:pos="7892"/>
              <w:tab w:val="right" w:pos="9026" w:leader="dot"/>
            </w:tabs>
            <w:rPr/>
          </w:pPr>
          <w:hyperlink w:anchor="__RefHeading___Toc6863586_73709187">
            <w:r>
              <w:rPr>
                <w:webHidden/>
                <w:rStyle w:val="IndexLink"/>
                <w:rtl w:val="true"/>
              </w:rPr>
              <w:t>الخامس</w:t>
            </w:r>
            <w:r>
              <w:rPr>
                <w:rStyle w:val="IndexLink"/>
                <w:rtl w:val="true"/>
              </w:rPr>
              <w:t xml:space="preserve">: </w:t>
            </w:r>
            <w:r>
              <w:rPr>
                <w:rStyle w:val="IndexLink"/>
                <w:rtl w:val="true"/>
              </w:rPr>
              <w:t>التوسّل بدعاء النبي صلى الله عليه و آله في حياته</w:t>
            </w:r>
            <w:r>
              <w:rPr>
                <w:rStyle w:val="IndexLink"/>
                <w:rtl w:val="true"/>
              </w:rPr>
              <w:tab/>
            </w:r>
            <w:r>
              <w:rPr>
                <w:rStyle w:val="IndexLink"/>
              </w:rPr>
              <w:t>137</w:t>
            </w:r>
          </w:hyperlink>
        </w:p>
        <w:p>
          <w:pPr>
            <w:pStyle w:val="Contents5"/>
            <w:tabs>
              <w:tab w:val="clear" w:pos="7892"/>
              <w:tab w:val="right" w:pos="9026" w:leader="dot"/>
            </w:tabs>
            <w:rPr/>
          </w:pPr>
          <w:hyperlink w:anchor="__RefHeading___Toc6863588_73709187">
            <w:r>
              <w:rPr>
                <w:webHidden/>
                <w:rStyle w:val="IndexLink"/>
                <w:rtl w:val="true"/>
              </w:rPr>
              <w:t>السادس</w:t>
            </w:r>
            <w:r>
              <w:rPr>
                <w:rStyle w:val="IndexLink"/>
                <w:rtl w:val="true"/>
              </w:rPr>
              <w:t xml:space="preserve">: </w:t>
            </w:r>
            <w:r>
              <w:rPr>
                <w:rStyle w:val="IndexLink"/>
                <w:rtl w:val="true"/>
              </w:rPr>
              <w:t>التوسّل بدعاء النبي صلى الله عليه و آله بعد رحيله</w:t>
            </w:r>
            <w:r>
              <w:rPr>
                <w:rStyle w:val="IndexLink"/>
                <w:rtl w:val="true"/>
              </w:rPr>
              <w:tab/>
            </w:r>
            <w:r>
              <w:rPr>
                <w:rStyle w:val="IndexLink"/>
              </w:rPr>
              <w:t>138</w:t>
            </w:r>
          </w:hyperlink>
        </w:p>
        <w:p>
          <w:pPr>
            <w:pStyle w:val="Contents4"/>
            <w:tabs>
              <w:tab w:val="clear" w:pos="8176"/>
              <w:tab w:val="right" w:pos="9026" w:leader="dot"/>
            </w:tabs>
            <w:rPr/>
          </w:pPr>
          <w:hyperlink w:anchor="__RefHeading___Toc6863590_73709187">
            <w:r>
              <w:rPr>
                <w:webHidden/>
                <w:rStyle w:val="IndexLink"/>
                <w:rtl w:val="true"/>
              </w:rPr>
              <w:t>تكلّم النبي صلى الله عليه و آله مع الهالكين من قريش</w:t>
            </w:r>
            <w:r>
              <w:rPr>
                <w:rStyle w:val="IndexLink"/>
                <w:rtl w:val="true"/>
              </w:rPr>
              <w:tab/>
            </w:r>
            <w:r>
              <w:rPr>
                <w:rStyle w:val="IndexLink"/>
              </w:rPr>
              <w:t>142</w:t>
            </w:r>
          </w:hyperlink>
        </w:p>
        <w:p>
          <w:pPr>
            <w:pStyle w:val="Contents4"/>
            <w:tabs>
              <w:tab w:val="clear" w:pos="8176"/>
              <w:tab w:val="right" w:pos="9026" w:leader="dot"/>
            </w:tabs>
            <w:rPr/>
          </w:pPr>
          <w:hyperlink w:anchor="__RefHeading___Toc6863592_73709187">
            <w:r>
              <w:rPr>
                <w:webHidden/>
                <w:rStyle w:val="IndexLink"/>
                <w:rtl w:val="true"/>
              </w:rPr>
              <w:t>سيرة المسلمين بعد رحيل النبي صلى الله عليه و آله</w:t>
            </w:r>
            <w:r>
              <w:rPr>
                <w:rStyle w:val="IndexLink"/>
                <w:rtl w:val="true"/>
              </w:rPr>
              <w:tab/>
            </w:r>
            <w:r>
              <w:rPr>
                <w:rStyle w:val="IndexLink"/>
              </w:rPr>
              <w:t>143</w:t>
            </w:r>
          </w:hyperlink>
        </w:p>
        <w:p>
          <w:pPr>
            <w:pStyle w:val="Contents4"/>
            <w:tabs>
              <w:tab w:val="clear" w:pos="8176"/>
              <w:tab w:val="right" w:pos="9026" w:leader="dot"/>
            </w:tabs>
            <w:rPr/>
          </w:pPr>
          <w:hyperlink w:anchor="__RefHeading___Toc6863594_73709187">
            <w:r>
              <w:rPr>
                <w:webHidden/>
                <w:rStyle w:val="IndexLink"/>
                <w:rtl w:val="true"/>
              </w:rPr>
              <w:t>شبهات المخالفين</w:t>
            </w:r>
            <w:r>
              <w:rPr>
                <w:rStyle w:val="IndexLink"/>
                <w:rtl w:val="true"/>
              </w:rPr>
              <w:tab/>
            </w:r>
            <w:r>
              <w:rPr>
                <w:rStyle w:val="IndexLink"/>
              </w:rPr>
              <w:t>148</w:t>
            </w:r>
          </w:hyperlink>
        </w:p>
        <w:p>
          <w:pPr>
            <w:pStyle w:val="Contents5"/>
            <w:tabs>
              <w:tab w:val="clear" w:pos="7892"/>
              <w:tab w:val="right" w:pos="9026" w:leader="dot"/>
            </w:tabs>
            <w:rPr/>
          </w:pPr>
          <w:hyperlink w:anchor="__RefHeading___Toc6863596_73709187">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6863598_73709187">
            <w:r>
              <w:rPr>
                <w:webHidden/>
                <w:rStyle w:val="IndexLink"/>
                <w:rtl w:val="true"/>
              </w:rPr>
              <w:t>الأُولى</w:t>
            </w:r>
            <w:r>
              <w:rPr>
                <w:rStyle w:val="IndexLink"/>
                <w:rtl w:val="true"/>
              </w:rPr>
              <w:t xml:space="preserve">: </w:t>
            </w:r>
            <w:r>
              <w:rPr>
                <w:rStyle w:val="IndexLink"/>
                <w:rtl w:val="true"/>
              </w:rPr>
              <w:t>البرزخ مانع من الاتصال</w:t>
            </w:r>
            <w:r>
              <w:rPr>
                <w:rStyle w:val="IndexLink"/>
                <w:rtl w:val="true"/>
              </w:rPr>
              <w:tab/>
            </w:r>
            <w:r>
              <w:rPr>
                <w:rStyle w:val="IndexLink"/>
              </w:rPr>
              <w:t>148</w:t>
            </w:r>
          </w:hyperlink>
        </w:p>
        <w:p>
          <w:pPr>
            <w:pStyle w:val="Contents5"/>
            <w:tabs>
              <w:tab w:val="clear" w:pos="7892"/>
              <w:tab w:val="right" w:pos="9026" w:leader="dot"/>
            </w:tabs>
            <w:rPr/>
          </w:pPr>
          <w:hyperlink w:anchor="__RefHeading___Toc6863600_73709187">
            <w:r>
              <w:rPr>
                <w:webHidden/>
                <w:rStyle w:val="IndexLink"/>
                <w:rtl w:val="true"/>
              </w:rPr>
              <w:t>الشبهة الثانية</w:t>
            </w:r>
            <w:r>
              <w:rPr>
                <w:rStyle w:val="IndexLink"/>
                <w:rtl w:val="true"/>
              </w:rPr>
              <w:t xml:space="preserve">: </w:t>
            </w:r>
            <w:r>
              <w:rPr>
                <w:rStyle w:val="IndexLink"/>
                <w:rtl w:val="true"/>
              </w:rPr>
              <w:t>امتناع إسماع الموتى</w:t>
            </w:r>
            <w:r>
              <w:rPr>
                <w:rStyle w:val="IndexLink"/>
                <w:rtl w:val="true"/>
              </w:rPr>
              <w:tab/>
            </w:r>
            <w:r>
              <w:rPr>
                <w:rStyle w:val="IndexLink"/>
              </w:rPr>
              <w:t>149</w:t>
            </w:r>
          </w:hyperlink>
        </w:p>
        <w:p>
          <w:pPr>
            <w:pStyle w:val="Contents5"/>
            <w:tabs>
              <w:tab w:val="clear" w:pos="7892"/>
              <w:tab w:val="right" w:pos="9026" w:leader="dot"/>
            </w:tabs>
            <w:rPr/>
          </w:pPr>
          <w:hyperlink w:anchor="__RefHeading___Toc6863602_73709187">
            <w:r>
              <w:rPr>
                <w:webHidden/>
                <w:rStyle w:val="IndexLink"/>
                <w:rtl w:val="true"/>
              </w:rPr>
              <w:t>الشبهة الثالثة</w:t>
            </w:r>
            <w:r>
              <w:rPr>
                <w:rStyle w:val="IndexLink"/>
                <w:rtl w:val="true"/>
              </w:rPr>
              <w:t xml:space="preserve">: </w:t>
            </w:r>
            <w:r>
              <w:rPr>
                <w:rStyle w:val="IndexLink"/>
                <w:rtl w:val="true"/>
              </w:rPr>
              <w:t>انقطاع عمل الإنسان</w:t>
            </w:r>
            <w:r>
              <w:rPr>
                <w:rStyle w:val="IndexLink"/>
                <w:rtl w:val="true"/>
              </w:rPr>
              <w:tab/>
            </w:r>
            <w:r>
              <w:rPr>
                <w:rStyle w:val="IndexLink"/>
              </w:rPr>
              <w:t>150</w:t>
            </w:r>
          </w:hyperlink>
        </w:p>
        <w:p>
          <w:pPr>
            <w:pStyle w:val="Contents5"/>
            <w:tabs>
              <w:tab w:val="clear" w:pos="7892"/>
              <w:tab w:val="right" w:pos="9026" w:leader="dot"/>
            </w:tabs>
            <w:rPr/>
          </w:pPr>
          <w:hyperlink w:anchor="__RefHeading___Toc6863604_73709187">
            <w:r>
              <w:rPr>
                <w:webHidden/>
                <w:rStyle w:val="IndexLink"/>
                <w:rtl w:val="true"/>
              </w:rPr>
              <w:t>الشبهة الرابعة</w:t>
            </w:r>
            <w:r>
              <w:rPr>
                <w:rStyle w:val="IndexLink"/>
                <w:rtl w:val="true"/>
              </w:rPr>
              <w:t xml:space="preserve">: </w:t>
            </w:r>
            <w:r>
              <w:rPr>
                <w:rStyle w:val="IndexLink"/>
                <w:rtl w:val="true"/>
              </w:rPr>
              <w:t>التوسّل بدعاء الأنبياء شرك</w:t>
            </w:r>
            <w:r>
              <w:rPr>
                <w:rStyle w:val="IndexLink"/>
                <w:rtl w:val="true"/>
              </w:rPr>
              <w:tab/>
            </w:r>
            <w:r>
              <w:rPr>
                <w:rStyle w:val="IndexLink"/>
              </w:rPr>
              <w:t>151</w:t>
            </w:r>
          </w:hyperlink>
        </w:p>
        <w:p>
          <w:pPr>
            <w:pStyle w:val="Contents5"/>
            <w:tabs>
              <w:tab w:val="clear" w:pos="7892"/>
              <w:tab w:val="right" w:pos="9026" w:leader="dot"/>
            </w:tabs>
            <w:rPr/>
          </w:pPr>
          <w:hyperlink w:anchor="__RefHeading___Toc6863606_73709187">
            <w:r>
              <w:rPr>
                <w:webHidden/>
                <w:rStyle w:val="IndexLink"/>
                <w:rtl w:val="true"/>
              </w:rPr>
              <w:t>الشبهة الخامسة</w:t>
            </w:r>
            <w:r>
              <w:rPr>
                <w:rStyle w:val="IndexLink"/>
                <w:rtl w:val="true"/>
              </w:rPr>
              <w:t xml:space="preserve">: </w:t>
            </w:r>
            <w:r>
              <w:rPr>
                <w:rStyle w:val="IndexLink"/>
                <w:rtl w:val="true"/>
              </w:rPr>
              <w:t>أنّ دعاء النبي صلى الله عليه و آله بعد رحيله بدعة</w:t>
            </w:r>
            <w:r>
              <w:rPr>
                <w:rStyle w:val="IndexLink"/>
                <w:rtl w:val="true"/>
              </w:rPr>
              <w:tab/>
            </w:r>
            <w:r>
              <w:rPr>
                <w:rStyle w:val="IndexLink"/>
              </w:rPr>
              <w:t>154</w:t>
            </w:r>
          </w:hyperlink>
        </w:p>
        <w:p>
          <w:pPr>
            <w:pStyle w:val="Contents5"/>
            <w:tabs>
              <w:tab w:val="clear" w:pos="7892"/>
              <w:tab w:val="right" w:pos="9026" w:leader="dot"/>
            </w:tabs>
            <w:rPr/>
          </w:pPr>
          <w:hyperlink w:anchor="__RefHeading___Toc6863608_73709187">
            <w:r>
              <w:rPr>
                <w:webHidden/>
                <w:rStyle w:val="IndexLink"/>
                <w:rtl w:val="true"/>
              </w:rPr>
              <w:t>السابع</w:t>
            </w:r>
            <w:r>
              <w:rPr>
                <w:rStyle w:val="IndexLink"/>
                <w:rtl w:val="true"/>
              </w:rPr>
              <w:t xml:space="preserve">: </w:t>
            </w:r>
            <w:r>
              <w:rPr>
                <w:rStyle w:val="IndexLink"/>
                <w:rtl w:val="true"/>
              </w:rPr>
              <w:t>التوسّل بذات النبيّ حال حياته</w:t>
            </w:r>
            <w:r>
              <w:rPr>
                <w:rStyle w:val="IndexLink"/>
                <w:rtl w:val="true"/>
              </w:rPr>
              <w:tab/>
            </w:r>
            <w:r>
              <w:rPr>
                <w:rStyle w:val="IndexLink"/>
              </w:rPr>
              <w:t>155</w:t>
            </w:r>
          </w:hyperlink>
        </w:p>
        <w:p>
          <w:pPr>
            <w:pStyle w:val="Contents6"/>
            <w:tabs>
              <w:tab w:val="clear" w:pos="7609"/>
              <w:tab w:val="right" w:pos="9026" w:leader="dot"/>
            </w:tabs>
            <w:rPr/>
          </w:pPr>
          <w:hyperlink w:anchor="__RefHeading___Toc6863610_73709187">
            <w:r>
              <w:rPr>
                <w:webHidden/>
                <w:rStyle w:val="IndexLink"/>
                <w:rtl w:val="true"/>
              </w:rPr>
              <w:t>اشارة</w:t>
            </w:r>
            <w:r>
              <w:rPr>
                <w:rStyle w:val="IndexLink"/>
                <w:rtl w:val="true"/>
              </w:rPr>
              <w:tab/>
            </w:r>
            <w:r>
              <w:rPr>
                <w:rStyle w:val="IndexLink"/>
              </w:rPr>
              <w:t>155</w:t>
            </w:r>
          </w:hyperlink>
        </w:p>
        <w:p>
          <w:pPr>
            <w:pStyle w:val="Contents6"/>
            <w:tabs>
              <w:tab w:val="clear" w:pos="7609"/>
              <w:tab w:val="right" w:pos="9026" w:leader="dot"/>
            </w:tabs>
            <w:rPr/>
          </w:pPr>
          <w:hyperlink w:anchor="__RefHeading___Toc6863612_73709187">
            <w:r>
              <w:rPr>
                <w:webHidden/>
                <w:rStyle w:val="IndexLink"/>
                <w:rtl w:val="true"/>
              </w:rPr>
              <w:t>توسّل الضرير بشخص النبي صلى الله عليه و آله</w:t>
            </w:r>
            <w:r>
              <w:rPr>
                <w:rStyle w:val="IndexLink"/>
                <w:rtl w:val="true"/>
              </w:rPr>
              <w:tab/>
            </w:r>
            <w:r>
              <w:rPr>
                <w:rStyle w:val="IndexLink"/>
              </w:rPr>
              <w:t>155</w:t>
            </w:r>
          </w:hyperlink>
        </w:p>
        <w:p>
          <w:pPr>
            <w:pStyle w:val="Contents6"/>
            <w:tabs>
              <w:tab w:val="clear" w:pos="7609"/>
              <w:tab w:val="right" w:pos="9026" w:leader="dot"/>
            </w:tabs>
            <w:rPr/>
          </w:pPr>
          <w:hyperlink w:anchor="__RefHeading___Toc6863614_73709187">
            <w:r>
              <w:rPr>
                <w:webHidden/>
                <w:rStyle w:val="IndexLink"/>
              </w:rPr>
              <w:t>1</w:t>
            </w:r>
            <w:r>
              <w:rPr>
                <w:rStyle w:val="IndexLink"/>
                <w:rtl w:val="true"/>
              </w:rPr>
              <w:t xml:space="preserve">. </w:t>
            </w:r>
            <w:r>
              <w:rPr>
                <w:rStyle w:val="IndexLink"/>
                <w:rtl w:val="true"/>
              </w:rPr>
              <w:t>اللّهمّ إنّي أسألك وأتوجّه إليك بنبيّك</w:t>
            </w:r>
            <w:r>
              <w:rPr>
                <w:rStyle w:val="IndexLink"/>
                <w:rtl w:val="true"/>
              </w:rPr>
              <w:tab/>
            </w:r>
            <w:r>
              <w:rPr>
                <w:rStyle w:val="IndexLink"/>
              </w:rPr>
              <w:t>157</w:t>
            </w:r>
          </w:hyperlink>
        </w:p>
        <w:p>
          <w:pPr>
            <w:pStyle w:val="Contents6"/>
            <w:tabs>
              <w:tab w:val="clear" w:pos="7609"/>
              <w:tab w:val="right" w:pos="9026" w:leader="dot"/>
            </w:tabs>
            <w:rPr/>
          </w:pPr>
          <w:hyperlink w:anchor="__RefHeading___Toc6863616_73709187">
            <w:r>
              <w:rPr>
                <w:webHidden/>
                <w:rStyle w:val="IndexLink"/>
              </w:rPr>
              <w:t>2</w:t>
            </w:r>
            <w:r>
              <w:rPr>
                <w:rStyle w:val="IndexLink"/>
                <w:rtl w:val="true"/>
              </w:rPr>
              <w:t xml:space="preserve">. </w:t>
            </w:r>
            <w:r>
              <w:rPr>
                <w:rStyle w:val="IndexLink"/>
                <w:rtl w:val="true"/>
              </w:rPr>
              <w:t>محمد نبي الرحمة</w:t>
            </w:r>
            <w:r>
              <w:rPr>
                <w:rStyle w:val="IndexLink"/>
                <w:rtl w:val="true"/>
              </w:rPr>
              <w:tab/>
            </w:r>
            <w:r>
              <w:rPr>
                <w:rStyle w:val="IndexLink"/>
              </w:rPr>
              <w:t>157</w:t>
            </w:r>
          </w:hyperlink>
        </w:p>
        <w:p>
          <w:pPr>
            <w:pStyle w:val="Contents6"/>
            <w:tabs>
              <w:tab w:val="clear" w:pos="7609"/>
              <w:tab w:val="right" w:pos="9026" w:leader="dot"/>
            </w:tabs>
            <w:rPr/>
          </w:pPr>
          <w:hyperlink w:anchor="__RefHeading___Toc6863618_73709187">
            <w:r>
              <w:rPr>
                <w:webHidden/>
                <w:rStyle w:val="IndexLink"/>
              </w:rPr>
              <w:t>3</w:t>
            </w:r>
            <w:r>
              <w:rPr>
                <w:rStyle w:val="IndexLink"/>
                <w:rtl w:val="true"/>
              </w:rPr>
              <w:t xml:space="preserve">. </w:t>
            </w:r>
            <w:r>
              <w:rPr>
                <w:rStyle w:val="IndexLink"/>
                <w:rtl w:val="true"/>
              </w:rPr>
              <w:t>يا محمد إنّي أتوجّه بك إلى ربّي</w:t>
            </w:r>
            <w:r>
              <w:rPr>
                <w:rStyle w:val="IndexLink"/>
                <w:rtl w:val="true"/>
              </w:rPr>
              <w:tab/>
            </w:r>
            <w:r>
              <w:rPr>
                <w:rStyle w:val="IndexLink"/>
              </w:rPr>
              <w:t>157</w:t>
            </w:r>
          </w:hyperlink>
        </w:p>
        <w:p>
          <w:pPr>
            <w:pStyle w:val="Contents6"/>
            <w:tabs>
              <w:tab w:val="clear" w:pos="7609"/>
              <w:tab w:val="right" w:pos="9026" w:leader="dot"/>
            </w:tabs>
            <w:rPr/>
          </w:pPr>
          <w:hyperlink w:anchor="__RefHeading___Toc6863620_73709187">
            <w:r>
              <w:rPr>
                <w:webHidden/>
                <w:rStyle w:val="IndexLink"/>
              </w:rPr>
              <w:t>4</w:t>
            </w:r>
            <w:r>
              <w:rPr>
                <w:rStyle w:val="IndexLink"/>
                <w:rtl w:val="true"/>
              </w:rPr>
              <w:t xml:space="preserve">. </w:t>
            </w:r>
            <w:r>
              <w:rPr>
                <w:rStyle w:val="IndexLink"/>
                <w:rtl w:val="true"/>
              </w:rPr>
              <w:t>وشفّعه فيّ‌</w:t>
            </w:r>
            <w:r>
              <w:rPr>
                <w:rStyle w:val="IndexLink"/>
                <w:rtl w:val="true"/>
              </w:rPr>
              <w:tab/>
            </w:r>
            <w:r>
              <w:rPr>
                <w:rStyle w:val="IndexLink"/>
              </w:rPr>
              <w:t>157</w:t>
            </w:r>
          </w:hyperlink>
        </w:p>
        <w:p>
          <w:pPr>
            <w:pStyle w:val="Contents5"/>
            <w:tabs>
              <w:tab w:val="clear" w:pos="7892"/>
              <w:tab w:val="right" w:pos="9026" w:leader="dot"/>
            </w:tabs>
            <w:rPr/>
          </w:pPr>
          <w:hyperlink w:anchor="__RefHeading___Toc6863622_73709187">
            <w:r>
              <w:rPr>
                <w:webHidden/>
                <w:rStyle w:val="IndexLink"/>
                <w:rtl w:val="true"/>
              </w:rPr>
              <w:t>الثامن</w:t>
            </w:r>
            <w:r>
              <w:rPr>
                <w:rStyle w:val="IndexLink"/>
                <w:rtl w:val="true"/>
              </w:rPr>
              <w:t xml:space="preserve">: </w:t>
            </w:r>
            <w:r>
              <w:rPr>
                <w:rStyle w:val="IndexLink"/>
                <w:rtl w:val="true"/>
              </w:rPr>
              <w:t>التوسل بذات النبيّ صلى الله عليه و آله بعد رحيله</w:t>
            </w:r>
            <w:r>
              <w:rPr>
                <w:rStyle w:val="IndexLink"/>
                <w:rtl w:val="true"/>
              </w:rPr>
              <w:tab/>
            </w:r>
            <w:r>
              <w:rPr>
                <w:rStyle w:val="IndexLink"/>
              </w:rPr>
              <w:t>158</w:t>
            </w:r>
          </w:hyperlink>
        </w:p>
        <w:p>
          <w:pPr>
            <w:pStyle w:val="Contents5"/>
            <w:tabs>
              <w:tab w:val="clear" w:pos="7892"/>
              <w:tab w:val="right" w:pos="9026" w:leader="dot"/>
            </w:tabs>
            <w:rPr/>
          </w:pPr>
          <w:hyperlink w:anchor="__RefHeading___Toc6863624_73709187">
            <w:r>
              <w:rPr>
                <w:webHidden/>
                <w:rStyle w:val="IndexLink"/>
                <w:rtl w:val="true"/>
              </w:rPr>
              <w:t>التاسع</w:t>
            </w:r>
            <w:r>
              <w:rPr>
                <w:rStyle w:val="IndexLink"/>
                <w:rtl w:val="true"/>
              </w:rPr>
              <w:t xml:space="preserve">: </w:t>
            </w:r>
            <w:r>
              <w:rPr>
                <w:rStyle w:val="IndexLink"/>
                <w:rtl w:val="true"/>
              </w:rPr>
              <w:t>التوسّل بحق الصالحين وحرمتهم ومنزلتهم</w:t>
            </w:r>
            <w:r>
              <w:rPr>
                <w:rStyle w:val="IndexLink"/>
                <w:rtl w:val="true"/>
              </w:rPr>
              <w:tab/>
            </w:r>
            <w:r>
              <w:rPr>
                <w:rStyle w:val="IndexLink"/>
              </w:rPr>
              <w:t>161</w:t>
            </w:r>
          </w:hyperlink>
        </w:p>
        <w:p>
          <w:pPr>
            <w:pStyle w:val="Contents5"/>
            <w:tabs>
              <w:tab w:val="clear" w:pos="7892"/>
              <w:tab w:val="right" w:pos="9026" w:leader="dot"/>
            </w:tabs>
            <w:rPr/>
          </w:pPr>
          <w:hyperlink w:anchor="__RefHeading___Toc6863626_73709187">
            <w:r>
              <w:rPr>
                <w:webHidden/>
                <w:rStyle w:val="IndexLink"/>
                <w:rtl w:val="true"/>
              </w:rPr>
              <w:t>العاشر</w:t>
            </w:r>
            <w:r>
              <w:rPr>
                <w:rStyle w:val="IndexLink"/>
                <w:rtl w:val="true"/>
              </w:rPr>
              <w:t xml:space="preserve">: </w:t>
            </w:r>
            <w:r>
              <w:rPr>
                <w:rStyle w:val="IndexLink"/>
                <w:rtl w:val="true"/>
              </w:rPr>
              <w:t>التوسّل بحقّ السائلين</w:t>
            </w:r>
            <w:r>
              <w:rPr>
                <w:rStyle w:val="IndexLink"/>
                <w:rtl w:val="true"/>
              </w:rPr>
              <w:tab/>
            </w:r>
            <w:r>
              <w:rPr>
                <w:rStyle w:val="IndexLink"/>
              </w:rPr>
              <w:t>163</w:t>
            </w:r>
          </w:hyperlink>
        </w:p>
        <w:p>
          <w:pPr>
            <w:pStyle w:val="Contents5"/>
            <w:tabs>
              <w:tab w:val="clear" w:pos="7892"/>
              <w:tab w:val="right" w:pos="9026" w:leader="dot"/>
            </w:tabs>
            <w:rPr/>
          </w:pPr>
          <w:hyperlink w:anchor="__RefHeading___Toc6863628_73709187">
            <w:r>
              <w:rPr>
                <w:webHidden/>
                <w:rStyle w:val="IndexLink"/>
                <w:rtl w:val="true"/>
              </w:rPr>
              <w:t>توسّل الأنبياء عليهم السلام بالنبي الأكرم صلى الله عليه و آله</w:t>
            </w:r>
            <w:r>
              <w:rPr>
                <w:rStyle w:val="IndexLink"/>
                <w:rtl w:val="true"/>
              </w:rPr>
              <w:tab/>
            </w:r>
            <w:r>
              <w:rPr>
                <w:rStyle w:val="IndexLink"/>
              </w:rPr>
              <w:t>164</w:t>
            </w:r>
          </w:hyperlink>
        </w:p>
        <w:p>
          <w:pPr>
            <w:pStyle w:val="Contents5"/>
            <w:tabs>
              <w:tab w:val="clear" w:pos="7892"/>
              <w:tab w:val="right" w:pos="9026" w:leader="dot"/>
            </w:tabs>
            <w:rPr/>
          </w:pPr>
          <w:hyperlink w:anchor="__RefHeading___Toc6863630_73709187">
            <w:r>
              <w:rPr>
                <w:webHidden/>
                <w:rStyle w:val="IndexLink"/>
                <w:rtl w:val="true"/>
              </w:rPr>
              <w:t>خاتمة المطاف سيرة الموحدين في توسّلهم</w:t>
            </w:r>
            <w:r>
              <w:rPr>
                <w:rStyle w:val="IndexLink"/>
                <w:rtl w:val="true"/>
              </w:rPr>
              <w:tab/>
            </w:r>
            <w:r>
              <w:rPr>
                <w:rStyle w:val="IndexLink"/>
              </w:rPr>
              <w:t>166</w:t>
            </w:r>
          </w:hyperlink>
        </w:p>
        <w:p>
          <w:pPr>
            <w:pStyle w:val="Contents6"/>
            <w:tabs>
              <w:tab w:val="clear" w:pos="7609"/>
              <w:tab w:val="right" w:pos="9026" w:leader="dot"/>
            </w:tabs>
            <w:rPr/>
          </w:pPr>
          <w:hyperlink w:anchor="__RefHeading___Toc6863632_73709187">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6863634_73709187">
            <w:r>
              <w:rPr>
                <w:webHidden/>
                <w:rStyle w:val="IndexLink"/>
              </w:rPr>
              <w:t>1</w:t>
            </w:r>
            <w:r>
              <w:rPr>
                <w:rStyle w:val="IndexLink"/>
                <w:rtl w:val="true"/>
              </w:rPr>
              <w:t xml:space="preserve">. </w:t>
            </w:r>
            <w:r>
              <w:rPr>
                <w:rStyle w:val="IndexLink"/>
                <w:rtl w:val="true"/>
              </w:rPr>
              <w:t>استسقاء عبدالمطلب بالنبي صلى الله عليه و آله وهو صغير</w:t>
            </w:r>
            <w:r>
              <w:rPr>
                <w:rStyle w:val="IndexLink"/>
                <w:rtl w:val="true"/>
              </w:rPr>
              <w:tab/>
            </w:r>
            <w:r>
              <w:rPr>
                <w:rStyle w:val="IndexLink"/>
              </w:rPr>
              <w:t>166</w:t>
            </w:r>
          </w:hyperlink>
        </w:p>
        <w:p>
          <w:pPr>
            <w:pStyle w:val="Contents6"/>
            <w:tabs>
              <w:tab w:val="clear" w:pos="7609"/>
              <w:tab w:val="right" w:pos="9026" w:leader="dot"/>
            </w:tabs>
            <w:rPr/>
          </w:pPr>
          <w:hyperlink w:anchor="__RefHeading___Toc6863636_73709187">
            <w:r>
              <w:rPr>
                <w:webHidden/>
                <w:rStyle w:val="IndexLink"/>
              </w:rPr>
              <w:t>2</w:t>
            </w:r>
            <w:r>
              <w:rPr>
                <w:rStyle w:val="IndexLink"/>
                <w:rtl w:val="true"/>
              </w:rPr>
              <w:t xml:space="preserve">. </w:t>
            </w:r>
            <w:r>
              <w:rPr>
                <w:rStyle w:val="IndexLink"/>
                <w:rtl w:val="true"/>
              </w:rPr>
              <w:t>استسقاء أبي طالب بالنبي صلى الله عليه و آله وهو غلام</w:t>
            </w:r>
            <w:r>
              <w:rPr>
                <w:rStyle w:val="IndexLink"/>
                <w:rtl w:val="true"/>
              </w:rPr>
              <w:tab/>
            </w:r>
            <w:r>
              <w:rPr>
                <w:rStyle w:val="IndexLink"/>
              </w:rPr>
              <w:t>166</w:t>
            </w:r>
          </w:hyperlink>
        </w:p>
        <w:p>
          <w:pPr>
            <w:pStyle w:val="Contents6"/>
            <w:tabs>
              <w:tab w:val="clear" w:pos="7609"/>
              <w:tab w:val="right" w:pos="9026" w:leader="dot"/>
            </w:tabs>
            <w:rPr/>
          </w:pPr>
          <w:hyperlink w:anchor="__RefHeading___Toc6863638_73709187">
            <w:r>
              <w:rPr>
                <w:webHidden/>
                <w:rStyle w:val="IndexLink"/>
              </w:rPr>
              <w:t>3</w:t>
            </w:r>
            <w:r>
              <w:rPr>
                <w:rStyle w:val="IndexLink"/>
                <w:rtl w:val="true"/>
              </w:rPr>
              <w:t xml:space="preserve"> - </w:t>
            </w:r>
            <w:r>
              <w:rPr>
                <w:rStyle w:val="IndexLink"/>
                <w:rtl w:val="true"/>
              </w:rPr>
              <w:t>توسّل الخليفة بعمّ النبي</w:t>
            </w:r>
            <w:r>
              <w:rPr>
                <w:rStyle w:val="IndexLink"/>
                <w:rtl w:val="true"/>
              </w:rPr>
              <w:t xml:space="preserve">: </w:t>
            </w:r>
            <w:r>
              <w:rPr>
                <w:rStyle w:val="IndexLink"/>
                <w:rtl w:val="true"/>
              </w:rPr>
              <w:t>العباس</w:t>
            </w:r>
            <w:r>
              <w:rPr>
                <w:rStyle w:val="IndexLink"/>
                <w:rtl w:val="true"/>
              </w:rPr>
              <w:tab/>
            </w:r>
            <w:r>
              <w:rPr>
                <w:rStyle w:val="IndexLink"/>
              </w:rPr>
              <w:t>168</w:t>
            </w:r>
          </w:hyperlink>
        </w:p>
        <w:p>
          <w:pPr>
            <w:pStyle w:val="Contents3"/>
            <w:tabs>
              <w:tab w:val="clear" w:pos="8459"/>
              <w:tab w:val="right" w:pos="9026" w:leader="dot"/>
            </w:tabs>
            <w:rPr/>
          </w:pPr>
          <w:hyperlink w:anchor="__RefHeading___Toc6863640_73709187">
            <w:r>
              <w:rPr>
                <w:webHidden/>
                <w:rStyle w:val="IndexLink"/>
              </w:rPr>
              <w:t>12</w:t>
            </w:r>
            <w:r>
              <w:rPr>
                <w:rStyle w:val="IndexLink"/>
                <w:rtl w:val="true"/>
              </w:rPr>
              <w:t xml:space="preserve"> </w:t>
            </w:r>
            <w:r>
              <w:rPr>
                <w:rStyle w:val="IndexLink"/>
                <w:rtl w:val="true"/>
              </w:rPr>
              <w:t>الاحتفال بيوم الغدير</w:t>
            </w:r>
            <w:r>
              <w:rPr>
                <w:rStyle w:val="IndexLink"/>
                <w:rtl w:val="true"/>
              </w:rPr>
              <w:tab/>
            </w:r>
            <w:r>
              <w:rPr>
                <w:rStyle w:val="IndexLink"/>
              </w:rPr>
              <w:t>171</w:t>
            </w:r>
          </w:hyperlink>
        </w:p>
        <w:p>
          <w:pPr>
            <w:pStyle w:val="Contents3"/>
            <w:tabs>
              <w:tab w:val="clear" w:pos="8459"/>
              <w:tab w:val="right" w:pos="9026" w:leader="dot"/>
            </w:tabs>
            <w:rPr/>
          </w:pPr>
          <w:hyperlink w:anchor="__RefHeading___Toc6863642_73709187">
            <w:r>
              <w:rPr>
                <w:webHidden/>
                <w:rStyle w:val="IndexLink"/>
              </w:rPr>
              <w:t>13</w:t>
            </w:r>
            <w:r>
              <w:rPr>
                <w:rStyle w:val="IndexLink"/>
                <w:rtl w:val="true"/>
              </w:rPr>
              <w:t xml:space="preserve"> </w:t>
            </w:r>
            <w:r>
              <w:rPr>
                <w:rStyle w:val="IndexLink"/>
                <w:rtl w:val="true"/>
              </w:rPr>
              <w:t>في تسمية الولد بعبد المسيح</w:t>
            </w:r>
            <w:r>
              <w:rPr>
                <w:rStyle w:val="IndexLink"/>
                <w:rtl w:val="true"/>
              </w:rPr>
              <w:tab/>
            </w:r>
            <w:r>
              <w:rPr>
                <w:rStyle w:val="IndexLink"/>
              </w:rPr>
              <w:t>178</w:t>
            </w:r>
          </w:hyperlink>
        </w:p>
        <w:p>
          <w:pPr>
            <w:pStyle w:val="Contents3"/>
            <w:tabs>
              <w:tab w:val="clear" w:pos="8459"/>
              <w:tab w:val="right" w:pos="9026" w:leader="dot"/>
            </w:tabs>
            <w:rPr/>
          </w:pPr>
          <w:hyperlink w:anchor="__RefHeading___Toc6863644_73709187">
            <w:r>
              <w:rPr>
                <w:webHidden/>
                <w:rStyle w:val="IndexLink"/>
              </w:rPr>
              <w:t>14</w:t>
            </w:r>
            <w:r>
              <w:rPr>
                <w:rStyle w:val="IndexLink"/>
                <w:rtl w:val="true"/>
              </w:rPr>
              <w:t xml:space="preserve"> </w:t>
            </w:r>
            <w:r>
              <w:rPr>
                <w:rStyle w:val="IndexLink"/>
                <w:rtl w:val="true"/>
              </w:rPr>
              <w:t>محسن بن علي بين الحقيقة والخيال</w:t>
            </w:r>
            <w:r>
              <w:rPr>
                <w:rStyle w:val="IndexLink"/>
                <w:rtl w:val="true"/>
              </w:rPr>
              <w:tab/>
            </w:r>
            <w:r>
              <w:rPr>
                <w:rStyle w:val="IndexLink"/>
              </w:rPr>
              <w:t>181</w:t>
            </w:r>
          </w:hyperlink>
        </w:p>
        <w:p>
          <w:pPr>
            <w:pStyle w:val="Contents2"/>
            <w:tabs>
              <w:tab w:val="clear" w:pos="8743"/>
              <w:tab w:val="right" w:pos="9026" w:leader="dot"/>
            </w:tabs>
            <w:rPr/>
          </w:pPr>
          <w:hyperlink w:anchor="__RefHeading___Toc6863646_73709187">
            <w:r>
              <w:rPr>
                <w:webHidden/>
                <w:rStyle w:val="IndexLink"/>
                <w:rtl w:val="true"/>
              </w:rPr>
              <w:t>الفصل الثاني</w:t>
            </w:r>
            <w:r>
              <w:rPr>
                <w:rStyle w:val="IndexLink"/>
                <w:rtl w:val="true"/>
              </w:rPr>
              <w:t xml:space="preserve">: </w:t>
            </w:r>
            <w:r>
              <w:rPr>
                <w:rStyle w:val="IndexLink"/>
                <w:rtl w:val="true"/>
              </w:rPr>
              <w:t>في الأُصول والحديث والفقه</w:t>
            </w:r>
            <w:r>
              <w:rPr>
                <w:rStyle w:val="IndexLink"/>
                <w:rtl w:val="true"/>
              </w:rPr>
              <w:tab/>
            </w:r>
            <w:r>
              <w:rPr>
                <w:rStyle w:val="IndexLink"/>
              </w:rPr>
              <w:t>187</w:t>
            </w:r>
          </w:hyperlink>
        </w:p>
        <w:p>
          <w:pPr>
            <w:pStyle w:val="Contents3"/>
            <w:tabs>
              <w:tab w:val="clear" w:pos="8459"/>
              <w:tab w:val="right" w:pos="9026" w:leader="dot"/>
            </w:tabs>
            <w:rPr/>
          </w:pPr>
          <w:hyperlink w:anchor="__RefHeading___Toc6863648_73709187">
            <w:r>
              <w:rPr>
                <w:webHidden/>
                <w:rStyle w:val="IndexLink"/>
                <w:rtl w:val="true"/>
              </w:rPr>
              <w:t>اشارة</w:t>
            </w:r>
            <w:r>
              <w:rPr>
                <w:rStyle w:val="IndexLink"/>
                <w:rtl w:val="true"/>
              </w:rPr>
              <w:tab/>
            </w:r>
            <w:r>
              <w:rPr>
                <w:rStyle w:val="IndexLink"/>
              </w:rPr>
              <w:t>187</w:t>
            </w:r>
          </w:hyperlink>
        </w:p>
        <w:p>
          <w:pPr>
            <w:pStyle w:val="Contents3"/>
            <w:tabs>
              <w:tab w:val="clear" w:pos="8459"/>
              <w:tab w:val="right" w:pos="9026" w:leader="dot"/>
            </w:tabs>
            <w:rPr/>
          </w:pPr>
          <w:hyperlink w:anchor="__RefHeading___Toc6863650_73709187">
            <w:r>
              <w:rPr>
                <w:webHidden/>
                <w:rStyle w:val="IndexLink"/>
              </w:rPr>
              <w:t>1</w:t>
            </w:r>
            <w:r>
              <w:rPr>
                <w:rStyle w:val="IndexLink"/>
                <w:rtl w:val="true"/>
              </w:rPr>
              <w:t xml:space="preserve"> </w:t>
            </w:r>
            <w:r>
              <w:rPr>
                <w:rStyle w:val="IndexLink"/>
                <w:rtl w:val="true"/>
              </w:rPr>
              <w:t>أُصول الفقه ومناهجه عبر العصور</w:t>
            </w:r>
            <w:r>
              <w:rPr>
                <w:rStyle w:val="IndexLink"/>
                <w:rtl w:val="true"/>
              </w:rPr>
              <w:tab/>
            </w:r>
            <w:r>
              <w:rPr>
                <w:rStyle w:val="IndexLink"/>
              </w:rPr>
              <w:t>188</w:t>
            </w:r>
          </w:hyperlink>
        </w:p>
        <w:p>
          <w:pPr>
            <w:pStyle w:val="Contents4"/>
            <w:tabs>
              <w:tab w:val="clear" w:pos="8176"/>
              <w:tab w:val="right" w:pos="9026" w:leader="dot"/>
            </w:tabs>
            <w:rPr/>
          </w:pPr>
          <w:hyperlink w:anchor="__RefHeading___Toc6863652_73709187">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6863654_73709187">
            <w:r>
              <w:rPr>
                <w:webHidden/>
                <w:rStyle w:val="IndexLink"/>
                <w:rtl w:val="true"/>
              </w:rPr>
              <w:t>أُصول الفقه في أحاديث العترة</w:t>
            </w:r>
            <w:r>
              <w:rPr>
                <w:rStyle w:val="IndexLink"/>
                <w:rtl w:val="true"/>
              </w:rPr>
              <w:tab/>
            </w:r>
            <w:r>
              <w:rPr>
                <w:rStyle w:val="IndexLink"/>
              </w:rPr>
              <w:t>189</w:t>
            </w:r>
          </w:hyperlink>
        </w:p>
        <w:p>
          <w:pPr>
            <w:pStyle w:val="Contents4"/>
            <w:tabs>
              <w:tab w:val="clear" w:pos="8176"/>
              <w:tab w:val="right" w:pos="9026" w:leader="dot"/>
            </w:tabs>
            <w:rPr/>
          </w:pPr>
          <w:hyperlink w:anchor="__RefHeading___Toc6863656_73709187">
            <w:r>
              <w:rPr>
                <w:webHidden/>
                <w:rStyle w:val="IndexLink"/>
                <w:rtl w:val="true"/>
              </w:rPr>
              <w:t>أُصول الفقه ومناهجه المختلفة</w:t>
            </w:r>
            <w:r>
              <w:rPr>
                <w:rStyle w:val="IndexLink"/>
                <w:rtl w:val="true"/>
              </w:rPr>
              <w:tab/>
            </w:r>
            <w:r>
              <w:rPr>
                <w:rStyle w:val="IndexLink"/>
              </w:rPr>
              <w:t>190</w:t>
            </w:r>
          </w:hyperlink>
        </w:p>
        <w:p>
          <w:pPr>
            <w:pStyle w:val="Contents4"/>
            <w:tabs>
              <w:tab w:val="clear" w:pos="8176"/>
              <w:tab w:val="right" w:pos="9026" w:leader="dot"/>
            </w:tabs>
            <w:rPr/>
          </w:pPr>
          <w:hyperlink w:anchor="__RefHeading___Toc6863658_73709187">
            <w:r>
              <w:rPr>
                <w:webHidden/>
                <w:rStyle w:val="IndexLink"/>
                <w:rtl w:val="true"/>
              </w:rPr>
              <w:t>الطريقة الأُولى</w:t>
            </w:r>
            <w:r>
              <w:rPr>
                <w:rStyle w:val="IndexLink"/>
                <w:rtl w:val="true"/>
              </w:rPr>
              <w:t xml:space="preserve">: </w:t>
            </w:r>
            <w:r>
              <w:rPr>
                <w:rStyle w:val="IndexLink"/>
                <w:rtl w:val="true"/>
              </w:rPr>
              <w:t>طريقة المتكلّمين</w:t>
            </w:r>
            <w:r>
              <w:rPr>
                <w:rStyle w:val="IndexLink"/>
                <w:rtl w:val="true"/>
              </w:rPr>
              <w:tab/>
            </w:r>
            <w:r>
              <w:rPr>
                <w:rStyle w:val="IndexLink"/>
              </w:rPr>
              <w:t>190</w:t>
            </w:r>
          </w:hyperlink>
        </w:p>
        <w:p>
          <w:pPr>
            <w:pStyle w:val="Contents4"/>
            <w:tabs>
              <w:tab w:val="clear" w:pos="8176"/>
              <w:tab w:val="right" w:pos="9026" w:leader="dot"/>
            </w:tabs>
            <w:rPr/>
          </w:pPr>
          <w:hyperlink w:anchor="__RefHeading___Toc6863660_73709187">
            <w:r>
              <w:rPr>
                <w:webHidden/>
                <w:rStyle w:val="IndexLink"/>
                <w:rtl w:val="true"/>
              </w:rPr>
              <w:t>الطريقة الثانية</w:t>
            </w:r>
            <w:r>
              <w:rPr>
                <w:rStyle w:val="IndexLink"/>
                <w:rtl w:val="true"/>
              </w:rPr>
              <w:t xml:space="preserve">: </w:t>
            </w:r>
            <w:r>
              <w:rPr>
                <w:rStyle w:val="IndexLink"/>
                <w:rtl w:val="true"/>
              </w:rPr>
              <w:t>طريقة الأحناف</w:t>
            </w:r>
            <w:r>
              <w:rPr>
                <w:rStyle w:val="IndexLink"/>
                <w:rtl w:val="true"/>
              </w:rPr>
              <w:tab/>
            </w:r>
            <w:r>
              <w:rPr>
                <w:rStyle w:val="IndexLink"/>
              </w:rPr>
              <w:t>192</w:t>
            </w:r>
          </w:hyperlink>
        </w:p>
        <w:p>
          <w:pPr>
            <w:pStyle w:val="Contents4"/>
            <w:tabs>
              <w:tab w:val="clear" w:pos="8176"/>
              <w:tab w:val="right" w:pos="9026" w:leader="dot"/>
            </w:tabs>
            <w:rPr/>
          </w:pPr>
          <w:hyperlink w:anchor="__RefHeading___Toc6863662_73709187">
            <w:r>
              <w:rPr>
                <w:webHidden/>
                <w:rStyle w:val="IndexLink"/>
                <w:rtl w:val="true"/>
              </w:rPr>
              <w:t>الطريقة الثالثة</w:t>
            </w:r>
            <w:r>
              <w:rPr>
                <w:rStyle w:val="IndexLink"/>
                <w:rtl w:val="true"/>
              </w:rPr>
              <w:t xml:space="preserve">: </w:t>
            </w:r>
            <w:r>
              <w:rPr>
                <w:rStyle w:val="IndexLink"/>
                <w:rtl w:val="true"/>
              </w:rPr>
              <w:t>الجمع بين الطريقتين</w:t>
            </w:r>
            <w:r>
              <w:rPr>
                <w:rStyle w:val="IndexLink"/>
                <w:rtl w:val="true"/>
              </w:rPr>
              <w:tab/>
            </w:r>
            <w:r>
              <w:rPr>
                <w:rStyle w:val="IndexLink"/>
              </w:rPr>
              <w:t>193</w:t>
            </w:r>
          </w:hyperlink>
        </w:p>
        <w:p>
          <w:pPr>
            <w:pStyle w:val="Contents4"/>
            <w:tabs>
              <w:tab w:val="clear" w:pos="8176"/>
              <w:tab w:val="right" w:pos="9026" w:leader="dot"/>
            </w:tabs>
            <w:rPr/>
          </w:pPr>
          <w:hyperlink w:anchor="__RefHeading___Toc6863664_73709187">
            <w:r>
              <w:rPr>
                <w:webHidden/>
                <w:rStyle w:val="IndexLink"/>
                <w:rtl w:val="true"/>
              </w:rPr>
              <w:t>منهج الإمامية في تدوين أُصول الفقه</w:t>
            </w:r>
            <w:r>
              <w:rPr>
                <w:rStyle w:val="IndexLink"/>
                <w:rtl w:val="true"/>
              </w:rPr>
              <w:tab/>
            </w:r>
            <w:r>
              <w:rPr>
                <w:rStyle w:val="IndexLink"/>
              </w:rPr>
              <w:t>195</w:t>
            </w:r>
          </w:hyperlink>
        </w:p>
        <w:p>
          <w:pPr>
            <w:pStyle w:val="Contents3"/>
            <w:tabs>
              <w:tab w:val="clear" w:pos="8459"/>
              <w:tab w:val="right" w:pos="9026" w:leader="dot"/>
            </w:tabs>
            <w:rPr/>
          </w:pPr>
          <w:hyperlink w:anchor="__RefHeading___Toc6863666_73709187">
            <w:r>
              <w:rPr>
                <w:webHidden/>
                <w:rStyle w:val="IndexLink"/>
              </w:rPr>
              <w:t>2</w:t>
            </w:r>
            <w:r>
              <w:rPr>
                <w:rStyle w:val="IndexLink"/>
                <w:rtl w:val="true"/>
              </w:rPr>
              <w:t xml:space="preserve"> </w:t>
            </w:r>
            <w:r>
              <w:rPr>
                <w:rStyle w:val="IndexLink"/>
                <w:rtl w:val="true"/>
              </w:rPr>
              <w:t xml:space="preserve">مصطلح </w:t>
            </w:r>
            <w:r>
              <w:rPr>
                <w:rStyle w:val="IndexLink"/>
                <w:rtl w:val="true"/>
              </w:rPr>
              <w:t>«</w:t>
            </w:r>
            <w:r>
              <w:rPr>
                <w:rStyle w:val="IndexLink"/>
                <w:rtl w:val="true"/>
              </w:rPr>
              <w:t>المسند</w:t>
            </w:r>
            <w:r>
              <w:rPr>
                <w:rStyle w:val="IndexLink"/>
                <w:rtl w:val="true"/>
              </w:rPr>
              <w:t xml:space="preserve">» </w:t>
            </w:r>
            <w:r>
              <w:rPr>
                <w:rStyle w:val="IndexLink"/>
                <w:rtl w:val="true"/>
              </w:rPr>
              <w:t>في علوم الحديث</w:t>
            </w:r>
            <w:r>
              <w:rPr>
                <w:rStyle w:val="IndexLink"/>
                <w:rtl w:val="true"/>
              </w:rPr>
              <w:tab/>
            </w:r>
            <w:r>
              <w:rPr>
                <w:rStyle w:val="IndexLink"/>
              </w:rPr>
              <w:t>199</w:t>
            </w:r>
          </w:hyperlink>
        </w:p>
        <w:p>
          <w:pPr>
            <w:pStyle w:val="Contents4"/>
            <w:tabs>
              <w:tab w:val="clear" w:pos="8176"/>
              <w:tab w:val="right" w:pos="9026" w:leader="dot"/>
            </w:tabs>
            <w:rPr/>
          </w:pPr>
          <w:hyperlink w:anchor="__RefHeading___Toc6863668_73709187">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6863670_73709187">
            <w:r>
              <w:rPr>
                <w:webHidden/>
                <w:rStyle w:val="IndexLink"/>
                <w:rtl w:val="true"/>
              </w:rPr>
              <w:t>المسانيد في عصر الأئمّة عليهم السلام</w:t>
            </w:r>
            <w:r>
              <w:rPr>
                <w:rStyle w:val="IndexLink"/>
                <w:rtl w:val="true"/>
              </w:rPr>
              <w:tab/>
            </w:r>
            <w:r>
              <w:rPr>
                <w:rStyle w:val="IndexLink"/>
              </w:rPr>
              <w:t>200</w:t>
            </w:r>
          </w:hyperlink>
        </w:p>
        <w:p>
          <w:pPr>
            <w:pStyle w:val="Contents3"/>
            <w:tabs>
              <w:tab w:val="clear" w:pos="8459"/>
              <w:tab w:val="right" w:pos="9026" w:leader="dot"/>
            </w:tabs>
            <w:rPr/>
          </w:pPr>
          <w:hyperlink w:anchor="__RefHeading___Toc6863672_73709187">
            <w:r>
              <w:rPr>
                <w:webHidden/>
                <w:rStyle w:val="IndexLink"/>
              </w:rPr>
              <w:t>3</w:t>
            </w:r>
            <w:r>
              <w:rPr>
                <w:rStyle w:val="IndexLink"/>
                <w:rtl w:val="true"/>
              </w:rPr>
              <w:t xml:space="preserve"> </w:t>
            </w:r>
            <w:r>
              <w:rPr>
                <w:rStyle w:val="IndexLink"/>
                <w:rtl w:val="true"/>
              </w:rPr>
              <w:t>منهجية نقد متن الحديث</w:t>
            </w:r>
            <w:r>
              <w:rPr>
                <w:rStyle w:val="IndexLink"/>
                <w:rtl w:val="true"/>
              </w:rPr>
              <w:tab/>
            </w:r>
            <w:r>
              <w:rPr>
                <w:rStyle w:val="IndexLink"/>
              </w:rPr>
              <w:t>203</w:t>
            </w:r>
          </w:hyperlink>
        </w:p>
        <w:p>
          <w:pPr>
            <w:pStyle w:val="Contents4"/>
            <w:tabs>
              <w:tab w:val="clear" w:pos="8176"/>
              <w:tab w:val="right" w:pos="9026" w:leader="dot"/>
            </w:tabs>
            <w:rPr/>
          </w:pPr>
          <w:hyperlink w:anchor="__RefHeading___Toc6863674_73709187">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6863676_73709187">
            <w:r>
              <w:rPr>
                <w:webHidden/>
                <w:rStyle w:val="IndexLink"/>
              </w:rPr>
              <w:t>1</w:t>
            </w:r>
            <w:r>
              <w:rPr>
                <w:rStyle w:val="IndexLink"/>
                <w:rtl w:val="true"/>
              </w:rPr>
              <w:t xml:space="preserve">. </w:t>
            </w:r>
            <w:r>
              <w:rPr>
                <w:rStyle w:val="IndexLink"/>
                <w:rtl w:val="true"/>
              </w:rPr>
              <w:t>عرض الحديث على كتاب اللّه الكريم</w:t>
            </w:r>
            <w:r>
              <w:rPr>
                <w:rStyle w:val="IndexLink"/>
                <w:rtl w:val="true"/>
              </w:rPr>
              <w:tab/>
            </w:r>
            <w:r>
              <w:rPr>
                <w:rStyle w:val="IndexLink"/>
              </w:rPr>
              <w:t>205</w:t>
            </w:r>
          </w:hyperlink>
        </w:p>
        <w:p>
          <w:pPr>
            <w:pStyle w:val="Contents4"/>
            <w:tabs>
              <w:tab w:val="clear" w:pos="8176"/>
              <w:tab w:val="right" w:pos="9026" w:leader="dot"/>
            </w:tabs>
            <w:rPr/>
          </w:pPr>
          <w:hyperlink w:anchor="__RefHeading___Toc6863678_73709187">
            <w:r>
              <w:rPr>
                <w:webHidden/>
                <w:rStyle w:val="IndexLink"/>
              </w:rPr>
              <w:t>2</w:t>
            </w:r>
            <w:r>
              <w:rPr>
                <w:rStyle w:val="IndexLink"/>
                <w:rtl w:val="true"/>
              </w:rPr>
              <w:t xml:space="preserve">. </w:t>
            </w:r>
            <w:r>
              <w:rPr>
                <w:rStyle w:val="IndexLink"/>
                <w:rtl w:val="true"/>
              </w:rPr>
              <w:t>عرض الحديث على السنّة القطعية</w:t>
            </w:r>
            <w:r>
              <w:rPr>
                <w:rStyle w:val="IndexLink"/>
                <w:rtl w:val="true"/>
              </w:rPr>
              <w:tab/>
            </w:r>
            <w:r>
              <w:rPr>
                <w:rStyle w:val="IndexLink"/>
              </w:rPr>
              <w:t>206</w:t>
            </w:r>
          </w:hyperlink>
        </w:p>
        <w:p>
          <w:pPr>
            <w:pStyle w:val="Contents4"/>
            <w:tabs>
              <w:tab w:val="clear" w:pos="8176"/>
              <w:tab w:val="right" w:pos="9026" w:leader="dot"/>
            </w:tabs>
            <w:rPr/>
          </w:pPr>
          <w:hyperlink w:anchor="__RefHeading___Toc6863680_73709187">
            <w:r>
              <w:rPr>
                <w:webHidden/>
                <w:rStyle w:val="IndexLink"/>
              </w:rPr>
              <w:t>3</w:t>
            </w:r>
            <w:r>
              <w:rPr>
                <w:rStyle w:val="IndexLink"/>
                <w:rtl w:val="true"/>
              </w:rPr>
              <w:t xml:space="preserve">. </w:t>
            </w:r>
            <w:r>
              <w:rPr>
                <w:rStyle w:val="IndexLink"/>
                <w:rtl w:val="true"/>
              </w:rPr>
              <w:t>عرض الحديث على العقل الحصيف</w:t>
            </w:r>
            <w:r>
              <w:rPr>
                <w:rStyle w:val="IndexLink"/>
                <w:rtl w:val="true"/>
              </w:rPr>
              <w:tab/>
            </w:r>
            <w:r>
              <w:rPr>
                <w:rStyle w:val="IndexLink"/>
              </w:rPr>
              <w:t>206</w:t>
            </w:r>
          </w:hyperlink>
        </w:p>
        <w:p>
          <w:pPr>
            <w:pStyle w:val="Contents4"/>
            <w:tabs>
              <w:tab w:val="clear" w:pos="8176"/>
              <w:tab w:val="right" w:pos="9026" w:leader="dot"/>
            </w:tabs>
            <w:rPr/>
          </w:pPr>
          <w:hyperlink w:anchor="__RefHeading___Toc6863682_73709187">
            <w:r>
              <w:rPr>
                <w:webHidden/>
                <w:rStyle w:val="IndexLink"/>
              </w:rPr>
              <w:t>4</w:t>
            </w:r>
            <w:r>
              <w:rPr>
                <w:rStyle w:val="IndexLink"/>
                <w:rtl w:val="true"/>
              </w:rPr>
              <w:t xml:space="preserve">. </w:t>
            </w:r>
            <w:r>
              <w:rPr>
                <w:rStyle w:val="IndexLink"/>
                <w:rtl w:val="true"/>
              </w:rPr>
              <w:t>عرض الحديث على التاريخ الصحيح</w:t>
            </w:r>
            <w:r>
              <w:rPr>
                <w:rStyle w:val="IndexLink"/>
                <w:rtl w:val="true"/>
              </w:rPr>
              <w:tab/>
            </w:r>
            <w:r>
              <w:rPr>
                <w:rStyle w:val="IndexLink"/>
              </w:rPr>
              <w:t>207</w:t>
            </w:r>
          </w:hyperlink>
        </w:p>
        <w:p>
          <w:pPr>
            <w:pStyle w:val="Contents4"/>
            <w:tabs>
              <w:tab w:val="clear" w:pos="8176"/>
              <w:tab w:val="right" w:pos="9026" w:leader="dot"/>
            </w:tabs>
            <w:rPr/>
          </w:pPr>
          <w:hyperlink w:anchor="__RefHeading___Toc6863684_73709187">
            <w:r>
              <w:rPr>
                <w:webHidden/>
                <w:rStyle w:val="IndexLink"/>
              </w:rPr>
              <w:t>5</w:t>
            </w:r>
            <w:r>
              <w:rPr>
                <w:rStyle w:val="IndexLink"/>
                <w:rtl w:val="true"/>
              </w:rPr>
              <w:t xml:space="preserve">. </w:t>
            </w:r>
            <w:r>
              <w:rPr>
                <w:rStyle w:val="IndexLink"/>
                <w:rtl w:val="true"/>
              </w:rPr>
              <w:t>عرض الحديث على اتّفاق الأُمّة</w:t>
            </w:r>
            <w:r>
              <w:rPr>
                <w:rStyle w:val="IndexLink"/>
                <w:rtl w:val="true"/>
              </w:rPr>
              <w:tab/>
            </w:r>
            <w:r>
              <w:rPr>
                <w:rStyle w:val="IndexLink"/>
              </w:rPr>
              <w:t>208</w:t>
            </w:r>
          </w:hyperlink>
        </w:p>
        <w:p>
          <w:pPr>
            <w:pStyle w:val="Contents4"/>
            <w:tabs>
              <w:tab w:val="clear" w:pos="8176"/>
              <w:tab w:val="right" w:pos="9026" w:leader="dot"/>
            </w:tabs>
            <w:rPr/>
          </w:pPr>
          <w:hyperlink w:anchor="__RefHeading___Toc6863686_73709187">
            <w:r>
              <w:rPr>
                <w:webHidden/>
                <w:rStyle w:val="IndexLink"/>
              </w:rPr>
              <w:t>6</w:t>
            </w:r>
            <w:r>
              <w:rPr>
                <w:rStyle w:val="IndexLink"/>
                <w:rtl w:val="true"/>
              </w:rPr>
              <w:t xml:space="preserve">. </w:t>
            </w:r>
            <w:r>
              <w:rPr>
                <w:rStyle w:val="IndexLink"/>
                <w:rtl w:val="true"/>
              </w:rPr>
              <w:t>مخالفة الحديث لمسلّمات العلم</w:t>
            </w:r>
            <w:r>
              <w:rPr>
                <w:rStyle w:val="IndexLink"/>
                <w:rtl w:val="true"/>
              </w:rPr>
              <w:tab/>
            </w:r>
            <w:r>
              <w:rPr>
                <w:rStyle w:val="IndexLink"/>
              </w:rPr>
              <w:t>209</w:t>
            </w:r>
          </w:hyperlink>
        </w:p>
        <w:p>
          <w:pPr>
            <w:pStyle w:val="Contents3"/>
            <w:tabs>
              <w:tab w:val="clear" w:pos="8459"/>
              <w:tab w:val="right" w:pos="9026" w:leader="dot"/>
            </w:tabs>
            <w:rPr/>
          </w:pPr>
          <w:hyperlink w:anchor="__RefHeading___Toc6863688_73709187">
            <w:r>
              <w:rPr>
                <w:webHidden/>
                <w:rStyle w:val="IndexLink"/>
              </w:rPr>
              <w:t>4</w:t>
            </w:r>
            <w:r>
              <w:rPr>
                <w:rStyle w:val="IndexLink"/>
                <w:rtl w:val="true"/>
              </w:rPr>
              <w:t xml:space="preserve"> </w:t>
            </w:r>
            <w:r>
              <w:rPr>
                <w:rStyle w:val="IndexLink"/>
                <w:rtl w:val="true"/>
              </w:rPr>
              <w:t>حجة الوداع</w:t>
            </w:r>
            <w:r>
              <w:rPr>
                <w:rStyle w:val="IndexLink"/>
                <w:rtl w:val="true"/>
              </w:rPr>
              <w:t>..</w:t>
              <w:tab/>
            </w:r>
            <w:r>
              <w:rPr>
                <w:rStyle w:val="IndexLink"/>
              </w:rPr>
              <w:t>211</w:t>
            </w:r>
          </w:hyperlink>
        </w:p>
        <w:p>
          <w:pPr>
            <w:pStyle w:val="Contents4"/>
            <w:tabs>
              <w:tab w:val="clear" w:pos="8176"/>
              <w:tab w:val="right" w:pos="9026" w:leader="dot"/>
            </w:tabs>
            <w:rPr/>
          </w:pPr>
          <w:hyperlink w:anchor="__RefHeading___Toc6863690_73709187">
            <w:r>
              <w:rPr>
                <w:webHidden/>
                <w:rStyle w:val="IndexLink"/>
                <w:rtl w:val="true"/>
              </w:rPr>
              <w:t>اشارة</w:t>
            </w:r>
            <w:r>
              <w:rPr>
                <w:rStyle w:val="IndexLink"/>
                <w:rtl w:val="true"/>
              </w:rPr>
              <w:tab/>
            </w:r>
            <w:r>
              <w:rPr>
                <w:rStyle w:val="IndexLink"/>
              </w:rPr>
              <w:t>211</w:t>
            </w:r>
          </w:hyperlink>
        </w:p>
        <w:p>
          <w:pPr>
            <w:pStyle w:val="Contents4"/>
            <w:tabs>
              <w:tab w:val="clear" w:pos="8176"/>
              <w:tab w:val="right" w:pos="9026" w:leader="dot"/>
            </w:tabs>
            <w:rPr/>
          </w:pPr>
          <w:hyperlink w:anchor="__RefHeading___Toc6863692_73709187">
            <w:r>
              <w:rPr>
                <w:webHidden/>
                <w:rStyle w:val="IndexLink"/>
                <w:rtl w:val="true"/>
              </w:rPr>
              <w:t>مقدّمة</w:t>
            </w:r>
            <w:r>
              <w:rPr>
                <w:rStyle w:val="IndexLink"/>
                <w:rtl w:val="true"/>
              </w:rPr>
              <w:tab/>
            </w:r>
            <w:r>
              <w:rPr>
                <w:rStyle w:val="IndexLink"/>
              </w:rPr>
              <w:t>212</w:t>
            </w:r>
          </w:hyperlink>
        </w:p>
        <w:p>
          <w:pPr>
            <w:pStyle w:val="Contents4"/>
            <w:tabs>
              <w:tab w:val="clear" w:pos="8176"/>
              <w:tab w:val="right" w:pos="9026" w:leader="dot"/>
            </w:tabs>
            <w:rPr/>
          </w:pPr>
          <w:hyperlink w:anchor="__RefHeading___Toc6863694_73709187">
            <w:r>
              <w:rPr>
                <w:webHidden/>
                <w:rStyle w:val="IndexLink"/>
                <w:rtl w:val="true"/>
              </w:rPr>
              <w:t>عدد خطبه صلى الله عليه و آله في حجة الوداع</w:t>
            </w:r>
            <w:r>
              <w:rPr>
                <w:rStyle w:val="IndexLink"/>
                <w:rtl w:val="true"/>
              </w:rPr>
              <w:tab/>
            </w:r>
            <w:r>
              <w:rPr>
                <w:rStyle w:val="IndexLink"/>
              </w:rPr>
              <w:t>214</w:t>
            </w:r>
          </w:hyperlink>
        </w:p>
        <w:p>
          <w:pPr>
            <w:pStyle w:val="Contents5"/>
            <w:tabs>
              <w:tab w:val="clear" w:pos="7892"/>
              <w:tab w:val="right" w:pos="9026" w:leader="dot"/>
            </w:tabs>
            <w:rPr/>
          </w:pPr>
          <w:hyperlink w:anchor="__RefHeading___Toc6863696_73709187">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6863698_73709187">
            <w:r>
              <w:rPr>
                <w:webHidden/>
                <w:rStyle w:val="IndexLink"/>
              </w:rPr>
              <w:t>1</w:t>
            </w:r>
            <w:r>
              <w:rPr>
                <w:rStyle w:val="IndexLink"/>
                <w:rtl w:val="true"/>
              </w:rPr>
              <w:t xml:space="preserve">. </w:t>
            </w:r>
            <w:r>
              <w:rPr>
                <w:rStyle w:val="IndexLink"/>
                <w:rtl w:val="true"/>
              </w:rPr>
              <w:t>خطبته صلى الله عليه و آله في اليوم السابع والثامن من ذي الحجة</w:t>
            </w:r>
            <w:r>
              <w:rPr>
                <w:rStyle w:val="IndexLink"/>
                <w:rtl w:val="true"/>
              </w:rPr>
              <w:tab/>
            </w:r>
            <w:r>
              <w:rPr>
                <w:rStyle w:val="IndexLink"/>
              </w:rPr>
              <w:t>214</w:t>
            </w:r>
          </w:hyperlink>
        </w:p>
        <w:p>
          <w:pPr>
            <w:pStyle w:val="Contents5"/>
            <w:tabs>
              <w:tab w:val="clear" w:pos="7892"/>
              <w:tab w:val="right" w:pos="9026" w:leader="dot"/>
            </w:tabs>
            <w:rPr/>
          </w:pPr>
          <w:hyperlink w:anchor="__RefHeading___Toc6863700_73709187">
            <w:r>
              <w:rPr>
                <w:webHidden/>
                <w:rStyle w:val="IndexLink"/>
              </w:rPr>
              <w:t>2</w:t>
            </w:r>
            <w:r>
              <w:rPr>
                <w:rStyle w:val="IndexLink"/>
                <w:rtl w:val="true"/>
              </w:rPr>
              <w:t xml:space="preserve">. </w:t>
            </w:r>
            <w:r>
              <w:rPr>
                <w:rStyle w:val="IndexLink"/>
                <w:rtl w:val="true"/>
              </w:rPr>
              <w:t>كلماته صلى الله عليه و آله في يوم عرفة</w:t>
            </w:r>
            <w:r>
              <w:rPr>
                <w:rStyle w:val="IndexLink"/>
                <w:rtl w:val="true"/>
              </w:rPr>
              <w:tab/>
            </w:r>
            <w:r>
              <w:rPr>
                <w:rStyle w:val="IndexLink"/>
              </w:rPr>
              <w:t>215</w:t>
            </w:r>
          </w:hyperlink>
        </w:p>
        <w:p>
          <w:pPr>
            <w:pStyle w:val="Contents5"/>
            <w:tabs>
              <w:tab w:val="clear" w:pos="7892"/>
              <w:tab w:val="right" w:pos="9026" w:leader="dot"/>
            </w:tabs>
            <w:rPr/>
          </w:pPr>
          <w:hyperlink w:anchor="__RefHeading___Toc6863702_73709187">
            <w:r>
              <w:rPr>
                <w:webHidden/>
                <w:rStyle w:val="IndexLink"/>
              </w:rPr>
              <w:t>3</w:t>
            </w:r>
            <w:r>
              <w:rPr>
                <w:rStyle w:val="IndexLink"/>
                <w:rtl w:val="true"/>
              </w:rPr>
              <w:t xml:space="preserve">. </w:t>
            </w:r>
            <w:r>
              <w:rPr>
                <w:rStyle w:val="IndexLink"/>
                <w:rtl w:val="true"/>
              </w:rPr>
              <w:t>خطبة رسول اللّه صلى الله عليه و آله يوم عرفة</w:t>
            </w:r>
            <w:r>
              <w:rPr>
                <w:rStyle w:val="IndexLink"/>
                <w:rtl w:val="true"/>
              </w:rPr>
              <w:tab/>
            </w:r>
            <w:r>
              <w:rPr>
                <w:rStyle w:val="IndexLink"/>
              </w:rPr>
              <w:t>218</w:t>
            </w:r>
          </w:hyperlink>
        </w:p>
        <w:p>
          <w:pPr>
            <w:pStyle w:val="Contents5"/>
            <w:tabs>
              <w:tab w:val="clear" w:pos="7892"/>
              <w:tab w:val="right" w:pos="9026" w:leader="dot"/>
            </w:tabs>
            <w:rPr/>
          </w:pPr>
          <w:hyperlink w:anchor="__RefHeading___Toc6863704_73709187">
            <w:r>
              <w:rPr>
                <w:webHidden/>
                <w:rStyle w:val="IndexLink"/>
              </w:rPr>
              <w:t>4</w:t>
            </w:r>
            <w:r>
              <w:rPr>
                <w:rStyle w:val="IndexLink"/>
                <w:rtl w:val="true"/>
              </w:rPr>
              <w:t xml:space="preserve">. </w:t>
            </w:r>
            <w:r>
              <w:rPr>
                <w:rStyle w:val="IndexLink"/>
                <w:rtl w:val="true"/>
              </w:rPr>
              <w:t>خطبته صلى الله عليه و آله يوم النحر</w:t>
            </w:r>
            <w:r>
              <w:rPr>
                <w:rStyle w:val="IndexLink"/>
                <w:rtl w:val="true"/>
              </w:rPr>
              <w:tab/>
            </w:r>
            <w:r>
              <w:rPr>
                <w:rStyle w:val="IndexLink"/>
              </w:rPr>
              <w:t>224</w:t>
            </w:r>
          </w:hyperlink>
        </w:p>
        <w:p>
          <w:pPr>
            <w:pStyle w:val="Contents5"/>
            <w:tabs>
              <w:tab w:val="clear" w:pos="7892"/>
              <w:tab w:val="right" w:pos="9026" w:leader="dot"/>
            </w:tabs>
            <w:rPr/>
          </w:pPr>
          <w:hyperlink w:anchor="__RefHeading___Toc6863706_73709187">
            <w:r>
              <w:rPr>
                <w:webHidden/>
                <w:rStyle w:val="IndexLink"/>
              </w:rPr>
              <w:t>5</w:t>
            </w:r>
            <w:r>
              <w:rPr>
                <w:rStyle w:val="IndexLink"/>
                <w:rtl w:val="true"/>
              </w:rPr>
              <w:t xml:space="preserve">. </w:t>
            </w:r>
            <w:r>
              <w:rPr>
                <w:rStyle w:val="IndexLink"/>
                <w:rtl w:val="true"/>
              </w:rPr>
              <w:t>خطبته صلى الله عليه و آله في مسجد الخيف</w:t>
            </w:r>
            <w:r>
              <w:rPr>
                <w:rStyle w:val="IndexLink"/>
                <w:rtl w:val="true"/>
              </w:rPr>
              <w:tab/>
            </w:r>
            <w:r>
              <w:rPr>
                <w:rStyle w:val="IndexLink"/>
              </w:rPr>
              <w:t>228</w:t>
            </w:r>
          </w:hyperlink>
        </w:p>
        <w:p>
          <w:pPr>
            <w:pStyle w:val="Contents5"/>
            <w:tabs>
              <w:tab w:val="clear" w:pos="7892"/>
              <w:tab w:val="right" w:pos="9026" w:leader="dot"/>
            </w:tabs>
            <w:rPr/>
          </w:pPr>
          <w:hyperlink w:anchor="__RefHeading___Toc6863708_73709187">
            <w:r>
              <w:rPr>
                <w:webHidden/>
                <w:rStyle w:val="IndexLink"/>
              </w:rPr>
              <w:t>6</w:t>
            </w:r>
            <w:r>
              <w:rPr>
                <w:rStyle w:val="IndexLink"/>
                <w:rtl w:val="true"/>
              </w:rPr>
              <w:t xml:space="preserve">. </w:t>
            </w:r>
            <w:r>
              <w:rPr>
                <w:rStyle w:val="IndexLink"/>
                <w:rtl w:val="true"/>
              </w:rPr>
              <w:t>خطبة رسول اللّه صلى الله عليه و آله عند الكعبة</w:t>
            </w:r>
            <w:r>
              <w:rPr>
                <w:rStyle w:val="IndexLink"/>
                <w:rtl w:val="true"/>
              </w:rPr>
              <w:tab/>
            </w:r>
            <w:r>
              <w:rPr>
                <w:rStyle w:val="IndexLink"/>
              </w:rPr>
              <w:t>231</w:t>
            </w:r>
          </w:hyperlink>
        </w:p>
        <w:p>
          <w:pPr>
            <w:pStyle w:val="Contents5"/>
            <w:tabs>
              <w:tab w:val="clear" w:pos="7892"/>
              <w:tab w:val="right" w:pos="9026" w:leader="dot"/>
            </w:tabs>
            <w:rPr/>
          </w:pPr>
          <w:hyperlink w:anchor="__RefHeading___Toc6863710_73709187">
            <w:r>
              <w:rPr>
                <w:webHidden/>
                <w:rStyle w:val="IndexLink"/>
              </w:rPr>
              <w:t>7</w:t>
            </w:r>
            <w:r>
              <w:rPr>
                <w:rStyle w:val="IndexLink"/>
                <w:rtl w:val="true"/>
              </w:rPr>
              <w:t xml:space="preserve">. </w:t>
            </w:r>
            <w:r>
              <w:rPr>
                <w:rStyle w:val="IndexLink"/>
                <w:rtl w:val="true"/>
              </w:rPr>
              <w:t>خطبته صلى الله عليه و آله في غدير خُم</w:t>
            </w:r>
            <w:r>
              <w:rPr>
                <w:rStyle w:val="IndexLink"/>
                <w:rtl w:val="true"/>
              </w:rPr>
              <w:tab/>
            </w:r>
            <w:r>
              <w:rPr>
                <w:rStyle w:val="IndexLink"/>
              </w:rPr>
              <w:t>232</w:t>
            </w:r>
          </w:hyperlink>
        </w:p>
        <w:p>
          <w:pPr>
            <w:pStyle w:val="Contents3"/>
            <w:tabs>
              <w:tab w:val="clear" w:pos="8459"/>
              <w:tab w:val="right" w:pos="9026" w:leader="dot"/>
            </w:tabs>
            <w:rPr/>
          </w:pPr>
          <w:hyperlink w:anchor="__RefHeading___Toc6863712_73709187">
            <w:r>
              <w:rPr>
                <w:webHidden/>
                <w:rStyle w:val="IndexLink"/>
              </w:rPr>
              <w:t>5</w:t>
            </w:r>
            <w:r>
              <w:rPr>
                <w:rStyle w:val="IndexLink"/>
                <w:rtl w:val="true"/>
              </w:rPr>
              <w:t xml:space="preserve"> </w:t>
            </w:r>
            <w:r>
              <w:rPr>
                <w:rStyle w:val="IndexLink"/>
                <w:rtl w:val="true"/>
              </w:rPr>
              <w:t>ما هو المراد من أنّ الأنبياء لم يورثوا؟</w:t>
            </w:r>
            <w:r>
              <w:rPr>
                <w:rStyle w:val="IndexLink"/>
                <w:rtl w:val="true"/>
              </w:rPr>
              <w:tab/>
            </w:r>
            <w:r>
              <w:rPr>
                <w:rStyle w:val="IndexLink"/>
              </w:rPr>
              <w:t>247</w:t>
            </w:r>
          </w:hyperlink>
        </w:p>
        <w:p>
          <w:pPr>
            <w:pStyle w:val="Contents4"/>
            <w:tabs>
              <w:tab w:val="clear" w:pos="8176"/>
              <w:tab w:val="right" w:pos="9026" w:leader="dot"/>
            </w:tabs>
            <w:rPr/>
          </w:pPr>
          <w:hyperlink w:anchor="__RefHeading___Toc6863714_73709187">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6863716_73709187">
            <w:r>
              <w:rPr>
                <w:webHidden/>
                <w:rStyle w:val="IndexLink"/>
                <w:rtl w:val="true"/>
              </w:rPr>
              <w:t>دراسة مضمون الحديث</w:t>
            </w:r>
            <w:r>
              <w:rPr>
                <w:rStyle w:val="IndexLink"/>
                <w:rtl w:val="true"/>
              </w:rPr>
              <w:tab/>
            </w:r>
            <w:r>
              <w:rPr>
                <w:rStyle w:val="IndexLink"/>
              </w:rPr>
              <w:t>249</w:t>
            </w:r>
          </w:hyperlink>
        </w:p>
        <w:p>
          <w:pPr>
            <w:pStyle w:val="Contents4"/>
            <w:tabs>
              <w:tab w:val="clear" w:pos="8176"/>
              <w:tab w:val="right" w:pos="9026" w:leader="dot"/>
            </w:tabs>
            <w:rPr/>
          </w:pPr>
          <w:hyperlink w:anchor="__RefHeading___Toc6863718_73709187">
            <w:r>
              <w:rPr>
                <w:webHidden/>
                <w:rStyle w:val="IndexLink"/>
                <w:rtl w:val="true"/>
              </w:rPr>
              <w:t>الهدف هو التوقّي من الأعداء</w:t>
            </w:r>
            <w:r>
              <w:rPr>
                <w:rStyle w:val="IndexLink"/>
                <w:rtl w:val="true"/>
              </w:rPr>
              <w:tab/>
            </w:r>
            <w:r>
              <w:rPr>
                <w:rStyle w:val="IndexLink"/>
              </w:rPr>
              <w:t>252</w:t>
            </w:r>
          </w:hyperlink>
        </w:p>
        <w:p>
          <w:pPr>
            <w:pStyle w:val="Contents3"/>
            <w:tabs>
              <w:tab w:val="clear" w:pos="8459"/>
              <w:tab w:val="right" w:pos="9026" w:leader="dot"/>
            </w:tabs>
            <w:rPr/>
          </w:pPr>
          <w:hyperlink w:anchor="__RefHeading___Toc6863720_73709187">
            <w:r>
              <w:rPr>
                <w:webHidden/>
                <w:rStyle w:val="IndexLink"/>
              </w:rPr>
              <w:t>6</w:t>
            </w:r>
            <w:r>
              <w:rPr>
                <w:rStyle w:val="IndexLink"/>
                <w:rtl w:val="true"/>
              </w:rPr>
              <w:t xml:space="preserve"> </w:t>
            </w:r>
            <w:r>
              <w:rPr>
                <w:rStyle w:val="IndexLink"/>
                <w:rtl w:val="true"/>
              </w:rPr>
              <w:t>رسالة إلى الدكتور عبدالوهاب في رؤية الهلال</w:t>
            </w:r>
            <w:r>
              <w:rPr>
                <w:rStyle w:val="IndexLink"/>
                <w:rtl w:val="true"/>
              </w:rPr>
              <w:tab/>
            </w:r>
            <w:r>
              <w:rPr>
                <w:rStyle w:val="IndexLink"/>
              </w:rPr>
              <w:t>254</w:t>
            </w:r>
          </w:hyperlink>
        </w:p>
        <w:p>
          <w:pPr>
            <w:pStyle w:val="Contents4"/>
            <w:tabs>
              <w:tab w:val="clear" w:pos="8176"/>
              <w:tab w:val="right" w:pos="9026" w:leader="dot"/>
            </w:tabs>
            <w:rPr/>
          </w:pPr>
          <w:hyperlink w:anchor="__RefHeading___Toc6863722_73709187">
            <w:r>
              <w:rPr>
                <w:webHidden/>
                <w:rStyle w:val="IndexLink"/>
                <w:rtl w:val="true"/>
              </w:rPr>
              <w:t>اشارة</w:t>
            </w:r>
            <w:r>
              <w:rPr>
                <w:rStyle w:val="IndexLink"/>
                <w:rtl w:val="true"/>
              </w:rPr>
              <w:tab/>
            </w:r>
            <w:r>
              <w:rPr>
                <w:rStyle w:val="IndexLink"/>
              </w:rPr>
              <w:t>254</w:t>
            </w:r>
          </w:hyperlink>
        </w:p>
        <w:p>
          <w:pPr>
            <w:pStyle w:val="Contents4"/>
            <w:tabs>
              <w:tab w:val="clear" w:pos="8176"/>
              <w:tab w:val="right" w:pos="9026" w:leader="dot"/>
            </w:tabs>
            <w:rPr/>
          </w:pPr>
          <w:hyperlink w:anchor="__RefHeading___Toc6863724_73709187">
            <w:r>
              <w:rPr>
                <w:webHidden/>
                <w:rStyle w:val="IndexLink"/>
              </w:rPr>
              <w:t>1</w:t>
            </w:r>
            <w:r>
              <w:rPr>
                <w:rStyle w:val="IndexLink"/>
                <w:rtl w:val="true"/>
              </w:rPr>
              <w:t xml:space="preserve">. </w:t>
            </w:r>
            <w:r>
              <w:rPr>
                <w:rStyle w:val="IndexLink"/>
                <w:rtl w:val="true"/>
              </w:rPr>
              <w:t>التخيير بين الأقل والأكثر أمر لغو</w:t>
            </w:r>
            <w:r>
              <w:rPr>
                <w:rStyle w:val="IndexLink"/>
                <w:rtl w:val="true"/>
              </w:rPr>
              <w:tab/>
            </w:r>
            <w:r>
              <w:rPr>
                <w:rStyle w:val="IndexLink"/>
              </w:rPr>
              <w:t>256</w:t>
            </w:r>
          </w:hyperlink>
        </w:p>
        <w:p>
          <w:pPr>
            <w:pStyle w:val="Contents4"/>
            <w:tabs>
              <w:tab w:val="clear" w:pos="8176"/>
              <w:tab w:val="right" w:pos="9026" w:leader="dot"/>
            </w:tabs>
            <w:rPr/>
          </w:pPr>
          <w:hyperlink w:anchor="__RefHeading___Toc6863726_73709187">
            <w:r>
              <w:rPr>
                <w:webHidden/>
                <w:rStyle w:val="IndexLink"/>
              </w:rPr>
              <w:t>2</w:t>
            </w:r>
            <w:r>
              <w:rPr>
                <w:rStyle w:val="IndexLink"/>
                <w:rtl w:val="true"/>
              </w:rPr>
              <w:t xml:space="preserve">. </w:t>
            </w:r>
            <w:r>
              <w:rPr>
                <w:rStyle w:val="IndexLink"/>
                <w:rtl w:val="true"/>
              </w:rPr>
              <w:t>استلزام ذلك فقهاً جديداً</w:t>
            </w:r>
            <w:r>
              <w:rPr>
                <w:rStyle w:val="IndexLink"/>
                <w:rtl w:val="true"/>
              </w:rPr>
              <w:tab/>
            </w:r>
            <w:r>
              <w:rPr>
                <w:rStyle w:val="IndexLink"/>
              </w:rPr>
              <w:t>257</w:t>
            </w:r>
          </w:hyperlink>
        </w:p>
        <w:p>
          <w:pPr>
            <w:pStyle w:val="Contents4"/>
            <w:tabs>
              <w:tab w:val="clear" w:pos="8176"/>
              <w:tab w:val="right" w:pos="9026" w:leader="dot"/>
            </w:tabs>
            <w:rPr/>
          </w:pPr>
          <w:hyperlink w:anchor="__RefHeading___Toc6863728_73709187">
            <w:r>
              <w:rPr>
                <w:webHidden/>
                <w:rStyle w:val="IndexLink"/>
              </w:rPr>
              <w:t>3</w:t>
            </w:r>
            <w:r>
              <w:rPr>
                <w:rStyle w:val="IndexLink"/>
                <w:rtl w:val="true"/>
              </w:rPr>
              <w:t xml:space="preserve">. </w:t>
            </w:r>
            <w:r>
              <w:rPr>
                <w:rStyle w:val="IndexLink"/>
                <w:rtl w:val="true"/>
              </w:rPr>
              <w:t>الإفطار في شهر رمضان والصيام في العيد</w:t>
            </w:r>
            <w:r>
              <w:rPr>
                <w:rStyle w:val="IndexLink"/>
                <w:rtl w:val="true"/>
              </w:rPr>
              <w:tab/>
            </w:r>
            <w:r>
              <w:rPr>
                <w:rStyle w:val="IndexLink"/>
              </w:rPr>
              <w:t>258</w:t>
            </w:r>
          </w:hyperlink>
        </w:p>
        <w:p>
          <w:pPr>
            <w:pStyle w:val="Contents3"/>
            <w:tabs>
              <w:tab w:val="clear" w:pos="8459"/>
              <w:tab w:val="right" w:pos="9026" w:leader="dot"/>
            </w:tabs>
            <w:rPr/>
          </w:pPr>
          <w:hyperlink w:anchor="__RefHeading___Toc6863730_73709187">
            <w:r>
              <w:rPr>
                <w:webHidden/>
                <w:rStyle w:val="IndexLink"/>
              </w:rPr>
              <w:t>7</w:t>
            </w:r>
            <w:r>
              <w:rPr>
                <w:rStyle w:val="IndexLink"/>
                <w:rtl w:val="true"/>
              </w:rPr>
              <w:t xml:space="preserve"> </w:t>
            </w:r>
            <w:r>
              <w:rPr>
                <w:rStyle w:val="IndexLink"/>
                <w:rtl w:val="true"/>
              </w:rPr>
              <w:t>شركة الأعمال في الفقه الإسلامي</w:t>
            </w:r>
            <w:r>
              <w:rPr>
                <w:rStyle w:val="IndexLink"/>
                <w:rtl w:val="true"/>
              </w:rPr>
              <w:tab/>
            </w:r>
            <w:r>
              <w:rPr>
                <w:rStyle w:val="IndexLink"/>
              </w:rPr>
              <w:t>261</w:t>
            </w:r>
          </w:hyperlink>
        </w:p>
        <w:p>
          <w:pPr>
            <w:pStyle w:val="Contents4"/>
            <w:tabs>
              <w:tab w:val="clear" w:pos="8176"/>
              <w:tab w:val="right" w:pos="9026" w:leader="dot"/>
            </w:tabs>
            <w:rPr/>
          </w:pPr>
          <w:hyperlink w:anchor="__RefHeading___Toc6863732_73709187">
            <w:r>
              <w:rPr>
                <w:webHidden/>
                <w:rStyle w:val="IndexLink"/>
                <w:rtl w:val="true"/>
              </w:rPr>
              <w:t>اشارة</w:t>
            </w:r>
            <w:r>
              <w:rPr>
                <w:rStyle w:val="IndexLink"/>
                <w:rtl w:val="true"/>
              </w:rPr>
              <w:tab/>
            </w:r>
            <w:r>
              <w:rPr>
                <w:rStyle w:val="IndexLink"/>
              </w:rPr>
              <w:t>261</w:t>
            </w:r>
          </w:hyperlink>
        </w:p>
        <w:p>
          <w:pPr>
            <w:pStyle w:val="Contents4"/>
            <w:tabs>
              <w:tab w:val="clear" w:pos="8176"/>
              <w:tab w:val="right" w:pos="9026" w:leader="dot"/>
            </w:tabs>
            <w:rPr/>
          </w:pPr>
          <w:hyperlink w:anchor="__RefHeading___Toc6863734_73709187">
            <w:r>
              <w:rPr>
                <w:webHidden/>
                <w:rStyle w:val="IndexLink"/>
                <w:rtl w:val="true"/>
              </w:rPr>
              <w:t>أقوال الفقهاء في شركة الأعمال</w:t>
            </w:r>
            <w:r>
              <w:rPr>
                <w:rStyle w:val="IndexLink"/>
                <w:rtl w:val="true"/>
              </w:rPr>
              <w:tab/>
            </w:r>
            <w:r>
              <w:rPr>
                <w:rStyle w:val="IndexLink"/>
              </w:rPr>
              <w:t>263</w:t>
            </w:r>
          </w:hyperlink>
        </w:p>
        <w:p>
          <w:pPr>
            <w:pStyle w:val="Contents4"/>
            <w:tabs>
              <w:tab w:val="clear" w:pos="8176"/>
              <w:tab w:val="right" w:pos="9026" w:leader="dot"/>
            </w:tabs>
            <w:rPr/>
          </w:pPr>
          <w:hyperlink w:anchor="__RefHeading___Toc6863736_73709187">
            <w:r>
              <w:rPr>
                <w:webHidden/>
                <w:rStyle w:val="IndexLink"/>
                <w:rtl w:val="true"/>
              </w:rPr>
              <w:t>أدّلة القائلين بعدم الجواز</w:t>
            </w:r>
            <w:r>
              <w:rPr>
                <w:rStyle w:val="IndexLink"/>
                <w:rtl w:val="true"/>
              </w:rPr>
              <w:tab/>
            </w:r>
            <w:r>
              <w:rPr>
                <w:rStyle w:val="IndexLink"/>
              </w:rPr>
              <w:t>267</w:t>
            </w:r>
          </w:hyperlink>
        </w:p>
        <w:p>
          <w:pPr>
            <w:pStyle w:val="Contents5"/>
            <w:tabs>
              <w:tab w:val="clear" w:pos="7892"/>
              <w:tab w:val="right" w:pos="9026" w:leader="dot"/>
            </w:tabs>
            <w:rPr/>
          </w:pPr>
          <w:hyperlink w:anchor="__RefHeading___Toc6863738_73709187">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6863740_73709187">
            <w:r>
              <w:rPr>
                <w:webHidden/>
                <w:rStyle w:val="IndexLink"/>
              </w:rPr>
              <w:t>1</w:t>
            </w:r>
            <w:r>
              <w:rPr>
                <w:rStyle w:val="IndexLink"/>
                <w:rtl w:val="true"/>
              </w:rPr>
              <w:t xml:space="preserve">. </w:t>
            </w:r>
            <w:r>
              <w:rPr>
                <w:rStyle w:val="IndexLink"/>
                <w:rtl w:val="true"/>
              </w:rPr>
              <w:t>الإجماع على البطلان</w:t>
            </w:r>
            <w:r>
              <w:rPr>
                <w:rStyle w:val="IndexLink"/>
                <w:rtl w:val="true"/>
              </w:rPr>
              <w:tab/>
            </w:r>
            <w:r>
              <w:rPr>
                <w:rStyle w:val="IndexLink"/>
              </w:rPr>
              <w:t>267</w:t>
            </w:r>
          </w:hyperlink>
        </w:p>
        <w:p>
          <w:pPr>
            <w:pStyle w:val="Contents5"/>
            <w:tabs>
              <w:tab w:val="clear" w:pos="7892"/>
              <w:tab w:val="right" w:pos="9026" w:leader="dot"/>
            </w:tabs>
            <w:rPr/>
          </w:pPr>
          <w:hyperlink w:anchor="__RefHeading___Toc6863742_73709187">
            <w:r>
              <w:rPr>
                <w:webHidden/>
                <w:rStyle w:val="IndexLink"/>
              </w:rPr>
              <w:t>2</w:t>
            </w:r>
            <w:r>
              <w:rPr>
                <w:rStyle w:val="IndexLink"/>
                <w:rtl w:val="true"/>
              </w:rPr>
              <w:t xml:space="preserve">. </w:t>
            </w:r>
            <w:r>
              <w:rPr>
                <w:rStyle w:val="IndexLink"/>
                <w:rtl w:val="true"/>
              </w:rPr>
              <w:t>كونها غررية</w:t>
            </w:r>
            <w:r>
              <w:rPr>
                <w:rStyle w:val="IndexLink"/>
                <w:rtl w:val="true"/>
              </w:rPr>
              <w:tab/>
            </w:r>
            <w:r>
              <w:rPr>
                <w:rStyle w:val="IndexLink"/>
              </w:rPr>
              <w:t>268</w:t>
            </w:r>
          </w:hyperlink>
        </w:p>
        <w:p>
          <w:pPr>
            <w:pStyle w:val="Contents5"/>
            <w:tabs>
              <w:tab w:val="clear" w:pos="7892"/>
              <w:tab w:val="right" w:pos="9026" w:leader="dot"/>
            </w:tabs>
            <w:rPr/>
          </w:pPr>
          <w:hyperlink w:anchor="__RefHeading___Toc6863744_73709187">
            <w:r>
              <w:rPr>
                <w:webHidden/>
                <w:rStyle w:val="IndexLink"/>
              </w:rPr>
              <w:t>3</w:t>
            </w:r>
            <w:r>
              <w:rPr>
                <w:rStyle w:val="IndexLink"/>
                <w:rtl w:val="true"/>
              </w:rPr>
              <w:t xml:space="preserve">. </w:t>
            </w:r>
            <w:r>
              <w:rPr>
                <w:rStyle w:val="IndexLink"/>
                <w:rtl w:val="true"/>
              </w:rPr>
              <w:t>كون المعاملات توقيفية</w:t>
            </w:r>
            <w:r>
              <w:rPr>
                <w:rStyle w:val="IndexLink"/>
                <w:rtl w:val="true"/>
              </w:rPr>
              <w:tab/>
            </w:r>
            <w:r>
              <w:rPr>
                <w:rStyle w:val="IndexLink"/>
              </w:rPr>
              <w:t>272</w:t>
            </w:r>
          </w:hyperlink>
        </w:p>
        <w:p>
          <w:pPr>
            <w:pStyle w:val="Contents5"/>
            <w:tabs>
              <w:tab w:val="clear" w:pos="7892"/>
              <w:tab w:val="right" w:pos="9026" w:leader="dot"/>
            </w:tabs>
            <w:rPr/>
          </w:pPr>
          <w:hyperlink w:anchor="__RefHeading___Toc6863746_73709187">
            <w:r>
              <w:rPr>
                <w:webHidden/>
                <w:rStyle w:val="IndexLink"/>
              </w:rPr>
              <w:t>4</w:t>
            </w:r>
            <w:r>
              <w:rPr>
                <w:rStyle w:val="IndexLink"/>
                <w:rtl w:val="true"/>
              </w:rPr>
              <w:t xml:space="preserve">. </w:t>
            </w:r>
            <w:r>
              <w:rPr>
                <w:rStyle w:val="IndexLink"/>
                <w:rtl w:val="true"/>
              </w:rPr>
              <w:t>تمليك المعدوم</w:t>
            </w:r>
            <w:r>
              <w:rPr>
                <w:rStyle w:val="IndexLink"/>
                <w:rtl w:val="true"/>
              </w:rPr>
              <w:tab/>
            </w:r>
            <w:r>
              <w:rPr>
                <w:rStyle w:val="IndexLink"/>
              </w:rPr>
              <w:t>274</w:t>
            </w:r>
          </w:hyperlink>
        </w:p>
        <w:p>
          <w:pPr>
            <w:pStyle w:val="Contents5"/>
            <w:tabs>
              <w:tab w:val="clear" w:pos="7892"/>
              <w:tab w:val="right" w:pos="9026" w:leader="dot"/>
            </w:tabs>
            <w:rPr/>
          </w:pPr>
          <w:hyperlink w:anchor="__RefHeading___Toc6863748_73709187">
            <w:r>
              <w:rPr>
                <w:webHidden/>
                <w:rStyle w:val="IndexLink"/>
              </w:rPr>
              <w:t>5</w:t>
            </w:r>
            <w:r>
              <w:rPr>
                <w:rStyle w:val="IndexLink"/>
                <w:rtl w:val="true"/>
              </w:rPr>
              <w:t xml:space="preserve">. </w:t>
            </w:r>
            <w:r>
              <w:rPr>
                <w:rStyle w:val="IndexLink"/>
                <w:rtl w:val="true"/>
              </w:rPr>
              <w:t>عدم المزج</w:t>
            </w:r>
            <w:r>
              <w:rPr>
                <w:rStyle w:val="IndexLink"/>
                <w:rtl w:val="true"/>
              </w:rPr>
              <w:tab/>
            </w:r>
            <w:r>
              <w:rPr>
                <w:rStyle w:val="IndexLink"/>
              </w:rPr>
              <w:t>275</w:t>
            </w:r>
          </w:hyperlink>
        </w:p>
        <w:p>
          <w:pPr>
            <w:pStyle w:val="Contents5"/>
            <w:tabs>
              <w:tab w:val="clear" w:pos="7892"/>
              <w:tab w:val="right" w:pos="9026" w:leader="dot"/>
            </w:tabs>
            <w:rPr/>
          </w:pPr>
          <w:hyperlink w:anchor="__RefHeading___Toc6863750_73709187">
            <w:r>
              <w:rPr>
                <w:webHidden/>
                <w:rStyle w:val="IndexLink"/>
              </w:rPr>
              <w:t>6</w:t>
            </w:r>
            <w:r>
              <w:rPr>
                <w:rStyle w:val="IndexLink"/>
                <w:rtl w:val="true"/>
              </w:rPr>
              <w:t xml:space="preserve">. </w:t>
            </w:r>
            <w:r>
              <w:rPr>
                <w:rStyle w:val="IndexLink"/>
                <w:rtl w:val="true"/>
              </w:rPr>
              <w:t>من قبيل شركة المنافع</w:t>
            </w:r>
            <w:r>
              <w:rPr>
                <w:rStyle w:val="IndexLink"/>
                <w:rtl w:val="true"/>
              </w:rPr>
              <w:tab/>
            </w:r>
            <w:r>
              <w:rPr>
                <w:rStyle w:val="IndexLink"/>
              </w:rPr>
              <w:t>275</w:t>
            </w:r>
          </w:hyperlink>
        </w:p>
        <w:p>
          <w:pPr>
            <w:pStyle w:val="Contents4"/>
            <w:tabs>
              <w:tab w:val="clear" w:pos="8176"/>
              <w:tab w:val="right" w:pos="9026" w:leader="dot"/>
            </w:tabs>
            <w:rPr/>
          </w:pPr>
          <w:hyperlink w:anchor="__RefHeading___Toc6863752_73709187">
            <w:r>
              <w:rPr>
                <w:webHidden/>
                <w:rStyle w:val="IndexLink"/>
                <w:rtl w:val="true"/>
              </w:rPr>
              <w:t>ابن حزم وبطلان شركة الأعمال</w:t>
            </w:r>
            <w:r>
              <w:rPr>
                <w:rStyle w:val="IndexLink"/>
                <w:rtl w:val="true"/>
              </w:rPr>
              <w:tab/>
            </w:r>
            <w:r>
              <w:rPr>
                <w:rStyle w:val="IndexLink"/>
              </w:rPr>
              <w:t>276</w:t>
            </w:r>
          </w:hyperlink>
        </w:p>
        <w:p>
          <w:pPr>
            <w:pStyle w:val="Contents4"/>
            <w:tabs>
              <w:tab w:val="clear" w:pos="8176"/>
              <w:tab w:val="right" w:pos="9026" w:leader="dot"/>
            </w:tabs>
            <w:rPr/>
          </w:pPr>
          <w:hyperlink w:anchor="__RefHeading___Toc6863754_73709187">
            <w:r>
              <w:rPr>
                <w:webHidden/>
                <w:rStyle w:val="IndexLink"/>
                <w:rtl w:val="true"/>
              </w:rPr>
              <w:t>أدلّة المجوّزين من السنّة</w:t>
            </w:r>
            <w:r>
              <w:rPr>
                <w:rStyle w:val="IndexLink"/>
                <w:rtl w:val="true"/>
              </w:rPr>
              <w:tab/>
            </w:r>
            <w:r>
              <w:rPr>
                <w:rStyle w:val="IndexLink"/>
              </w:rPr>
              <w:t>278</w:t>
            </w:r>
          </w:hyperlink>
        </w:p>
        <w:p>
          <w:pPr>
            <w:pStyle w:val="Contents4"/>
            <w:tabs>
              <w:tab w:val="clear" w:pos="8176"/>
              <w:tab w:val="right" w:pos="9026" w:leader="dot"/>
            </w:tabs>
            <w:rPr/>
          </w:pPr>
          <w:hyperlink w:anchor="__RefHeading___Toc6863756_73709187">
            <w:r>
              <w:rPr>
                <w:webHidden/>
                <w:rStyle w:val="IndexLink"/>
                <w:rtl w:val="true"/>
              </w:rPr>
              <w:t>تصحيح شركة الأعمال</w:t>
            </w:r>
            <w:r>
              <w:rPr>
                <w:rStyle w:val="IndexLink"/>
                <w:rtl w:val="true"/>
              </w:rPr>
              <w:tab/>
            </w:r>
            <w:r>
              <w:rPr>
                <w:rStyle w:val="IndexLink"/>
              </w:rPr>
              <w:t>280</w:t>
            </w:r>
          </w:hyperlink>
        </w:p>
        <w:p>
          <w:pPr>
            <w:pStyle w:val="Contents4"/>
            <w:tabs>
              <w:tab w:val="clear" w:pos="8176"/>
              <w:tab w:val="right" w:pos="9026" w:leader="dot"/>
            </w:tabs>
            <w:rPr/>
          </w:pPr>
          <w:hyperlink w:anchor="__RefHeading___Toc6863758_73709187">
            <w:r>
              <w:rPr>
                <w:webHidden/>
                <w:rStyle w:val="IndexLink"/>
                <w:rtl w:val="true"/>
              </w:rPr>
              <w:t>شركة الأعمال فرع من الشركات المعنوية</w:t>
            </w:r>
            <w:r>
              <w:rPr>
                <w:rStyle w:val="IndexLink"/>
                <w:rtl w:val="true"/>
              </w:rPr>
              <w:tab/>
            </w:r>
            <w:r>
              <w:rPr>
                <w:rStyle w:val="IndexLink"/>
              </w:rPr>
              <w:t>281</w:t>
            </w:r>
          </w:hyperlink>
        </w:p>
        <w:p>
          <w:pPr>
            <w:pStyle w:val="Contents3"/>
            <w:tabs>
              <w:tab w:val="clear" w:pos="8459"/>
              <w:tab w:val="right" w:pos="9026" w:leader="dot"/>
            </w:tabs>
            <w:rPr/>
          </w:pPr>
          <w:hyperlink w:anchor="__RefHeading___Toc6863760_73709187">
            <w:r>
              <w:rPr>
                <w:webHidden/>
                <w:rStyle w:val="IndexLink"/>
              </w:rPr>
              <w:t>8</w:t>
            </w:r>
            <w:r>
              <w:rPr>
                <w:rStyle w:val="IndexLink"/>
                <w:rtl w:val="true"/>
              </w:rPr>
              <w:t xml:space="preserve"> </w:t>
            </w:r>
            <w:r>
              <w:rPr>
                <w:rStyle w:val="IndexLink"/>
                <w:rtl w:val="true"/>
              </w:rPr>
              <w:t>في وقف الحُلِيّ والأثمان</w:t>
            </w:r>
            <w:r>
              <w:rPr>
                <w:rStyle w:val="IndexLink"/>
                <w:rtl w:val="true"/>
              </w:rPr>
              <w:tab/>
            </w:r>
            <w:r>
              <w:rPr>
                <w:rStyle w:val="IndexLink"/>
              </w:rPr>
              <w:t>284</w:t>
            </w:r>
          </w:hyperlink>
        </w:p>
        <w:p>
          <w:pPr>
            <w:pStyle w:val="Contents4"/>
            <w:tabs>
              <w:tab w:val="clear" w:pos="8176"/>
              <w:tab w:val="right" w:pos="9026" w:leader="dot"/>
            </w:tabs>
            <w:rPr/>
          </w:pPr>
          <w:hyperlink w:anchor="__RefHeading___Toc6863762_73709187">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6863764_73709187">
            <w:r>
              <w:rPr>
                <w:webHidden/>
                <w:rStyle w:val="IndexLink"/>
              </w:rPr>
              <w:t>1</w:t>
            </w:r>
            <w:r>
              <w:rPr>
                <w:rStyle w:val="IndexLink"/>
                <w:rtl w:val="true"/>
              </w:rPr>
              <w:t xml:space="preserve">. </w:t>
            </w:r>
            <w:r>
              <w:rPr>
                <w:rStyle w:val="IndexLink"/>
                <w:rtl w:val="true"/>
              </w:rPr>
              <w:t>عدم جواز الوقف</w:t>
            </w:r>
            <w:r>
              <w:rPr>
                <w:rStyle w:val="IndexLink"/>
                <w:rtl w:val="true"/>
              </w:rPr>
              <w:tab/>
            </w:r>
            <w:r>
              <w:rPr>
                <w:rStyle w:val="IndexLink"/>
              </w:rPr>
              <w:t>285</w:t>
            </w:r>
          </w:hyperlink>
        </w:p>
        <w:p>
          <w:pPr>
            <w:pStyle w:val="Contents4"/>
            <w:tabs>
              <w:tab w:val="clear" w:pos="8176"/>
              <w:tab w:val="right" w:pos="9026" w:leader="dot"/>
            </w:tabs>
            <w:rPr/>
          </w:pPr>
          <w:hyperlink w:anchor="__RefHeading___Toc6863766_73709187">
            <w:r>
              <w:rPr>
                <w:webHidden/>
                <w:rStyle w:val="IndexLink"/>
              </w:rPr>
              <w:t>2</w:t>
            </w:r>
            <w:r>
              <w:rPr>
                <w:rStyle w:val="IndexLink"/>
                <w:rtl w:val="true"/>
              </w:rPr>
              <w:t xml:space="preserve">. </w:t>
            </w:r>
            <w:r>
              <w:rPr>
                <w:rStyle w:val="IndexLink"/>
                <w:rtl w:val="true"/>
              </w:rPr>
              <w:t>جواز الوقف</w:t>
            </w:r>
            <w:r>
              <w:rPr>
                <w:rStyle w:val="IndexLink"/>
                <w:rtl w:val="true"/>
              </w:rPr>
              <w:tab/>
            </w:r>
            <w:r>
              <w:rPr>
                <w:rStyle w:val="IndexLink"/>
              </w:rPr>
              <w:t>286</w:t>
            </w:r>
          </w:hyperlink>
        </w:p>
        <w:p>
          <w:pPr>
            <w:pStyle w:val="Contents4"/>
            <w:tabs>
              <w:tab w:val="clear" w:pos="8176"/>
              <w:tab w:val="right" w:pos="9026" w:leader="dot"/>
            </w:tabs>
            <w:rPr/>
          </w:pPr>
          <w:hyperlink w:anchor="__RefHeading___Toc6863768_73709187">
            <w:r>
              <w:rPr>
                <w:webHidden/>
                <w:rStyle w:val="IndexLink"/>
              </w:rPr>
              <w:t>3</w:t>
            </w:r>
            <w:r>
              <w:rPr>
                <w:rStyle w:val="IndexLink"/>
                <w:rtl w:val="true"/>
              </w:rPr>
              <w:t xml:space="preserve">. </w:t>
            </w:r>
            <w:r>
              <w:rPr>
                <w:rStyle w:val="IndexLink"/>
                <w:rtl w:val="true"/>
              </w:rPr>
              <w:t>التردّد وعدم الجزم بشيء</w:t>
            </w:r>
            <w:r>
              <w:rPr>
                <w:rStyle w:val="IndexLink"/>
                <w:rtl w:val="true"/>
              </w:rPr>
              <w:tab/>
            </w:r>
            <w:r>
              <w:rPr>
                <w:rStyle w:val="IndexLink"/>
              </w:rPr>
              <w:t>286</w:t>
            </w:r>
          </w:hyperlink>
        </w:p>
        <w:p>
          <w:pPr>
            <w:pStyle w:val="Contents4"/>
            <w:tabs>
              <w:tab w:val="clear" w:pos="8176"/>
              <w:tab w:val="right" w:pos="9026" w:leader="dot"/>
            </w:tabs>
            <w:rPr/>
          </w:pPr>
          <w:hyperlink w:anchor="__RefHeading___Toc6863770_73709187">
            <w:r>
              <w:rPr>
                <w:webHidden/>
                <w:rStyle w:val="IndexLink"/>
                <w:rtl w:val="true"/>
              </w:rPr>
              <w:t>تصحيح وقف الأثمان مع التجارة بها</w:t>
            </w:r>
            <w:r>
              <w:rPr>
                <w:rStyle w:val="IndexLink"/>
                <w:rtl w:val="true"/>
              </w:rPr>
              <w:tab/>
            </w:r>
            <w:r>
              <w:rPr>
                <w:rStyle w:val="IndexLink"/>
              </w:rPr>
              <w:t>287</w:t>
            </w:r>
          </w:hyperlink>
        </w:p>
        <w:p>
          <w:pPr>
            <w:pStyle w:val="Contents3"/>
            <w:tabs>
              <w:tab w:val="clear" w:pos="8459"/>
              <w:tab w:val="right" w:pos="9026" w:leader="dot"/>
            </w:tabs>
            <w:rPr/>
          </w:pPr>
          <w:hyperlink w:anchor="__RefHeading___Toc6863772_73709187">
            <w:r>
              <w:rPr>
                <w:webHidden/>
                <w:rStyle w:val="IndexLink"/>
              </w:rPr>
              <w:t>9</w:t>
            </w:r>
            <w:r>
              <w:rPr>
                <w:rStyle w:val="IndexLink"/>
                <w:rtl w:val="true"/>
              </w:rPr>
              <w:t xml:space="preserve"> </w:t>
            </w:r>
            <w:r>
              <w:rPr>
                <w:rStyle w:val="IndexLink"/>
                <w:rtl w:val="true"/>
              </w:rPr>
              <w:t>رسالة في إرث الزوجة</w:t>
            </w:r>
            <w:r>
              <w:rPr>
                <w:rStyle w:val="IndexLink"/>
                <w:rtl w:val="true"/>
              </w:rPr>
              <w:tab/>
            </w:r>
            <w:r>
              <w:rPr>
                <w:rStyle w:val="IndexLink"/>
              </w:rPr>
              <w:t>290</w:t>
            </w:r>
          </w:hyperlink>
        </w:p>
        <w:p>
          <w:pPr>
            <w:pStyle w:val="Contents4"/>
            <w:tabs>
              <w:tab w:val="clear" w:pos="8176"/>
              <w:tab w:val="right" w:pos="9026" w:leader="dot"/>
            </w:tabs>
            <w:rPr/>
          </w:pPr>
          <w:hyperlink w:anchor="__RefHeading___Toc6863774_73709187">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6863776_73709187">
            <w:r>
              <w:rPr>
                <w:webHidden/>
                <w:rStyle w:val="IndexLink"/>
              </w:rPr>
              <w:t>1</w:t>
            </w:r>
            <w:r>
              <w:rPr>
                <w:rStyle w:val="IndexLink"/>
                <w:rtl w:val="true"/>
              </w:rPr>
              <w:t xml:space="preserve">. </w:t>
            </w:r>
            <w:r>
              <w:rPr>
                <w:rStyle w:val="IndexLink"/>
                <w:rtl w:val="true"/>
              </w:rPr>
              <w:t>حول الروايات المعارضة لنظر المشهور</w:t>
            </w:r>
            <w:r>
              <w:rPr>
                <w:rStyle w:val="IndexLink"/>
                <w:rtl w:val="true"/>
              </w:rPr>
              <w:tab/>
            </w:r>
            <w:r>
              <w:rPr>
                <w:rStyle w:val="IndexLink"/>
              </w:rPr>
              <w:t>297</w:t>
            </w:r>
          </w:hyperlink>
        </w:p>
        <w:p>
          <w:pPr>
            <w:pStyle w:val="Contents4"/>
            <w:tabs>
              <w:tab w:val="clear" w:pos="8176"/>
              <w:tab w:val="right" w:pos="9026" w:leader="dot"/>
            </w:tabs>
            <w:rPr/>
          </w:pPr>
          <w:hyperlink w:anchor="__RefHeading___Toc6863778_73709187">
            <w:r>
              <w:rPr>
                <w:webHidden/>
                <w:rStyle w:val="IndexLink"/>
              </w:rPr>
              <w:t>2</w:t>
            </w:r>
            <w:r>
              <w:rPr>
                <w:rStyle w:val="IndexLink"/>
                <w:rtl w:val="true"/>
              </w:rPr>
              <w:t xml:space="preserve">. </w:t>
            </w:r>
            <w:r>
              <w:rPr>
                <w:rStyle w:val="IndexLink"/>
                <w:rtl w:val="true"/>
              </w:rPr>
              <w:t>مشكلة اختلال الميزان في الفرائض والأسهم</w:t>
            </w:r>
            <w:r>
              <w:rPr>
                <w:rStyle w:val="IndexLink"/>
                <w:rtl w:val="true"/>
              </w:rPr>
              <w:tab/>
            </w:r>
            <w:r>
              <w:rPr>
                <w:rStyle w:val="IndexLink"/>
              </w:rPr>
              <w:t>299</w:t>
            </w:r>
          </w:hyperlink>
        </w:p>
        <w:p>
          <w:pPr>
            <w:pStyle w:val="Contents4"/>
            <w:tabs>
              <w:tab w:val="clear" w:pos="8176"/>
              <w:tab w:val="right" w:pos="9026" w:leader="dot"/>
            </w:tabs>
            <w:rPr/>
          </w:pPr>
          <w:hyperlink w:anchor="__RefHeading___Toc6863780_73709187">
            <w:r>
              <w:rPr>
                <w:webHidden/>
                <w:rStyle w:val="IndexLink"/>
              </w:rPr>
              <w:t>3</w:t>
            </w:r>
            <w:r>
              <w:rPr>
                <w:rStyle w:val="IndexLink"/>
                <w:rtl w:val="true"/>
              </w:rPr>
              <w:t xml:space="preserve">. </w:t>
            </w:r>
            <w:r>
              <w:rPr>
                <w:rStyle w:val="IndexLink"/>
                <w:rtl w:val="true"/>
              </w:rPr>
              <w:t>مشكلة تأخير البيان</w:t>
            </w:r>
            <w:r>
              <w:rPr>
                <w:rStyle w:val="IndexLink"/>
                <w:rtl w:val="true"/>
              </w:rPr>
              <w:tab/>
            </w:r>
            <w:r>
              <w:rPr>
                <w:rStyle w:val="IndexLink"/>
              </w:rPr>
              <w:t>300</w:t>
            </w:r>
          </w:hyperlink>
        </w:p>
        <w:p>
          <w:pPr>
            <w:pStyle w:val="Contents4"/>
            <w:tabs>
              <w:tab w:val="clear" w:pos="8176"/>
              <w:tab w:val="right" w:pos="9026" w:leader="dot"/>
            </w:tabs>
            <w:rPr/>
          </w:pPr>
          <w:hyperlink w:anchor="__RefHeading___Toc6863782_73709187">
            <w:r>
              <w:rPr>
                <w:webHidden/>
                <w:rStyle w:val="IndexLink"/>
                <w:rtl w:val="true"/>
              </w:rPr>
              <w:t>الآن حصص الحق</w:t>
            </w:r>
            <w:r>
              <w:rPr>
                <w:rStyle w:val="IndexLink"/>
                <w:rtl w:val="true"/>
              </w:rPr>
              <w:tab/>
            </w:r>
            <w:r>
              <w:rPr>
                <w:rStyle w:val="IndexLink"/>
              </w:rPr>
              <w:t>301</w:t>
            </w:r>
          </w:hyperlink>
        </w:p>
        <w:p>
          <w:pPr>
            <w:pStyle w:val="Contents3"/>
            <w:tabs>
              <w:tab w:val="clear" w:pos="8459"/>
              <w:tab w:val="right" w:pos="9026" w:leader="dot"/>
            </w:tabs>
            <w:rPr/>
          </w:pPr>
          <w:hyperlink w:anchor="__RefHeading___Toc6863784_73709187">
            <w:r>
              <w:rPr>
                <w:webHidden/>
                <w:rStyle w:val="IndexLink"/>
              </w:rPr>
              <w:t>10</w:t>
            </w:r>
            <w:r>
              <w:rPr>
                <w:rStyle w:val="IndexLink"/>
                <w:rtl w:val="true"/>
              </w:rPr>
              <w:t xml:space="preserve"> </w:t>
            </w:r>
            <w:r>
              <w:rPr>
                <w:rStyle w:val="IndexLink"/>
                <w:rtl w:val="true"/>
              </w:rPr>
              <w:t>هل ترك النبي صلى الله عليه و آله من مصادر التشريع</w:t>
            </w:r>
            <w:r>
              <w:rPr>
                <w:rStyle w:val="IndexLink"/>
                <w:rtl w:val="true"/>
              </w:rPr>
              <w:tab/>
            </w:r>
            <w:r>
              <w:rPr>
                <w:rStyle w:val="IndexLink"/>
              </w:rPr>
              <w:t>304</w:t>
            </w:r>
          </w:hyperlink>
        </w:p>
        <w:p>
          <w:pPr>
            <w:pStyle w:val="Contents4"/>
            <w:tabs>
              <w:tab w:val="clear" w:pos="8176"/>
              <w:tab w:val="right" w:pos="9026" w:leader="dot"/>
            </w:tabs>
            <w:rPr/>
          </w:pPr>
          <w:hyperlink w:anchor="__RefHeading___Toc6863786_73709187">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6863788_73709187">
            <w:r>
              <w:rPr>
                <w:webHidden/>
                <w:rStyle w:val="IndexLink"/>
                <w:rtl w:val="true"/>
              </w:rPr>
              <w:t>حكم العباديات والقربيات</w:t>
            </w:r>
            <w:r>
              <w:rPr>
                <w:rStyle w:val="IndexLink"/>
                <w:rtl w:val="true"/>
              </w:rPr>
              <w:tab/>
            </w:r>
            <w:r>
              <w:rPr>
                <w:rStyle w:val="IndexLink"/>
              </w:rPr>
              <w:t>308</w:t>
            </w:r>
          </w:hyperlink>
        </w:p>
        <w:p>
          <w:pPr>
            <w:pStyle w:val="Contents5"/>
            <w:tabs>
              <w:tab w:val="clear" w:pos="7892"/>
              <w:tab w:val="right" w:pos="9026" w:leader="dot"/>
            </w:tabs>
            <w:rPr/>
          </w:pPr>
          <w:hyperlink w:anchor="__RefHeading___Toc6863790_73709187">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6863792_73709187">
            <w:r>
              <w:rPr>
                <w:webHidden/>
                <w:rStyle w:val="IndexLink"/>
              </w:rPr>
              <w:t>1</w:t>
            </w:r>
            <w:r>
              <w:rPr>
                <w:rStyle w:val="IndexLink"/>
                <w:rtl w:val="true"/>
              </w:rPr>
              <w:t xml:space="preserve">. </w:t>
            </w:r>
            <w:r>
              <w:rPr>
                <w:rStyle w:val="IndexLink"/>
                <w:rtl w:val="true"/>
              </w:rPr>
              <w:t>تنقيط القرآن وإعرابه</w:t>
            </w:r>
            <w:r>
              <w:rPr>
                <w:rStyle w:val="IndexLink"/>
                <w:rtl w:val="true"/>
              </w:rPr>
              <w:tab/>
            </w:r>
            <w:r>
              <w:rPr>
                <w:rStyle w:val="IndexLink"/>
              </w:rPr>
              <w:t>310</w:t>
            </w:r>
          </w:hyperlink>
        </w:p>
        <w:p>
          <w:pPr>
            <w:pStyle w:val="Contents5"/>
            <w:tabs>
              <w:tab w:val="clear" w:pos="7892"/>
              <w:tab w:val="right" w:pos="9026" w:leader="dot"/>
            </w:tabs>
            <w:rPr/>
          </w:pPr>
          <w:hyperlink w:anchor="__RefHeading___Toc6863794_73709187">
            <w:r>
              <w:rPr>
                <w:webHidden/>
                <w:rStyle w:val="IndexLink"/>
              </w:rPr>
              <w:t>2</w:t>
            </w:r>
            <w:r>
              <w:rPr>
                <w:rStyle w:val="IndexLink"/>
                <w:rtl w:val="true"/>
              </w:rPr>
              <w:t xml:space="preserve">. </w:t>
            </w:r>
            <w:r>
              <w:rPr>
                <w:rStyle w:val="IndexLink"/>
                <w:rtl w:val="true"/>
              </w:rPr>
              <w:t>التطوّر في بناء المساجد</w:t>
            </w:r>
            <w:r>
              <w:rPr>
                <w:rStyle w:val="IndexLink"/>
                <w:rtl w:val="true"/>
              </w:rPr>
              <w:tab/>
            </w:r>
            <w:r>
              <w:rPr>
                <w:rStyle w:val="IndexLink"/>
              </w:rPr>
              <w:t>310</w:t>
            </w:r>
          </w:hyperlink>
        </w:p>
        <w:p>
          <w:pPr>
            <w:pStyle w:val="Contents5"/>
            <w:tabs>
              <w:tab w:val="clear" w:pos="7892"/>
              <w:tab w:val="right" w:pos="9026" w:leader="dot"/>
            </w:tabs>
            <w:rPr/>
          </w:pPr>
          <w:hyperlink w:anchor="__RefHeading___Toc6863796_73709187">
            <w:r>
              <w:rPr>
                <w:webHidden/>
                <w:rStyle w:val="IndexLink"/>
              </w:rPr>
              <w:t>3</w:t>
            </w:r>
            <w:r>
              <w:rPr>
                <w:rStyle w:val="IndexLink"/>
                <w:rtl w:val="true"/>
              </w:rPr>
              <w:t xml:space="preserve">. </w:t>
            </w:r>
            <w:r>
              <w:rPr>
                <w:rStyle w:val="IndexLink"/>
                <w:rtl w:val="true"/>
              </w:rPr>
              <w:t>المناظرة مع أصحاب المقالات</w:t>
            </w:r>
            <w:r>
              <w:rPr>
                <w:rStyle w:val="IndexLink"/>
                <w:rtl w:val="true"/>
              </w:rPr>
              <w:tab/>
            </w:r>
            <w:r>
              <w:rPr>
                <w:rStyle w:val="IndexLink"/>
              </w:rPr>
              <w:t>311</w:t>
            </w:r>
          </w:hyperlink>
        </w:p>
        <w:p>
          <w:pPr>
            <w:pStyle w:val="Contents5"/>
            <w:tabs>
              <w:tab w:val="clear" w:pos="7892"/>
              <w:tab w:val="right" w:pos="9026" w:leader="dot"/>
            </w:tabs>
            <w:rPr/>
          </w:pPr>
          <w:hyperlink w:anchor="__RefHeading___Toc6863798_73709187">
            <w:r>
              <w:rPr>
                <w:webHidden/>
                <w:rStyle w:val="IndexLink"/>
              </w:rPr>
              <w:t>4</w:t>
            </w:r>
            <w:r>
              <w:rPr>
                <w:rStyle w:val="IndexLink"/>
                <w:rtl w:val="true"/>
              </w:rPr>
              <w:t xml:space="preserve">. </w:t>
            </w:r>
            <w:r>
              <w:rPr>
                <w:rStyle w:val="IndexLink"/>
                <w:rtl w:val="true"/>
              </w:rPr>
              <w:t>كتابة الحديث</w:t>
            </w:r>
            <w:r>
              <w:rPr>
                <w:rStyle w:val="IndexLink"/>
                <w:rtl w:val="true"/>
              </w:rPr>
              <w:tab/>
            </w:r>
            <w:r>
              <w:rPr>
                <w:rStyle w:val="IndexLink"/>
              </w:rPr>
              <w:t>312</w:t>
            </w:r>
          </w:hyperlink>
        </w:p>
        <w:p>
          <w:pPr>
            <w:pStyle w:val="Contents5"/>
            <w:tabs>
              <w:tab w:val="clear" w:pos="7892"/>
              <w:tab w:val="right" w:pos="9026" w:leader="dot"/>
            </w:tabs>
            <w:rPr/>
          </w:pPr>
          <w:hyperlink w:anchor="__RefHeading___Toc6863800_73709187">
            <w:r>
              <w:rPr>
                <w:webHidden/>
                <w:rStyle w:val="IndexLink"/>
              </w:rPr>
              <w:t>5</w:t>
            </w:r>
            <w:r>
              <w:rPr>
                <w:rStyle w:val="IndexLink"/>
                <w:rtl w:val="true"/>
              </w:rPr>
              <w:t xml:space="preserve">. </w:t>
            </w:r>
            <w:r>
              <w:rPr>
                <w:rStyle w:val="IndexLink"/>
                <w:rtl w:val="true"/>
              </w:rPr>
              <w:t>النبي وحج التمتع</w:t>
            </w:r>
            <w:r>
              <w:rPr>
                <w:rStyle w:val="IndexLink"/>
                <w:rtl w:val="true"/>
              </w:rPr>
              <w:tab/>
            </w:r>
            <w:r>
              <w:rPr>
                <w:rStyle w:val="IndexLink"/>
              </w:rPr>
              <w:t>312</w:t>
            </w:r>
          </w:hyperlink>
        </w:p>
        <w:p>
          <w:pPr>
            <w:pStyle w:val="Contents5"/>
            <w:tabs>
              <w:tab w:val="clear" w:pos="7892"/>
              <w:tab w:val="right" w:pos="9026" w:leader="dot"/>
            </w:tabs>
            <w:rPr/>
          </w:pPr>
          <w:hyperlink w:anchor="__RefHeading___Toc6863802_73709187">
            <w:r>
              <w:rPr>
                <w:webHidden/>
                <w:rStyle w:val="IndexLink"/>
              </w:rPr>
              <w:t>6</w:t>
            </w:r>
            <w:r>
              <w:rPr>
                <w:rStyle w:val="IndexLink"/>
                <w:rtl w:val="true"/>
              </w:rPr>
              <w:t xml:space="preserve">. </w:t>
            </w:r>
            <w:r>
              <w:rPr>
                <w:rStyle w:val="IndexLink"/>
                <w:rtl w:val="true"/>
              </w:rPr>
              <w:t>صلاة التراويح</w:t>
            </w:r>
            <w:r>
              <w:rPr>
                <w:rStyle w:val="IndexLink"/>
                <w:rtl w:val="true"/>
              </w:rPr>
              <w:tab/>
            </w:r>
            <w:r>
              <w:rPr>
                <w:rStyle w:val="IndexLink"/>
              </w:rPr>
              <w:t>313</w:t>
            </w:r>
          </w:hyperlink>
        </w:p>
        <w:p>
          <w:pPr>
            <w:pStyle w:val="Contents5"/>
            <w:tabs>
              <w:tab w:val="clear" w:pos="7892"/>
              <w:tab w:val="right" w:pos="9026" w:leader="dot"/>
            </w:tabs>
            <w:rPr/>
          </w:pPr>
          <w:hyperlink w:anchor="__RefHeading___Toc6863804_73709187">
            <w:r>
              <w:rPr>
                <w:webHidden/>
                <w:rStyle w:val="IndexLink"/>
              </w:rPr>
              <w:t>7</w:t>
            </w:r>
            <w:r>
              <w:rPr>
                <w:rStyle w:val="IndexLink"/>
                <w:rtl w:val="true"/>
              </w:rPr>
              <w:t xml:space="preserve">. </w:t>
            </w:r>
            <w:r>
              <w:rPr>
                <w:rStyle w:val="IndexLink"/>
                <w:rtl w:val="true"/>
              </w:rPr>
              <w:t>ترك النبي صلى الله عليه و آله استلام الحجر بيده</w:t>
            </w:r>
            <w:r>
              <w:rPr>
                <w:rStyle w:val="IndexLink"/>
                <w:rtl w:val="true"/>
              </w:rPr>
              <w:tab/>
            </w:r>
            <w:r>
              <w:rPr>
                <w:rStyle w:val="IndexLink"/>
              </w:rPr>
              <w:t>314</w:t>
            </w:r>
          </w:hyperlink>
        </w:p>
        <w:p>
          <w:pPr>
            <w:pStyle w:val="Contents3"/>
            <w:tabs>
              <w:tab w:val="clear" w:pos="8459"/>
              <w:tab w:val="right" w:pos="9026" w:leader="dot"/>
            </w:tabs>
            <w:rPr/>
          </w:pPr>
          <w:hyperlink w:anchor="__RefHeading___Toc6863806_73709187">
            <w:r>
              <w:rPr>
                <w:webHidden/>
                <w:rStyle w:val="IndexLink"/>
                <w:rtl w:val="true"/>
              </w:rPr>
              <w:t>نظرة وتعليق على فتاوى القرضاوي الفقهية</w:t>
            </w:r>
            <w:r>
              <w:rPr>
                <w:rStyle w:val="IndexLink"/>
                <w:rtl w:val="true"/>
              </w:rPr>
              <w:tab/>
            </w:r>
            <w:r>
              <w:rPr>
                <w:rStyle w:val="IndexLink"/>
              </w:rPr>
              <w:t>317</w:t>
            </w:r>
          </w:hyperlink>
        </w:p>
        <w:p>
          <w:pPr>
            <w:pStyle w:val="Contents3"/>
            <w:tabs>
              <w:tab w:val="clear" w:pos="8459"/>
              <w:tab w:val="right" w:pos="9026" w:leader="dot"/>
            </w:tabs>
            <w:rPr/>
          </w:pPr>
          <w:hyperlink w:anchor="__RefHeading___Toc6863808_73709187">
            <w:r>
              <w:rPr>
                <w:webHidden/>
                <w:rStyle w:val="IndexLink"/>
              </w:rPr>
              <w:t>11</w:t>
            </w:r>
            <w:r>
              <w:rPr>
                <w:rStyle w:val="IndexLink"/>
                <w:rtl w:val="true"/>
              </w:rPr>
              <w:t xml:space="preserve"> </w:t>
            </w:r>
            <w:r>
              <w:rPr>
                <w:rStyle w:val="IndexLink"/>
                <w:rtl w:val="true"/>
              </w:rPr>
              <w:t xml:space="preserve">ادّعاء تحريم الزواج المؤقت </w:t>
            </w:r>
            <w:r>
              <w:rPr>
                <w:rStyle w:val="IndexLink"/>
                <w:rtl w:val="true"/>
              </w:rPr>
              <w:t>(</w:t>
            </w:r>
            <w:r>
              <w:rPr>
                <w:rStyle w:val="IndexLink"/>
                <w:rtl w:val="true"/>
              </w:rPr>
              <w:t>المتعة</w:t>
            </w:r>
            <w:r>
              <w:rPr>
                <w:rStyle w:val="IndexLink"/>
                <w:rtl w:val="true"/>
              </w:rPr>
              <w:t>)</w:t>
              <w:tab/>
            </w:r>
            <w:r>
              <w:rPr>
                <w:rStyle w:val="IndexLink"/>
              </w:rPr>
              <w:t>317</w:t>
            </w:r>
          </w:hyperlink>
        </w:p>
        <w:p>
          <w:pPr>
            <w:pStyle w:val="Contents4"/>
            <w:tabs>
              <w:tab w:val="clear" w:pos="8176"/>
              <w:tab w:val="right" w:pos="9026" w:leader="dot"/>
            </w:tabs>
            <w:rPr/>
          </w:pPr>
          <w:hyperlink w:anchor="__RefHeading___Toc6863810_73709187">
            <w:r>
              <w:rPr>
                <w:webHidden/>
                <w:rStyle w:val="IndexLink"/>
                <w:rtl w:val="true"/>
              </w:rPr>
              <w:t>اشارة</w:t>
            </w:r>
            <w:r>
              <w:rPr>
                <w:rStyle w:val="IndexLink"/>
                <w:rtl w:val="true"/>
              </w:rPr>
              <w:tab/>
            </w:r>
            <w:r>
              <w:rPr>
                <w:rStyle w:val="IndexLink"/>
              </w:rPr>
              <w:t>317</w:t>
            </w:r>
          </w:hyperlink>
        </w:p>
        <w:p>
          <w:pPr>
            <w:pStyle w:val="Contents4"/>
            <w:tabs>
              <w:tab w:val="clear" w:pos="8176"/>
              <w:tab w:val="right" w:pos="9026" w:leader="dot"/>
            </w:tabs>
            <w:rPr/>
          </w:pPr>
          <w:hyperlink w:anchor="__RefHeading___Toc6863812_73709187">
            <w:r>
              <w:rPr>
                <w:webHidden/>
                <w:rStyle w:val="IndexLink"/>
              </w:rPr>
              <w:t>1</w:t>
            </w:r>
            <w:r>
              <w:rPr>
                <w:rStyle w:val="IndexLink"/>
                <w:rtl w:val="true"/>
              </w:rPr>
              <w:t xml:space="preserve">. </w:t>
            </w:r>
            <w:r>
              <w:rPr>
                <w:rStyle w:val="IndexLink"/>
                <w:rtl w:val="true"/>
              </w:rPr>
              <w:t>أخذ التأبيد في تعريف الزواج</w:t>
            </w:r>
            <w:r>
              <w:rPr>
                <w:rStyle w:val="IndexLink"/>
                <w:rtl w:val="true"/>
              </w:rPr>
              <w:tab/>
            </w:r>
            <w:r>
              <w:rPr>
                <w:rStyle w:val="IndexLink"/>
              </w:rPr>
              <w:t>318</w:t>
            </w:r>
          </w:hyperlink>
        </w:p>
        <w:p>
          <w:pPr>
            <w:pStyle w:val="Contents4"/>
            <w:tabs>
              <w:tab w:val="clear" w:pos="8176"/>
              <w:tab w:val="right" w:pos="9026" w:leader="dot"/>
            </w:tabs>
            <w:rPr/>
          </w:pPr>
          <w:hyperlink w:anchor="__RefHeading___Toc6863814_73709187">
            <w:r>
              <w:rPr>
                <w:webHidden/>
                <w:rStyle w:val="IndexLink"/>
              </w:rPr>
              <w:t>2</w:t>
            </w:r>
            <w:r>
              <w:rPr>
                <w:rStyle w:val="IndexLink"/>
                <w:rtl w:val="true"/>
              </w:rPr>
              <w:t xml:space="preserve">. </w:t>
            </w:r>
            <w:r>
              <w:rPr>
                <w:rStyle w:val="IndexLink"/>
                <w:rtl w:val="true"/>
              </w:rPr>
              <w:t>أهداف الزواج</w:t>
            </w:r>
            <w:r>
              <w:rPr>
                <w:rStyle w:val="IndexLink"/>
                <w:rtl w:val="true"/>
              </w:rPr>
              <w:tab/>
            </w:r>
            <w:r>
              <w:rPr>
                <w:rStyle w:val="IndexLink"/>
              </w:rPr>
              <w:t>319</w:t>
            </w:r>
          </w:hyperlink>
        </w:p>
        <w:p>
          <w:pPr>
            <w:pStyle w:val="Contents4"/>
            <w:tabs>
              <w:tab w:val="clear" w:pos="8176"/>
              <w:tab w:val="right" w:pos="9026" w:leader="dot"/>
            </w:tabs>
            <w:rPr/>
          </w:pPr>
          <w:hyperlink w:anchor="__RefHeading___Toc6863816_73709187">
            <w:r>
              <w:rPr>
                <w:webHidden/>
                <w:rStyle w:val="IndexLink"/>
              </w:rPr>
              <w:t>3</w:t>
            </w:r>
            <w:r>
              <w:rPr>
                <w:rStyle w:val="IndexLink"/>
                <w:rtl w:val="true"/>
              </w:rPr>
              <w:t xml:space="preserve">. </w:t>
            </w:r>
            <w:r>
              <w:rPr>
                <w:rStyle w:val="IndexLink"/>
                <w:rtl w:val="true"/>
              </w:rPr>
              <w:t>ادّعاؤه تحريم المتعة على التأبيد</w:t>
            </w:r>
            <w:r>
              <w:rPr>
                <w:rStyle w:val="IndexLink"/>
                <w:rtl w:val="true"/>
              </w:rPr>
              <w:tab/>
            </w:r>
            <w:r>
              <w:rPr>
                <w:rStyle w:val="IndexLink"/>
              </w:rPr>
              <w:t>320</w:t>
            </w:r>
          </w:hyperlink>
        </w:p>
        <w:p>
          <w:pPr>
            <w:pStyle w:val="Contents4"/>
            <w:tabs>
              <w:tab w:val="clear" w:pos="8176"/>
              <w:tab w:val="right" w:pos="9026" w:leader="dot"/>
            </w:tabs>
            <w:rPr/>
          </w:pPr>
          <w:hyperlink w:anchor="__RefHeading___Toc6863818_73709187">
            <w:r>
              <w:rPr>
                <w:webHidden/>
                <w:rStyle w:val="IndexLink"/>
              </w:rPr>
              <w:t>4</w:t>
            </w:r>
            <w:r>
              <w:rPr>
                <w:rStyle w:val="IndexLink"/>
                <w:rtl w:val="true"/>
              </w:rPr>
              <w:t xml:space="preserve">. </w:t>
            </w:r>
            <w:r>
              <w:rPr>
                <w:rStyle w:val="IndexLink"/>
                <w:rtl w:val="true"/>
              </w:rPr>
              <w:t>هل أنّ الرسول صلى الله عليه و آله حرّم المتعة‌؟</w:t>
            </w:r>
            <w:r>
              <w:rPr>
                <w:rStyle w:val="IndexLink"/>
                <w:rtl w:val="true"/>
              </w:rPr>
              <w:tab/>
            </w:r>
            <w:r>
              <w:rPr>
                <w:rStyle w:val="IndexLink"/>
              </w:rPr>
              <w:t>321</w:t>
            </w:r>
          </w:hyperlink>
        </w:p>
        <w:p>
          <w:pPr>
            <w:pStyle w:val="Contents4"/>
            <w:tabs>
              <w:tab w:val="clear" w:pos="8176"/>
              <w:tab w:val="right" w:pos="9026" w:leader="dot"/>
            </w:tabs>
            <w:rPr/>
          </w:pPr>
          <w:hyperlink w:anchor="__RefHeading___Toc6863820_73709187">
            <w:r>
              <w:rPr>
                <w:webHidden/>
                <w:rStyle w:val="IndexLink"/>
              </w:rPr>
              <w:t>5</w:t>
            </w:r>
            <w:r>
              <w:rPr>
                <w:rStyle w:val="IndexLink"/>
                <w:rtl w:val="true"/>
              </w:rPr>
              <w:t xml:space="preserve">. </w:t>
            </w:r>
            <w:r>
              <w:rPr>
                <w:rStyle w:val="IndexLink"/>
                <w:rtl w:val="true"/>
              </w:rPr>
              <w:t>المحرِّم هو الخليفة نفسه</w:t>
            </w:r>
            <w:r>
              <w:rPr>
                <w:rStyle w:val="IndexLink"/>
                <w:rtl w:val="true"/>
              </w:rPr>
              <w:tab/>
            </w:r>
            <w:r>
              <w:rPr>
                <w:rStyle w:val="IndexLink"/>
              </w:rPr>
              <w:t>322</w:t>
            </w:r>
          </w:hyperlink>
        </w:p>
        <w:p>
          <w:pPr>
            <w:pStyle w:val="Contents3"/>
            <w:tabs>
              <w:tab w:val="clear" w:pos="8459"/>
              <w:tab w:val="right" w:pos="9026" w:leader="dot"/>
            </w:tabs>
            <w:rPr/>
          </w:pPr>
          <w:hyperlink w:anchor="__RefHeading___Toc6863822_73709187">
            <w:r>
              <w:rPr>
                <w:webHidden/>
                <w:rStyle w:val="IndexLink"/>
              </w:rPr>
              <w:t>12</w:t>
            </w:r>
            <w:r>
              <w:rPr>
                <w:rStyle w:val="IndexLink"/>
                <w:rtl w:val="true"/>
              </w:rPr>
              <w:t xml:space="preserve"> </w:t>
            </w:r>
            <w:r>
              <w:rPr>
                <w:rStyle w:val="IndexLink"/>
                <w:rtl w:val="true"/>
              </w:rPr>
              <w:t>عدم كفاية التسمية عند الأكل</w:t>
            </w:r>
            <w:r>
              <w:rPr>
                <w:rStyle w:val="IndexLink"/>
                <w:rtl w:val="true"/>
              </w:rPr>
              <w:tab/>
            </w:r>
            <w:r>
              <w:rPr>
                <w:rStyle w:val="IndexLink"/>
              </w:rPr>
              <w:t>326</w:t>
            </w:r>
          </w:hyperlink>
        </w:p>
        <w:p>
          <w:pPr>
            <w:pStyle w:val="Contents3"/>
            <w:tabs>
              <w:tab w:val="clear" w:pos="8459"/>
              <w:tab w:val="right" w:pos="9026" w:leader="dot"/>
            </w:tabs>
            <w:rPr/>
          </w:pPr>
          <w:hyperlink w:anchor="__RefHeading___Toc6863824_73709187">
            <w:r>
              <w:rPr>
                <w:webHidden/>
                <w:rStyle w:val="IndexLink"/>
              </w:rPr>
              <w:t>13</w:t>
            </w:r>
            <w:r>
              <w:rPr>
                <w:rStyle w:val="IndexLink"/>
                <w:rtl w:val="true"/>
              </w:rPr>
              <w:t xml:space="preserve"> </w:t>
            </w:r>
            <w:r>
              <w:rPr>
                <w:rStyle w:val="IndexLink"/>
                <w:rtl w:val="true"/>
              </w:rPr>
              <w:t xml:space="preserve">حرمة الاستمناء </w:t>
            </w:r>
            <w:r>
              <w:rPr>
                <w:rStyle w:val="IndexLink"/>
                <w:rtl w:val="true"/>
              </w:rPr>
              <w:t>(</w:t>
            </w:r>
            <w:r>
              <w:rPr>
                <w:rStyle w:val="IndexLink"/>
                <w:rtl w:val="true"/>
              </w:rPr>
              <w:t>العادة السرّية</w:t>
            </w:r>
            <w:r>
              <w:rPr>
                <w:rStyle w:val="IndexLink"/>
                <w:rtl w:val="true"/>
              </w:rPr>
              <w:t>)</w:t>
              <w:tab/>
            </w:r>
            <w:r>
              <w:rPr>
                <w:rStyle w:val="IndexLink"/>
              </w:rPr>
              <w:t>328</w:t>
            </w:r>
          </w:hyperlink>
        </w:p>
        <w:p>
          <w:pPr>
            <w:pStyle w:val="Contents3"/>
            <w:tabs>
              <w:tab w:val="clear" w:pos="8459"/>
              <w:tab w:val="right" w:pos="9026" w:leader="dot"/>
            </w:tabs>
            <w:rPr/>
          </w:pPr>
          <w:hyperlink w:anchor="__RefHeading___Toc6863826_73709187">
            <w:r>
              <w:rPr>
                <w:webHidden/>
                <w:rStyle w:val="IndexLink"/>
              </w:rPr>
              <w:t>14</w:t>
            </w:r>
            <w:r>
              <w:rPr>
                <w:rStyle w:val="IndexLink"/>
                <w:rtl w:val="true"/>
              </w:rPr>
              <w:t xml:space="preserve"> </w:t>
            </w:r>
            <w:r>
              <w:rPr>
                <w:rStyle w:val="IndexLink"/>
                <w:rtl w:val="true"/>
              </w:rPr>
              <w:t>الغناء والموسيقى‌</w:t>
            </w:r>
            <w:r>
              <w:rPr>
                <w:rStyle w:val="IndexLink"/>
                <w:rtl w:val="true"/>
              </w:rPr>
              <w:tab/>
            </w:r>
            <w:r>
              <w:rPr>
                <w:rStyle w:val="IndexLink"/>
              </w:rPr>
              <w:t>331</w:t>
            </w:r>
          </w:hyperlink>
        </w:p>
        <w:p>
          <w:pPr>
            <w:pStyle w:val="Contents4"/>
            <w:tabs>
              <w:tab w:val="clear" w:pos="8176"/>
              <w:tab w:val="right" w:pos="9026" w:leader="dot"/>
            </w:tabs>
            <w:rPr/>
          </w:pPr>
          <w:hyperlink w:anchor="__RefHeading___Toc6863828_73709187">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6863830_73709187">
            <w:r>
              <w:rPr>
                <w:webHidden/>
                <w:rStyle w:val="IndexLink"/>
                <w:rtl w:val="true"/>
              </w:rPr>
              <w:t>حرمة الغناء في الكتاب والسنّة وأقوال الفقهاء</w:t>
            </w:r>
            <w:r>
              <w:rPr>
                <w:rStyle w:val="IndexLink"/>
                <w:rtl w:val="true"/>
              </w:rPr>
              <w:tab/>
            </w:r>
            <w:r>
              <w:rPr>
                <w:rStyle w:val="IndexLink"/>
              </w:rPr>
              <w:t>333</w:t>
            </w:r>
          </w:hyperlink>
        </w:p>
        <w:p>
          <w:pPr>
            <w:pStyle w:val="Contents4"/>
            <w:tabs>
              <w:tab w:val="clear" w:pos="8176"/>
              <w:tab w:val="right" w:pos="9026" w:leader="dot"/>
            </w:tabs>
            <w:rPr/>
          </w:pPr>
          <w:hyperlink w:anchor="__RefHeading___Toc6863832_73709187">
            <w:r>
              <w:rPr>
                <w:webHidden/>
                <w:rStyle w:val="IndexLink"/>
                <w:rtl w:val="true"/>
              </w:rPr>
              <w:t>حرمة المعازف في السنّة</w:t>
            </w:r>
            <w:r>
              <w:rPr>
                <w:rStyle w:val="IndexLink"/>
                <w:rtl w:val="true"/>
              </w:rPr>
              <w:tab/>
            </w:r>
            <w:r>
              <w:rPr>
                <w:rStyle w:val="IndexLink"/>
              </w:rPr>
              <w:t>335</w:t>
            </w:r>
          </w:hyperlink>
        </w:p>
        <w:p>
          <w:pPr>
            <w:pStyle w:val="Contents4"/>
            <w:tabs>
              <w:tab w:val="clear" w:pos="8176"/>
              <w:tab w:val="right" w:pos="9026" w:leader="dot"/>
            </w:tabs>
            <w:rPr/>
          </w:pPr>
          <w:hyperlink w:anchor="__RefHeading___Toc6863834_73709187">
            <w:r>
              <w:rPr>
                <w:webHidden/>
                <w:rStyle w:val="IndexLink"/>
                <w:rtl w:val="true"/>
              </w:rPr>
              <w:t>دليل القائل بالجواز</w:t>
            </w:r>
            <w:r>
              <w:rPr>
                <w:rStyle w:val="IndexLink"/>
                <w:rtl w:val="true"/>
              </w:rPr>
              <w:tab/>
            </w:r>
            <w:r>
              <w:rPr>
                <w:rStyle w:val="IndexLink"/>
              </w:rPr>
              <w:t>337</w:t>
            </w:r>
          </w:hyperlink>
        </w:p>
        <w:p>
          <w:pPr>
            <w:pStyle w:val="Contents3"/>
            <w:tabs>
              <w:tab w:val="clear" w:pos="8459"/>
              <w:tab w:val="right" w:pos="9026" w:leader="dot"/>
            </w:tabs>
            <w:rPr/>
          </w:pPr>
          <w:hyperlink w:anchor="__RefHeading___Toc6863836_73709187">
            <w:r>
              <w:rPr>
                <w:webHidden/>
                <w:rStyle w:val="IndexLink"/>
              </w:rPr>
              <w:t>15</w:t>
            </w:r>
            <w:r>
              <w:rPr>
                <w:rStyle w:val="IndexLink"/>
                <w:rtl w:val="true"/>
              </w:rPr>
              <w:t xml:space="preserve"> </w:t>
            </w:r>
            <w:r>
              <w:rPr>
                <w:rStyle w:val="IndexLink"/>
                <w:rtl w:val="true"/>
              </w:rPr>
              <w:t>في عدم مساواة دية المرأة لدية الرجل</w:t>
            </w:r>
            <w:r>
              <w:rPr>
                <w:rStyle w:val="IndexLink"/>
                <w:rtl w:val="true"/>
              </w:rPr>
              <w:tab/>
            </w:r>
            <w:r>
              <w:rPr>
                <w:rStyle w:val="IndexLink"/>
              </w:rPr>
              <w:t>341</w:t>
            </w:r>
          </w:hyperlink>
        </w:p>
        <w:p>
          <w:pPr>
            <w:pStyle w:val="Contents4"/>
            <w:tabs>
              <w:tab w:val="clear" w:pos="8176"/>
              <w:tab w:val="right" w:pos="9026" w:leader="dot"/>
            </w:tabs>
            <w:rPr/>
          </w:pPr>
          <w:hyperlink w:anchor="__RefHeading___Toc6863838_73709187">
            <w:r>
              <w:rPr>
                <w:webHidden/>
                <w:rStyle w:val="IndexLink"/>
                <w:rtl w:val="true"/>
              </w:rPr>
              <w:t>اشارة</w:t>
            </w:r>
            <w:r>
              <w:rPr>
                <w:rStyle w:val="IndexLink"/>
                <w:rtl w:val="true"/>
              </w:rPr>
              <w:tab/>
            </w:r>
            <w:r>
              <w:rPr>
                <w:rStyle w:val="IndexLink"/>
              </w:rPr>
              <w:t>341</w:t>
            </w:r>
          </w:hyperlink>
        </w:p>
        <w:p>
          <w:pPr>
            <w:pStyle w:val="Contents4"/>
            <w:tabs>
              <w:tab w:val="clear" w:pos="8176"/>
              <w:tab w:val="right" w:pos="9026" w:leader="dot"/>
            </w:tabs>
            <w:rPr/>
          </w:pPr>
          <w:hyperlink w:anchor="__RefHeading___Toc6863840_73709187">
            <w:r>
              <w:rPr>
                <w:webHidden/>
                <w:rStyle w:val="IndexLink"/>
                <w:rtl w:val="true"/>
              </w:rPr>
              <w:t>اتّفاق الفقهاء على النصف</w:t>
            </w:r>
            <w:r>
              <w:rPr>
                <w:rStyle w:val="IndexLink"/>
                <w:rtl w:val="true"/>
              </w:rPr>
              <w:tab/>
            </w:r>
            <w:r>
              <w:rPr>
                <w:rStyle w:val="IndexLink"/>
              </w:rPr>
              <w:t>342</w:t>
            </w:r>
          </w:hyperlink>
        </w:p>
        <w:p>
          <w:pPr>
            <w:pStyle w:val="Contents4"/>
            <w:tabs>
              <w:tab w:val="clear" w:pos="8176"/>
              <w:tab w:val="right" w:pos="9026" w:leader="dot"/>
            </w:tabs>
            <w:rPr/>
          </w:pPr>
          <w:hyperlink w:anchor="__RefHeading___Toc6863842_73709187">
            <w:r>
              <w:rPr>
                <w:webHidden/>
                <w:rStyle w:val="IndexLink"/>
                <w:rtl w:val="true"/>
              </w:rPr>
              <w:t>تضافر السنّة على النصف</w:t>
            </w:r>
            <w:r>
              <w:rPr>
                <w:rStyle w:val="IndexLink"/>
                <w:rtl w:val="true"/>
              </w:rPr>
              <w:tab/>
            </w:r>
            <w:r>
              <w:rPr>
                <w:rStyle w:val="IndexLink"/>
              </w:rPr>
              <w:t>344</w:t>
            </w:r>
          </w:hyperlink>
        </w:p>
        <w:p>
          <w:pPr>
            <w:pStyle w:val="Contents4"/>
            <w:tabs>
              <w:tab w:val="clear" w:pos="8176"/>
              <w:tab w:val="right" w:pos="9026" w:leader="dot"/>
            </w:tabs>
            <w:rPr/>
          </w:pPr>
          <w:hyperlink w:anchor="__RefHeading___Toc6863844_73709187">
            <w:r>
              <w:rPr>
                <w:webHidden/>
                <w:rStyle w:val="IndexLink"/>
                <w:rtl w:val="true"/>
              </w:rPr>
              <w:t>التنصيف في دية الأعضاء</w:t>
            </w:r>
            <w:r>
              <w:rPr>
                <w:rStyle w:val="IndexLink"/>
                <w:rtl w:val="true"/>
              </w:rPr>
              <w:tab/>
            </w:r>
            <w:r>
              <w:rPr>
                <w:rStyle w:val="IndexLink"/>
              </w:rPr>
              <w:t>344</w:t>
            </w:r>
          </w:hyperlink>
        </w:p>
        <w:p>
          <w:pPr>
            <w:pStyle w:val="Contents4"/>
            <w:tabs>
              <w:tab w:val="clear" w:pos="8176"/>
              <w:tab w:val="right" w:pos="9026" w:leader="dot"/>
            </w:tabs>
            <w:rPr/>
          </w:pPr>
          <w:hyperlink w:anchor="__RefHeading___Toc6863846_73709187">
            <w:r>
              <w:rPr>
                <w:webHidden/>
                <w:rStyle w:val="IndexLink"/>
                <w:rtl w:val="true"/>
              </w:rPr>
              <w:t>ما هي المصلحة في تنصيف الدية‌؟</w:t>
            </w:r>
            <w:r>
              <w:rPr>
                <w:rStyle w:val="IndexLink"/>
                <w:rtl w:val="true"/>
              </w:rPr>
              <w:tab/>
            </w:r>
            <w:r>
              <w:rPr>
                <w:rStyle w:val="IndexLink"/>
              </w:rPr>
              <w:t>345</w:t>
            </w:r>
          </w:hyperlink>
        </w:p>
        <w:p>
          <w:pPr>
            <w:pStyle w:val="Contents2"/>
            <w:tabs>
              <w:tab w:val="clear" w:pos="8743"/>
              <w:tab w:val="right" w:pos="9026" w:leader="dot"/>
            </w:tabs>
            <w:rPr/>
          </w:pPr>
          <w:hyperlink w:anchor="__RefHeading___Toc6863848_73709187">
            <w:r>
              <w:rPr>
                <w:webHidden/>
                <w:rStyle w:val="IndexLink"/>
                <w:rtl w:val="true"/>
              </w:rPr>
              <w:t>الفصل الثالث</w:t>
            </w:r>
            <w:r>
              <w:rPr>
                <w:rStyle w:val="IndexLink"/>
                <w:rtl w:val="true"/>
              </w:rPr>
              <w:t xml:space="preserve">: </w:t>
            </w:r>
            <w:r>
              <w:rPr>
                <w:rStyle w:val="IndexLink"/>
                <w:rtl w:val="true"/>
              </w:rPr>
              <w:t>مقالات تقريبية</w:t>
            </w:r>
            <w:r>
              <w:rPr>
                <w:rStyle w:val="IndexLink"/>
                <w:rtl w:val="true"/>
              </w:rPr>
              <w:tab/>
            </w:r>
            <w:r>
              <w:rPr>
                <w:rStyle w:val="IndexLink"/>
              </w:rPr>
              <w:t>347</w:t>
            </w:r>
          </w:hyperlink>
        </w:p>
        <w:p>
          <w:pPr>
            <w:pStyle w:val="Contents3"/>
            <w:tabs>
              <w:tab w:val="clear" w:pos="8459"/>
              <w:tab w:val="right" w:pos="9026" w:leader="dot"/>
            </w:tabs>
            <w:rPr/>
          </w:pPr>
          <w:hyperlink w:anchor="__RefHeading___Toc6863850_73709187">
            <w:r>
              <w:rPr>
                <w:webHidden/>
                <w:rStyle w:val="IndexLink"/>
                <w:rtl w:val="true"/>
              </w:rPr>
              <w:t>اشارة</w:t>
            </w:r>
            <w:r>
              <w:rPr>
                <w:rStyle w:val="IndexLink"/>
                <w:rtl w:val="true"/>
              </w:rPr>
              <w:tab/>
            </w:r>
            <w:r>
              <w:rPr>
                <w:rStyle w:val="IndexLink"/>
              </w:rPr>
              <w:t>347</w:t>
            </w:r>
          </w:hyperlink>
        </w:p>
        <w:p>
          <w:pPr>
            <w:pStyle w:val="Contents3"/>
            <w:tabs>
              <w:tab w:val="clear" w:pos="8459"/>
              <w:tab w:val="right" w:pos="9026" w:leader="dot"/>
            </w:tabs>
            <w:rPr/>
          </w:pPr>
          <w:hyperlink w:anchor="__RefHeading___Toc6863852_73709187">
            <w:r>
              <w:rPr>
                <w:webHidden/>
                <w:rStyle w:val="IndexLink"/>
              </w:rPr>
              <w:t>1</w:t>
            </w:r>
            <w:r>
              <w:rPr>
                <w:rStyle w:val="IndexLink"/>
                <w:rtl w:val="true"/>
              </w:rPr>
              <w:t xml:space="preserve"> </w:t>
            </w:r>
            <w:r>
              <w:rPr>
                <w:rStyle w:val="IndexLink"/>
                <w:rtl w:val="true"/>
              </w:rPr>
              <w:t>فقه أهل البيت عليهم السلام بين أهل السنّة والشيعة</w:t>
            </w:r>
            <w:r>
              <w:rPr>
                <w:rStyle w:val="IndexLink"/>
                <w:rtl w:val="true"/>
              </w:rPr>
              <w:tab/>
            </w:r>
            <w:r>
              <w:rPr>
                <w:rStyle w:val="IndexLink"/>
              </w:rPr>
              <w:t>348</w:t>
            </w:r>
          </w:hyperlink>
        </w:p>
        <w:p>
          <w:pPr>
            <w:pStyle w:val="Contents4"/>
            <w:tabs>
              <w:tab w:val="clear" w:pos="8176"/>
              <w:tab w:val="right" w:pos="9026" w:leader="dot"/>
            </w:tabs>
            <w:rPr/>
          </w:pPr>
          <w:hyperlink w:anchor="__RefHeading___Toc6863854_73709187">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6863856_73709187">
            <w:r>
              <w:rPr>
                <w:webHidden/>
                <w:rStyle w:val="IndexLink"/>
                <w:rtl w:val="true"/>
              </w:rPr>
              <w:t>الفصل الأوّل التعرّف على أهل البيت عليهم السلام وفقههم</w:t>
            </w:r>
            <w:r>
              <w:rPr>
                <w:rStyle w:val="IndexLink"/>
                <w:rtl w:val="true"/>
              </w:rPr>
              <w:tab/>
            </w:r>
            <w:r>
              <w:rPr>
                <w:rStyle w:val="IndexLink"/>
              </w:rPr>
              <w:t>349</w:t>
            </w:r>
          </w:hyperlink>
        </w:p>
        <w:p>
          <w:pPr>
            <w:pStyle w:val="Contents5"/>
            <w:tabs>
              <w:tab w:val="clear" w:pos="7892"/>
              <w:tab w:val="right" w:pos="9026" w:leader="dot"/>
            </w:tabs>
            <w:rPr/>
          </w:pPr>
          <w:hyperlink w:anchor="__RefHeading___Toc6863858_73709187">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6863860_73709187">
            <w:r>
              <w:rPr>
                <w:webHidden/>
                <w:rStyle w:val="IndexLink"/>
                <w:rtl w:val="true"/>
              </w:rPr>
              <w:t>المحور الأوّل مَنْ هم أهل البيت‌؟</w:t>
            </w:r>
            <w:r>
              <w:rPr>
                <w:rStyle w:val="IndexLink"/>
                <w:rtl w:val="true"/>
              </w:rPr>
              <w:tab/>
            </w:r>
            <w:r>
              <w:rPr>
                <w:rStyle w:val="IndexLink"/>
              </w:rPr>
              <w:t>349</w:t>
            </w:r>
          </w:hyperlink>
        </w:p>
        <w:p>
          <w:pPr>
            <w:pStyle w:val="Contents6"/>
            <w:tabs>
              <w:tab w:val="clear" w:pos="7609"/>
              <w:tab w:val="right" w:pos="9026" w:leader="dot"/>
            </w:tabs>
            <w:rPr/>
          </w:pPr>
          <w:hyperlink w:anchor="__RefHeading___Toc6863862_73709187">
            <w:r>
              <w:rPr>
                <w:webHidden/>
                <w:rStyle w:val="IndexLink"/>
                <w:rtl w:val="true"/>
              </w:rPr>
              <w:t>اشارة</w:t>
            </w:r>
            <w:r>
              <w:rPr>
                <w:rStyle w:val="IndexLink"/>
                <w:rtl w:val="true"/>
              </w:rPr>
              <w:tab/>
            </w:r>
            <w:r>
              <w:rPr>
                <w:rStyle w:val="IndexLink"/>
              </w:rPr>
              <w:t>349</w:t>
            </w:r>
          </w:hyperlink>
        </w:p>
        <w:p>
          <w:pPr>
            <w:pStyle w:val="Contents6"/>
            <w:tabs>
              <w:tab w:val="clear" w:pos="7609"/>
              <w:tab w:val="right" w:pos="9026" w:leader="dot"/>
            </w:tabs>
            <w:rPr/>
          </w:pPr>
          <w:hyperlink w:anchor="__RefHeading___Toc6863864_73709187">
            <w:r>
              <w:rPr>
                <w:webHidden/>
                <w:rStyle w:val="IndexLink"/>
                <w:rtl w:val="true"/>
              </w:rPr>
              <w:t>الأُولى</w:t>
            </w:r>
            <w:r>
              <w:rPr>
                <w:rStyle w:val="IndexLink"/>
                <w:rtl w:val="true"/>
              </w:rPr>
              <w:t xml:space="preserve">: </w:t>
            </w:r>
            <w:r>
              <w:rPr>
                <w:rStyle w:val="IndexLink"/>
                <w:rtl w:val="true"/>
              </w:rPr>
              <w:t>إفراد البيت في مقابل البيوت</w:t>
            </w:r>
            <w:r>
              <w:rPr>
                <w:rStyle w:val="IndexLink"/>
                <w:rtl w:val="true"/>
              </w:rPr>
              <w:tab/>
            </w:r>
            <w:r>
              <w:rPr>
                <w:rStyle w:val="IndexLink"/>
              </w:rPr>
              <w:t>350</w:t>
            </w:r>
          </w:hyperlink>
        </w:p>
        <w:p>
          <w:pPr>
            <w:pStyle w:val="Contents6"/>
            <w:tabs>
              <w:tab w:val="clear" w:pos="7609"/>
              <w:tab w:val="right" w:pos="9026" w:leader="dot"/>
            </w:tabs>
            <w:rPr/>
          </w:pPr>
          <w:hyperlink w:anchor="__RefHeading___Toc6863866_73709187">
            <w:r>
              <w:rPr>
                <w:webHidden/>
                <w:rStyle w:val="IndexLink"/>
                <w:rtl w:val="true"/>
              </w:rPr>
              <w:t>الثانية</w:t>
            </w:r>
            <w:r>
              <w:rPr>
                <w:rStyle w:val="IndexLink"/>
                <w:rtl w:val="true"/>
              </w:rPr>
              <w:t xml:space="preserve">: </w:t>
            </w:r>
            <w:r>
              <w:rPr>
                <w:rStyle w:val="IndexLink"/>
                <w:rtl w:val="true"/>
              </w:rPr>
              <w:t>اللام في أهل البيت للعهد</w:t>
            </w:r>
            <w:r>
              <w:rPr>
                <w:rStyle w:val="IndexLink"/>
                <w:rtl w:val="true"/>
              </w:rPr>
              <w:tab/>
            </w:r>
            <w:r>
              <w:rPr>
                <w:rStyle w:val="IndexLink"/>
              </w:rPr>
              <w:t>351</w:t>
            </w:r>
          </w:hyperlink>
        </w:p>
        <w:p>
          <w:pPr>
            <w:pStyle w:val="Contents6"/>
            <w:tabs>
              <w:tab w:val="clear" w:pos="7609"/>
              <w:tab w:val="right" w:pos="9026" w:leader="dot"/>
            </w:tabs>
            <w:rPr/>
          </w:pPr>
          <w:hyperlink w:anchor="__RefHeading___Toc6863868_73709187">
            <w:r>
              <w:rPr>
                <w:webHidden/>
                <w:rStyle w:val="IndexLink"/>
                <w:rtl w:val="true"/>
              </w:rPr>
              <w:t>أهل البيت عليهم السلام في لسان النبي الأكرم صلى الله عليه و آله</w:t>
            </w:r>
            <w:r>
              <w:rPr>
                <w:rStyle w:val="IndexLink"/>
                <w:rtl w:val="true"/>
              </w:rPr>
              <w:tab/>
            </w:r>
            <w:r>
              <w:rPr>
                <w:rStyle w:val="IndexLink"/>
              </w:rPr>
              <w:t>352</w:t>
            </w:r>
          </w:hyperlink>
        </w:p>
        <w:p>
          <w:pPr>
            <w:pStyle w:val="Contents5"/>
            <w:tabs>
              <w:tab w:val="clear" w:pos="7892"/>
              <w:tab w:val="right" w:pos="9026" w:leader="dot"/>
            </w:tabs>
            <w:rPr/>
          </w:pPr>
          <w:hyperlink w:anchor="__RefHeading___Toc6863870_73709187">
            <w:r>
              <w:rPr>
                <w:webHidden/>
                <w:rStyle w:val="IndexLink"/>
                <w:rtl w:val="true"/>
              </w:rPr>
              <w:t>المحور الثاني الدليل على حجّية فتاواهم على المسلمين كافة</w:t>
            </w:r>
            <w:r>
              <w:rPr>
                <w:rStyle w:val="IndexLink"/>
                <w:rtl w:val="true"/>
              </w:rPr>
              <w:tab/>
            </w:r>
            <w:r>
              <w:rPr>
                <w:rStyle w:val="IndexLink"/>
              </w:rPr>
              <w:t>354</w:t>
            </w:r>
          </w:hyperlink>
        </w:p>
        <w:p>
          <w:pPr>
            <w:pStyle w:val="Contents5"/>
            <w:tabs>
              <w:tab w:val="clear" w:pos="7892"/>
              <w:tab w:val="right" w:pos="9026" w:leader="dot"/>
            </w:tabs>
            <w:rPr/>
          </w:pPr>
          <w:hyperlink w:anchor="__RefHeading___Toc6863872_73709187">
            <w:r>
              <w:rPr>
                <w:webHidden/>
                <w:rStyle w:val="IndexLink"/>
                <w:rtl w:val="true"/>
              </w:rPr>
              <w:t>المحور الثالث مصادر فتاواهم</w:t>
            </w:r>
            <w:r>
              <w:rPr>
                <w:rStyle w:val="IndexLink"/>
                <w:rtl w:val="true"/>
              </w:rPr>
              <w:tab/>
            </w:r>
            <w:r>
              <w:rPr>
                <w:rStyle w:val="IndexLink"/>
              </w:rPr>
              <w:t>357</w:t>
            </w:r>
          </w:hyperlink>
        </w:p>
        <w:p>
          <w:pPr>
            <w:pStyle w:val="Contents6"/>
            <w:tabs>
              <w:tab w:val="clear" w:pos="7609"/>
              <w:tab w:val="right" w:pos="9026" w:leader="dot"/>
            </w:tabs>
            <w:rPr/>
          </w:pPr>
          <w:hyperlink w:anchor="__RefHeading___Toc6863874_73709187">
            <w:r>
              <w:rPr>
                <w:webHidden/>
                <w:rStyle w:val="IndexLink"/>
                <w:rtl w:val="true"/>
              </w:rPr>
              <w:t>اشارة</w:t>
            </w:r>
            <w:r>
              <w:rPr>
                <w:rStyle w:val="IndexLink"/>
                <w:rtl w:val="true"/>
              </w:rPr>
              <w:tab/>
            </w:r>
            <w:r>
              <w:rPr>
                <w:rStyle w:val="IndexLink"/>
              </w:rPr>
              <w:t>357</w:t>
            </w:r>
          </w:hyperlink>
        </w:p>
        <w:p>
          <w:pPr>
            <w:pStyle w:val="Contents6"/>
            <w:tabs>
              <w:tab w:val="clear" w:pos="7609"/>
              <w:tab w:val="right" w:pos="9026" w:leader="dot"/>
            </w:tabs>
            <w:rPr/>
          </w:pPr>
          <w:hyperlink w:anchor="__RefHeading___Toc6863876_73709187">
            <w:r>
              <w:rPr>
                <w:webHidden/>
                <w:rStyle w:val="IndexLink"/>
              </w:rPr>
              <w:t>1</w:t>
            </w:r>
            <w:r>
              <w:rPr>
                <w:rStyle w:val="IndexLink"/>
                <w:rtl w:val="true"/>
              </w:rPr>
              <w:t xml:space="preserve">. </w:t>
            </w:r>
            <w:r>
              <w:rPr>
                <w:rStyle w:val="IndexLink"/>
                <w:rtl w:val="true"/>
              </w:rPr>
              <w:t>استنطاق كتاب اللّه العزيز</w:t>
            </w:r>
            <w:r>
              <w:rPr>
                <w:rStyle w:val="IndexLink"/>
                <w:rtl w:val="true"/>
              </w:rPr>
              <w:tab/>
            </w:r>
            <w:r>
              <w:rPr>
                <w:rStyle w:val="IndexLink"/>
              </w:rPr>
              <w:t>357</w:t>
            </w:r>
          </w:hyperlink>
        </w:p>
        <w:p>
          <w:pPr>
            <w:pStyle w:val="Contents6"/>
            <w:tabs>
              <w:tab w:val="clear" w:pos="7609"/>
              <w:tab w:val="right" w:pos="9026" w:leader="dot"/>
            </w:tabs>
            <w:rPr/>
          </w:pPr>
          <w:hyperlink w:anchor="__RefHeading___Toc6863878_73709187">
            <w:r>
              <w:rPr>
                <w:webHidden/>
                <w:rStyle w:val="IndexLink"/>
              </w:rPr>
              <w:t>2</w:t>
            </w:r>
            <w:r>
              <w:rPr>
                <w:rStyle w:val="IndexLink"/>
                <w:rtl w:val="true"/>
              </w:rPr>
              <w:t xml:space="preserve">. </w:t>
            </w:r>
            <w:r>
              <w:rPr>
                <w:rStyle w:val="IndexLink"/>
                <w:rtl w:val="true"/>
              </w:rPr>
              <w:t>سنة رسول اللّه صلى الله عليه و آله</w:t>
            </w:r>
            <w:r>
              <w:rPr>
                <w:rStyle w:val="IndexLink"/>
                <w:rtl w:val="true"/>
              </w:rPr>
              <w:tab/>
            </w:r>
            <w:r>
              <w:rPr>
                <w:rStyle w:val="IndexLink"/>
              </w:rPr>
              <w:t>359</w:t>
            </w:r>
          </w:hyperlink>
        </w:p>
        <w:p>
          <w:pPr>
            <w:pStyle w:val="Contents6"/>
            <w:tabs>
              <w:tab w:val="clear" w:pos="7609"/>
              <w:tab w:val="right" w:pos="9026" w:leader="dot"/>
            </w:tabs>
            <w:rPr/>
          </w:pPr>
          <w:hyperlink w:anchor="__RefHeading___Toc6863880_73709187">
            <w:r>
              <w:rPr>
                <w:webHidden/>
                <w:rStyle w:val="IndexLink"/>
                <w:rtl w:val="true"/>
              </w:rPr>
              <w:t>أ</w:t>
            </w:r>
            <w:r>
              <w:rPr>
                <w:rStyle w:val="IndexLink"/>
                <w:rtl w:val="true"/>
              </w:rPr>
              <w:t xml:space="preserve">. </w:t>
            </w:r>
            <w:r>
              <w:rPr>
                <w:rStyle w:val="IndexLink"/>
                <w:rtl w:val="true"/>
              </w:rPr>
              <w:t>السماع عنه صلى الله عليه و آله</w:t>
            </w:r>
            <w:r>
              <w:rPr>
                <w:rStyle w:val="IndexLink"/>
                <w:rtl w:val="true"/>
              </w:rPr>
              <w:tab/>
            </w:r>
            <w:r>
              <w:rPr>
                <w:rStyle w:val="IndexLink"/>
              </w:rPr>
              <w:t>359</w:t>
            </w:r>
          </w:hyperlink>
        </w:p>
        <w:p>
          <w:pPr>
            <w:pStyle w:val="Contents6"/>
            <w:tabs>
              <w:tab w:val="clear" w:pos="7609"/>
              <w:tab w:val="right" w:pos="9026" w:leader="dot"/>
            </w:tabs>
            <w:rPr/>
          </w:pPr>
          <w:hyperlink w:anchor="__RefHeading___Toc6863882_73709187">
            <w:r>
              <w:rPr>
                <w:webHidden/>
                <w:rStyle w:val="IndexLink"/>
                <w:rtl w:val="true"/>
              </w:rPr>
              <w:t>ب</w:t>
            </w:r>
            <w:r>
              <w:rPr>
                <w:rStyle w:val="IndexLink"/>
                <w:rtl w:val="true"/>
              </w:rPr>
              <w:t xml:space="preserve">. </w:t>
            </w:r>
            <w:r>
              <w:rPr>
                <w:rStyle w:val="IndexLink"/>
                <w:rtl w:val="true"/>
              </w:rPr>
              <w:t>كتاب علي عليه السلام</w:t>
            </w:r>
            <w:r>
              <w:rPr>
                <w:rStyle w:val="IndexLink"/>
                <w:rtl w:val="true"/>
              </w:rPr>
              <w:tab/>
            </w:r>
            <w:r>
              <w:rPr>
                <w:rStyle w:val="IndexLink"/>
              </w:rPr>
              <w:t>360</w:t>
            </w:r>
          </w:hyperlink>
        </w:p>
        <w:p>
          <w:pPr>
            <w:pStyle w:val="Contents6"/>
            <w:tabs>
              <w:tab w:val="clear" w:pos="7609"/>
              <w:tab w:val="right" w:pos="9026" w:leader="dot"/>
            </w:tabs>
            <w:rPr/>
          </w:pPr>
          <w:hyperlink w:anchor="__RefHeading___Toc6863884_73709187">
            <w:r>
              <w:rPr>
                <w:webHidden/>
                <w:rStyle w:val="IndexLink"/>
              </w:rPr>
              <w:t>3</w:t>
            </w:r>
            <w:r>
              <w:rPr>
                <w:rStyle w:val="IndexLink"/>
                <w:rtl w:val="true"/>
              </w:rPr>
              <w:t xml:space="preserve">. </w:t>
            </w:r>
            <w:r>
              <w:rPr>
                <w:rStyle w:val="IndexLink"/>
                <w:rtl w:val="true"/>
              </w:rPr>
              <w:t>العلم الموهوب</w:t>
            </w:r>
            <w:r>
              <w:rPr>
                <w:rStyle w:val="IndexLink"/>
                <w:rtl w:val="true"/>
              </w:rPr>
              <w:tab/>
            </w:r>
            <w:r>
              <w:rPr>
                <w:rStyle w:val="IndexLink"/>
              </w:rPr>
              <w:t>361</w:t>
            </w:r>
          </w:hyperlink>
        </w:p>
        <w:p>
          <w:pPr>
            <w:pStyle w:val="Contents5"/>
            <w:tabs>
              <w:tab w:val="clear" w:pos="7892"/>
              <w:tab w:val="right" w:pos="9026" w:leader="dot"/>
            </w:tabs>
            <w:rPr/>
          </w:pPr>
          <w:hyperlink w:anchor="__RefHeading___Toc6863886_73709187">
            <w:r>
              <w:rPr>
                <w:webHidden/>
                <w:rStyle w:val="IndexLink"/>
                <w:rtl w:val="true"/>
              </w:rPr>
              <w:t>خاتمة المطاف رجوع كبار الفقهاء إلى أئمة أهل البيت عليهم السلام</w:t>
            </w:r>
            <w:r>
              <w:rPr>
                <w:rStyle w:val="IndexLink"/>
                <w:rtl w:val="true"/>
              </w:rPr>
              <w:tab/>
            </w:r>
            <w:r>
              <w:rPr>
                <w:rStyle w:val="IndexLink"/>
              </w:rPr>
              <w:t>362</w:t>
            </w:r>
          </w:hyperlink>
        </w:p>
        <w:p>
          <w:pPr>
            <w:pStyle w:val="Contents4"/>
            <w:tabs>
              <w:tab w:val="clear" w:pos="8176"/>
              <w:tab w:val="right" w:pos="9026" w:leader="dot"/>
            </w:tabs>
            <w:rPr/>
          </w:pPr>
          <w:hyperlink w:anchor="__RefHeading___Toc6863888_73709187">
            <w:r>
              <w:rPr>
                <w:webHidden/>
                <w:rStyle w:val="IndexLink"/>
                <w:rtl w:val="true"/>
              </w:rPr>
              <w:t>الفصل الثاني المدرسة الفقهية للشيعة الإمامية</w:t>
            </w:r>
            <w:r>
              <w:rPr>
                <w:rStyle w:val="IndexLink"/>
                <w:rtl w:val="true"/>
              </w:rPr>
              <w:tab/>
            </w:r>
            <w:r>
              <w:rPr>
                <w:rStyle w:val="IndexLink"/>
              </w:rPr>
              <w:t>365</w:t>
            </w:r>
          </w:hyperlink>
        </w:p>
        <w:p>
          <w:pPr>
            <w:pStyle w:val="Contents5"/>
            <w:tabs>
              <w:tab w:val="clear" w:pos="7892"/>
              <w:tab w:val="right" w:pos="9026" w:leader="dot"/>
            </w:tabs>
            <w:rPr/>
          </w:pPr>
          <w:hyperlink w:anchor="__RefHeading___Toc6863890_73709187">
            <w:r>
              <w:rPr>
                <w:webHidden/>
                <w:rStyle w:val="IndexLink"/>
                <w:rtl w:val="true"/>
              </w:rPr>
              <w:t>المصادر والخصائص</w:t>
            </w:r>
            <w:r>
              <w:rPr>
                <w:rStyle w:val="IndexLink"/>
                <w:rtl w:val="true"/>
              </w:rPr>
              <w:tab/>
            </w:r>
            <w:r>
              <w:rPr>
                <w:rStyle w:val="IndexLink"/>
              </w:rPr>
              <w:t>365</w:t>
            </w:r>
          </w:hyperlink>
        </w:p>
        <w:p>
          <w:pPr>
            <w:pStyle w:val="Contents5"/>
            <w:tabs>
              <w:tab w:val="clear" w:pos="7892"/>
              <w:tab w:val="right" w:pos="9026" w:leader="dot"/>
            </w:tabs>
            <w:rPr/>
          </w:pPr>
          <w:hyperlink w:anchor="__RefHeading___Toc6863892_73709187">
            <w:r>
              <w:rPr>
                <w:webHidden/>
                <w:rStyle w:val="IndexLink"/>
                <w:rtl w:val="true"/>
              </w:rPr>
              <w:t>الأمر الأوّل</w:t>
            </w:r>
            <w:r>
              <w:rPr>
                <w:rStyle w:val="IndexLink"/>
                <w:rtl w:val="true"/>
              </w:rPr>
              <w:t xml:space="preserve">: </w:t>
            </w:r>
            <w:r>
              <w:rPr>
                <w:rStyle w:val="IndexLink"/>
                <w:rtl w:val="true"/>
              </w:rPr>
              <w:t>مصادر الفقه عند الشيعة الإمامية</w:t>
            </w:r>
            <w:r>
              <w:rPr>
                <w:rStyle w:val="IndexLink"/>
                <w:rtl w:val="true"/>
              </w:rPr>
              <w:tab/>
            </w:r>
            <w:r>
              <w:rPr>
                <w:rStyle w:val="IndexLink"/>
              </w:rPr>
              <w:t>366</w:t>
            </w:r>
          </w:hyperlink>
        </w:p>
        <w:p>
          <w:pPr>
            <w:pStyle w:val="Contents6"/>
            <w:tabs>
              <w:tab w:val="clear" w:pos="7609"/>
              <w:tab w:val="right" w:pos="9026" w:leader="dot"/>
            </w:tabs>
            <w:rPr/>
          </w:pPr>
          <w:hyperlink w:anchor="__RefHeading___Toc6863894_73709187">
            <w:r>
              <w:rPr>
                <w:webHidden/>
                <w:rStyle w:val="IndexLink"/>
                <w:rtl w:val="true"/>
              </w:rPr>
              <w:t>اشارة</w:t>
            </w:r>
            <w:r>
              <w:rPr>
                <w:rStyle w:val="IndexLink"/>
                <w:rtl w:val="true"/>
              </w:rPr>
              <w:tab/>
            </w:r>
            <w:r>
              <w:rPr>
                <w:rStyle w:val="IndexLink"/>
              </w:rPr>
              <w:t>366</w:t>
            </w:r>
          </w:hyperlink>
        </w:p>
        <w:p>
          <w:pPr>
            <w:pStyle w:val="Contents6"/>
            <w:tabs>
              <w:tab w:val="clear" w:pos="7609"/>
              <w:tab w:val="right" w:pos="9026" w:leader="dot"/>
            </w:tabs>
            <w:rPr/>
          </w:pPr>
          <w:hyperlink w:anchor="__RefHeading___Toc6863896_73709187">
            <w:r>
              <w:rPr>
                <w:webHidden/>
                <w:rStyle w:val="IndexLink"/>
                <w:rtl w:val="true"/>
              </w:rPr>
              <w:t>المصدر الأوّل</w:t>
            </w:r>
            <w:r>
              <w:rPr>
                <w:rStyle w:val="IndexLink"/>
                <w:rtl w:val="true"/>
              </w:rPr>
              <w:t xml:space="preserve">: </w:t>
            </w:r>
            <w:r>
              <w:rPr>
                <w:rStyle w:val="IndexLink"/>
                <w:rtl w:val="true"/>
              </w:rPr>
              <w:t>القرآن الكريم</w:t>
            </w:r>
            <w:r>
              <w:rPr>
                <w:rStyle w:val="IndexLink"/>
                <w:rtl w:val="true"/>
              </w:rPr>
              <w:tab/>
            </w:r>
            <w:r>
              <w:rPr>
                <w:rStyle w:val="IndexLink"/>
              </w:rPr>
              <w:t>366</w:t>
            </w:r>
          </w:hyperlink>
        </w:p>
        <w:p>
          <w:pPr>
            <w:pStyle w:val="Contents6"/>
            <w:tabs>
              <w:tab w:val="clear" w:pos="7609"/>
              <w:tab w:val="right" w:pos="9026" w:leader="dot"/>
            </w:tabs>
            <w:rPr/>
          </w:pPr>
          <w:hyperlink w:anchor="__RefHeading___Toc6863898_73709187">
            <w:r>
              <w:rPr>
                <w:webHidden/>
                <w:rStyle w:val="IndexLink"/>
                <w:rtl w:val="true"/>
              </w:rPr>
              <w:t>المصدر الثاني</w:t>
            </w:r>
            <w:r>
              <w:rPr>
                <w:rStyle w:val="IndexLink"/>
                <w:rtl w:val="true"/>
              </w:rPr>
              <w:t xml:space="preserve">: </w:t>
            </w:r>
            <w:r>
              <w:rPr>
                <w:rStyle w:val="IndexLink"/>
                <w:rtl w:val="true"/>
              </w:rPr>
              <w:t>السنّة الشريفة</w:t>
            </w:r>
            <w:r>
              <w:rPr>
                <w:rStyle w:val="IndexLink"/>
                <w:rtl w:val="true"/>
              </w:rPr>
              <w:tab/>
            </w:r>
            <w:r>
              <w:rPr>
                <w:rStyle w:val="IndexLink"/>
              </w:rPr>
              <w:t>367</w:t>
            </w:r>
          </w:hyperlink>
        </w:p>
        <w:p>
          <w:pPr>
            <w:pStyle w:val="Contents6"/>
            <w:tabs>
              <w:tab w:val="clear" w:pos="7609"/>
              <w:tab w:val="right" w:pos="9026" w:leader="dot"/>
            </w:tabs>
            <w:rPr/>
          </w:pPr>
          <w:hyperlink w:anchor="__RefHeading___Toc6863900_73709187">
            <w:r>
              <w:rPr>
                <w:webHidden/>
                <w:rStyle w:val="IndexLink"/>
                <w:rtl w:val="true"/>
              </w:rPr>
              <w:t>المصدر الثالث</w:t>
            </w:r>
            <w:r>
              <w:rPr>
                <w:rStyle w:val="IndexLink"/>
                <w:rtl w:val="true"/>
              </w:rPr>
              <w:t xml:space="preserve">: </w:t>
            </w:r>
            <w:r>
              <w:rPr>
                <w:rStyle w:val="IndexLink"/>
                <w:rtl w:val="true"/>
              </w:rPr>
              <w:t>الإجماع</w:t>
            </w:r>
            <w:r>
              <w:rPr>
                <w:rStyle w:val="IndexLink"/>
                <w:rtl w:val="true"/>
              </w:rPr>
              <w:tab/>
            </w:r>
            <w:r>
              <w:rPr>
                <w:rStyle w:val="IndexLink"/>
              </w:rPr>
              <w:t>368</w:t>
            </w:r>
          </w:hyperlink>
        </w:p>
        <w:p>
          <w:pPr>
            <w:pStyle w:val="Contents6"/>
            <w:tabs>
              <w:tab w:val="clear" w:pos="7609"/>
              <w:tab w:val="right" w:pos="9026" w:leader="dot"/>
            </w:tabs>
            <w:rPr/>
          </w:pPr>
          <w:hyperlink w:anchor="__RefHeading___Toc6863902_73709187">
            <w:r>
              <w:rPr>
                <w:webHidden/>
                <w:rStyle w:val="IndexLink"/>
                <w:rtl w:val="true"/>
              </w:rPr>
              <w:t>المصدر الرابع</w:t>
            </w:r>
            <w:r>
              <w:rPr>
                <w:rStyle w:val="IndexLink"/>
                <w:rtl w:val="true"/>
              </w:rPr>
              <w:t xml:space="preserve">: </w:t>
            </w:r>
            <w:r>
              <w:rPr>
                <w:rStyle w:val="IndexLink"/>
                <w:rtl w:val="true"/>
              </w:rPr>
              <w:t>العقل</w:t>
            </w:r>
            <w:r>
              <w:rPr>
                <w:rStyle w:val="IndexLink"/>
                <w:rtl w:val="true"/>
              </w:rPr>
              <w:tab/>
            </w:r>
            <w:r>
              <w:rPr>
                <w:rStyle w:val="IndexLink"/>
              </w:rPr>
              <w:t>368</w:t>
            </w:r>
          </w:hyperlink>
        </w:p>
        <w:p>
          <w:pPr>
            <w:pStyle w:val="Contents6"/>
            <w:tabs>
              <w:tab w:val="clear" w:pos="7609"/>
              <w:tab w:val="right" w:pos="9026" w:leader="dot"/>
            </w:tabs>
            <w:rPr/>
          </w:pPr>
          <w:hyperlink w:anchor="__RefHeading___Toc6863904_73709187">
            <w:r>
              <w:rPr>
                <w:webHidden/>
                <w:rStyle w:val="IndexLink"/>
                <w:rtl w:val="true"/>
              </w:rPr>
              <w:t>إزاحة شبهة</w:t>
            </w:r>
            <w:r>
              <w:rPr>
                <w:rStyle w:val="IndexLink"/>
                <w:rtl w:val="true"/>
              </w:rPr>
              <w:tab/>
            </w:r>
            <w:r>
              <w:rPr>
                <w:rStyle w:val="IndexLink"/>
              </w:rPr>
              <w:t>370</w:t>
            </w:r>
          </w:hyperlink>
        </w:p>
        <w:p>
          <w:pPr>
            <w:pStyle w:val="Contents5"/>
            <w:tabs>
              <w:tab w:val="clear" w:pos="7892"/>
              <w:tab w:val="right" w:pos="9026" w:leader="dot"/>
            </w:tabs>
            <w:rPr/>
          </w:pPr>
          <w:hyperlink w:anchor="__RefHeading___Toc6863906_73709187">
            <w:r>
              <w:rPr>
                <w:webHidden/>
                <w:rStyle w:val="IndexLink"/>
                <w:rtl w:val="true"/>
              </w:rPr>
              <w:t>الأمر الثاني</w:t>
            </w:r>
            <w:r>
              <w:rPr>
                <w:rStyle w:val="IndexLink"/>
                <w:rtl w:val="true"/>
              </w:rPr>
              <w:t xml:space="preserve">: </w:t>
            </w:r>
            <w:r>
              <w:rPr>
                <w:rStyle w:val="IndexLink"/>
                <w:rtl w:val="true"/>
              </w:rPr>
              <w:t>خصائص فقه الإمامية ومميزاته</w:t>
            </w:r>
            <w:r>
              <w:rPr>
                <w:rStyle w:val="IndexLink"/>
                <w:rtl w:val="true"/>
              </w:rPr>
              <w:tab/>
            </w:r>
            <w:r>
              <w:rPr>
                <w:rStyle w:val="IndexLink"/>
              </w:rPr>
              <w:t>372</w:t>
            </w:r>
          </w:hyperlink>
        </w:p>
        <w:p>
          <w:pPr>
            <w:pStyle w:val="Contents6"/>
            <w:tabs>
              <w:tab w:val="clear" w:pos="7609"/>
              <w:tab w:val="right" w:pos="9026" w:leader="dot"/>
            </w:tabs>
            <w:rPr/>
          </w:pPr>
          <w:hyperlink w:anchor="__RefHeading___Toc6863908_73709187">
            <w:r>
              <w:rPr>
                <w:webHidden/>
                <w:rStyle w:val="IndexLink"/>
                <w:rtl w:val="true"/>
              </w:rPr>
              <w:t>اشارة</w:t>
            </w:r>
            <w:r>
              <w:rPr>
                <w:rStyle w:val="IndexLink"/>
                <w:rtl w:val="true"/>
              </w:rPr>
              <w:tab/>
            </w:r>
            <w:r>
              <w:rPr>
                <w:rStyle w:val="IndexLink"/>
              </w:rPr>
              <w:t>372</w:t>
            </w:r>
          </w:hyperlink>
        </w:p>
        <w:p>
          <w:pPr>
            <w:pStyle w:val="Contents6"/>
            <w:tabs>
              <w:tab w:val="clear" w:pos="7609"/>
              <w:tab w:val="right" w:pos="9026" w:leader="dot"/>
            </w:tabs>
            <w:rPr/>
          </w:pPr>
          <w:hyperlink w:anchor="__RefHeading___Toc6863910_73709187">
            <w:r>
              <w:rPr>
                <w:webHidden/>
                <w:rStyle w:val="IndexLink"/>
                <w:rtl w:val="true"/>
              </w:rPr>
              <w:t>الأُولى</w:t>
            </w:r>
            <w:r>
              <w:rPr>
                <w:rStyle w:val="IndexLink"/>
                <w:rtl w:val="true"/>
              </w:rPr>
              <w:t xml:space="preserve">: </w:t>
            </w:r>
            <w:r>
              <w:rPr>
                <w:rStyle w:val="IndexLink"/>
                <w:rtl w:val="true"/>
              </w:rPr>
              <w:t>إحراز العدالة في عامة سند الرواية</w:t>
            </w:r>
            <w:r>
              <w:rPr>
                <w:rStyle w:val="IndexLink"/>
                <w:rtl w:val="true"/>
              </w:rPr>
              <w:tab/>
            </w:r>
            <w:r>
              <w:rPr>
                <w:rStyle w:val="IndexLink"/>
              </w:rPr>
              <w:t>373</w:t>
            </w:r>
          </w:hyperlink>
        </w:p>
        <w:p>
          <w:pPr>
            <w:pStyle w:val="Contents6"/>
            <w:tabs>
              <w:tab w:val="clear" w:pos="7609"/>
              <w:tab w:val="right" w:pos="9026" w:leader="dot"/>
            </w:tabs>
            <w:rPr/>
          </w:pPr>
          <w:hyperlink w:anchor="__RefHeading___Toc6863912_73709187">
            <w:r>
              <w:rPr>
                <w:webHidden/>
                <w:rStyle w:val="IndexLink"/>
                <w:rtl w:val="true"/>
              </w:rPr>
              <w:t>الثانية</w:t>
            </w:r>
            <w:r>
              <w:rPr>
                <w:rStyle w:val="IndexLink"/>
                <w:rtl w:val="true"/>
              </w:rPr>
              <w:t xml:space="preserve">: </w:t>
            </w:r>
            <w:r>
              <w:rPr>
                <w:rStyle w:val="IndexLink"/>
                <w:rtl w:val="true"/>
              </w:rPr>
              <w:t>تقييد العمل بالقياس</w:t>
            </w:r>
            <w:r>
              <w:rPr>
                <w:rStyle w:val="IndexLink"/>
                <w:rtl w:val="true"/>
              </w:rPr>
              <w:tab/>
            </w:r>
            <w:r>
              <w:rPr>
                <w:rStyle w:val="IndexLink"/>
              </w:rPr>
              <w:t>373</w:t>
            </w:r>
          </w:hyperlink>
        </w:p>
        <w:p>
          <w:pPr>
            <w:pStyle w:val="Contents6"/>
            <w:tabs>
              <w:tab w:val="clear" w:pos="7609"/>
              <w:tab w:val="right" w:pos="9026" w:leader="dot"/>
            </w:tabs>
            <w:rPr/>
          </w:pPr>
          <w:hyperlink w:anchor="__RefHeading___Toc6863914_73709187">
            <w:r>
              <w:rPr>
                <w:webHidden/>
                <w:rStyle w:val="IndexLink"/>
                <w:rtl w:val="true"/>
              </w:rPr>
              <w:t>تخريج المناط</w:t>
            </w:r>
            <w:r>
              <w:rPr>
                <w:rStyle w:val="IndexLink"/>
                <w:rtl w:val="true"/>
              </w:rPr>
              <w:tab/>
            </w:r>
            <w:r>
              <w:rPr>
                <w:rStyle w:val="IndexLink"/>
              </w:rPr>
              <w:t>374</w:t>
            </w:r>
          </w:hyperlink>
        </w:p>
        <w:p>
          <w:pPr>
            <w:pStyle w:val="Contents6"/>
            <w:tabs>
              <w:tab w:val="clear" w:pos="7609"/>
              <w:tab w:val="right" w:pos="9026" w:leader="dot"/>
            </w:tabs>
            <w:rPr/>
          </w:pPr>
          <w:hyperlink w:anchor="__RefHeading___Toc6863916_73709187">
            <w:r>
              <w:rPr>
                <w:webHidden/>
                <w:rStyle w:val="IndexLink"/>
                <w:rtl w:val="true"/>
              </w:rPr>
              <w:t>الثالثة</w:t>
            </w:r>
            <w:r>
              <w:rPr>
                <w:rStyle w:val="IndexLink"/>
                <w:rtl w:val="true"/>
              </w:rPr>
              <w:t xml:space="preserve">: </w:t>
            </w:r>
            <w:r>
              <w:rPr>
                <w:rStyle w:val="IndexLink"/>
                <w:rtl w:val="true"/>
              </w:rPr>
              <w:t>انفتاح باب الاجتهاد</w:t>
            </w:r>
            <w:r>
              <w:rPr>
                <w:rStyle w:val="IndexLink"/>
                <w:rtl w:val="true"/>
              </w:rPr>
              <w:tab/>
            </w:r>
            <w:r>
              <w:rPr>
                <w:rStyle w:val="IndexLink"/>
              </w:rPr>
              <w:t>375</w:t>
            </w:r>
          </w:hyperlink>
        </w:p>
        <w:p>
          <w:pPr>
            <w:pStyle w:val="Contents6"/>
            <w:tabs>
              <w:tab w:val="clear" w:pos="7609"/>
              <w:tab w:val="right" w:pos="9026" w:leader="dot"/>
            </w:tabs>
            <w:rPr/>
          </w:pPr>
          <w:hyperlink w:anchor="__RefHeading___Toc6863918_73709187">
            <w:r>
              <w:rPr>
                <w:webHidden/>
                <w:rStyle w:val="IndexLink"/>
                <w:rtl w:val="true"/>
              </w:rPr>
              <w:t>الرابعة</w:t>
            </w:r>
            <w:r>
              <w:rPr>
                <w:rStyle w:val="IndexLink"/>
                <w:rtl w:val="true"/>
              </w:rPr>
              <w:t xml:space="preserve">: </w:t>
            </w:r>
            <w:r>
              <w:rPr>
                <w:rStyle w:val="IndexLink"/>
                <w:rtl w:val="true"/>
              </w:rPr>
              <w:t>لكل واقعة حكم</w:t>
            </w:r>
            <w:r>
              <w:rPr>
                <w:rStyle w:val="IndexLink"/>
                <w:rtl w:val="true"/>
              </w:rPr>
              <w:tab/>
            </w:r>
            <w:r>
              <w:rPr>
                <w:rStyle w:val="IndexLink"/>
              </w:rPr>
              <w:t>375</w:t>
            </w:r>
          </w:hyperlink>
        </w:p>
        <w:p>
          <w:pPr>
            <w:pStyle w:val="Contents6"/>
            <w:tabs>
              <w:tab w:val="clear" w:pos="7609"/>
              <w:tab w:val="right" w:pos="9026" w:leader="dot"/>
            </w:tabs>
            <w:rPr/>
          </w:pPr>
          <w:hyperlink w:anchor="__RefHeading___Toc6863920_73709187">
            <w:r>
              <w:rPr>
                <w:webHidden/>
                <w:rStyle w:val="IndexLink"/>
                <w:rtl w:val="true"/>
              </w:rPr>
              <w:t>الخامسة</w:t>
            </w:r>
            <w:r>
              <w:rPr>
                <w:rStyle w:val="IndexLink"/>
                <w:rtl w:val="true"/>
              </w:rPr>
              <w:t xml:space="preserve">: </w:t>
            </w:r>
            <w:r>
              <w:rPr>
                <w:rStyle w:val="IndexLink"/>
                <w:rtl w:val="true"/>
              </w:rPr>
              <w:t>التصويب والتخطئة</w:t>
            </w:r>
            <w:r>
              <w:rPr>
                <w:rStyle w:val="IndexLink"/>
                <w:rtl w:val="true"/>
              </w:rPr>
              <w:tab/>
            </w:r>
            <w:r>
              <w:rPr>
                <w:rStyle w:val="IndexLink"/>
              </w:rPr>
              <w:t>376</w:t>
            </w:r>
          </w:hyperlink>
        </w:p>
        <w:p>
          <w:pPr>
            <w:pStyle w:val="Contents6"/>
            <w:tabs>
              <w:tab w:val="clear" w:pos="7609"/>
              <w:tab w:val="right" w:pos="9026" w:leader="dot"/>
            </w:tabs>
            <w:rPr/>
          </w:pPr>
          <w:hyperlink w:anchor="__RefHeading___Toc6863922_73709187">
            <w:r>
              <w:rPr>
                <w:webHidden/>
                <w:rStyle w:val="IndexLink"/>
                <w:rtl w:val="true"/>
              </w:rPr>
              <w:t>السادسة</w:t>
            </w:r>
            <w:r>
              <w:rPr>
                <w:rStyle w:val="IndexLink"/>
                <w:rtl w:val="true"/>
              </w:rPr>
              <w:t xml:space="preserve">: </w:t>
            </w:r>
            <w:r>
              <w:rPr>
                <w:rStyle w:val="IndexLink"/>
                <w:rtl w:val="true"/>
              </w:rPr>
              <w:t>تقسيم الأحكام الشرعية إلى واقعية وظاهرية</w:t>
            </w:r>
            <w:r>
              <w:rPr>
                <w:rStyle w:val="IndexLink"/>
                <w:rtl w:val="true"/>
              </w:rPr>
              <w:tab/>
            </w:r>
            <w:r>
              <w:rPr>
                <w:rStyle w:val="IndexLink"/>
              </w:rPr>
              <w:t>376</w:t>
            </w:r>
          </w:hyperlink>
        </w:p>
        <w:p>
          <w:pPr>
            <w:pStyle w:val="Contents6"/>
            <w:tabs>
              <w:tab w:val="clear" w:pos="7609"/>
              <w:tab w:val="right" w:pos="9026" w:leader="dot"/>
            </w:tabs>
            <w:rPr/>
          </w:pPr>
          <w:hyperlink w:anchor="__RefHeading___Toc6863924_73709187">
            <w:r>
              <w:rPr>
                <w:webHidden/>
                <w:rStyle w:val="IndexLink"/>
                <w:rtl w:val="true"/>
              </w:rPr>
              <w:t>السابعة</w:t>
            </w:r>
            <w:r>
              <w:rPr>
                <w:rStyle w:val="IndexLink"/>
                <w:rtl w:val="true"/>
              </w:rPr>
              <w:t xml:space="preserve">: </w:t>
            </w:r>
            <w:r>
              <w:rPr>
                <w:rStyle w:val="IndexLink"/>
                <w:rtl w:val="true"/>
              </w:rPr>
              <w:t>تقسيم الموضوعات إلى أوّلية وثانوية</w:t>
            </w:r>
            <w:r>
              <w:rPr>
                <w:rStyle w:val="IndexLink"/>
                <w:rtl w:val="true"/>
              </w:rPr>
              <w:tab/>
            </w:r>
            <w:r>
              <w:rPr>
                <w:rStyle w:val="IndexLink"/>
              </w:rPr>
              <w:t>377</w:t>
            </w:r>
          </w:hyperlink>
        </w:p>
        <w:p>
          <w:pPr>
            <w:pStyle w:val="Contents6"/>
            <w:tabs>
              <w:tab w:val="clear" w:pos="7609"/>
              <w:tab w:val="right" w:pos="9026" w:leader="dot"/>
            </w:tabs>
            <w:rPr/>
          </w:pPr>
          <w:hyperlink w:anchor="__RefHeading___Toc6863926_73709187">
            <w:r>
              <w:rPr>
                <w:webHidden/>
                <w:rStyle w:val="IndexLink"/>
              </w:rPr>
              <w:t>1</w:t>
            </w:r>
            <w:r>
              <w:rPr>
                <w:rStyle w:val="IndexLink"/>
                <w:rtl w:val="true"/>
              </w:rPr>
              <w:t xml:space="preserve">. </w:t>
            </w:r>
            <w:r>
              <w:rPr>
                <w:rStyle w:val="IndexLink"/>
                <w:rtl w:val="true"/>
              </w:rPr>
              <w:t>الضرورة والاضطرار</w:t>
            </w:r>
            <w:r>
              <w:rPr>
                <w:rStyle w:val="IndexLink"/>
                <w:rtl w:val="true"/>
              </w:rPr>
              <w:tab/>
            </w:r>
            <w:r>
              <w:rPr>
                <w:rStyle w:val="IndexLink"/>
              </w:rPr>
              <w:t>377</w:t>
            </w:r>
          </w:hyperlink>
        </w:p>
        <w:p>
          <w:pPr>
            <w:pStyle w:val="Contents6"/>
            <w:tabs>
              <w:tab w:val="clear" w:pos="7609"/>
              <w:tab w:val="right" w:pos="9026" w:leader="dot"/>
            </w:tabs>
            <w:rPr/>
          </w:pPr>
          <w:hyperlink w:anchor="__RefHeading___Toc6863928_73709187">
            <w:r>
              <w:rPr>
                <w:webHidden/>
                <w:rStyle w:val="IndexLink"/>
              </w:rPr>
              <w:t>2</w:t>
            </w:r>
            <w:r>
              <w:rPr>
                <w:rStyle w:val="IndexLink"/>
                <w:rtl w:val="true"/>
              </w:rPr>
              <w:t xml:space="preserve">. </w:t>
            </w:r>
            <w:r>
              <w:rPr>
                <w:rStyle w:val="IndexLink"/>
                <w:rtl w:val="true"/>
              </w:rPr>
              <w:t>الضَّرر والضِّرار</w:t>
            </w:r>
            <w:r>
              <w:rPr>
                <w:rStyle w:val="IndexLink"/>
                <w:rtl w:val="true"/>
              </w:rPr>
              <w:tab/>
            </w:r>
            <w:r>
              <w:rPr>
                <w:rStyle w:val="IndexLink"/>
              </w:rPr>
              <w:t>378</w:t>
            </w:r>
          </w:hyperlink>
        </w:p>
        <w:p>
          <w:pPr>
            <w:pStyle w:val="Contents6"/>
            <w:tabs>
              <w:tab w:val="clear" w:pos="7609"/>
              <w:tab w:val="right" w:pos="9026" w:leader="dot"/>
            </w:tabs>
            <w:rPr/>
          </w:pPr>
          <w:hyperlink w:anchor="__RefHeading___Toc6863930_73709187">
            <w:r>
              <w:rPr>
                <w:webHidden/>
                <w:rStyle w:val="IndexLink"/>
              </w:rPr>
              <w:t>3</w:t>
            </w:r>
            <w:r>
              <w:rPr>
                <w:rStyle w:val="IndexLink"/>
                <w:rtl w:val="true"/>
              </w:rPr>
              <w:t xml:space="preserve">. </w:t>
            </w:r>
            <w:r>
              <w:rPr>
                <w:rStyle w:val="IndexLink"/>
                <w:rtl w:val="true"/>
              </w:rPr>
              <w:t>العسر والحرج</w:t>
            </w:r>
            <w:r>
              <w:rPr>
                <w:rStyle w:val="IndexLink"/>
                <w:rtl w:val="true"/>
              </w:rPr>
              <w:tab/>
            </w:r>
            <w:r>
              <w:rPr>
                <w:rStyle w:val="IndexLink"/>
              </w:rPr>
              <w:t>378</w:t>
            </w:r>
          </w:hyperlink>
        </w:p>
        <w:p>
          <w:pPr>
            <w:pStyle w:val="Contents6"/>
            <w:tabs>
              <w:tab w:val="clear" w:pos="7609"/>
              <w:tab w:val="right" w:pos="9026" w:leader="dot"/>
            </w:tabs>
            <w:rPr/>
          </w:pPr>
          <w:hyperlink w:anchor="__RefHeading___Toc6863932_73709187">
            <w:r>
              <w:rPr>
                <w:webHidden/>
                <w:rStyle w:val="IndexLink"/>
              </w:rPr>
              <w:t>4</w:t>
            </w:r>
            <w:r>
              <w:rPr>
                <w:rStyle w:val="IndexLink"/>
                <w:rtl w:val="true"/>
              </w:rPr>
              <w:t xml:space="preserve">. </w:t>
            </w:r>
            <w:r>
              <w:rPr>
                <w:rStyle w:val="IndexLink"/>
                <w:rtl w:val="true"/>
              </w:rPr>
              <w:t>قاعدة الأهم والمهم عند التزاحم</w:t>
            </w:r>
            <w:r>
              <w:rPr>
                <w:rStyle w:val="IndexLink"/>
                <w:rtl w:val="true"/>
              </w:rPr>
              <w:tab/>
            </w:r>
            <w:r>
              <w:rPr>
                <w:rStyle w:val="IndexLink"/>
              </w:rPr>
              <w:t>378</w:t>
            </w:r>
          </w:hyperlink>
        </w:p>
        <w:p>
          <w:pPr>
            <w:pStyle w:val="Contents6"/>
            <w:tabs>
              <w:tab w:val="clear" w:pos="7609"/>
              <w:tab w:val="right" w:pos="9026" w:leader="dot"/>
            </w:tabs>
            <w:rPr/>
          </w:pPr>
          <w:hyperlink w:anchor="__RefHeading___Toc6863934_73709187">
            <w:r>
              <w:rPr>
                <w:webHidden/>
                <w:rStyle w:val="IndexLink"/>
              </w:rPr>
              <w:t>5</w:t>
            </w:r>
            <w:r>
              <w:rPr>
                <w:rStyle w:val="IndexLink"/>
                <w:rtl w:val="true"/>
              </w:rPr>
              <w:t xml:space="preserve">. </w:t>
            </w:r>
            <w:r>
              <w:rPr>
                <w:rStyle w:val="IndexLink"/>
                <w:rtl w:val="true"/>
              </w:rPr>
              <w:t>صلاحيات الفقيه الجامع للشرائط</w:t>
            </w:r>
            <w:r>
              <w:rPr>
                <w:rStyle w:val="IndexLink"/>
                <w:rtl w:val="true"/>
              </w:rPr>
              <w:tab/>
            </w:r>
            <w:r>
              <w:rPr>
                <w:rStyle w:val="IndexLink"/>
              </w:rPr>
              <w:t>379</w:t>
            </w:r>
          </w:hyperlink>
        </w:p>
        <w:p>
          <w:pPr>
            <w:pStyle w:val="Contents3"/>
            <w:tabs>
              <w:tab w:val="clear" w:pos="8459"/>
              <w:tab w:val="right" w:pos="9026" w:leader="dot"/>
            </w:tabs>
            <w:rPr/>
          </w:pPr>
          <w:hyperlink w:anchor="__RefHeading___Toc6863936_73709187">
            <w:r>
              <w:rPr>
                <w:webHidden/>
                <w:rStyle w:val="IndexLink"/>
              </w:rPr>
              <w:t>2</w:t>
            </w:r>
            <w:r>
              <w:rPr>
                <w:rStyle w:val="IndexLink"/>
                <w:rtl w:val="true"/>
              </w:rPr>
              <w:t xml:space="preserve"> </w:t>
            </w:r>
            <w:r>
              <w:rPr>
                <w:rStyle w:val="IndexLink"/>
                <w:rtl w:val="true"/>
              </w:rPr>
              <w:t>التشيّع تاريخاً وعقيدة</w:t>
            </w:r>
            <w:r>
              <w:rPr>
                <w:rStyle w:val="IndexLink"/>
                <w:rtl w:val="true"/>
              </w:rPr>
              <w:tab/>
            </w:r>
            <w:r>
              <w:rPr>
                <w:rStyle w:val="IndexLink"/>
              </w:rPr>
              <w:t>381</w:t>
            </w:r>
          </w:hyperlink>
        </w:p>
        <w:p>
          <w:pPr>
            <w:pStyle w:val="Contents4"/>
            <w:tabs>
              <w:tab w:val="clear" w:pos="8176"/>
              <w:tab w:val="right" w:pos="9026" w:leader="dot"/>
            </w:tabs>
            <w:rPr/>
          </w:pPr>
          <w:hyperlink w:anchor="__RefHeading___Toc6863938_73709187">
            <w:r>
              <w:rPr>
                <w:webHidden/>
                <w:rStyle w:val="IndexLink"/>
                <w:rtl w:val="true"/>
              </w:rPr>
              <w:t>اشارة</w:t>
            </w:r>
            <w:r>
              <w:rPr>
                <w:rStyle w:val="IndexLink"/>
                <w:rtl w:val="true"/>
              </w:rPr>
              <w:tab/>
            </w:r>
            <w:r>
              <w:rPr>
                <w:rStyle w:val="IndexLink"/>
              </w:rPr>
              <w:t>381</w:t>
            </w:r>
          </w:hyperlink>
        </w:p>
        <w:p>
          <w:pPr>
            <w:pStyle w:val="Contents4"/>
            <w:tabs>
              <w:tab w:val="clear" w:pos="8176"/>
              <w:tab w:val="right" w:pos="9026" w:leader="dot"/>
            </w:tabs>
            <w:rPr/>
          </w:pPr>
          <w:hyperlink w:anchor="__RefHeading___Toc6863940_73709187">
            <w:r>
              <w:rPr>
                <w:webHidden/>
                <w:rStyle w:val="IndexLink"/>
                <w:rtl w:val="true"/>
              </w:rPr>
              <w:t>التسمية من النبي الأعظم صلى الله عليه و آله</w:t>
            </w:r>
            <w:r>
              <w:rPr>
                <w:rStyle w:val="IndexLink"/>
                <w:rtl w:val="true"/>
              </w:rPr>
              <w:tab/>
            </w:r>
            <w:r>
              <w:rPr>
                <w:rStyle w:val="IndexLink"/>
              </w:rPr>
              <w:t>382</w:t>
            </w:r>
          </w:hyperlink>
        </w:p>
        <w:p>
          <w:pPr>
            <w:pStyle w:val="Contents4"/>
            <w:tabs>
              <w:tab w:val="clear" w:pos="8176"/>
              <w:tab w:val="right" w:pos="9026" w:leader="dot"/>
            </w:tabs>
            <w:rPr/>
          </w:pPr>
          <w:hyperlink w:anchor="__RefHeading___Toc6863942_73709187">
            <w:r>
              <w:rPr>
                <w:webHidden/>
                <w:rStyle w:val="IndexLink"/>
                <w:rtl w:val="true"/>
              </w:rPr>
              <w:t>الأُصول المشتركة بين الشيعة والسنّة</w:t>
            </w:r>
            <w:r>
              <w:rPr>
                <w:rStyle w:val="IndexLink"/>
                <w:rtl w:val="true"/>
              </w:rPr>
              <w:tab/>
            </w:r>
            <w:r>
              <w:rPr>
                <w:rStyle w:val="IndexLink"/>
              </w:rPr>
              <w:t>384</w:t>
            </w:r>
          </w:hyperlink>
        </w:p>
        <w:p>
          <w:pPr>
            <w:pStyle w:val="Contents4"/>
            <w:tabs>
              <w:tab w:val="clear" w:pos="8176"/>
              <w:tab w:val="right" w:pos="9026" w:leader="dot"/>
            </w:tabs>
            <w:rPr/>
          </w:pPr>
          <w:hyperlink w:anchor="__RefHeading___Toc6863944_73709187">
            <w:r>
              <w:rPr>
                <w:webHidden/>
                <w:rStyle w:val="IndexLink"/>
                <w:rtl w:val="true"/>
              </w:rPr>
              <w:t>الفوارق بين الإمامية والأشاعرة</w:t>
            </w:r>
            <w:r>
              <w:rPr>
                <w:rStyle w:val="IndexLink"/>
                <w:rtl w:val="true"/>
              </w:rPr>
              <w:tab/>
            </w:r>
            <w:r>
              <w:rPr>
                <w:rStyle w:val="IndexLink"/>
              </w:rPr>
              <w:t>385</w:t>
            </w:r>
          </w:hyperlink>
        </w:p>
        <w:p>
          <w:pPr>
            <w:pStyle w:val="Contents4"/>
            <w:tabs>
              <w:tab w:val="clear" w:pos="8176"/>
              <w:tab w:val="right" w:pos="9026" w:leader="dot"/>
            </w:tabs>
            <w:rPr/>
          </w:pPr>
          <w:hyperlink w:anchor="__RefHeading___Toc6863946_73709187">
            <w:r>
              <w:rPr>
                <w:webHidden/>
                <w:rStyle w:val="IndexLink"/>
                <w:rtl w:val="true"/>
              </w:rPr>
              <w:t>الفوارق بين الشيعة والمعتزلة</w:t>
            </w:r>
            <w:r>
              <w:rPr>
                <w:rStyle w:val="IndexLink"/>
                <w:rtl w:val="true"/>
              </w:rPr>
              <w:tab/>
            </w:r>
            <w:r>
              <w:rPr>
                <w:rStyle w:val="IndexLink"/>
              </w:rPr>
              <w:t>386</w:t>
            </w:r>
          </w:hyperlink>
        </w:p>
        <w:p>
          <w:pPr>
            <w:pStyle w:val="Contents4"/>
            <w:tabs>
              <w:tab w:val="clear" w:pos="8176"/>
              <w:tab w:val="right" w:pos="9026" w:leader="dot"/>
            </w:tabs>
            <w:rPr/>
          </w:pPr>
          <w:hyperlink w:anchor="__RefHeading___Toc6863948_73709187">
            <w:r>
              <w:rPr>
                <w:webHidden/>
                <w:rStyle w:val="IndexLink"/>
                <w:rtl w:val="true"/>
              </w:rPr>
              <w:t>الشيعة الإمامية والأحكام الفرعيّة</w:t>
            </w:r>
            <w:r>
              <w:rPr>
                <w:rStyle w:val="IndexLink"/>
                <w:rtl w:val="true"/>
              </w:rPr>
              <w:tab/>
            </w:r>
            <w:r>
              <w:rPr>
                <w:rStyle w:val="IndexLink"/>
              </w:rPr>
              <w:t>388</w:t>
            </w:r>
          </w:hyperlink>
        </w:p>
        <w:p>
          <w:pPr>
            <w:pStyle w:val="Contents3"/>
            <w:tabs>
              <w:tab w:val="clear" w:pos="8459"/>
              <w:tab w:val="right" w:pos="9026" w:leader="dot"/>
            </w:tabs>
            <w:rPr/>
          </w:pPr>
          <w:hyperlink w:anchor="__RefHeading___Toc6863950_73709187">
            <w:r>
              <w:rPr>
                <w:webHidden/>
                <w:rStyle w:val="IndexLink"/>
              </w:rPr>
              <w:t>3</w:t>
            </w:r>
            <w:r>
              <w:rPr>
                <w:rStyle w:val="IndexLink"/>
                <w:rtl w:val="true"/>
              </w:rPr>
              <w:t xml:space="preserve"> </w:t>
            </w:r>
            <w:r>
              <w:rPr>
                <w:rStyle w:val="IndexLink"/>
                <w:rtl w:val="true"/>
              </w:rPr>
              <w:t>الأواصر العلمية بين علماء الشيعة والسنّة</w:t>
            </w:r>
            <w:r>
              <w:rPr>
                <w:rStyle w:val="IndexLink"/>
                <w:rtl w:val="true"/>
              </w:rPr>
              <w:tab/>
            </w:r>
            <w:r>
              <w:rPr>
                <w:rStyle w:val="IndexLink"/>
              </w:rPr>
              <w:t>390</w:t>
            </w:r>
          </w:hyperlink>
        </w:p>
        <w:p>
          <w:pPr>
            <w:pStyle w:val="Contents4"/>
            <w:tabs>
              <w:tab w:val="clear" w:pos="8176"/>
              <w:tab w:val="right" w:pos="9026" w:leader="dot"/>
            </w:tabs>
            <w:rPr/>
          </w:pPr>
          <w:hyperlink w:anchor="__RefHeading___Toc6863952_73709187">
            <w:r>
              <w:rPr>
                <w:webHidden/>
                <w:rStyle w:val="IndexLink"/>
                <w:rtl w:val="true"/>
              </w:rPr>
              <w:t>اشارة</w:t>
            </w:r>
            <w:r>
              <w:rPr>
                <w:rStyle w:val="IndexLink"/>
                <w:rtl w:val="true"/>
              </w:rPr>
              <w:tab/>
            </w:r>
            <w:r>
              <w:rPr>
                <w:rStyle w:val="IndexLink"/>
              </w:rPr>
              <w:t>390</w:t>
            </w:r>
          </w:hyperlink>
        </w:p>
        <w:p>
          <w:pPr>
            <w:pStyle w:val="Contents4"/>
            <w:tabs>
              <w:tab w:val="clear" w:pos="8176"/>
              <w:tab w:val="right" w:pos="9026" w:leader="dot"/>
            </w:tabs>
            <w:rPr/>
          </w:pPr>
          <w:hyperlink w:anchor="__RefHeading___Toc6863954_73709187">
            <w:r>
              <w:rPr>
                <w:webHidden/>
                <w:rStyle w:val="IndexLink"/>
                <w:rtl w:val="true"/>
              </w:rPr>
              <w:t>مدح القرآن للاتحاد وذمّه للانقسام والتفرّق</w:t>
            </w:r>
            <w:r>
              <w:rPr>
                <w:rStyle w:val="IndexLink"/>
                <w:rtl w:val="true"/>
              </w:rPr>
              <w:tab/>
            </w:r>
            <w:r>
              <w:rPr>
                <w:rStyle w:val="IndexLink"/>
              </w:rPr>
              <w:t>393</w:t>
            </w:r>
          </w:hyperlink>
        </w:p>
        <w:p>
          <w:pPr>
            <w:pStyle w:val="Contents4"/>
            <w:tabs>
              <w:tab w:val="clear" w:pos="8176"/>
              <w:tab w:val="right" w:pos="9026" w:leader="dot"/>
            </w:tabs>
            <w:rPr/>
          </w:pPr>
          <w:hyperlink w:anchor="__RefHeading___Toc6863956_73709187">
            <w:r>
              <w:rPr>
                <w:webHidden/>
                <w:rStyle w:val="IndexLink"/>
                <w:rtl w:val="true"/>
              </w:rPr>
              <w:t>الانسجام والتضامن الإسلامي</w:t>
            </w:r>
            <w:r>
              <w:rPr>
                <w:rStyle w:val="IndexLink"/>
                <w:rtl w:val="true"/>
              </w:rPr>
              <w:tab/>
            </w:r>
            <w:r>
              <w:rPr>
                <w:rStyle w:val="IndexLink"/>
              </w:rPr>
              <w:t>394</w:t>
            </w:r>
          </w:hyperlink>
        </w:p>
        <w:p>
          <w:pPr>
            <w:pStyle w:val="Contents4"/>
            <w:tabs>
              <w:tab w:val="clear" w:pos="8176"/>
              <w:tab w:val="right" w:pos="9026" w:leader="dot"/>
            </w:tabs>
            <w:rPr/>
          </w:pPr>
          <w:hyperlink w:anchor="__RefHeading___Toc6863958_73709187">
            <w:r>
              <w:rPr>
                <w:webHidden/>
                <w:rStyle w:val="IndexLink"/>
                <w:rtl w:val="true"/>
              </w:rPr>
              <w:t>التضامن الإسلامي في ظلال المذاكرة والحوار</w:t>
            </w:r>
            <w:r>
              <w:rPr>
                <w:rStyle w:val="IndexLink"/>
                <w:rtl w:val="true"/>
              </w:rPr>
              <w:tab/>
            </w:r>
            <w:r>
              <w:rPr>
                <w:rStyle w:val="IndexLink"/>
              </w:rPr>
              <w:t>395</w:t>
            </w:r>
          </w:hyperlink>
        </w:p>
        <w:p>
          <w:pPr>
            <w:pStyle w:val="Contents4"/>
            <w:tabs>
              <w:tab w:val="clear" w:pos="8176"/>
              <w:tab w:val="right" w:pos="9026" w:leader="dot"/>
            </w:tabs>
            <w:rPr/>
          </w:pPr>
          <w:hyperlink w:anchor="__RefHeading___Toc6863960_73709187">
            <w:r>
              <w:rPr>
                <w:webHidden/>
                <w:rStyle w:val="IndexLink"/>
                <w:rtl w:val="true"/>
              </w:rPr>
              <w:t>تعاون علماء الفريقين في العصور السابقة</w:t>
            </w:r>
            <w:r>
              <w:rPr>
                <w:rStyle w:val="IndexLink"/>
                <w:rtl w:val="true"/>
              </w:rPr>
              <w:tab/>
            </w:r>
            <w:r>
              <w:rPr>
                <w:rStyle w:val="IndexLink"/>
              </w:rPr>
              <w:t>398</w:t>
            </w:r>
          </w:hyperlink>
        </w:p>
        <w:p>
          <w:pPr>
            <w:pStyle w:val="Contents4"/>
            <w:tabs>
              <w:tab w:val="clear" w:pos="8176"/>
              <w:tab w:val="right" w:pos="9026" w:leader="dot"/>
            </w:tabs>
            <w:rPr/>
          </w:pPr>
          <w:hyperlink w:anchor="__RefHeading___Toc6863962_73709187">
            <w:r>
              <w:rPr>
                <w:webHidden/>
                <w:rStyle w:val="IndexLink"/>
                <w:rtl w:val="true"/>
              </w:rPr>
              <w:t>عصر الصادقين عليهما السلام المنير والتضامن الإسلامي</w:t>
            </w:r>
            <w:r>
              <w:rPr>
                <w:rStyle w:val="IndexLink"/>
                <w:rtl w:val="true"/>
              </w:rPr>
              <w:tab/>
            </w:r>
            <w:r>
              <w:rPr>
                <w:rStyle w:val="IndexLink"/>
              </w:rPr>
              <w:t>398</w:t>
            </w:r>
          </w:hyperlink>
        </w:p>
        <w:p>
          <w:pPr>
            <w:pStyle w:val="Contents4"/>
            <w:tabs>
              <w:tab w:val="clear" w:pos="8176"/>
              <w:tab w:val="right" w:pos="9026" w:leader="dot"/>
            </w:tabs>
            <w:rPr/>
          </w:pPr>
          <w:hyperlink w:anchor="__RefHeading___Toc6863964_73709187">
            <w:r>
              <w:rPr>
                <w:webHidden/>
                <w:rStyle w:val="IndexLink"/>
              </w:rPr>
              <w:t>1</w:t>
            </w:r>
            <w:r>
              <w:rPr>
                <w:rStyle w:val="IndexLink"/>
                <w:rtl w:val="true"/>
              </w:rPr>
              <w:t xml:space="preserve">. </w:t>
            </w:r>
            <w:r>
              <w:rPr>
                <w:rStyle w:val="IndexLink"/>
                <w:rtl w:val="true"/>
              </w:rPr>
              <w:t>الكليني في بعلبك</w:t>
            </w:r>
            <w:r>
              <w:rPr>
                <w:rStyle w:val="IndexLink"/>
                <w:rtl w:val="true"/>
              </w:rPr>
              <w:tab/>
            </w:r>
            <w:r>
              <w:rPr>
                <w:rStyle w:val="IndexLink"/>
              </w:rPr>
              <w:t>400</w:t>
            </w:r>
          </w:hyperlink>
        </w:p>
        <w:p>
          <w:pPr>
            <w:pStyle w:val="Contents4"/>
            <w:tabs>
              <w:tab w:val="clear" w:pos="8176"/>
              <w:tab w:val="right" w:pos="9026" w:leader="dot"/>
            </w:tabs>
            <w:rPr/>
          </w:pPr>
          <w:hyperlink w:anchor="__RefHeading___Toc6863966_73709187">
            <w:r>
              <w:rPr>
                <w:webHidden/>
                <w:rStyle w:val="IndexLink"/>
              </w:rPr>
              <w:t>2</w:t>
            </w:r>
            <w:r>
              <w:rPr>
                <w:rStyle w:val="IndexLink"/>
                <w:rtl w:val="true"/>
              </w:rPr>
              <w:t xml:space="preserve">. </w:t>
            </w:r>
            <w:r>
              <w:rPr>
                <w:rStyle w:val="IndexLink"/>
                <w:rtl w:val="true"/>
              </w:rPr>
              <w:t>الشيخ الصدوق في بلاد ماوراء النهر</w:t>
            </w:r>
            <w:r>
              <w:rPr>
                <w:rStyle w:val="IndexLink"/>
                <w:rtl w:val="true"/>
              </w:rPr>
              <w:tab/>
            </w:r>
            <w:r>
              <w:rPr>
                <w:rStyle w:val="IndexLink"/>
              </w:rPr>
              <w:t>400</w:t>
            </w:r>
          </w:hyperlink>
        </w:p>
        <w:p>
          <w:pPr>
            <w:pStyle w:val="Contents4"/>
            <w:tabs>
              <w:tab w:val="clear" w:pos="8176"/>
              <w:tab w:val="right" w:pos="9026" w:leader="dot"/>
            </w:tabs>
            <w:rPr/>
          </w:pPr>
          <w:hyperlink w:anchor="__RefHeading___Toc6863968_73709187">
            <w:r>
              <w:rPr>
                <w:webHidden/>
                <w:rStyle w:val="IndexLink"/>
              </w:rPr>
              <w:t>3</w:t>
            </w:r>
            <w:r>
              <w:rPr>
                <w:rStyle w:val="IndexLink"/>
                <w:rtl w:val="true"/>
              </w:rPr>
              <w:t xml:space="preserve">. </w:t>
            </w:r>
            <w:r>
              <w:rPr>
                <w:rStyle w:val="IndexLink"/>
                <w:rtl w:val="true"/>
              </w:rPr>
              <w:t>الشيخ المفيد في بغداد</w:t>
            </w:r>
            <w:r>
              <w:rPr>
                <w:rStyle w:val="IndexLink"/>
                <w:rtl w:val="true"/>
              </w:rPr>
              <w:tab/>
            </w:r>
            <w:r>
              <w:rPr>
                <w:rStyle w:val="IndexLink"/>
              </w:rPr>
              <w:t>401</w:t>
            </w:r>
          </w:hyperlink>
        </w:p>
        <w:p>
          <w:pPr>
            <w:pStyle w:val="Contents4"/>
            <w:tabs>
              <w:tab w:val="clear" w:pos="8176"/>
              <w:tab w:val="right" w:pos="9026" w:leader="dot"/>
            </w:tabs>
            <w:rPr/>
          </w:pPr>
          <w:hyperlink w:anchor="__RefHeading___Toc6863970_73709187">
            <w:r>
              <w:rPr>
                <w:webHidden/>
                <w:rStyle w:val="IndexLink"/>
              </w:rPr>
              <w:t>4</w:t>
            </w:r>
            <w:r>
              <w:rPr>
                <w:rStyle w:val="IndexLink"/>
                <w:rtl w:val="true"/>
              </w:rPr>
              <w:t xml:space="preserve">. </w:t>
            </w:r>
            <w:r>
              <w:rPr>
                <w:rStyle w:val="IndexLink"/>
                <w:rtl w:val="true"/>
              </w:rPr>
              <w:t>الشريف المرتضى زعيم أهل العراق</w:t>
            </w:r>
            <w:r>
              <w:rPr>
                <w:rStyle w:val="IndexLink"/>
                <w:rtl w:val="true"/>
              </w:rPr>
              <w:tab/>
            </w:r>
            <w:r>
              <w:rPr>
                <w:rStyle w:val="IndexLink"/>
              </w:rPr>
              <w:t>402</w:t>
            </w:r>
          </w:hyperlink>
        </w:p>
        <w:p>
          <w:pPr>
            <w:pStyle w:val="Contents4"/>
            <w:tabs>
              <w:tab w:val="clear" w:pos="8176"/>
              <w:tab w:val="right" w:pos="9026" w:leader="dot"/>
            </w:tabs>
            <w:rPr/>
          </w:pPr>
          <w:hyperlink w:anchor="__RefHeading___Toc6863972_73709187">
            <w:r>
              <w:rPr>
                <w:webHidden/>
                <w:rStyle w:val="IndexLink"/>
              </w:rPr>
              <w:t>5</w:t>
            </w:r>
            <w:r>
              <w:rPr>
                <w:rStyle w:val="IndexLink"/>
                <w:rtl w:val="true"/>
              </w:rPr>
              <w:t xml:space="preserve">. </w:t>
            </w:r>
            <w:r>
              <w:rPr>
                <w:rStyle w:val="IndexLink"/>
                <w:rtl w:val="true"/>
              </w:rPr>
              <w:t>الشيخ الطوسي وكرسيّ التدريس</w:t>
            </w:r>
            <w:r>
              <w:rPr>
                <w:rStyle w:val="IndexLink"/>
                <w:rtl w:val="true"/>
              </w:rPr>
              <w:tab/>
            </w:r>
            <w:r>
              <w:rPr>
                <w:rStyle w:val="IndexLink"/>
              </w:rPr>
              <w:t>402</w:t>
            </w:r>
          </w:hyperlink>
        </w:p>
        <w:p>
          <w:pPr>
            <w:pStyle w:val="Contents4"/>
            <w:tabs>
              <w:tab w:val="clear" w:pos="8176"/>
              <w:tab w:val="right" w:pos="9026" w:leader="dot"/>
            </w:tabs>
            <w:rPr/>
          </w:pPr>
          <w:hyperlink w:anchor="__RefHeading___Toc6863974_73709187">
            <w:r>
              <w:rPr>
                <w:webHidden/>
                <w:rStyle w:val="IndexLink"/>
              </w:rPr>
              <w:t>6</w:t>
            </w:r>
            <w:r>
              <w:rPr>
                <w:rStyle w:val="IndexLink"/>
                <w:rtl w:val="true"/>
              </w:rPr>
              <w:t xml:space="preserve">. </w:t>
            </w:r>
            <w:r>
              <w:rPr>
                <w:rStyle w:val="IndexLink"/>
                <w:rtl w:val="true"/>
              </w:rPr>
              <w:t>ابن إدريس الحلّي والتعاون مع الفقيه الشافعي</w:t>
            </w:r>
            <w:r>
              <w:rPr>
                <w:rStyle w:val="IndexLink"/>
                <w:rtl w:val="true"/>
              </w:rPr>
              <w:tab/>
            </w:r>
            <w:r>
              <w:rPr>
                <w:rStyle w:val="IndexLink"/>
              </w:rPr>
              <w:t>402</w:t>
            </w:r>
          </w:hyperlink>
        </w:p>
        <w:p>
          <w:pPr>
            <w:pStyle w:val="Contents4"/>
            <w:tabs>
              <w:tab w:val="clear" w:pos="8176"/>
              <w:tab w:val="right" w:pos="9026" w:leader="dot"/>
            </w:tabs>
            <w:rPr/>
          </w:pPr>
          <w:hyperlink w:anchor="__RefHeading___Toc6863976_73709187">
            <w:r>
              <w:rPr>
                <w:webHidden/>
                <w:rStyle w:val="IndexLink"/>
              </w:rPr>
              <w:t>7</w:t>
            </w:r>
            <w:r>
              <w:rPr>
                <w:rStyle w:val="IndexLink"/>
                <w:rtl w:val="true"/>
              </w:rPr>
              <w:t xml:space="preserve">. </w:t>
            </w:r>
            <w:r>
              <w:rPr>
                <w:rStyle w:val="IndexLink"/>
                <w:rtl w:val="true"/>
              </w:rPr>
              <w:t>الشيخ منتجب الدين الرازي ومديح الرافعي القزويني</w:t>
            </w:r>
            <w:r>
              <w:rPr>
                <w:rStyle w:val="IndexLink"/>
                <w:rtl w:val="true"/>
              </w:rPr>
              <w:tab/>
            </w:r>
            <w:r>
              <w:rPr>
                <w:rStyle w:val="IndexLink"/>
              </w:rPr>
              <w:t>403</w:t>
            </w:r>
          </w:hyperlink>
        </w:p>
        <w:p>
          <w:pPr>
            <w:pStyle w:val="Contents4"/>
            <w:tabs>
              <w:tab w:val="clear" w:pos="8176"/>
              <w:tab w:val="right" w:pos="9026" w:leader="dot"/>
            </w:tabs>
            <w:rPr/>
          </w:pPr>
          <w:hyperlink w:anchor="__RefHeading___Toc6863978_73709187">
            <w:r>
              <w:rPr>
                <w:webHidden/>
                <w:rStyle w:val="IndexLink"/>
              </w:rPr>
              <w:t>8</w:t>
            </w:r>
            <w:r>
              <w:rPr>
                <w:rStyle w:val="IndexLink"/>
                <w:rtl w:val="true"/>
              </w:rPr>
              <w:t xml:space="preserve">. </w:t>
            </w:r>
            <w:r>
              <w:rPr>
                <w:rStyle w:val="IndexLink"/>
                <w:rtl w:val="true"/>
              </w:rPr>
              <w:t>فخر المحقّقين ومديح صاحب القاموس</w:t>
            </w:r>
            <w:r>
              <w:rPr>
                <w:rStyle w:val="IndexLink"/>
                <w:rtl w:val="true"/>
              </w:rPr>
              <w:tab/>
            </w:r>
            <w:r>
              <w:rPr>
                <w:rStyle w:val="IndexLink"/>
              </w:rPr>
              <w:t>403</w:t>
            </w:r>
          </w:hyperlink>
        </w:p>
        <w:p>
          <w:pPr>
            <w:pStyle w:val="Contents4"/>
            <w:tabs>
              <w:tab w:val="clear" w:pos="8176"/>
              <w:tab w:val="right" w:pos="9026" w:leader="dot"/>
            </w:tabs>
            <w:rPr/>
          </w:pPr>
          <w:hyperlink w:anchor="__RefHeading___Toc6863980_73709187">
            <w:r>
              <w:rPr>
                <w:webHidden/>
                <w:rStyle w:val="IndexLink"/>
              </w:rPr>
              <w:t>9</w:t>
            </w:r>
            <w:r>
              <w:rPr>
                <w:rStyle w:val="IndexLink"/>
                <w:rtl w:val="true"/>
              </w:rPr>
              <w:t xml:space="preserve">. </w:t>
            </w:r>
            <w:r>
              <w:rPr>
                <w:rStyle w:val="IndexLink"/>
                <w:rtl w:val="true"/>
              </w:rPr>
              <w:t>الخواجه نصير الدين الطوسي ونجاة العلماء</w:t>
            </w:r>
            <w:r>
              <w:rPr>
                <w:rStyle w:val="IndexLink"/>
                <w:rtl w:val="true"/>
              </w:rPr>
              <w:tab/>
            </w:r>
            <w:r>
              <w:rPr>
                <w:rStyle w:val="IndexLink"/>
              </w:rPr>
              <w:t>404</w:t>
            </w:r>
          </w:hyperlink>
        </w:p>
        <w:p>
          <w:pPr>
            <w:pStyle w:val="Contents4"/>
            <w:tabs>
              <w:tab w:val="clear" w:pos="8176"/>
              <w:tab w:val="right" w:pos="9026" w:leader="dot"/>
            </w:tabs>
            <w:rPr/>
          </w:pPr>
          <w:hyperlink w:anchor="__RefHeading___Toc6863982_73709187">
            <w:r>
              <w:rPr>
                <w:webHidden/>
                <w:rStyle w:val="IndexLink"/>
              </w:rPr>
              <w:t>10</w:t>
            </w:r>
            <w:r>
              <w:rPr>
                <w:rStyle w:val="IndexLink"/>
                <w:rtl w:val="true"/>
              </w:rPr>
              <w:t xml:space="preserve">. </w:t>
            </w:r>
            <w:r>
              <w:rPr>
                <w:rStyle w:val="IndexLink"/>
                <w:rtl w:val="true"/>
              </w:rPr>
              <w:t>العلّامة الحلّي ومختصر ابن الحاجب</w:t>
            </w:r>
            <w:r>
              <w:rPr>
                <w:rStyle w:val="IndexLink"/>
                <w:rtl w:val="true"/>
              </w:rPr>
              <w:tab/>
            </w:r>
            <w:r>
              <w:rPr>
                <w:rStyle w:val="IndexLink"/>
              </w:rPr>
              <w:t>406</w:t>
            </w:r>
          </w:hyperlink>
        </w:p>
        <w:p>
          <w:pPr>
            <w:pStyle w:val="Contents4"/>
            <w:tabs>
              <w:tab w:val="clear" w:pos="8176"/>
              <w:tab w:val="right" w:pos="9026" w:leader="dot"/>
            </w:tabs>
            <w:rPr/>
          </w:pPr>
          <w:hyperlink w:anchor="__RefHeading___Toc6863984_73709187">
            <w:r>
              <w:rPr>
                <w:webHidden/>
                <w:rStyle w:val="IndexLink"/>
                <w:rtl w:val="true"/>
              </w:rPr>
              <w:t>دار التقريب ودورها في تقارب المذاهب</w:t>
            </w:r>
            <w:r>
              <w:rPr>
                <w:rStyle w:val="IndexLink"/>
                <w:rtl w:val="true"/>
              </w:rPr>
              <w:tab/>
            </w:r>
            <w:r>
              <w:rPr>
                <w:rStyle w:val="IndexLink"/>
              </w:rPr>
              <w:t>421</w:t>
            </w:r>
          </w:hyperlink>
        </w:p>
        <w:p>
          <w:pPr>
            <w:pStyle w:val="Contents4"/>
            <w:tabs>
              <w:tab w:val="clear" w:pos="8176"/>
              <w:tab w:val="right" w:pos="9026" w:leader="dot"/>
            </w:tabs>
            <w:rPr/>
          </w:pPr>
          <w:hyperlink w:anchor="__RefHeading___Toc6863986_73709187">
            <w:r>
              <w:rPr>
                <w:webHidden/>
                <w:rStyle w:val="IndexLink"/>
                <w:rtl w:val="true"/>
              </w:rPr>
              <w:t>السلفية الوهابية</w:t>
            </w:r>
            <w:r>
              <w:rPr>
                <w:rStyle w:val="IndexLink"/>
                <w:rtl w:val="true"/>
              </w:rPr>
              <w:tab/>
            </w:r>
            <w:r>
              <w:rPr>
                <w:rStyle w:val="IndexLink"/>
              </w:rPr>
              <w:t>423</w:t>
            </w:r>
          </w:hyperlink>
        </w:p>
        <w:p>
          <w:pPr>
            <w:pStyle w:val="Contents4"/>
            <w:tabs>
              <w:tab w:val="clear" w:pos="8176"/>
              <w:tab w:val="right" w:pos="9026" w:leader="dot"/>
            </w:tabs>
            <w:rPr/>
          </w:pPr>
          <w:hyperlink w:anchor="__RefHeading___Toc6863988_73709187">
            <w:r>
              <w:rPr>
                <w:webHidden/>
                <w:rStyle w:val="IndexLink"/>
                <w:rtl w:val="true"/>
              </w:rPr>
              <w:t>حفظ الأصالة</w:t>
            </w:r>
            <w:r>
              <w:rPr>
                <w:rStyle w:val="IndexLink"/>
                <w:rtl w:val="true"/>
              </w:rPr>
              <w:tab/>
            </w:r>
            <w:r>
              <w:rPr>
                <w:rStyle w:val="IndexLink"/>
              </w:rPr>
              <w:t>427</w:t>
            </w:r>
          </w:hyperlink>
        </w:p>
        <w:p>
          <w:pPr>
            <w:pStyle w:val="Contents3"/>
            <w:tabs>
              <w:tab w:val="clear" w:pos="8459"/>
              <w:tab w:val="right" w:pos="9026" w:leader="dot"/>
            </w:tabs>
            <w:rPr/>
          </w:pPr>
          <w:hyperlink w:anchor="__RefHeading___Toc6863990_73709187">
            <w:r>
              <w:rPr>
                <w:webHidden/>
                <w:rStyle w:val="IndexLink"/>
              </w:rPr>
              <w:t>4</w:t>
            </w:r>
            <w:r>
              <w:rPr>
                <w:rStyle w:val="IndexLink"/>
                <w:rtl w:val="true"/>
              </w:rPr>
              <w:t xml:space="preserve"> </w:t>
            </w:r>
            <w:r>
              <w:rPr>
                <w:rStyle w:val="IndexLink"/>
                <w:rtl w:val="true"/>
              </w:rPr>
              <w:t>رسالة مفتوحة إلى الشيخ يوسف القرضاوي</w:t>
            </w:r>
            <w:r>
              <w:rPr>
                <w:rStyle w:val="IndexLink"/>
                <w:rtl w:val="true"/>
              </w:rPr>
              <w:tab/>
            </w:r>
            <w:r>
              <w:rPr>
                <w:rStyle w:val="IndexLink"/>
              </w:rPr>
              <w:t>428</w:t>
            </w:r>
          </w:hyperlink>
        </w:p>
        <w:p>
          <w:pPr>
            <w:pStyle w:val="Contents4"/>
            <w:tabs>
              <w:tab w:val="clear" w:pos="8176"/>
              <w:tab w:val="right" w:pos="9026" w:leader="dot"/>
            </w:tabs>
            <w:rPr/>
          </w:pPr>
          <w:hyperlink w:anchor="__RefHeading___Toc6863992_73709187">
            <w:r>
              <w:rPr>
                <w:webHidden/>
                <w:rStyle w:val="IndexLink"/>
                <w:rtl w:val="true"/>
              </w:rPr>
              <w:t>اشارة</w:t>
            </w:r>
            <w:r>
              <w:rPr>
                <w:rStyle w:val="IndexLink"/>
                <w:rtl w:val="true"/>
              </w:rPr>
              <w:tab/>
            </w:r>
            <w:r>
              <w:rPr>
                <w:rStyle w:val="IndexLink"/>
              </w:rPr>
              <w:t>428</w:t>
            </w:r>
          </w:hyperlink>
        </w:p>
        <w:p>
          <w:pPr>
            <w:pStyle w:val="Contents4"/>
            <w:tabs>
              <w:tab w:val="clear" w:pos="8176"/>
              <w:tab w:val="right" w:pos="9026" w:leader="dot"/>
            </w:tabs>
            <w:rPr/>
          </w:pPr>
          <w:hyperlink w:anchor="__RefHeading___Toc6863994_73709187">
            <w:r>
              <w:rPr>
                <w:webHidden/>
                <w:rStyle w:val="IndexLink"/>
                <w:rtl w:val="true"/>
              </w:rPr>
              <w:t>الأُولى</w:t>
            </w:r>
            <w:r>
              <w:rPr>
                <w:rStyle w:val="IndexLink"/>
                <w:rtl w:val="true"/>
              </w:rPr>
              <w:t xml:space="preserve">: </w:t>
            </w:r>
            <w:r>
              <w:rPr>
                <w:rStyle w:val="IndexLink"/>
                <w:rtl w:val="true"/>
              </w:rPr>
              <w:t>البدع النظرية</w:t>
            </w:r>
            <w:r>
              <w:rPr>
                <w:rStyle w:val="IndexLink"/>
                <w:rtl w:val="true"/>
              </w:rPr>
              <w:tab/>
            </w:r>
            <w:r>
              <w:rPr>
                <w:rStyle w:val="IndexLink"/>
              </w:rPr>
              <w:t>433</w:t>
            </w:r>
          </w:hyperlink>
        </w:p>
        <w:p>
          <w:pPr>
            <w:pStyle w:val="Contents5"/>
            <w:tabs>
              <w:tab w:val="clear" w:pos="7892"/>
              <w:tab w:val="right" w:pos="9026" w:leader="dot"/>
            </w:tabs>
            <w:rPr/>
          </w:pPr>
          <w:hyperlink w:anchor="__RefHeading___Toc6863996_73709187">
            <w:r>
              <w:rPr>
                <w:webHidden/>
                <w:rStyle w:val="IndexLink"/>
              </w:rPr>
              <w:t>1</w:t>
            </w:r>
            <w:r>
              <w:rPr>
                <w:rStyle w:val="IndexLink"/>
                <w:rtl w:val="true"/>
              </w:rPr>
              <w:t xml:space="preserve">. </w:t>
            </w:r>
            <w:r>
              <w:rPr>
                <w:rStyle w:val="IndexLink"/>
                <w:rtl w:val="true"/>
              </w:rPr>
              <w:t>ادّعاء الوصية لأمير المؤمنين</w:t>
            </w:r>
            <w:r>
              <w:rPr>
                <w:rStyle w:val="IndexLink"/>
                <w:rtl w:val="true"/>
              </w:rPr>
              <w:tab/>
            </w:r>
            <w:r>
              <w:rPr>
                <w:rStyle w:val="IndexLink"/>
              </w:rPr>
              <w:t>433</w:t>
            </w:r>
          </w:hyperlink>
        </w:p>
        <w:p>
          <w:pPr>
            <w:pStyle w:val="Contents5"/>
            <w:tabs>
              <w:tab w:val="clear" w:pos="7892"/>
              <w:tab w:val="right" w:pos="9026" w:leader="dot"/>
            </w:tabs>
            <w:rPr/>
          </w:pPr>
          <w:hyperlink w:anchor="__RefHeading___Toc6863998_73709187">
            <w:r>
              <w:rPr>
                <w:webHidden/>
                <w:rStyle w:val="IndexLink"/>
              </w:rPr>
              <w:t>2</w:t>
            </w:r>
            <w:r>
              <w:rPr>
                <w:rStyle w:val="IndexLink"/>
                <w:rtl w:val="true"/>
              </w:rPr>
              <w:t xml:space="preserve">. </w:t>
            </w:r>
            <w:r>
              <w:rPr>
                <w:rStyle w:val="IndexLink"/>
                <w:rtl w:val="true"/>
              </w:rPr>
              <w:t>العلم بالغيب</w:t>
            </w:r>
            <w:r>
              <w:rPr>
                <w:rStyle w:val="IndexLink"/>
                <w:rtl w:val="true"/>
              </w:rPr>
              <w:tab/>
            </w:r>
            <w:r>
              <w:rPr>
                <w:rStyle w:val="IndexLink"/>
              </w:rPr>
              <w:t>436</w:t>
            </w:r>
          </w:hyperlink>
        </w:p>
        <w:p>
          <w:pPr>
            <w:pStyle w:val="Contents5"/>
            <w:tabs>
              <w:tab w:val="clear" w:pos="7892"/>
              <w:tab w:val="right" w:pos="9026" w:leader="dot"/>
            </w:tabs>
            <w:rPr/>
          </w:pPr>
          <w:hyperlink w:anchor="__RefHeading___Toc6864000_73709187">
            <w:r>
              <w:rPr>
                <w:webHidden/>
                <w:rStyle w:val="IndexLink"/>
              </w:rPr>
              <w:t>3</w:t>
            </w:r>
            <w:r>
              <w:rPr>
                <w:rStyle w:val="IndexLink"/>
                <w:rtl w:val="true"/>
              </w:rPr>
              <w:t xml:space="preserve">. </w:t>
            </w:r>
            <w:r>
              <w:rPr>
                <w:rStyle w:val="IndexLink"/>
                <w:rtl w:val="true"/>
              </w:rPr>
              <w:t>عصمة العترة</w:t>
            </w:r>
            <w:r>
              <w:rPr>
                <w:rStyle w:val="IndexLink"/>
                <w:rtl w:val="true"/>
              </w:rPr>
              <w:tab/>
            </w:r>
            <w:r>
              <w:rPr>
                <w:rStyle w:val="IndexLink"/>
              </w:rPr>
              <w:t>437</w:t>
            </w:r>
          </w:hyperlink>
        </w:p>
        <w:p>
          <w:pPr>
            <w:pStyle w:val="Contents5"/>
            <w:tabs>
              <w:tab w:val="clear" w:pos="7892"/>
              <w:tab w:val="right" w:pos="9026" w:leader="dot"/>
            </w:tabs>
            <w:rPr/>
          </w:pPr>
          <w:hyperlink w:anchor="__RefHeading___Toc6864002_73709187">
            <w:r>
              <w:rPr>
                <w:webHidden/>
                <w:rStyle w:val="IndexLink"/>
              </w:rPr>
              <w:t>4</w:t>
            </w:r>
            <w:r>
              <w:rPr>
                <w:rStyle w:val="IndexLink"/>
                <w:rtl w:val="true"/>
              </w:rPr>
              <w:t xml:space="preserve">. </w:t>
            </w:r>
            <w:r>
              <w:rPr>
                <w:rStyle w:val="IndexLink"/>
                <w:rtl w:val="true"/>
              </w:rPr>
              <w:t>سب الصحابة</w:t>
            </w:r>
            <w:r>
              <w:rPr>
                <w:rStyle w:val="IndexLink"/>
                <w:rtl w:val="true"/>
              </w:rPr>
              <w:tab/>
            </w:r>
            <w:r>
              <w:rPr>
                <w:rStyle w:val="IndexLink"/>
              </w:rPr>
              <w:t>438</w:t>
            </w:r>
          </w:hyperlink>
        </w:p>
        <w:p>
          <w:pPr>
            <w:pStyle w:val="Contents4"/>
            <w:tabs>
              <w:tab w:val="clear" w:pos="8176"/>
              <w:tab w:val="right" w:pos="9026" w:leader="dot"/>
            </w:tabs>
            <w:rPr/>
          </w:pPr>
          <w:hyperlink w:anchor="__RefHeading___Toc6864004_73709187">
            <w:r>
              <w:rPr>
                <w:webHidden/>
                <w:rStyle w:val="IndexLink"/>
                <w:rtl w:val="true"/>
              </w:rPr>
              <w:t>الثانية</w:t>
            </w:r>
            <w:r>
              <w:rPr>
                <w:rStyle w:val="IndexLink"/>
                <w:rtl w:val="true"/>
              </w:rPr>
              <w:t xml:space="preserve">: </w:t>
            </w:r>
            <w:r>
              <w:rPr>
                <w:rStyle w:val="IndexLink"/>
                <w:rtl w:val="true"/>
              </w:rPr>
              <w:t>البدع العملية</w:t>
            </w:r>
            <w:r>
              <w:rPr>
                <w:rStyle w:val="IndexLink"/>
                <w:rtl w:val="true"/>
              </w:rPr>
              <w:tab/>
            </w:r>
            <w:r>
              <w:rPr>
                <w:rStyle w:val="IndexLink"/>
              </w:rPr>
              <w:t>440</w:t>
            </w:r>
          </w:hyperlink>
        </w:p>
        <w:p>
          <w:pPr>
            <w:pStyle w:val="Contents5"/>
            <w:tabs>
              <w:tab w:val="clear" w:pos="7892"/>
              <w:tab w:val="right" w:pos="9026" w:leader="dot"/>
            </w:tabs>
            <w:rPr/>
          </w:pPr>
          <w:hyperlink w:anchor="__RefHeading___Toc6864006_73709187">
            <w:r>
              <w:rPr>
                <w:webHidden/>
                <w:rStyle w:val="IndexLink"/>
              </w:rPr>
              <w:t>1</w:t>
            </w:r>
            <w:r>
              <w:rPr>
                <w:rStyle w:val="IndexLink"/>
                <w:rtl w:val="true"/>
              </w:rPr>
              <w:t xml:space="preserve">. </w:t>
            </w:r>
            <w:r>
              <w:rPr>
                <w:rStyle w:val="IndexLink"/>
                <w:rtl w:val="true"/>
              </w:rPr>
              <w:t>تجديد مأساة الحسين عليه السلام كل عام</w:t>
            </w:r>
            <w:r>
              <w:rPr>
                <w:rStyle w:val="IndexLink"/>
                <w:rtl w:val="true"/>
              </w:rPr>
              <w:tab/>
            </w:r>
            <w:r>
              <w:rPr>
                <w:rStyle w:val="IndexLink"/>
              </w:rPr>
              <w:t>440</w:t>
            </w:r>
          </w:hyperlink>
        </w:p>
        <w:p>
          <w:pPr>
            <w:pStyle w:val="Contents5"/>
            <w:tabs>
              <w:tab w:val="clear" w:pos="7892"/>
              <w:tab w:val="right" w:pos="9026" w:leader="dot"/>
            </w:tabs>
            <w:rPr/>
          </w:pPr>
          <w:hyperlink w:anchor="__RefHeading___Toc6864008_73709187">
            <w:r>
              <w:rPr>
                <w:webHidden/>
                <w:rStyle w:val="IndexLink"/>
              </w:rPr>
              <w:t>2</w:t>
            </w:r>
            <w:r>
              <w:rPr>
                <w:rStyle w:val="IndexLink"/>
                <w:rtl w:val="true"/>
              </w:rPr>
              <w:t xml:space="preserve">. </w:t>
            </w:r>
            <w:r>
              <w:rPr>
                <w:rStyle w:val="IndexLink"/>
                <w:rtl w:val="true"/>
              </w:rPr>
              <w:t>ما يحدث عند مزارات آل البيت من شركيات</w:t>
            </w:r>
            <w:r>
              <w:rPr>
                <w:rStyle w:val="IndexLink"/>
                <w:rtl w:val="true"/>
              </w:rPr>
              <w:tab/>
            </w:r>
            <w:r>
              <w:rPr>
                <w:rStyle w:val="IndexLink"/>
              </w:rPr>
              <w:t>441</w:t>
            </w:r>
          </w:hyperlink>
        </w:p>
        <w:p>
          <w:pPr>
            <w:pStyle w:val="Contents3"/>
            <w:tabs>
              <w:tab w:val="clear" w:pos="8459"/>
              <w:tab w:val="right" w:pos="9026" w:leader="dot"/>
            </w:tabs>
            <w:rPr/>
          </w:pPr>
          <w:hyperlink w:anchor="__RefHeading___Toc6864010_73709187">
            <w:r>
              <w:rPr>
                <w:webHidden/>
                <w:rStyle w:val="IndexLink"/>
              </w:rPr>
              <w:t>5</w:t>
            </w:r>
            <w:r>
              <w:rPr>
                <w:rStyle w:val="IndexLink"/>
                <w:rtl w:val="true"/>
              </w:rPr>
              <w:t xml:space="preserve"> </w:t>
            </w:r>
            <w:r>
              <w:rPr>
                <w:rStyle w:val="IndexLink"/>
                <w:rtl w:val="true"/>
              </w:rPr>
              <w:t>رسالة إلى الدكتور عيسى بن مانع الحميري</w:t>
            </w:r>
            <w:r>
              <w:rPr>
                <w:rStyle w:val="IndexLink"/>
                <w:rtl w:val="true"/>
              </w:rPr>
              <w:tab/>
            </w:r>
            <w:r>
              <w:rPr>
                <w:rStyle w:val="IndexLink"/>
              </w:rPr>
              <w:t>444</w:t>
            </w:r>
          </w:hyperlink>
        </w:p>
        <w:p>
          <w:pPr>
            <w:pStyle w:val="Contents3"/>
            <w:tabs>
              <w:tab w:val="clear" w:pos="8459"/>
              <w:tab w:val="right" w:pos="9026" w:leader="dot"/>
            </w:tabs>
            <w:rPr/>
          </w:pPr>
          <w:hyperlink w:anchor="__RefHeading___Toc6864012_73709187">
            <w:r>
              <w:rPr>
                <w:webHidden/>
                <w:rStyle w:val="IndexLink"/>
              </w:rPr>
              <w:t>6</w:t>
            </w:r>
            <w:r>
              <w:rPr>
                <w:rStyle w:val="IndexLink"/>
                <w:rtl w:val="true"/>
              </w:rPr>
              <w:t xml:space="preserve"> </w:t>
            </w:r>
            <w:r>
              <w:rPr>
                <w:rStyle w:val="IndexLink"/>
                <w:rtl w:val="true"/>
              </w:rPr>
              <w:t>رسالة إلى الدكتور عبدالرحمن الصالح المحمود</w:t>
            </w:r>
            <w:r>
              <w:rPr>
                <w:rStyle w:val="IndexLink"/>
                <w:rtl w:val="true"/>
              </w:rPr>
              <w:tab/>
            </w:r>
            <w:r>
              <w:rPr>
                <w:rStyle w:val="IndexLink"/>
              </w:rPr>
              <w:t>449</w:t>
            </w:r>
          </w:hyperlink>
        </w:p>
        <w:p>
          <w:pPr>
            <w:pStyle w:val="Contents3"/>
            <w:tabs>
              <w:tab w:val="clear" w:pos="8459"/>
              <w:tab w:val="right" w:pos="9026" w:leader="dot"/>
            </w:tabs>
            <w:rPr/>
          </w:pPr>
          <w:hyperlink w:anchor="__RefHeading___Toc6864014_73709187">
            <w:r>
              <w:rPr>
                <w:webHidden/>
                <w:rStyle w:val="IndexLink"/>
              </w:rPr>
              <w:t>7</w:t>
            </w:r>
            <w:r>
              <w:rPr>
                <w:rStyle w:val="IndexLink"/>
                <w:rtl w:val="true"/>
              </w:rPr>
              <w:t xml:space="preserve"> </w:t>
            </w:r>
            <w:r>
              <w:rPr>
                <w:rStyle w:val="IndexLink"/>
                <w:rtl w:val="true"/>
              </w:rPr>
              <w:t>الاحتفال بالمولد النبويّ الشريف</w:t>
            </w:r>
            <w:r>
              <w:rPr>
                <w:rStyle w:val="IndexLink"/>
                <w:rtl w:val="true"/>
              </w:rPr>
              <w:tab/>
            </w:r>
            <w:r>
              <w:rPr>
                <w:rStyle w:val="IndexLink"/>
              </w:rPr>
              <w:t>458</w:t>
            </w:r>
          </w:hyperlink>
        </w:p>
        <w:p>
          <w:pPr>
            <w:pStyle w:val="Contents4"/>
            <w:tabs>
              <w:tab w:val="clear" w:pos="8176"/>
              <w:tab w:val="right" w:pos="9026" w:leader="dot"/>
            </w:tabs>
            <w:rPr/>
          </w:pPr>
          <w:hyperlink w:anchor="__RefHeading___Toc6864016_73709187">
            <w:r>
              <w:rPr>
                <w:webHidden/>
                <w:rStyle w:val="IndexLink"/>
                <w:rtl w:val="true"/>
              </w:rPr>
              <w:t>اشارة</w:t>
            </w:r>
            <w:r>
              <w:rPr>
                <w:rStyle w:val="IndexLink"/>
                <w:rtl w:val="true"/>
              </w:rPr>
              <w:tab/>
            </w:r>
            <w:r>
              <w:rPr>
                <w:rStyle w:val="IndexLink"/>
              </w:rPr>
              <w:t>458</w:t>
            </w:r>
          </w:hyperlink>
        </w:p>
        <w:p>
          <w:pPr>
            <w:pStyle w:val="Contents4"/>
            <w:tabs>
              <w:tab w:val="clear" w:pos="8176"/>
              <w:tab w:val="right" w:pos="9026" w:leader="dot"/>
            </w:tabs>
            <w:rPr/>
          </w:pPr>
          <w:hyperlink w:anchor="__RefHeading___Toc6864018_73709187">
            <w:r>
              <w:rPr>
                <w:webHidden/>
                <w:rStyle w:val="IndexLink"/>
                <w:rtl w:val="true"/>
              </w:rPr>
              <w:t>البدعة في اللغة والشرع</w:t>
            </w:r>
            <w:r>
              <w:rPr>
                <w:rStyle w:val="IndexLink"/>
                <w:rtl w:val="true"/>
              </w:rPr>
              <w:tab/>
            </w:r>
            <w:r>
              <w:rPr>
                <w:rStyle w:val="IndexLink"/>
              </w:rPr>
              <w:t>460</w:t>
            </w:r>
          </w:hyperlink>
        </w:p>
        <w:p>
          <w:pPr>
            <w:pStyle w:val="Contents4"/>
            <w:tabs>
              <w:tab w:val="clear" w:pos="8176"/>
              <w:tab w:val="right" w:pos="9026" w:leader="dot"/>
            </w:tabs>
            <w:rPr/>
          </w:pPr>
          <w:hyperlink w:anchor="__RefHeading___Toc6864020_73709187">
            <w:r>
              <w:rPr>
                <w:webHidden/>
                <w:rStyle w:val="IndexLink"/>
                <w:rtl w:val="true"/>
              </w:rPr>
              <w:t>الاحتفال بمولد النبي صلى الله عليه و آله له أصل في الشريعة</w:t>
            </w:r>
            <w:r>
              <w:rPr>
                <w:rStyle w:val="IndexLink"/>
                <w:rtl w:val="true"/>
              </w:rPr>
              <w:tab/>
            </w:r>
            <w:r>
              <w:rPr>
                <w:rStyle w:val="IndexLink"/>
              </w:rPr>
              <w:t>462</w:t>
            </w:r>
          </w:hyperlink>
        </w:p>
        <w:p>
          <w:pPr>
            <w:pStyle w:val="Contents5"/>
            <w:tabs>
              <w:tab w:val="clear" w:pos="7892"/>
              <w:tab w:val="right" w:pos="9026" w:leader="dot"/>
            </w:tabs>
            <w:rPr/>
          </w:pPr>
          <w:hyperlink w:anchor="__RefHeading___Toc6864022_73709187">
            <w:r>
              <w:rPr>
                <w:webHidden/>
                <w:rStyle w:val="IndexLink"/>
                <w:rtl w:val="true"/>
              </w:rPr>
              <w:t>اشارة</w:t>
            </w:r>
            <w:r>
              <w:rPr>
                <w:rStyle w:val="IndexLink"/>
                <w:rtl w:val="true"/>
              </w:rPr>
              <w:tab/>
            </w:r>
            <w:r>
              <w:rPr>
                <w:rStyle w:val="IndexLink"/>
              </w:rPr>
              <w:t>462</w:t>
            </w:r>
          </w:hyperlink>
        </w:p>
        <w:p>
          <w:pPr>
            <w:pStyle w:val="Contents5"/>
            <w:tabs>
              <w:tab w:val="clear" w:pos="7892"/>
              <w:tab w:val="right" w:pos="9026" w:leader="dot"/>
            </w:tabs>
            <w:rPr/>
          </w:pPr>
          <w:hyperlink w:anchor="__RefHeading___Toc6864024_73709187">
            <w:r>
              <w:rPr>
                <w:webHidden/>
                <w:rStyle w:val="IndexLink"/>
              </w:rPr>
              <w:t>1</w:t>
            </w:r>
            <w:r>
              <w:rPr>
                <w:rStyle w:val="IndexLink"/>
                <w:rtl w:val="true"/>
              </w:rPr>
              <w:t xml:space="preserve">. </w:t>
            </w:r>
            <w:r>
              <w:rPr>
                <w:rStyle w:val="IndexLink"/>
                <w:rtl w:val="true"/>
              </w:rPr>
              <w:t>حبّ النبي أصل من الأُصول</w:t>
            </w:r>
            <w:r>
              <w:rPr>
                <w:rStyle w:val="IndexLink"/>
                <w:rtl w:val="true"/>
              </w:rPr>
              <w:tab/>
            </w:r>
            <w:r>
              <w:rPr>
                <w:rStyle w:val="IndexLink"/>
              </w:rPr>
              <w:t>462</w:t>
            </w:r>
          </w:hyperlink>
        </w:p>
        <w:p>
          <w:pPr>
            <w:pStyle w:val="Contents5"/>
            <w:tabs>
              <w:tab w:val="clear" w:pos="7892"/>
              <w:tab w:val="right" w:pos="9026" w:leader="dot"/>
            </w:tabs>
            <w:rPr/>
          </w:pPr>
          <w:hyperlink w:anchor="__RefHeading___Toc6864026_73709187">
            <w:r>
              <w:rPr>
                <w:webHidden/>
                <w:rStyle w:val="IndexLink"/>
              </w:rPr>
              <w:t>2</w:t>
            </w:r>
            <w:r>
              <w:rPr>
                <w:rStyle w:val="IndexLink"/>
                <w:rtl w:val="true"/>
              </w:rPr>
              <w:t xml:space="preserve">. </w:t>
            </w:r>
            <w:r>
              <w:rPr>
                <w:rStyle w:val="IndexLink"/>
                <w:rtl w:val="true"/>
              </w:rPr>
              <w:t>تكريم النبي صلى الله عليه و آله أصل من الأُصول</w:t>
            </w:r>
            <w:r>
              <w:rPr>
                <w:rStyle w:val="IndexLink"/>
                <w:rtl w:val="true"/>
              </w:rPr>
              <w:tab/>
            </w:r>
            <w:r>
              <w:rPr>
                <w:rStyle w:val="IndexLink"/>
              </w:rPr>
              <w:t>464</w:t>
            </w:r>
          </w:hyperlink>
        </w:p>
        <w:p>
          <w:pPr>
            <w:pStyle w:val="Contents5"/>
            <w:tabs>
              <w:tab w:val="clear" w:pos="7892"/>
              <w:tab w:val="right" w:pos="9026" w:leader="dot"/>
            </w:tabs>
            <w:rPr/>
          </w:pPr>
          <w:hyperlink w:anchor="__RefHeading___Toc6864028_73709187">
            <w:r>
              <w:rPr>
                <w:webHidden/>
                <w:rStyle w:val="IndexLink"/>
              </w:rPr>
              <w:t>3</w:t>
            </w:r>
            <w:r>
              <w:rPr>
                <w:rStyle w:val="IndexLink"/>
                <w:rtl w:val="true"/>
              </w:rPr>
              <w:t xml:space="preserve">. </w:t>
            </w:r>
            <w:r>
              <w:rPr>
                <w:rStyle w:val="IndexLink"/>
                <w:rtl w:val="true"/>
              </w:rPr>
              <w:t>رفع ذكر النبي صلى الله عليه و آله</w:t>
            </w:r>
            <w:r>
              <w:rPr>
                <w:rStyle w:val="IndexLink"/>
                <w:rtl w:val="true"/>
              </w:rPr>
              <w:tab/>
            </w:r>
            <w:r>
              <w:rPr>
                <w:rStyle w:val="IndexLink"/>
              </w:rPr>
              <w:t>465</w:t>
            </w:r>
          </w:hyperlink>
        </w:p>
        <w:p>
          <w:pPr>
            <w:pStyle w:val="Contents5"/>
            <w:tabs>
              <w:tab w:val="clear" w:pos="7892"/>
              <w:tab w:val="right" w:pos="9026" w:leader="dot"/>
            </w:tabs>
            <w:rPr/>
          </w:pPr>
          <w:hyperlink w:anchor="__RefHeading___Toc6864030_73709187">
            <w:r>
              <w:rPr>
                <w:webHidden/>
                <w:rStyle w:val="IndexLink"/>
              </w:rPr>
              <w:t>4</w:t>
            </w:r>
            <w:r>
              <w:rPr>
                <w:rStyle w:val="IndexLink"/>
                <w:rtl w:val="true"/>
              </w:rPr>
              <w:t xml:space="preserve">. </w:t>
            </w:r>
            <w:r>
              <w:rPr>
                <w:rStyle w:val="IndexLink"/>
                <w:rtl w:val="true"/>
              </w:rPr>
              <w:t>ذكر نعم اللّه سبحانه وتعالى</w:t>
            </w:r>
            <w:r>
              <w:rPr>
                <w:rStyle w:val="IndexLink"/>
                <w:rtl w:val="true"/>
              </w:rPr>
              <w:tab/>
            </w:r>
            <w:r>
              <w:rPr>
                <w:rStyle w:val="IndexLink"/>
              </w:rPr>
              <w:t>466</w:t>
            </w:r>
          </w:hyperlink>
        </w:p>
        <w:p>
          <w:pPr>
            <w:pStyle w:val="Contents5"/>
            <w:tabs>
              <w:tab w:val="clear" w:pos="7892"/>
              <w:tab w:val="right" w:pos="9026" w:leader="dot"/>
            </w:tabs>
            <w:rPr/>
          </w:pPr>
          <w:hyperlink w:anchor="__RefHeading___Toc6864032_73709187">
            <w:r>
              <w:rPr>
                <w:webHidden/>
                <w:rStyle w:val="IndexLink"/>
              </w:rPr>
              <w:t>5</w:t>
            </w:r>
            <w:r>
              <w:rPr>
                <w:rStyle w:val="IndexLink"/>
                <w:rtl w:val="true"/>
              </w:rPr>
              <w:t xml:space="preserve">. </w:t>
            </w:r>
            <w:r>
              <w:rPr>
                <w:rStyle w:val="IndexLink"/>
                <w:rtl w:val="true"/>
              </w:rPr>
              <w:t>الاقتفاء بسنّة نبي اللّه عيسى عليه السلام</w:t>
            </w:r>
            <w:r>
              <w:rPr>
                <w:rStyle w:val="IndexLink"/>
                <w:rtl w:val="true"/>
              </w:rPr>
              <w:tab/>
            </w:r>
            <w:r>
              <w:rPr>
                <w:rStyle w:val="IndexLink"/>
              </w:rPr>
              <w:t>468</w:t>
            </w:r>
          </w:hyperlink>
        </w:p>
        <w:p>
          <w:pPr>
            <w:pStyle w:val="Contents4"/>
            <w:tabs>
              <w:tab w:val="clear" w:pos="8176"/>
              <w:tab w:val="right" w:pos="9026" w:leader="dot"/>
            </w:tabs>
            <w:rPr/>
          </w:pPr>
          <w:hyperlink w:anchor="__RefHeading___Toc6864034_73709187">
            <w:r>
              <w:rPr>
                <w:webHidden/>
                <w:rStyle w:val="IndexLink"/>
                <w:rtl w:val="true"/>
              </w:rPr>
              <w:t>أدلّة القائل بالبدعة</w:t>
            </w:r>
            <w:r>
              <w:rPr>
                <w:rStyle w:val="IndexLink"/>
                <w:rtl w:val="true"/>
              </w:rPr>
              <w:tab/>
            </w:r>
            <w:r>
              <w:rPr>
                <w:rStyle w:val="IndexLink"/>
              </w:rPr>
              <w:t>470</w:t>
            </w:r>
          </w:hyperlink>
        </w:p>
        <w:p>
          <w:pPr>
            <w:pStyle w:val="Contents3"/>
            <w:tabs>
              <w:tab w:val="clear" w:pos="8459"/>
              <w:tab w:val="right" w:pos="9026" w:leader="dot"/>
            </w:tabs>
            <w:rPr/>
          </w:pPr>
          <w:hyperlink w:anchor="__RefHeading___Toc6864036_73709187">
            <w:r>
              <w:rPr>
                <w:webHidden/>
                <w:rStyle w:val="IndexLink"/>
              </w:rPr>
              <w:t>8</w:t>
            </w:r>
            <w:r>
              <w:rPr>
                <w:rStyle w:val="IndexLink"/>
                <w:rtl w:val="true"/>
              </w:rPr>
              <w:t xml:space="preserve"> </w:t>
            </w:r>
            <w:r>
              <w:rPr>
                <w:rStyle w:val="IndexLink"/>
                <w:rtl w:val="true"/>
              </w:rPr>
              <w:t>رسالة إلى أحد أعلام التقريب من أهل السنّة حول تكفير اتباع أهل البيت عليهم السلام من قبل بعض الخطباء والوعاظ</w:t>
            </w:r>
            <w:r>
              <w:rPr>
                <w:rStyle w:val="IndexLink"/>
                <w:rtl w:val="true"/>
              </w:rPr>
              <w:tab/>
            </w:r>
            <w:r>
              <w:rPr>
                <w:rStyle w:val="IndexLink"/>
              </w:rPr>
              <w:t>474</w:t>
            </w:r>
          </w:hyperlink>
        </w:p>
        <w:p>
          <w:pPr>
            <w:pStyle w:val="Contents3"/>
            <w:tabs>
              <w:tab w:val="clear" w:pos="8459"/>
              <w:tab w:val="right" w:pos="9026" w:leader="dot"/>
            </w:tabs>
            <w:rPr/>
          </w:pPr>
          <w:hyperlink w:anchor="__RefHeading___Toc6864038_73709187">
            <w:r>
              <w:rPr>
                <w:webHidden/>
                <w:rStyle w:val="IndexLink"/>
              </w:rPr>
              <w:t>9</w:t>
            </w:r>
            <w:r>
              <w:rPr>
                <w:rStyle w:val="IndexLink"/>
                <w:rtl w:val="true"/>
              </w:rPr>
              <w:t xml:space="preserve"> </w:t>
            </w:r>
            <w:r>
              <w:rPr>
                <w:rStyle w:val="IndexLink"/>
                <w:rtl w:val="true"/>
              </w:rPr>
              <w:t>إدانة مثيري الفتنة</w:t>
            </w:r>
            <w:r>
              <w:rPr>
                <w:rStyle w:val="IndexLink"/>
                <w:rtl w:val="true"/>
              </w:rPr>
              <w:tab/>
            </w:r>
            <w:r>
              <w:rPr>
                <w:rStyle w:val="IndexLink"/>
              </w:rPr>
              <w:t>477</w:t>
            </w:r>
          </w:hyperlink>
        </w:p>
        <w:p>
          <w:pPr>
            <w:pStyle w:val="Contents3"/>
            <w:tabs>
              <w:tab w:val="clear" w:pos="8459"/>
              <w:tab w:val="right" w:pos="9026" w:leader="dot"/>
            </w:tabs>
            <w:rPr/>
          </w:pPr>
          <w:hyperlink w:anchor="__RefHeading___Toc6864040_73709187">
            <w:r>
              <w:rPr>
                <w:webHidden/>
                <w:rStyle w:val="IndexLink"/>
              </w:rPr>
              <w:t>10</w:t>
            </w:r>
            <w:r>
              <w:rPr>
                <w:rStyle w:val="IndexLink"/>
                <w:rtl w:val="true"/>
              </w:rPr>
              <w:t xml:space="preserve"> </w:t>
            </w:r>
            <w:r>
              <w:rPr>
                <w:rStyle w:val="IndexLink"/>
                <w:rtl w:val="true"/>
              </w:rPr>
              <w:t>إدانة إهانة القرآن الكريم في أمريكا</w:t>
            </w:r>
            <w:r>
              <w:rPr>
                <w:rStyle w:val="IndexLink"/>
                <w:rtl w:val="true"/>
              </w:rPr>
              <w:tab/>
            </w:r>
            <w:r>
              <w:rPr>
                <w:rStyle w:val="IndexLink"/>
              </w:rPr>
              <w:t>479</w:t>
            </w:r>
          </w:hyperlink>
        </w:p>
        <w:p>
          <w:pPr>
            <w:pStyle w:val="Contents3"/>
            <w:tabs>
              <w:tab w:val="clear" w:pos="8459"/>
              <w:tab w:val="right" w:pos="9026" w:leader="dot"/>
            </w:tabs>
            <w:rPr/>
          </w:pPr>
          <w:hyperlink w:anchor="__RefHeading___Toc6864042_73709187">
            <w:r>
              <w:rPr>
                <w:webHidden/>
                <w:rStyle w:val="IndexLink"/>
              </w:rPr>
              <w:t>11</w:t>
            </w:r>
            <w:r>
              <w:rPr>
                <w:rStyle w:val="IndexLink"/>
                <w:rtl w:val="true"/>
              </w:rPr>
              <w:t xml:space="preserve"> </w:t>
            </w:r>
            <w:r>
              <w:rPr>
                <w:rStyle w:val="IndexLink"/>
                <w:rtl w:val="true"/>
              </w:rPr>
              <w:t>رسالة إلى الدكتور الشيخ أحمد الطيب شيخ الأزهر</w:t>
            </w:r>
            <w:r>
              <w:rPr>
                <w:rStyle w:val="IndexLink"/>
                <w:rtl w:val="true"/>
              </w:rPr>
              <w:tab/>
            </w:r>
            <w:r>
              <w:rPr>
                <w:rStyle w:val="IndexLink"/>
              </w:rPr>
              <w:t>482</w:t>
            </w:r>
          </w:hyperlink>
        </w:p>
        <w:p>
          <w:pPr>
            <w:pStyle w:val="Contents2"/>
            <w:tabs>
              <w:tab w:val="clear" w:pos="8743"/>
              <w:tab w:val="right" w:pos="9026" w:leader="dot"/>
            </w:tabs>
            <w:rPr/>
          </w:pPr>
          <w:hyperlink w:anchor="__RefHeading___Toc6864044_73709187">
            <w:r>
              <w:rPr>
                <w:webHidden/>
                <w:rStyle w:val="IndexLink"/>
                <w:rtl w:val="true"/>
              </w:rPr>
              <w:t>الفصل الرابع</w:t>
            </w:r>
            <w:r>
              <w:rPr>
                <w:rStyle w:val="IndexLink"/>
                <w:rtl w:val="true"/>
              </w:rPr>
              <w:t xml:space="preserve">: </w:t>
            </w:r>
            <w:r>
              <w:rPr>
                <w:rStyle w:val="IndexLink"/>
                <w:rtl w:val="true"/>
              </w:rPr>
              <w:t>في التراجم</w:t>
            </w:r>
            <w:r>
              <w:rPr>
                <w:rStyle w:val="IndexLink"/>
                <w:rtl w:val="true"/>
              </w:rPr>
              <w:tab/>
            </w:r>
            <w:r>
              <w:rPr>
                <w:rStyle w:val="IndexLink"/>
              </w:rPr>
              <w:t>484</w:t>
            </w:r>
          </w:hyperlink>
        </w:p>
        <w:p>
          <w:pPr>
            <w:pStyle w:val="Contents3"/>
            <w:tabs>
              <w:tab w:val="clear" w:pos="8459"/>
              <w:tab w:val="right" w:pos="9026" w:leader="dot"/>
            </w:tabs>
            <w:rPr/>
          </w:pPr>
          <w:hyperlink w:anchor="__RefHeading___Toc6864046_73709187">
            <w:r>
              <w:rPr>
                <w:webHidden/>
                <w:rStyle w:val="IndexLink"/>
                <w:rtl w:val="true"/>
              </w:rPr>
              <w:t>اشارة</w:t>
            </w:r>
            <w:r>
              <w:rPr>
                <w:rStyle w:val="IndexLink"/>
                <w:rtl w:val="true"/>
              </w:rPr>
              <w:tab/>
            </w:r>
            <w:r>
              <w:rPr>
                <w:rStyle w:val="IndexLink"/>
              </w:rPr>
              <w:t>484</w:t>
            </w:r>
          </w:hyperlink>
        </w:p>
        <w:p>
          <w:pPr>
            <w:pStyle w:val="Contents3"/>
            <w:tabs>
              <w:tab w:val="clear" w:pos="8459"/>
              <w:tab w:val="right" w:pos="9026" w:leader="dot"/>
            </w:tabs>
            <w:rPr/>
          </w:pPr>
          <w:hyperlink w:anchor="__RefHeading___Toc6864048_73709187">
            <w:r>
              <w:rPr>
                <w:webHidden/>
                <w:rStyle w:val="IndexLink"/>
              </w:rPr>
              <w:t>1</w:t>
            </w:r>
            <w:r>
              <w:rPr>
                <w:rStyle w:val="IndexLink"/>
                <w:rtl w:val="true"/>
              </w:rPr>
              <w:t xml:space="preserve"> </w:t>
            </w:r>
            <w:r>
              <w:rPr>
                <w:rStyle w:val="IndexLink"/>
                <w:rtl w:val="true"/>
              </w:rPr>
              <w:t>البرقي وأثره الرجالي</w:t>
            </w:r>
            <w:r>
              <w:rPr>
                <w:rStyle w:val="IndexLink"/>
                <w:rtl w:val="true"/>
              </w:rPr>
              <w:tab/>
            </w:r>
            <w:r>
              <w:rPr>
                <w:rStyle w:val="IndexLink"/>
              </w:rPr>
              <w:t>485</w:t>
            </w:r>
          </w:hyperlink>
        </w:p>
        <w:p>
          <w:pPr>
            <w:pStyle w:val="Contents4"/>
            <w:tabs>
              <w:tab w:val="clear" w:pos="8176"/>
              <w:tab w:val="right" w:pos="9026" w:leader="dot"/>
            </w:tabs>
            <w:rPr/>
          </w:pPr>
          <w:hyperlink w:anchor="__RefHeading___Toc6864050_73709187">
            <w:r>
              <w:rPr>
                <w:webHidden/>
                <w:rStyle w:val="IndexLink"/>
                <w:rtl w:val="true"/>
              </w:rPr>
              <w:t>اشارة</w:t>
            </w:r>
            <w:r>
              <w:rPr>
                <w:rStyle w:val="IndexLink"/>
                <w:rtl w:val="true"/>
              </w:rPr>
              <w:tab/>
            </w:r>
            <w:r>
              <w:rPr>
                <w:rStyle w:val="IndexLink"/>
              </w:rPr>
              <w:t>485</w:t>
            </w:r>
          </w:hyperlink>
        </w:p>
        <w:p>
          <w:pPr>
            <w:pStyle w:val="Contents4"/>
            <w:tabs>
              <w:tab w:val="clear" w:pos="8176"/>
              <w:tab w:val="right" w:pos="9026" w:leader="dot"/>
            </w:tabs>
            <w:rPr/>
          </w:pPr>
          <w:hyperlink w:anchor="__RefHeading___Toc6864052_73709187">
            <w:r>
              <w:rPr>
                <w:webHidden/>
                <w:rStyle w:val="IndexLink"/>
                <w:rtl w:val="true"/>
              </w:rPr>
              <w:t>الأوّل</w:t>
            </w:r>
            <w:r>
              <w:rPr>
                <w:rStyle w:val="IndexLink"/>
                <w:rtl w:val="true"/>
              </w:rPr>
              <w:t xml:space="preserve">: </w:t>
            </w:r>
            <w:r>
              <w:rPr>
                <w:rStyle w:val="IndexLink"/>
                <w:rtl w:val="true"/>
              </w:rPr>
              <w:t>محمد بن خالد بن عبدالرحمن البرقي</w:t>
            </w:r>
            <w:r>
              <w:rPr>
                <w:rStyle w:val="IndexLink"/>
                <w:rtl w:val="true"/>
              </w:rPr>
              <w:tab/>
            </w:r>
            <w:r>
              <w:rPr>
                <w:rStyle w:val="IndexLink"/>
              </w:rPr>
              <w:t>488</w:t>
            </w:r>
          </w:hyperlink>
        </w:p>
        <w:p>
          <w:pPr>
            <w:pStyle w:val="Contents4"/>
            <w:tabs>
              <w:tab w:val="clear" w:pos="8176"/>
              <w:tab w:val="right" w:pos="9026" w:leader="dot"/>
            </w:tabs>
            <w:rPr/>
          </w:pPr>
          <w:hyperlink w:anchor="__RefHeading___Toc6864054_73709187">
            <w:r>
              <w:rPr>
                <w:webHidden/>
                <w:rStyle w:val="IndexLink"/>
                <w:rtl w:val="true"/>
              </w:rPr>
              <w:t>الثاني</w:t>
            </w:r>
            <w:r>
              <w:rPr>
                <w:rStyle w:val="IndexLink"/>
                <w:rtl w:val="true"/>
              </w:rPr>
              <w:t xml:space="preserve">: </w:t>
            </w:r>
            <w:r>
              <w:rPr>
                <w:rStyle w:val="IndexLink"/>
                <w:rtl w:val="true"/>
              </w:rPr>
              <w:t>أحمد بن محمد بن خالد البرقي</w:t>
            </w:r>
            <w:r>
              <w:rPr>
                <w:rStyle w:val="IndexLink"/>
                <w:rtl w:val="true"/>
              </w:rPr>
              <w:tab/>
            </w:r>
            <w:r>
              <w:rPr>
                <w:rStyle w:val="IndexLink"/>
              </w:rPr>
              <w:t>489</w:t>
            </w:r>
          </w:hyperlink>
        </w:p>
        <w:p>
          <w:pPr>
            <w:pStyle w:val="Contents4"/>
            <w:tabs>
              <w:tab w:val="clear" w:pos="8176"/>
              <w:tab w:val="right" w:pos="9026" w:leader="dot"/>
            </w:tabs>
            <w:rPr/>
          </w:pPr>
          <w:hyperlink w:anchor="__RefHeading___Toc6864056_73709187">
            <w:r>
              <w:rPr>
                <w:webHidden/>
                <w:rStyle w:val="IndexLink"/>
                <w:rtl w:val="true"/>
              </w:rPr>
              <w:t>الثالث</w:t>
            </w:r>
            <w:r>
              <w:rPr>
                <w:rStyle w:val="IndexLink"/>
                <w:rtl w:val="true"/>
              </w:rPr>
              <w:t xml:space="preserve">: </w:t>
            </w:r>
            <w:r>
              <w:rPr>
                <w:rStyle w:val="IndexLink"/>
                <w:rtl w:val="true"/>
              </w:rPr>
              <w:t>عبداللّه بن أحمد بن محمد بن خالد</w:t>
            </w:r>
            <w:r>
              <w:rPr>
                <w:rStyle w:val="IndexLink"/>
                <w:rtl w:val="true"/>
              </w:rPr>
              <w:tab/>
            </w:r>
            <w:r>
              <w:rPr>
                <w:rStyle w:val="IndexLink"/>
              </w:rPr>
              <w:t>492</w:t>
            </w:r>
          </w:hyperlink>
        </w:p>
        <w:p>
          <w:pPr>
            <w:pStyle w:val="Contents4"/>
            <w:tabs>
              <w:tab w:val="clear" w:pos="8176"/>
              <w:tab w:val="right" w:pos="9026" w:leader="dot"/>
            </w:tabs>
            <w:rPr/>
          </w:pPr>
          <w:hyperlink w:anchor="__RefHeading___Toc6864058_73709187">
            <w:r>
              <w:rPr>
                <w:webHidden/>
                <w:rStyle w:val="IndexLink"/>
                <w:rtl w:val="true"/>
              </w:rPr>
              <w:t>الرابع</w:t>
            </w:r>
            <w:r>
              <w:rPr>
                <w:rStyle w:val="IndexLink"/>
                <w:rtl w:val="true"/>
              </w:rPr>
              <w:t xml:space="preserve">: </w:t>
            </w:r>
            <w:r>
              <w:rPr>
                <w:rStyle w:val="IndexLink"/>
                <w:rtl w:val="true"/>
              </w:rPr>
              <w:t>أحمد بن عبداللّه بن أحمد بن محمد بن خالد البرقي</w:t>
            </w:r>
            <w:r>
              <w:rPr>
                <w:rStyle w:val="IndexLink"/>
                <w:rtl w:val="true"/>
              </w:rPr>
              <w:tab/>
            </w:r>
            <w:r>
              <w:rPr>
                <w:rStyle w:val="IndexLink"/>
              </w:rPr>
              <w:t>494</w:t>
            </w:r>
          </w:hyperlink>
        </w:p>
        <w:p>
          <w:pPr>
            <w:pStyle w:val="Contents4"/>
            <w:tabs>
              <w:tab w:val="clear" w:pos="8176"/>
              <w:tab w:val="right" w:pos="9026" w:leader="dot"/>
            </w:tabs>
            <w:rPr/>
          </w:pPr>
          <w:hyperlink w:anchor="__RefHeading___Toc6864060_73709187">
            <w:r>
              <w:rPr>
                <w:webHidden/>
                <w:rStyle w:val="IndexLink"/>
                <w:rtl w:val="true"/>
              </w:rPr>
              <w:t xml:space="preserve">عليّ بن أحمد بن عبداللّه بن أحمد البرقيّ </w:t>
            </w:r>
            <w:r>
              <w:rPr>
                <w:rStyle w:val="IndexLink"/>
                <w:rtl w:val="true"/>
              </w:rPr>
              <w:t>(</w:t>
            </w:r>
            <w:r>
              <w:rPr>
                <w:rStyle w:val="IndexLink"/>
                <w:rtl w:val="true"/>
              </w:rPr>
              <w:t>شيخ الصدوق</w:t>
            </w:r>
            <w:r>
              <w:rPr>
                <w:rStyle w:val="IndexLink"/>
                <w:rtl w:val="true"/>
              </w:rPr>
              <w:t>)</w:t>
              <w:tab/>
            </w:r>
            <w:r>
              <w:rPr>
                <w:rStyle w:val="IndexLink"/>
              </w:rPr>
              <w:t>494</w:t>
            </w:r>
          </w:hyperlink>
        </w:p>
        <w:p>
          <w:pPr>
            <w:pStyle w:val="Contents4"/>
            <w:tabs>
              <w:tab w:val="clear" w:pos="8176"/>
              <w:tab w:val="right" w:pos="9026" w:leader="dot"/>
            </w:tabs>
            <w:rPr/>
          </w:pPr>
          <w:hyperlink w:anchor="__RefHeading___Toc6864062_73709187">
            <w:r>
              <w:rPr>
                <w:webHidden/>
                <w:rStyle w:val="IndexLink"/>
                <w:rtl w:val="true"/>
              </w:rPr>
              <w:t>الكتاب تأليف الحفيد</w:t>
            </w:r>
            <w:r>
              <w:rPr>
                <w:rStyle w:val="IndexLink"/>
                <w:rtl w:val="true"/>
              </w:rPr>
              <w:tab/>
            </w:r>
            <w:r>
              <w:rPr>
                <w:rStyle w:val="IndexLink"/>
              </w:rPr>
              <w:t>495</w:t>
            </w:r>
          </w:hyperlink>
        </w:p>
        <w:p>
          <w:pPr>
            <w:pStyle w:val="Contents3"/>
            <w:tabs>
              <w:tab w:val="clear" w:pos="8459"/>
              <w:tab w:val="right" w:pos="9026" w:leader="dot"/>
            </w:tabs>
            <w:rPr/>
          </w:pPr>
          <w:hyperlink w:anchor="__RefHeading___Toc6864064_73709187">
            <w:r>
              <w:rPr>
                <w:webHidden/>
                <w:rStyle w:val="IndexLink"/>
              </w:rPr>
              <w:t>2</w:t>
            </w:r>
            <w:r>
              <w:rPr>
                <w:rStyle w:val="IndexLink"/>
                <w:rtl w:val="true"/>
              </w:rPr>
              <w:t xml:space="preserve"> </w:t>
            </w:r>
            <w:r>
              <w:rPr>
                <w:rStyle w:val="IndexLink"/>
                <w:rtl w:val="true"/>
              </w:rPr>
              <w:t xml:space="preserve">علي بن إبراهيم القميّ </w:t>
            </w:r>
            <w:r>
              <w:rPr>
                <w:rStyle w:val="IndexLink"/>
                <w:rtl w:val="true"/>
              </w:rPr>
              <w:t>(</w:t>
            </w:r>
            <w:r>
              <w:rPr>
                <w:rStyle w:val="IndexLink"/>
              </w:rPr>
              <w:t>230</w:t>
            </w:r>
            <w:r>
              <w:rPr>
                <w:rStyle w:val="IndexLink"/>
                <w:rtl w:val="true"/>
              </w:rPr>
              <w:t>-</w:t>
            </w:r>
            <w:r>
              <w:rPr>
                <w:rStyle w:val="IndexLink"/>
              </w:rPr>
              <w:t>310</w:t>
            </w:r>
            <w:r>
              <w:rPr>
                <w:rStyle w:val="IndexLink"/>
                <w:rtl w:val="true"/>
              </w:rPr>
              <w:t xml:space="preserve"> </w:t>
            </w:r>
            <w:r>
              <w:rPr>
                <w:rStyle w:val="IndexLink"/>
                <w:rtl w:val="true"/>
              </w:rPr>
              <w:t>ه‍</w:t>
            </w:r>
            <w:r>
              <w:rPr>
                <w:rStyle w:val="IndexLink"/>
                <w:rtl w:val="true"/>
              </w:rPr>
              <w:t>)</w:t>
              <w:tab/>
            </w:r>
            <w:r>
              <w:rPr>
                <w:rStyle w:val="IndexLink"/>
              </w:rPr>
              <w:t>497</w:t>
            </w:r>
          </w:hyperlink>
        </w:p>
        <w:p>
          <w:pPr>
            <w:pStyle w:val="Contents4"/>
            <w:tabs>
              <w:tab w:val="clear" w:pos="8176"/>
              <w:tab w:val="right" w:pos="9026" w:leader="dot"/>
            </w:tabs>
            <w:rPr/>
          </w:pPr>
          <w:hyperlink w:anchor="__RefHeading___Toc6864066_73709187">
            <w:r>
              <w:rPr>
                <w:webHidden/>
                <w:rStyle w:val="IndexLink"/>
                <w:rtl w:val="true"/>
              </w:rPr>
              <w:t>اشارة</w:t>
            </w:r>
            <w:r>
              <w:rPr>
                <w:rStyle w:val="IndexLink"/>
                <w:rtl w:val="true"/>
              </w:rPr>
              <w:tab/>
            </w:r>
            <w:r>
              <w:rPr>
                <w:rStyle w:val="IndexLink"/>
              </w:rPr>
              <w:t>497</w:t>
            </w:r>
          </w:hyperlink>
        </w:p>
        <w:p>
          <w:pPr>
            <w:pStyle w:val="Contents4"/>
            <w:tabs>
              <w:tab w:val="clear" w:pos="8176"/>
              <w:tab w:val="right" w:pos="9026" w:leader="dot"/>
            </w:tabs>
            <w:rPr/>
          </w:pPr>
          <w:hyperlink w:anchor="__RefHeading___Toc6864068_73709187">
            <w:r>
              <w:rPr>
                <w:webHidden/>
                <w:rStyle w:val="IndexLink"/>
                <w:rtl w:val="true"/>
              </w:rPr>
              <w:t>قول العلماء في حقّه</w:t>
            </w:r>
            <w:r>
              <w:rPr>
                <w:rStyle w:val="IndexLink"/>
                <w:rtl w:val="true"/>
              </w:rPr>
              <w:tab/>
            </w:r>
            <w:r>
              <w:rPr>
                <w:rStyle w:val="IndexLink"/>
              </w:rPr>
              <w:t>499</w:t>
            </w:r>
          </w:hyperlink>
        </w:p>
        <w:p>
          <w:pPr>
            <w:pStyle w:val="Contents4"/>
            <w:tabs>
              <w:tab w:val="clear" w:pos="8176"/>
              <w:tab w:val="right" w:pos="9026" w:leader="dot"/>
            </w:tabs>
            <w:rPr/>
          </w:pPr>
          <w:hyperlink w:anchor="__RefHeading___Toc6864070_73709187">
            <w:r>
              <w:rPr>
                <w:webHidden/>
                <w:rStyle w:val="IndexLink"/>
                <w:rtl w:val="true"/>
              </w:rPr>
              <w:t>أساتذته</w:t>
            </w:r>
            <w:r>
              <w:rPr>
                <w:rStyle w:val="IndexLink"/>
                <w:rtl w:val="true"/>
              </w:rPr>
              <w:t>:</w:t>
              <w:tab/>
            </w:r>
            <w:r>
              <w:rPr>
                <w:rStyle w:val="IndexLink"/>
              </w:rPr>
              <w:t>500</w:t>
            </w:r>
          </w:hyperlink>
        </w:p>
        <w:p>
          <w:pPr>
            <w:pStyle w:val="Contents4"/>
            <w:tabs>
              <w:tab w:val="clear" w:pos="8176"/>
              <w:tab w:val="right" w:pos="9026" w:leader="dot"/>
            </w:tabs>
            <w:rPr/>
          </w:pPr>
          <w:hyperlink w:anchor="__RefHeading___Toc6864072_73709187">
            <w:r>
              <w:rPr>
                <w:webHidden/>
                <w:rStyle w:val="IndexLink"/>
                <w:rtl w:val="true"/>
              </w:rPr>
              <w:t>تلامذته</w:t>
            </w:r>
            <w:r>
              <w:rPr>
                <w:rStyle w:val="IndexLink"/>
                <w:rtl w:val="true"/>
              </w:rPr>
              <w:t>:</w:t>
              <w:tab/>
            </w:r>
            <w:r>
              <w:rPr>
                <w:rStyle w:val="IndexLink"/>
              </w:rPr>
              <w:t>502</w:t>
            </w:r>
          </w:hyperlink>
        </w:p>
        <w:p>
          <w:pPr>
            <w:pStyle w:val="Contents4"/>
            <w:tabs>
              <w:tab w:val="clear" w:pos="8176"/>
              <w:tab w:val="right" w:pos="9026" w:leader="dot"/>
            </w:tabs>
            <w:rPr/>
          </w:pPr>
          <w:hyperlink w:anchor="__RefHeading___Toc6864074_73709187">
            <w:r>
              <w:rPr>
                <w:webHidden/>
                <w:rStyle w:val="IndexLink"/>
                <w:rtl w:val="true"/>
              </w:rPr>
              <w:t>طبقته في الرجال</w:t>
            </w:r>
            <w:r>
              <w:rPr>
                <w:rStyle w:val="IndexLink"/>
                <w:rtl w:val="true"/>
              </w:rPr>
              <w:tab/>
            </w:r>
            <w:r>
              <w:rPr>
                <w:rStyle w:val="IndexLink"/>
              </w:rPr>
              <w:t>503</w:t>
            </w:r>
          </w:hyperlink>
        </w:p>
        <w:p>
          <w:pPr>
            <w:pStyle w:val="Contents4"/>
            <w:tabs>
              <w:tab w:val="clear" w:pos="8176"/>
              <w:tab w:val="right" w:pos="9026" w:leader="dot"/>
            </w:tabs>
            <w:rPr/>
          </w:pPr>
          <w:hyperlink w:anchor="__RefHeading___Toc6864076_73709187">
            <w:r>
              <w:rPr>
                <w:webHidden/>
                <w:rStyle w:val="IndexLink"/>
                <w:rtl w:val="true"/>
              </w:rPr>
              <w:t>وقفة مع تفسيره المتداول</w:t>
            </w:r>
            <w:r>
              <w:rPr>
                <w:rStyle w:val="IndexLink"/>
                <w:rtl w:val="true"/>
              </w:rPr>
              <w:tab/>
            </w:r>
            <w:r>
              <w:rPr>
                <w:rStyle w:val="IndexLink"/>
              </w:rPr>
              <w:t>504</w:t>
            </w:r>
          </w:hyperlink>
        </w:p>
        <w:p>
          <w:pPr>
            <w:pStyle w:val="Contents4"/>
            <w:tabs>
              <w:tab w:val="clear" w:pos="8176"/>
              <w:tab w:val="right" w:pos="9026" w:leader="dot"/>
            </w:tabs>
            <w:rPr/>
          </w:pPr>
          <w:hyperlink w:anchor="__RefHeading___Toc6864078_73709187">
            <w:r>
              <w:rPr>
                <w:webHidden/>
                <w:rStyle w:val="IndexLink"/>
                <w:rtl w:val="true"/>
              </w:rPr>
              <w:t>توثيق من وقع في أسناد التفسير</w:t>
            </w:r>
            <w:r>
              <w:rPr>
                <w:rStyle w:val="IndexLink"/>
                <w:rtl w:val="true"/>
              </w:rPr>
              <w:tab/>
            </w:r>
            <w:r>
              <w:rPr>
                <w:rStyle w:val="IndexLink"/>
              </w:rPr>
              <w:t>507</w:t>
            </w:r>
          </w:hyperlink>
        </w:p>
        <w:p>
          <w:pPr>
            <w:pStyle w:val="Contents3"/>
            <w:tabs>
              <w:tab w:val="clear" w:pos="8459"/>
              <w:tab w:val="right" w:pos="9026" w:leader="dot"/>
            </w:tabs>
            <w:rPr/>
          </w:pPr>
          <w:hyperlink w:anchor="__RefHeading___Toc6864080_73709187">
            <w:r>
              <w:rPr>
                <w:webHidden/>
                <w:rStyle w:val="IndexLink"/>
              </w:rPr>
              <w:t>3</w:t>
            </w:r>
            <w:r>
              <w:rPr>
                <w:rStyle w:val="IndexLink"/>
                <w:rtl w:val="true"/>
              </w:rPr>
              <w:t xml:space="preserve"> </w:t>
            </w:r>
            <w:r>
              <w:rPr>
                <w:rStyle w:val="IndexLink"/>
                <w:rtl w:val="true"/>
              </w:rPr>
              <w:t>المحدّث الكليني وأثره الخالد</w:t>
            </w:r>
            <w:r>
              <w:rPr>
                <w:rStyle w:val="IndexLink"/>
                <w:rtl w:val="true"/>
              </w:rPr>
              <w:tab/>
            </w:r>
            <w:r>
              <w:rPr>
                <w:rStyle w:val="IndexLink"/>
              </w:rPr>
              <w:t>510</w:t>
            </w:r>
          </w:hyperlink>
        </w:p>
        <w:p>
          <w:pPr>
            <w:pStyle w:val="Contents4"/>
            <w:tabs>
              <w:tab w:val="clear" w:pos="8176"/>
              <w:tab w:val="right" w:pos="9026" w:leader="dot"/>
            </w:tabs>
            <w:rPr/>
          </w:pPr>
          <w:hyperlink w:anchor="__RefHeading___Toc6864082_73709187">
            <w:r>
              <w:rPr>
                <w:webHidden/>
                <w:rStyle w:val="IndexLink"/>
                <w:rtl w:val="true"/>
              </w:rPr>
              <w:t>اشارة</w:t>
            </w:r>
            <w:r>
              <w:rPr>
                <w:rStyle w:val="IndexLink"/>
                <w:rtl w:val="true"/>
              </w:rPr>
              <w:tab/>
            </w:r>
            <w:r>
              <w:rPr>
                <w:rStyle w:val="IndexLink"/>
              </w:rPr>
              <w:t>510</w:t>
            </w:r>
          </w:hyperlink>
        </w:p>
        <w:p>
          <w:pPr>
            <w:pStyle w:val="Contents4"/>
            <w:tabs>
              <w:tab w:val="clear" w:pos="8176"/>
              <w:tab w:val="right" w:pos="9026" w:leader="dot"/>
            </w:tabs>
            <w:rPr/>
          </w:pPr>
          <w:hyperlink w:anchor="__RefHeading___Toc6864084_73709187">
            <w:r>
              <w:rPr>
                <w:webHidden/>
                <w:rStyle w:val="IndexLink"/>
                <w:rtl w:val="true"/>
              </w:rPr>
              <w:t>أُسرته</w:t>
            </w:r>
            <w:r>
              <w:rPr>
                <w:rStyle w:val="IndexLink"/>
                <w:rtl w:val="true"/>
              </w:rPr>
              <w:tab/>
            </w:r>
            <w:r>
              <w:rPr>
                <w:rStyle w:val="IndexLink"/>
              </w:rPr>
              <w:t>510</w:t>
            </w:r>
          </w:hyperlink>
        </w:p>
        <w:p>
          <w:pPr>
            <w:pStyle w:val="Contents4"/>
            <w:tabs>
              <w:tab w:val="clear" w:pos="8176"/>
              <w:tab w:val="right" w:pos="9026" w:leader="dot"/>
            </w:tabs>
            <w:rPr/>
          </w:pPr>
          <w:hyperlink w:anchor="__RefHeading___Toc6864086_73709187">
            <w:r>
              <w:rPr>
                <w:webHidden/>
                <w:rStyle w:val="IndexLink"/>
                <w:rtl w:val="true"/>
              </w:rPr>
              <w:t>الظروف الّتي نشأ فيها</w:t>
            </w:r>
            <w:r>
              <w:rPr>
                <w:rStyle w:val="IndexLink"/>
                <w:rtl w:val="true"/>
              </w:rPr>
              <w:tab/>
            </w:r>
            <w:r>
              <w:rPr>
                <w:rStyle w:val="IndexLink"/>
              </w:rPr>
              <w:t>512</w:t>
            </w:r>
          </w:hyperlink>
        </w:p>
        <w:p>
          <w:pPr>
            <w:pStyle w:val="Contents4"/>
            <w:tabs>
              <w:tab w:val="clear" w:pos="8176"/>
              <w:tab w:val="right" w:pos="9026" w:leader="dot"/>
            </w:tabs>
            <w:rPr/>
          </w:pPr>
          <w:hyperlink w:anchor="__RefHeading___Toc6864088_73709187">
            <w:r>
              <w:rPr>
                <w:webHidden/>
                <w:rStyle w:val="IndexLink"/>
                <w:rtl w:val="true"/>
              </w:rPr>
              <w:t>ثقافته الواسعة</w:t>
            </w:r>
            <w:r>
              <w:rPr>
                <w:rStyle w:val="IndexLink"/>
                <w:rtl w:val="true"/>
              </w:rPr>
              <w:tab/>
            </w:r>
            <w:r>
              <w:rPr>
                <w:rStyle w:val="IndexLink"/>
              </w:rPr>
              <w:t>514</w:t>
            </w:r>
          </w:hyperlink>
        </w:p>
        <w:p>
          <w:pPr>
            <w:pStyle w:val="Contents4"/>
            <w:tabs>
              <w:tab w:val="clear" w:pos="8176"/>
              <w:tab w:val="right" w:pos="9026" w:leader="dot"/>
            </w:tabs>
            <w:rPr/>
          </w:pPr>
          <w:hyperlink w:anchor="__RefHeading___Toc6864090_73709187">
            <w:r>
              <w:rPr>
                <w:webHidden/>
                <w:rStyle w:val="IndexLink"/>
                <w:rtl w:val="true"/>
              </w:rPr>
              <w:t>أثره الخالد</w:t>
            </w:r>
            <w:r>
              <w:rPr>
                <w:rStyle w:val="IndexLink"/>
                <w:rtl w:val="true"/>
              </w:rPr>
              <w:tab/>
            </w:r>
            <w:r>
              <w:rPr>
                <w:rStyle w:val="IndexLink"/>
              </w:rPr>
              <w:t>515</w:t>
            </w:r>
          </w:hyperlink>
        </w:p>
        <w:p>
          <w:pPr>
            <w:pStyle w:val="Contents4"/>
            <w:tabs>
              <w:tab w:val="clear" w:pos="8176"/>
              <w:tab w:val="right" w:pos="9026" w:leader="dot"/>
            </w:tabs>
            <w:rPr/>
          </w:pPr>
          <w:hyperlink w:anchor="__RefHeading___Toc6864092_73709187">
            <w:r>
              <w:rPr>
                <w:webHidden/>
                <w:rStyle w:val="IndexLink"/>
                <w:rtl w:val="true"/>
              </w:rPr>
              <w:t>ثناء العلماء وأقوالهم فيه</w:t>
            </w:r>
            <w:r>
              <w:rPr>
                <w:rStyle w:val="IndexLink"/>
                <w:rtl w:val="true"/>
              </w:rPr>
              <w:tab/>
            </w:r>
            <w:r>
              <w:rPr>
                <w:rStyle w:val="IndexLink"/>
              </w:rPr>
              <w:t>515</w:t>
            </w:r>
          </w:hyperlink>
        </w:p>
        <w:p>
          <w:pPr>
            <w:pStyle w:val="Contents4"/>
            <w:tabs>
              <w:tab w:val="clear" w:pos="8176"/>
              <w:tab w:val="right" w:pos="9026" w:leader="dot"/>
            </w:tabs>
            <w:rPr/>
          </w:pPr>
          <w:hyperlink w:anchor="__RefHeading___Toc6864094_73709187">
            <w:r>
              <w:rPr>
                <w:webHidden/>
                <w:rStyle w:val="IndexLink"/>
                <w:rtl w:val="true"/>
              </w:rPr>
              <w:t>رحلاته في أخذ الحديث وعرض كتابه</w:t>
            </w:r>
            <w:r>
              <w:rPr>
                <w:rStyle w:val="IndexLink"/>
                <w:rtl w:val="true"/>
              </w:rPr>
              <w:tab/>
            </w:r>
            <w:r>
              <w:rPr>
                <w:rStyle w:val="IndexLink"/>
              </w:rPr>
              <w:t>517</w:t>
            </w:r>
          </w:hyperlink>
        </w:p>
        <w:p>
          <w:pPr>
            <w:pStyle w:val="Contents4"/>
            <w:tabs>
              <w:tab w:val="clear" w:pos="8176"/>
              <w:tab w:val="right" w:pos="9026" w:leader="dot"/>
            </w:tabs>
            <w:rPr/>
          </w:pPr>
          <w:hyperlink w:anchor="__RefHeading___Toc6864096_73709187">
            <w:r>
              <w:rPr>
                <w:webHidden/>
                <w:rStyle w:val="IndexLink"/>
                <w:rtl w:val="true"/>
              </w:rPr>
              <w:t xml:space="preserve">العناية بكتاب </w:t>
            </w:r>
            <w:r>
              <w:rPr>
                <w:rStyle w:val="IndexLink"/>
                <w:rtl w:val="true"/>
              </w:rPr>
              <w:t>«</w:t>
            </w:r>
            <w:r>
              <w:rPr>
                <w:rStyle w:val="IndexLink"/>
                <w:rtl w:val="true"/>
              </w:rPr>
              <w:t>الكافي</w:t>
            </w:r>
            <w:r>
              <w:rPr>
                <w:rStyle w:val="IndexLink"/>
                <w:rtl w:val="true"/>
              </w:rPr>
              <w:t>»</w:t>
              <w:tab/>
            </w:r>
            <w:r>
              <w:rPr>
                <w:rStyle w:val="IndexLink"/>
              </w:rPr>
              <w:t>518</w:t>
            </w:r>
          </w:hyperlink>
        </w:p>
        <w:p>
          <w:pPr>
            <w:pStyle w:val="Contents4"/>
            <w:tabs>
              <w:tab w:val="clear" w:pos="8176"/>
              <w:tab w:val="right" w:pos="9026" w:leader="dot"/>
            </w:tabs>
            <w:rPr/>
          </w:pPr>
          <w:hyperlink w:anchor="__RefHeading___Toc6864098_73709187">
            <w:r>
              <w:rPr>
                <w:webHidden/>
                <w:rStyle w:val="IndexLink"/>
                <w:rtl w:val="true"/>
              </w:rPr>
              <w:t>الكليني وتهمة تحريف القرآن</w:t>
            </w:r>
            <w:r>
              <w:rPr>
                <w:rStyle w:val="IndexLink"/>
                <w:rtl w:val="true"/>
              </w:rPr>
              <w:tab/>
            </w:r>
            <w:r>
              <w:rPr>
                <w:rStyle w:val="IndexLink"/>
              </w:rPr>
              <w:t>520</w:t>
            </w:r>
          </w:hyperlink>
        </w:p>
        <w:p>
          <w:pPr>
            <w:pStyle w:val="Contents3"/>
            <w:tabs>
              <w:tab w:val="clear" w:pos="8459"/>
              <w:tab w:val="right" w:pos="9026" w:leader="dot"/>
            </w:tabs>
            <w:rPr/>
          </w:pPr>
          <w:hyperlink w:anchor="__RefHeading___Toc6864100_73709187">
            <w:r>
              <w:rPr>
                <w:webHidden/>
                <w:rStyle w:val="IndexLink"/>
              </w:rPr>
              <w:t>4</w:t>
            </w:r>
            <w:r>
              <w:rPr>
                <w:rStyle w:val="IndexLink"/>
                <w:rtl w:val="true"/>
              </w:rPr>
              <w:t xml:space="preserve"> </w:t>
            </w:r>
            <w:r>
              <w:rPr>
                <w:rStyle w:val="IndexLink"/>
                <w:rtl w:val="true"/>
              </w:rPr>
              <w:t>الشريف المرتضى رحمه الله</w:t>
            </w:r>
            <w:r>
              <w:rPr>
                <w:rStyle w:val="IndexLink"/>
                <w:rtl w:val="true"/>
              </w:rPr>
              <w:tab/>
            </w:r>
            <w:r>
              <w:rPr>
                <w:rStyle w:val="IndexLink"/>
              </w:rPr>
              <w:t>524</w:t>
            </w:r>
          </w:hyperlink>
        </w:p>
        <w:p>
          <w:pPr>
            <w:pStyle w:val="Contents4"/>
            <w:tabs>
              <w:tab w:val="clear" w:pos="8176"/>
              <w:tab w:val="right" w:pos="9026" w:leader="dot"/>
            </w:tabs>
            <w:rPr/>
          </w:pPr>
          <w:hyperlink w:anchor="__RefHeading___Toc6864102_73709187">
            <w:r>
              <w:rPr>
                <w:webHidden/>
                <w:rStyle w:val="IndexLink"/>
                <w:rtl w:val="true"/>
              </w:rPr>
              <w:t>اشارة</w:t>
            </w:r>
            <w:r>
              <w:rPr>
                <w:rStyle w:val="IndexLink"/>
                <w:rtl w:val="true"/>
              </w:rPr>
              <w:tab/>
            </w:r>
            <w:r>
              <w:rPr>
                <w:rStyle w:val="IndexLink"/>
              </w:rPr>
              <w:t>524</w:t>
            </w:r>
          </w:hyperlink>
        </w:p>
        <w:p>
          <w:pPr>
            <w:pStyle w:val="Contents4"/>
            <w:tabs>
              <w:tab w:val="clear" w:pos="8176"/>
              <w:tab w:val="right" w:pos="9026" w:leader="dot"/>
            </w:tabs>
            <w:rPr/>
          </w:pPr>
          <w:hyperlink w:anchor="__RefHeading___Toc6864104_73709187">
            <w:r>
              <w:rPr>
                <w:webHidden/>
                <w:rStyle w:val="IndexLink"/>
                <w:rtl w:val="true"/>
              </w:rPr>
              <w:t>نسبه الشريف</w:t>
            </w:r>
            <w:r>
              <w:rPr>
                <w:rStyle w:val="IndexLink"/>
                <w:rtl w:val="true"/>
              </w:rPr>
              <w:tab/>
            </w:r>
            <w:r>
              <w:rPr>
                <w:rStyle w:val="IndexLink"/>
              </w:rPr>
              <w:t>525</w:t>
            </w:r>
          </w:hyperlink>
        </w:p>
        <w:p>
          <w:pPr>
            <w:pStyle w:val="Contents4"/>
            <w:tabs>
              <w:tab w:val="clear" w:pos="8176"/>
              <w:tab w:val="right" w:pos="9026" w:leader="dot"/>
            </w:tabs>
            <w:rPr/>
          </w:pPr>
          <w:hyperlink w:anchor="__RefHeading___Toc6864106_73709187">
            <w:r>
              <w:rPr>
                <w:webHidden/>
                <w:rStyle w:val="IndexLink"/>
                <w:rtl w:val="true"/>
              </w:rPr>
              <w:t>نشأته وسيرته</w:t>
            </w:r>
            <w:r>
              <w:rPr>
                <w:rStyle w:val="IndexLink"/>
                <w:rtl w:val="true"/>
              </w:rPr>
              <w:tab/>
            </w:r>
            <w:r>
              <w:rPr>
                <w:rStyle w:val="IndexLink"/>
              </w:rPr>
              <w:t>525</w:t>
            </w:r>
          </w:hyperlink>
        </w:p>
        <w:p>
          <w:pPr>
            <w:pStyle w:val="Contents4"/>
            <w:tabs>
              <w:tab w:val="clear" w:pos="8176"/>
              <w:tab w:val="right" w:pos="9026" w:leader="dot"/>
            </w:tabs>
            <w:rPr/>
          </w:pPr>
          <w:hyperlink w:anchor="__RefHeading___Toc6864108_73709187">
            <w:r>
              <w:rPr>
                <w:webHidden/>
                <w:rStyle w:val="IndexLink"/>
                <w:rtl w:val="true"/>
              </w:rPr>
              <w:t>كلمات العلماء في حقّه</w:t>
            </w:r>
            <w:r>
              <w:rPr>
                <w:rStyle w:val="IndexLink"/>
                <w:rtl w:val="true"/>
              </w:rPr>
              <w:tab/>
            </w:r>
            <w:r>
              <w:rPr>
                <w:rStyle w:val="IndexLink"/>
              </w:rPr>
              <w:t>525</w:t>
            </w:r>
          </w:hyperlink>
        </w:p>
        <w:p>
          <w:pPr>
            <w:pStyle w:val="Contents4"/>
            <w:tabs>
              <w:tab w:val="clear" w:pos="8176"/>
              <w:tab w:val="right" w:pos="9026" w:leader="dot"/>
            </w:tabs>
            <w:rPr/>
          </w:pPr>
          <w:hyperlink w:anchor="__RefHeading___Toc6864110_73709187">
            <w:r>
              <w:rPr>
                <w:webHidden/>
                <w:rStyle w:val="IndexLink"/>
                <w:rtl w:val="true"/>
              </w:rPr>
              <w:t>آثاره العلمية</w:t>
            </w:r>
            <w:r>
              <w:rPr>
                <w:rStyle w:val="IndexLink"/>
                <w:rtl w:val="true"/>
              </w:rPr>
              <w:tab/>
            </w:r>
            <w:r>
              <w:rPr>
                <w:rStyle w:val="IndexLink"/>
              </w:rPr>
              <w:t>527</w:t>
            </w:r>
          </w:hyperlink>
        </w:p>
        <w:p>
          <w:pPr>
            <w:pStyle w:val="Contents4"/>
            <w:tabs>
              <w:tab w:val="clear" w:pos="8176"/>
              <w:tab w:val="right" w:pos="9026" w:leader="dot"/>
            </w:tabs>
            <w:rPr/>
          </w:pPr>
          <w:hyperlink w:anchor="__RefHeading___Toc6864112_73709187">
            <w:r>
              <w:rPr>
                <w:webHidden/>
                <w:rStyle w:val="IndexLink"/>
                <w:rtl w:val="true"/>
              </w:rPr>
              <w:t>فضائله ومكارم أخلاقه</w:t>
            </w:r>
            <w:r>
              <w:rPr>
                <w:rStyle w:val="IndexLink"/>
                <w:rtl w:val="true"/>
              </w:rPr>
              <w:tab/>
            </w:r>
            <w:r>
              <w:rPr>
                <w:rStyle w:val="IndexLink"/>
              </w:rPr>
              <w:t>534</w:t>
            </w:r>
          </w:hyperlink>
        </w:p>
        <w:p>
          <w:pPr>
            <w:pStyle w:val="Contents4"/>
            <w:tabs>
              <w:tab w:val="clear" w:pos="8176"/>
              <w:tab w:val="right" w:pos="9026" w:leader="dot"/>
            </w:tabs>
            <w:rPr/>
          </w:pPr>
          <w:hyperlink w:anchor="__RefHeading___Toc6864114_73709187">
            <w:r>
              <w:rPr>
                <w:webHidden/>
                <w:rStyle w:val="IndexLink"/>
                <w:rtl w:val="true"/>
              </w:rPr>
              <w:t>أشهر تلامذته</w:t>
            </w:r>
            <w:r>
              <w:rPr>
                <w:rStyle w:val="IndexLink"/>
                <w:rtl w:val="true"/>
              </w:rPr>
              <w:tab/>
            </w:r>
            <w:r>
              <w:rPr>
                <w:rStyle w:val="IndexLink"/>
              </w:rPr>
              <w:t>535</w:t>
            </w:r>
          </w:hyperlink>
        </w:p>
        <w:p>
          <w:pPr>
            <w:pStyle w:val="Contents4"/>
            <w:tabs>
              <w:tab w:val="clear" w:pos="8176"/>
              <w:tab w:val="right" w:pos="9026" w:leader="dot"/>
            </w:tabs>
            <w:rPr/>
          </w:pPr>
          <w:hyperlink w:anchor="__RefHeading___Toc6864116_73709187">
            <w:r>
              <w:rPr>
                <w:webHidden/>
                <w:rStyle w:val="IndexLink"/>
                <w:rtl w:val="true"/>
              </w:rPr>
              <w:t>إلفات نظر</w:t>
            </w:r>
            <w:r>
              <w:rPr>
                <w:rStyle w:val="IndexLink"/>
                <w:rtl w:val="true"/>
              </w:rPr>
              <w:tab/>
            </w:r>
            <w:r>
              <w:rPr>
                <w:rStyle w:val="IndexLink"/>
              </w:rPr>
              <w:t>536</w:t>
            </w:r>
          </w:hyperlink>
        </w:p>
        <w:p>
          <w:pPr>
            <w:pStyle w:val="Contents4"/>
            <w:tabs>
              <w:tab w:val="clear" w:pos="8176"/>
              <w:tab w:val="right" w:pos="9026" w:leader="dot"/>
            </w:tabs>
            <w:rPr/>
          </w:pPr>
          <w:hyperlink w:anchor="__RefHeading___Toc6864118_73709187">
            <w:r>
              <w:rPr>
                <w:webHidden/>
                <w:rStyle w:val="IndexLink"/>
                <w:rtl w:val="true"/>
              </w:rPr>
              <w:t>السيد المرتضى وأُصول الفقه</w:t>
            </w:r>
            <w:r>
              <w:rPr>
                <w:rStyle w:val="IndexLink"/>
                <w:rtl w:val="true"/>
              </w:rPr>
              <w:tab/>
            </w:r>
            <w:r>
              <w:rPr>
                <w:rStyle w:val="IndexLink"/>
              </w:rPr>
              <w:t>538</w:t>
            </w:r>
          </w:hyperlink>
        </w:p>
        <w:p>
          <w:pPr>
            <w:pStyle w:val="Contents3"/>
            <w:tabs>
              <w:tab w:val="clear" w:pos="8459"/>
              <w:tab w:val="right" w:pos="9026" w:leader="dot"/>
            </w:tabs>
            <w:rPr/>
          </w:pPr>
          <w:hyperlink w:anchor="__RefHeading___Toc6864120_73709187">
            <w:r>
              <w:rPr>
                <w:webHidden/>
                <w:rStyle w:val="IndexLink"/>
              </w:rPr>
              <w:t>5</w:t>
            </w:r>
            <w:r>
              <w:rPr>
                <w:rStyle w:val="IndexLink"/>
                <w:rtl w:val="true"/>
              </w:rPr>
              <w:t xml:space="preserve"> </w:t>
            </w:r>
            <w:r>
              <w:rPr>
                <w:rStyle w:val="IndexLink"/>
                <w:rtl w:val="true"/>
              </w:rPr>
              <w:t>العالم الرباني</w:t>
            </w:r>
            <w:r>
              <w:rPr>
                <w:rStyle w:val="IndexLink"/>
                <w:rtl w:val="true"/>
              </w:rPr>
              <w:tab/>
            </w:r>
            <w:r>
              <w:rPr>
                <w:rStyle w:val="IndexLink"/>
              </w:rPr>
              <w:t>544</w:t>
            </w:r>
          </w:hyperlink>
        </w:p>
        <w:p>
          <w:pPr>
            <w:pStyle w:val="Contents4"/>
            <w:tabs>
              <w:tab w:val="clear" w:pos="8176"/>
              <w:tab w:val="right" w:pos="9026" w:leader="dot"/>
            </w:tabs>
            <w:rPr/>
          </w:pPr>
          <w:hyperlink w:anchor="__RefHeading___Toc6864122_73709187">
            <w:r>
              <w:rPr>
                <w:webHidden/>
                <w:rStyle w:val="IndexLink"/>
                <w:rtl w:val="true"/>
              </w:rPr>
              <w:t>اشارة</w:t>
            </w:r>
            <w:r>
              <w:rPr>
                <w:rStyle w:val="IndexLink"/>
                <w:rtl w:val="true"/>
              </w:rPr>
              <w:tab/>
            </w:r>
            <w:r>
              <w:rPr>
                <w:rStyle w:val="IndexLink"/>
              </w:rPr>
              <w:t>544</w:t>
            </w:r>
          </w:hyperlink>
        </w:p>
        <w:p>
          <w:pPr>
            <w:pStyle w:val="Contents4"/>
            <w:tabs>
              <w:tab w:val="clear" w:pos="8176"/>
              <w:tab w:val="right" w:pos="9026" w:leader="dot"/>
            </w:tabs>
            <w:rPr/>
          </w:pPr>
          <w:hyperlink w:anchor="__RefHeading___Toc6864124_73709187">
            <w:r>
              <w:rPr>
                <w:webHidden/>
                <w:rStyle w:val="IndexLink"/>
                <w:rtl w:val="true"/>
              </w:rPr>
              <w:t>مؤلّفاته وتصانيفه</w:t>
            </w:r>
            <w:r>
              <w:rPr>
                <w:rStyle w:val="IndexLink"/>
                <w:rtl w:val="true"/>
              </w:rPr>
              <w:tab/>
            </w:r>
            <w:r>
              <w:rPr>
                <w:rStyle w:val="IndexLink"/>
              </w:rPr>
              <w:t>549</w:t>
            </w:r>
          </w:hyperlink>
        </w:p>
        <w:p>
          <w:pPr>
            <w:pStyle w:val="Contents3"/>
            <w:tabs>
              <w:tab w:val="clear" w:pos="8459"/>
              <w:tab w:val="right" w:pos="9026" w:leader="dot"/>
            </w:tabs>
            <w:rPr/>
          </w:pPr>
          <w:hyperlink w:anchor="__RefHeading___Toc6864126_73709187">
            <w:r>
              <w:rPr>
                <w:webHidden/>
                <w:rStyle w:val="IndexLink"/>
              </w:rPr>
              <w:t>6</w:t>
            </w:r>
            <w:r>
              <w:rPr>
                <w:rStyle w:val="IndexLink"/>
                <w:rtl w:val="true"/>
              </w:rPr>
              <w:t xml:space="preserve"> </w:t>
            </w:r>
            <w:r>
              <w:rPr>
                <w:rStyle w:val="IndexLink"/>
                <w:rtl w:val="true"/>
              </w:rPr>
              <w:t>آقا بزرگ الطهراني وطبقات أعلام الشيعة</w:t>
            </w:r>
            <w:r>
              <w:rPr>
                <w:rStyle w:val="IndexLink"/>
                <w:rtl w:val="true"/>
              </w:rPr>
              <w:tab/>
            </w:r>
            <w:r>
              <w:rPr>
                <w:rStyle w:val="IndexLink"/>
              </w:rPr>
              <w:t>551</w:t>
            </w:r>
          </w:hyperlink>
        </w:p>
        <w:p>
          <w:pPr>
            <w:pStyle w:val="Contents3"/>
            <w:tabs>
              <w:tab w:val="clear" w:pos="8459"/>
              <w:tab w:val="right" w:pos="9026" w:leader="dot"/>
            </w:tabs>
            <w:rPr/>
          </w:pPr>
          <w:hyperlink w:anchor="__RefHeading___Toc6864128_73709187">
            <w:r>
              <w:rPr>
                <w:webHidden/>
                <w:rStyle w:val="IndexLink"/>
              </w:rPr>
              <w:t>7</w:t>
            </w:r>
            <w:r>
              <w:rPr>
                <w:rStyle w:val="IndexLink"/>
                <w:rtl w:val="true"/>
              </w:rPr>
              <w:t xml:space="preserve"> </w:t>
            </w:r>
            <w:r>
              <w:rPr>
                <w:rStyle w:val="IndexLink"/>
                <w:rtl w:val="true"/>
              </w:rPr>
              <w:t>السيد الشهيد محمد محمد صادق الصدر</w:t>
            </w:r>
            <w:r>
              <w:rPr>
                <w:rStyle w:val="IndexLink"/>
                <w:rtl w:val="true"/>
              </w:rPr>
              <w:tab/>
            </w:r>
            <w:r>
              <w:rPr>
                <w:rStyle w:val="IndexLink"/>
              </w:rPr>
              <w:t>554</w:t>
            </w:r>
          </w:hyperlink>
        </w:p>
        <w:p>
          <w:pPr>
            <w:pStyle w:val="Contents2"/>
            <w:tabs>
              <w:tab w:val="clear" w:pos="8743"/>
              <w:tab w:val="right" w:pos="9026" w:leader="dot"/>
            </w:tabs>
            <w:rPr/>
          </w:pPr>
          <w:hyperlink w:anchor="__RefHeading___Toc6864130_73709187">
            <w:r>
              <w:rPr>
                <w:webHidden/>
                <w:rStyle w:val="IndexLink"/>
                <w:rtl w:val="true"/>
              </w:rPr>
              <w:t>الفصل الخامس</w:t>
            </w:r>
            <w:r>
              <w:rPr>
                <w:rStyle w:val="IndexLink"/>
                <w:rtl w:val="true"/>
              </w:rPr>
              <w:t xml:space="preserve">: </w:t>
            </w:r>
            <w:r>
              <w:rPr>
                <w:rStyle w:val="IndexLink"/>
                <w:rtl w:val="true"/>
              </w:rPr>
              <w:t>رسائل إرشادية</w:t>
            </w:r>
            <w:r>
              <w:rPr>
                <w:rStyle w:val="IndexLink"/>
                <w:rtl w:val="true"/>
              </w:rPr>
              <w:tab/>
            </w:r>
            <w:r>
              <w:rPr>
                <w:rStyle w:val="IndexLink"/>
              </w:rPr>
              <w:t>557</w:t>
            </w:r>
          </w:hyperlink>
        </w:p>
        <w:p>
          <w:pPr>
            <w:pStyle w:val="Contents3"/>
            <w:tabs>
              <w:tab w:val="clear" w:pos="8459"/>
              <w:tab w:val="right" w:pos="9026" w:leader="dot"/>
            </w:tabs>
            <w:rPr/>
          </w:pPr>
          <w:hyperlink w:anchor="__RefHeading___Toc6864132_73709187">
            <w:r>
              <w:rPr>
                <w:webHidden/>
                <w:rStyle w:val="IndexLink"/>
                <w:rtl w:val="true"/>
              </w:rPr>
              <w:t>اشارة</w:t>
            </w:r>
            <w:r>
              <w:rPr>
                <w:rStyle w:val="IndexLink"/>
                <w:rtl w:val="true"/>
              </w:rPr>
              <w:tab/>
            </w:r>
            <w:r>
              <w:rPr>
                <w:rStyle w:val="IndexLink"/>
              </w:rPr>
              <w:t>557</w:t>
            </w:r>
          </w:hyperlink>
        </w:p>
        <w:p>
          <w:pPr>
            <w:pStyle w:val="Contents3"/>
            <w:tabs>
              <w:tab w:val="clear" w:pos="8459"/>
              <w:tab w:val="right" w:pos="9026" w:leader="dot"/>
            </w:tabs>
            <w:rPr/>
          </w:pPr>
          <w:hyperlink w:anchor="__RefHeading___Toc6864134_73709187">
            <w:r>
              <w:rPr>
                <w:webHidden/>
                <w:rStyle w:val="IndexLink"/>
              </w:rPr>
              <w:t>1</w:t>
            </w:r>
            <w:r>
              <w:rPr>
                <w:rStyle w:val="IndexLink"/>
                <w:rtl w:val="true"/>
              </w:rPr>
              <w:t xml:space="preserve"> </w:t>
            </w:r>
            <w:r>
              <w:rPr>
                <w:rStyle w:val="IndexLink"/>
                <w:rtl w:val="true"/>
              </w:rPr>
              <w:t>رسالة الشيخ محمد شهيد وجوابنا عنها</w:t>
            </w:r>
            <w:r>
              <w:rPr>
                <w:rStyle w:val="IndexLink"/>
                <w:rtl w:val="true"/>
              </w:rPr>
              <w:tab/>
            </w:r>
            <w:r>
              <w:rPr>
                <w:rStyle w:val="IndexLink"/>
              </w:rPr>
              <w:t>558</w:t>
            </w:r>
          </w:hyperlink>
        </w:p>
        <w:p>
          <w:pPr>
            <w:pStyle w:val="Contents3"/>
            <w:tabs>
              <w:tab w:val="clear" w:pos="8459"/>
              <w:tab w:val="right" w:pos="9026" w:leader="dot"/>
            </w:tabs>
            <w:rPr/>
          </w:pPr>
          <w:hyperlink w:anchor="__RefHeading___Toc6864136_73709187">
            <w:r>
              <w:rPr>
                <w:webHidden/>
                <w:rStyle w:val="IndexLink"/>
              </w:rPr>
              <w:t>2</w:t>
            </w:r>
            <w:r>
              <w:rPr>
                <w:rStyle w:val="IndexLink"/>
                <w:rtl w:val="true"/>
              </w:rPr>
              <w:t xml:space="preserve"> </w:t>
            </w:r>
            <w:r>
              <w:rPr>
                <w:rStyle w:val="IndexLink"/>
                <w:rtl w:val="true"/>
              </w:rPr>
              <w:t>رسالة إلى أعضاء دارالزهراء عليها السلام</w:t>
            </w:r>
            <w:r>
              <w:rPr>
                <w:rStyle w:val="IndexLink"/>
                <w:rtl w:val="true"/>
              </w:rPr>
              <w:tab/>
            </w:r>
            <w:r>
              <w:rPr>
                <w:rStyle w:val="IndexLink"/>
              </w:rPr>
              <w:t>560</w:t>
            </w:r>
          </w:hyperlink>
        </w:p>
        <w:p>
          <w:pPr>
            <w:pStyle w:val="Contents3"/>
            <w:tabs>
              <w:tab w:val="clear" w:pos="8459"/>
              <w:tab w:val="right" w:pos="9026" w:leader="dot"/>
            </w:tabs>
            <w:rPr/>
          </w:pPr>
          <w:hyperlink w:anchor="__RefHeading___Toc6864138_73709187">
            <w:r>
              <w:rPr>
                <w:webHidden/>
                <w:rStyle w:val="IndexLink"/>
              </w:rPr>
              <w:t>3</w:t>
            </w:r>
            <w:r>
              <w:rPr>
                <w:rStyle w:val="IndexLink"/>
                <w:rtl w:val="true"/>
              </w:rPr>
              <w:t xml:space="preserve"> </w:t>
            </w:r>
            <w:r>
              <w:rPr>
                <w:rStyle w:val="IndexLink"/>
                <w:rtl w:val="true"/>
              </w:rPr>
              <w:t>التقريظ على تفسير البيّنات</w:t>
            </w:r>
            <w:r>
              <w:rPr>
                <w:rStyle w:val="IndexLink"/>
                <w:rtl w:val="true"/>
              </w:rPr>
              <w:tab/>
            </w:r>
            <w:r>
              <w:rPr>
                <w:rStyle w:val="IndexLink"/>
              </w:rPr>
              <w:t>563</w:t>
            </w:r>
          </w:hyperlink>
        </w:p>
        <w:p>
          <w:pPr>
            <w:pStyle w:val="Contents3"/>
            <w:tabs>
              <w:tab w:val="clear" w:pos="8459"/>
              <w:tab w:val="right" w:pos="9026" w:leader="dot"/>
            </w:tabs>
            <w:rPr/>
          </w:pPr>
          <w:hyperlink w:anchor="__RefHeading___Toc6864140_73709187">
            <w:r>
              <w:rPr>
                <w:webHidden/>
                <w:rStyle w:val="IndexLink"/>
              </w:rPr>
              <w:t>4</w:t>
            </w:r>
            <w:r>
              <w:rPr>
                <w:rStyle w:val="IndexLink"/>
                <w:rtl w:val="true"/>
              </w:rPr>
              <w:t xml:space="preserve"> </w:t>
            </w:r>
            <w:r>
              <w:rPr>
                <w:rStyle w:val="IndexLink"/>
                <w:rtl w:val="true"/>
              </w:rPr>
              <w:t>رسالة مفتوحة إلى الشيخ محمد سالم الخضر</w:t>
            </w:r>
            <w:r>
              <w:rPr>
                <w:rStyle w:val="IndexLink"/>
                <w:rtl w:val="true"/>
              </w:rPr>
              <w:tab/>
            </w:r>
            <w:r>
              <w:rPr>
                <w:rStyle w:val="IndexLink"/>
              </w:rPr>
              <w:t>565</w:t>
            </w:r>
          </w:hyperlink>
        </w:p>
        <w:p>
          <w:pPr>
            <w:pStyle w:val="Contents4"/>
            <w:tabs>
              <w:tab w:val="clear" w:pos="8176"/>
              <w:tab w:val="right" w:pos="9026" w:leader="dot"/>
            </w:tabs>
            <w:rPr/>
          </w:pPr>
          <w:hyperlink w:anchor="__RefHeading___Toc6864142_73709187">
            <w:r>
              <w:rPr>
                <w:webHidden/>
                <w:rStyle w:val="IndexLink"/>
                <w:rtl w:val="true"/>
              </w:rPr>
              <w:t>اشارة</w:t>
            </w:r>
            <w:r>
              <w:rPr>
                <w:rStyle w:val="IndexLink"/>
                <w:rtl w:val="true"/>
              </w:rPr>
              <w:tab/>
            </w:r>
            <w:r>
              <w:rPr>
                <w:rStyle w:val="IndexLink"/>
              </w:rPr>
              <w:t>565</w:t>
            </w:r>
          </w:hyperlink>
        </w:p>
        <w:p>
          <w:pPr>
            <w:pStyle w:val="Contents4"/>
            <w:tabs>
              <w:tab w:val="clear" w:pos="8176"/>
              <w:tab w:val="right" w:pos="9026" w:leader="dot"/>
            </w:tabs>
            <w:rPr/>
          </w:pPr>
          <w:hyperlink w:anchor="__RefHeading___Toc6864144_73709187">
            <w:r>
              <w:rPr>
                <w:webHidden/>
                <w:rStyle w:val="IndexLink"/>
                <w:rtl w:val="true"/>
              </w:rPr>
              <w:t>ما هو المراد بعاشوراء في الحديث النبوي صلى الله عليه و آله‌؟</w:t>
            </w:r>
            <w:r>
              <w:rPr>
                <w:rStyle w:val="IndexLink"/>
                <w:rtl w:val="true"/>
              </w:rPr>
              <w:tab/>
            </w:r>
            <w:r>
              <w:rPr>
                <w:rStyle w:val="IndexLink"/>
              </w:rPr>
              <w:t>573</w:t>
            </w:r>
          </w:hyperlink>
        </w:p>
        <w:p>
          <w:pPr>
            <w:pStyle w:val="Contents5"/>
            <w:tabs>
              <w:tab w:val="clear" w:pos="7892"/>
              <w:tab w:val="right" w:pos="9026" w:leader="dot"/>
            </w:tabs>
            <w:rPr/>
          </w:pPr>
          <w:hyperlink w:anchor="__RefHeading___Toc6864146_73709187">
            <w:r>
              <w:rPr>
                <w:webHidden/>
                <w:rStyle w:val="IndexLink"/>
                <w:rtl w:val="true"/>
              </w:rPr>
              <w:t>اشارة</w:t>
            </w:r>
            <w:r>
              <w:rPr>
                <w:rStyle w:val="IndexLink"/>
                <w:rtl w:val="true"/>
              </w:rPr>
              <w:tab/>
            </w:r>
            <w:r>
              <w:rPr>
                <w:rStyle w:val="IndexLink"/>
              </w:rPr>
              <w:t>573</w:t>
            </w:r>
          </w:hyperlink>
        </w:p>
        <w:p>
          <w:pPr>
            <w:pStyle w:val="Contents5"/>
            <w:tabs>
              <w:tab w:val="clear" w:pos="7892"/>
              <w:tab w:val="right" w:pos="9026" w:leader="dot"/>
            </w:tabs>
            <w:rPr/>
          </w:pPr>
          <w:hyperlink w:anchor="__RefHeading___Toc6864148_73709187">
            <w:r>
              <w:rPr>
                <w:webHidden/>
                <w:rStyle w:val="IndexLink"/>
              </w:rPr>
              <w:t>1</w:t>
            </w:r>
            <w:r>
              <w:rPr>
                <w:rStyle w:val="IndexLink"/>
                <w:rtl w:val="true"/>
              </w:rPr>
              <w:t xml:space="preserve">. </w:t>
            </w:r>
            <w:r>
              <w:rPr>
                <w:rStyle w:val="IndexLink"/>
                <w:rtl w:val="true"/>
              </w:rPr>
              <w:t>تسطيح القبر</w:t>
            </w:r>
            <w:r>
              <w:rPr>
                <w:rStyle w:val="IndexLink"/>
                <w:rtl w:val="true"/>
              </w:rPr>
              <w:tab/>
            </w:r>
            <w:r>
              <w:rPr>
                <w:rStyle w:val="IndexLink"/>
              </w:rPr>
              <w:t>578</w:t>
            </w:r>
          </w:hyperlink>
        </w:p>
        <w:p>
          <w:pPr>
            <w:pStyle w:val="Contents5"/>
            <w:tabs>
              <w:tab w:val="clear" w:pos="7892"/>
              <w:tab w:val="right" w:pos="9026" w:leader="dot"/>
            </w:tabs>
            <w:rPr/>
          </w:pPr>
          <w:hyperlink w:anchor="__RefHeading___Toc6864150_73709187">
            <w:r>
              <w:rPr>
                <w:webHidden/>
                <w:rStyle w:val="IndexLink"/>
              </w:rPr>
              <w:t>2</w:t>
            </w:r>
            <w:r>
              <w:rPr>
                <w:rStyle w:val="IndexLink"/>
                <w:rtl w:val="true"/>
              </w:rPr>
              <w:t xml:space="preserve">. </w:t>
            </w:r>
            <w:r>
              <w:rPr>
                <w:rStyle w:val="IndexLink"/>
                <w:rtl w:val="true"/>
              </w:rPr>
              <w:t>الجهر بالبسملة</w:t>
            </w:r>
            <w:r>
              <w:rPr>
                <w:rStyle w:val="IndexLink"/>
                <w:rtl w:val="true"/>
              </w:rPr>
              <w:tab/>
            </w:r>
            <w:r>
              <w:rPr>
                <w:rStyle w:val="IndexLink"/>
              </w:rPr>
              <w:t>579</w:t>
            </w:r>
          </w:hyperlink>
        </w:p>
        <w:p>
          <w:pPr>
            <w:pStyle w:val="Contents5"/>
            <w:tabs>
              <w:tab w:val="clear" w:pos="7892"/>
              <w:tab w:val="right" w:pos="9026" w:leader="dot"/>
            </w:tabs>
            <w:rPr/>
          </w:pPr>
          <w:hyperlink w:anchor="__RefHeading___Toc6864152_73709187">
            <w:r>
              <w:rPr>
                <w:webHidden/>
                <w:rStyle w:val="IndexLink"/>
              </w:rPr>
              <w:t>3</w:t>
            </w:r>
            <w:r>
              <w:rPr>
                <w:rStyle w:val="IndexLink"/>
                <w:rtl w:val="true"/>
              </w:rPr>
              <w:t xml:space="preserve">. </w:t>
            </w:r>
            <w:r>
              <w:rPr>
                <w:rStyle w:val="IndexLink"/>
                <w:rtl w:val="true"/>
              </w:rPr>
              <w:t>ترك المستحبات إذا صارت شعاراً للشيعة</w:t>
            </w:r>
            <w:r>
              <w:rPr>
                <w:rStyle w:val="IndexLink"/>
                <w:rtl w:val="true"/>
              </w:rPr>
              <w:tab/>
            </w:r>
            <w:r>
              <w:rPr>
                <w:rStyle w:val="IndexLink"/>
              </w:rPr>
              <w:t>579</w:t>
            </w:r>
          </w:hyperlink>
        </w:p>
        <w:p>
          <w:pPr>
            <w:pStyle w:val="Contents4"/>
            <w:tabs>
              <w:tab w:val="clear" w:pos="8176"/>
              <w:tab w:val="right" w:pos="9026" w:leader="dot"/>
            </w:tabs>
            <w:rPr/>
          </w:pPr>
          <w:hyperlink w:anchor="__RefHeading___Toc6864154_73709187">
            <w:r>
              <w:rPr>
                <w:webHidden/>
                <w:rStyle w:val="IndexLink"/>
                <w:rtl w:val="true"/>
              </w:rPr>
              <w:t>زاد في الطنبور نغمة</w:t>
            </w:r>
            <w:r>
              <w:rPr>
                <w:rStyle w:val="IndexLink"/>
                <w:rtl w:val="true"/>
              </w:rPr>
              <w:tab/>
            </w:r>
            <w:r>
              <w:rPr>
                <w:rStyle w:val="IndexLink"/>
              </w:rPr>
              <w:t>580</w:t>
            </w:r>
          </w:hyperlink>
        </w:p>
        <w:p>
          <w:pPr>
            <w:pStyle w:val="Contents4"/>
            <w:tabs>
              <w:tab w:val="clear" w:pos="8176"/>
              <w:tab w:val="right" w:pos="9026" w:leader="dot"/>
            </w:tabs>
            <w:rPr/>
          </w:pPr>
          <w:hyperlink w:anchor="__RefHeading___Toc6864156_73709187">
            <w:r>
              <w:rPr>
                <w:webHidden/>
                <w:rStyle w:val="IndexLink"/>
                <w:rtl w:val="true"/>
              </w:rPr>
              <w:t>عاشوراء بين الحزن والفرح</w:t>
            </w:r>
            <w:r>
              <w:rPr>
                <w:rStyle w:val="IndexLink"/>
                <w:rtl w:val="true"/>
              </w:rPr>
              <w:tab/>
            </w:r>
            <w:r>
              <w:rPr>
                <w:rStyle w:val="IndexLink"/>
              </w:rPr>
              <w:t>583</w:t>
            </w:r>
          </w:hyperlink>
        </w:p>
        <w:p>
          <w:pPr>
            <w:pStyle w:val="Contents2"/>
            <w:tabs>
              <w:tab w:val="clear" w:pos="8743"/>
              <w:tab w:val="right" w:pos="9026" w:leader="dot"/>
            </w:tabs>
            <w:rPr/>
          </w:pPr>
          <w:hyperlink w:anchor="__RefHeading___Toc6864158_73709187">
            <w:r>
              <w:rPr>
                <w:webHidden/>
                <w:rStyle w:val="IndexLink"/>
                <w:rtl w:val="true"/>
              </w:rPr>
              <w:t>فهرس المحتويات</w:t>
            </w:r>
            <w:r>
              <w:rPr>
                <w:rStyle w:val="IndexLink"/>
                <w:rtl w:val="true"/>
              </w:rPr>
              <w:tab/>
            </w:r>
            <w:r>
              <w:rPr>
                <w:rStyle w:val="IndexLink"/>
              </w:rPr>
              <w:t>587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68_165149"/>
      <w:bookmarkStart w:id="1" w:name="pg16768_165149"/>
      <w:bookmarkEnd w:id="1"/>
    </w:p>
    <w:p>
      <w:pPr>
        <w:pStyle w:val="Heading2"/>
        <w:numPr>
          <w:ilvl w:val="1"/>
          <w:numId w:val="1"/>
        </w:numPr>
        <w:rPr/>
      </w:pPr>
      <w:bookmarkStart w:id="2" w:name="pg16768_165149"/>
      <w:bookmarkStart w:id="3" w:name="__RefHeading___Toc6863388_7370918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سبحاني تبريزي، جعفر، </w:t>
      </w:r>
      <w:r>
        <w:rPr>
          <w:rFonts w:ascii="Amiri" w:hAnsi="Amiri" w:eastAsia="Amiri" w:cs="Amiri"/>
          <w:color w:val="111111"/>
          <w:sz w:val="28"/>
          <w:sz w:val="28"/>
          <w:szCs w:val="28"/>
          <w:lang w:bidi="ar-SA"/>
        </w:rPr>
        <w:t>۱۳۰۸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و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تبحث في مواضيع فقهيه، اصوليه، كلاميه، تراجم، و مكاتبات و حورات مع بعض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جعفر السبحاني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نويسي بر اساس جلد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۱۴۲۸</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شناخت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ر</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۱۰۵۳۰۷۶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63390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رسائل و مقالات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رسائل و مقالات</w:t>
      </w:r>
    </w:p>
    <w:p>
      <w:pPr>
        <w:pStyle w:val="BookText"/>
        <w:rPr/>
      </w:pPr>
      <w:r>
        <w:rPr>
          <w:rFonts w:ascii="Amiri" w:hAnsi="Amiri" w:eastAsia="Amiri" w:cs="Amiri"/>
          <w:color w:val="111111"/>
          <w:sz w:val="28"/>
          <w:sz w:val="28"/>
          <w:szCs w:val="28"/>
          <w:rtl w:val="true"/>
          <w:lang w:bidi="ar-SA"/>
        </w:rPr>
        <w:t>تبحث في مسائل كلامية، عقائدية، فقهية، أُصولية، تراجم،</w:t>
      </w:r>
    </w:p>
    <w:p>
      <w:pPr>
        <w:pStyle w:val="BookText"/>
        <w:rPr/>
      </w:pPr>
      <w:r>
        <w:rPr>
          <w:rFonts w:ascii="Amiri" w:hAnsi="Amiri" w:eastAsia="Amiri" w:cs="Amiri"/>
          <w:color w:val="111111"/>
          <w:sz w:val="28"/>
          <w:sz w:val="28"/>
          <w:szCs w:val="28"/>
          <w:rtl w:val="true"/>
          <w:lang w:bidi="ar-SA"/>
        </w:rPr>
        <w:t>وحوارات مع بعض الأعلام، وفيها إرشادات</w:t>
      </w:r>
    </w:p>
    <w:p>
      <w:pPr>
        <w:pStyle w:val="BookText"/>
        <w:rPr/>
      </w:pPr>
      <w:r>
        <w:rPr>
          <w:rFonts w:ascii="Amiri" w:hAnsi="Amiri" w:eastAsia="Amiri" w:cs="Amiri"/>
          <w:color w:val="111111"/>
          <w:sz w:val="28"/>
          <w:sz w:val="28"/>
          <w:szCs w:val="28"/>
          <w:rtl w:val="true"/>
          <w:lang w:bidi="ar-SA"/>
        </w:rPr>
        <w:t>ودعوة إلى التقريب بين المذاهب</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الفقيه المحقّق</w:t>
      </w:r>
    </w:p>
    <w:p>
      <w:pPr>
        <w:pStyle w:val="BookText"/>
        <w:rPr/>
      </w:pPr>
      <w:r>
        <w:rPr>
          <w:rFonts w:ascii="Amiri" w:hAnsi="Amiri" w:eastAsia="Amiri" w:cs="Amiri"/>
          <w:color w:val="111111"/>
          <w:sz w:val="28"/>
          <w:sz w:val="28"/>
          <w:szCs w:val="28"/>
          <w:rtl w:val="true"/>
          <w:lang w:bidi="ar-SA"/>
        </w:rPr>
        <w:t>آية اللّه العظمى الشيخ جعفر السبحاني</w:t>
      </w:r>
    </w:p>
    <w:p>
      <w:pPr>
        <w:pStyle w:val="BookText"/>
        <w:rPr/>
      </w:pPr>
      <w:r>
        <w:rPr>
          <w:rFonts w:ascii="IRNazanin" w:hAnsi="IRNazanin" w:eastAsia="IRNazanin"/>
          <w:color w:val="111111"/>
          <w:sz w:val="28"/>
          <w:sz w:val="28"/>
          <w:szCs w:val="28"/>
          <w:rtl w:val="true"/>
          <w:lang w:bidi="fa-IR"/>
        </w:rPr>
        <w:t>الجزء السابع</w:t>
      </w:r>
    </w:p>
    <w:p>
      <w:pPr>
        <w:pStyle w:val="BookText"/>
        <w:rPr/>
      </w:pPr>
      <w:r>
        <w:rPr>
          <w:rFonts w:ascii="IRNazanin" w:hAnsi="IRNazanin" w:eastAsia="IRNazanin"/>
          <w:color w:val="111111"/>
          <w:sz w:val="28"/>
          <w:sz w:val="28"/>
          <w:szCs w:val="28"/>
          <w:rtl w:val="true"/>
          <w:lang w:bidi="fa-IR"/>
        </w:rPr>
        <w:t>منشورات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 xml:space="preserve">آية اللّه العظمى جعفر السبحاني،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رسائل و 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جعفر السبحاني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 السلام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1389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Amiri" w:hAnsi="Amiri" w:eastAsia="Amiri" w:cs="Amiri"/>
          <w:color w:val="111111"/>
          <w:sz w:val="28"/>
          <w:sz w:val="28"/>
          <w:szCs w:val="28"/>
          <w:rtl w:val="true"/>
          <w:lang w:bidi="ar-SA"/>
        </w:rPr>
        <w:t>أُنجزت الفهرسة طبقاً لمعلومات فيبا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تبحث في مواضيع فلسفية، كلامية، فقهية وفيها الدعوة إلى التقريب بين المذاهب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تبحث في مواضيع فلسفية، كلامية، فقهية واجتماعية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تبحث في مواضيع فقهية، أُصولية، كلامية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مواضيع فقهية، أُصولية، كلامية، تراجم، ومكاتبات وحوارات مع بعض الأعلام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فلسفية، كلامية، فقهية، أُصولية، مكاتبات، تقاريض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تبحث في مسائل كلامية، عقائدية، فقهية، أُصولية، تراجم، وحوارات مع بعض الأعلام، وفيها إرشادات ودعوة إلى التقريب بين المذاهب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مقالات ورسائل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211/5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BP 297/4172</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و مقالات</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الفقيه جعفر السبحاني</w:t>
      </w:r>
    </w:p>
    <w:p>
      <w:pPr>
        <w:pStyle w:val="BookText"/>
        <w:rPr/>
      </w:pP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وزيري</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تسلسل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تسلسل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توزيع</w:t>
      </w:r>
    </w:p>
    <w:p>
      <w:pPr>
        <w:pStyle w:val="BookText"/>
        <w:rPr/>
      </w:pPr>
      <w:r>
        <w:rPr>
          <w:rFonts w:ascii="Amiri" w:hAnsi="Amiri" w:eastAsia="Amiri" w:cs="Amiri"/>
          <w:color w:val="111111"/>
          <w:sz w:val="28"/>
          <w:sz w:val="28"/>
          <w:szCs w:val="28"/>
          <w:rtl w:val="true"/>
          <w:lang w:bidi="ar-SA"/>
        </w:rPr>
        <w:t>مكتبة التوحيد</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ساحة الشهداء</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7745457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09121519271</w:t>
      </w:r>
    </w:p>
    <w:p>
      <w:pPr>
        <w:pStyle w:val="BookText"/>
        <w:rPr/>
      </w:pPr>
      <w:r>
        <w:rPr>
          <w:rFonts w:eastAsia="Times New Roman" w:cs="Times New Roman" w:ascii="Times New Roman" w:hAnsi="Times New Roman"/>
          <w:color w:val="111111"/>
          <w:sz w:val="28"/>
          <w:szCs w:val="28"/>
          <w:lang w:val="en-US" w:bidi="en-US"/>
        </w:rPr>
        <w:t>www.shia.ir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http://www.imamsadiq.org</w:t>
      </w:r>
      <w:bookmarkStart w:id="7" w:name="pg16768_165155"/>
    </w:p>
    <w:p>
      <w:pPr>
        <w:pStyle w:val="Heading2"/>
        <w:numPr>
          <w:ilvl w:val="1"/>
          <w:numId w:val="1"/>
        </w:numPr>
        <w:rPr/>
      </w:pPr>
      <w:bookmarkStart w:id="8" w:name="__RefHeading___Toc6863392_73709187"/>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رسله وخاتم أنبيائه محمد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روي عن رسول اللّه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تخرق الحجب، وتنتهي إلى ما بين يدي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صرير أقلام العلماء، ووطء أقدام المجاهدين، وصوت مغازل المحصنات</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لا شكّ أنّ هذا الحديث من جوامع الكلم التي أدلى به خير البشر، فالفقرة الأُولى تدل على أنّ العلم والثقافة ركن مهم من أركان المجتمع، كما أنّ الفقرة الثانية ترشدنا إلى أنّ الجهاد هو الركن الثاني للمجتمع الإسلامي المزدهر، والفقرة الثالثة تدلنا على أنّ العمل المقرون بالعفاف ركن ثالث، وبهذه الأركان الثلاثة يكون المجتمع قد سار على طريق الرقي والتقدم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القلم الذي أُضفي عليه هذا الوصف، وأعطيت له هذه القيمة، هو القلم الذي يحلّ مشكلة من مشاكل المجتمع، أو يدعم عقيدة جاء بها الكتاب أو السنة، أو تُردّ به عادية الأعداء، وتحصن عقائد الشعب وأفكاره، إلى غير ذلك من الآثار الحسنة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أنّ القلم لم يتحمل واحدة من هذه المسؤوليات، وإنّما كتب شيئاً للانتفاع بالمال أو لكسب المنصب والمقام، فليس له قيمة عند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فقد توخينا أن تكون الرسائل والمقالات في هذه الموسوعة، سائرة على هذا المنهج، وموصوفة بالصفات المذكورة، خدمة للحق وإظهاراً له وإزهاقاً للباطل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الجزء السابع من هذه الموسوعة نقدمه إلى القراء الكرام آملين أن يتحفونا بآراءهم ويرشدونا إلى الأخطاء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إخواني من أهدى إليّ عيوبي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قاله إلّا تعليماً لشيعته وروّاد منهجه،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نرجو من اللّه سبحانه أن يجري الحق على ألسنتنا وأقلامنا، وأن يصوننا عن اقتفاء الباطل ونشره وتعليمه، إنّه سميع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من وراء القصد</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المقدسة، مؤسسة الإمام الصادق عليه السلام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10" w:name="pg16768_165157"/>
    </w:p>
    <w:p>
      <w:pPr>
        <w:pStyle w:val="Heading2"/>
        <w:numPr>
          <w:ilvl w:val="1"/>
          <w:numId w:val="1"/>
        </w:numPr>
        <w:rPr/>
      </w:pPr>
      <w:bookmarkStart w:id="11" w:name="__RefHeading___Toc6863394_73709187"/>
      <w:bookmarkStart w:id="12" w:name="_Toc4"/>
      <w:bookmarkEnd w:id="10"/>
      <w:bookmarkEnd w:id="11"/>
      <w:r>
        <w:rPr>
          <w:rtl w:val="true"/>
        </w:rPr>
        <w:t>الفصل الأوّل</w:t>
      </w:r>
      <w:r>
        <w:rPr>
          <w:rtl w:val="true"/>
        </w:rPr>
        <w:t xml:space="preserve">: </w:t>
      </w:r>
      <w:r>
        <w:rPr>
          <w:rtl w:val="true"/>
        </w:rPr>
        <w:t>في الكلام والعقائد</w:t>
      </w:r>
      <w:bookmarkEnd w:id="12"/>
    </w:p>
    <w:p>
      <w:pPr>
        <w:pStyle w:val="Heading3"/>
        <w:numPr>
          <w:ilvl w:val="2"/>
          <w:numId w:val="1"/>
        </w:numPr>
        <w:rPr/>
      </w:pPr>
      <w:bookmarkStart w:id="13" w:name="__RefHeading___Toc6863396_73709187"/>
      <w:bookmarkStart w:id="14" w:name="_Toc5"/>
      <w:bookmarkEnd w:id="13"/>
      <w:r>
        <w:rPr>
          <w:rtl w:val="true"/>
        </w:rPr>
        <w:t>اشارة</w:t>
      </w:r>
      <w:bookmarkEnd w:id="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التجسيم والتشبيه في منهج ابن تيمية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حركة الباري ونزوله عند ابن تيمية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الجهة والمكان للّه سبحانه عند ابن تيمية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نظرة إلى تكلّمه سبحانه في منهج ابن تيمية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عقائد شاذّة نابية لابن تيمية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العصمة وحقيقتها وآثارها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الأحكام الشرعية ألطاف في الأحكام العقلية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الرؤية ومعنى الإله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البداء في الكتاب والسنّة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التبرّك في الكتاب والسنّة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التوسّل في الكتاب والسنّة</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الاحتفال بيوم الغدير أو سلمان العودة توّاب عوّاد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القرضاوي وحرمة التسمية بعبد المسيح</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محسن بن علي بين الحقيقة والخيال</w:t>
      </w:r>
      <w:bookmarkStart w:id="15" w:name="pg16768_165159"/>
    </w:p>
    <w:p>
      <w:pPr>
        <w:pStyle w:val="Heading3"/>
        <w:numPr>
          <w:ilvl w:val="2"/>
          <w:numId w:val="1"/>
        </w:numPr>
        <w:rPr/>
      </w:pPr>
      <w:bookmarkStart w:id="16" w:name="__RefHeading___Toc6863398_73709187"/>
      <w:bookmarkStart w:id="17" w:name="_Toc6"/>
      <w:bookmarkEnd w:id="15"/>
      <w:bookmarkEnd w:id="16"/>
      <w:r>
        <w:rPr>
          <w:rtl w:val="true"/>
        </w:rPr>
        <w:t>مع ابن تيمية في عقائده</w:t>
      </w:r>
      <w:bookmarkEnd w:id="17"/>
    </w:p>
    <w:p>
      <w:pPr>
        <w:pStyle w:val="BookText"/>
        <w:rPr/>
      </w:pPr>
      <w:r>
        <w:rPr>
          <w:rFonts w:ascii="Amiri" w:hAnsi="Amiri" w:eastAsia="Amiri" w:cs="Amiri"/>
          <w:color w:val="111111"/>
          <w:sz w:val="28"/>
          <w:sz w:val="28"/>
          <w:szCs w:val="28"/>
          <w:rtl w:val="true"/>
          <w:lang w:bidi="ar-SA"/>
        </w:rPr>
        <w:t>نبدأ هذا الفصل بطرح بعض أفكار ابن تيمية وعقائده ودراستها ومناقشتها والرد عليها على ضوء الكتاب والسنّة والعقل</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6863400_73709187"/>
      <w:bookmarkStart w:id="19" w:name="_Toc7"/>
      <w:bookmarkEnd w:id="18"/>
      <w:r>
        <w:rPr/>
        <w:t>1</w:t>
      </w:r>
      <w:r>
        <w:rPr>
          <w:rtl w:val="true"/>
        </w:rPr>
        <w:t xml:space="preserve"> </w:t>
      </w:r>
      <w:r>
        <w:rPr>
          <w:rtl w:val="true"/>
        </w:rPr>
        <w:t>التجسيم والتشبيه في منهج ابن تيمية</w:t>
      </w:r>
      <w:bookmarkEnd w:id="19"/>
    </w:p>
    <w:p>
      <w:pPr>
        <w:pStyle w:val="Heading4"/>
        <w:numPr>
          <w:ilvl w:val="3"/>
          <w:numId w:val="1"/>
        </w:numPr>
        <w:rPr/>
      </w:pPr>
      <w:bookmarkStart w:id="20" w:name="__RefHeading___Toc6863402_73709187"/>
      <w:bookmarkStart w:id="21" w:name="_Toc8"/>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نزلت الشرائع السماوية على تنزيه اللّه سبحانه عن كونه جسماً أو جسمانياً مشابهاً لمخلوقاته إلى غير ذلك ممّا يعد من آثار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احتكاك بعض الأقوام ممّن نزلت عليهم الشرائع بالوثنيين صار سبباً لميلهم إلى التجسيم والتشبيه، وعلى رأسهم قوم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شواهد، منها</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6863404_73709187"/>
      <w:bookmarkStart w:id="23" w:name="_Toc9"/>
      <w:bookmarkEnd w:id="22"/>
      <w:r>
        <w:rPr/>
        <w:t>1</w:t>
      </w:r>
      <w:r>
        <w:rPr>
          <w:rtl w:val="true"/>
        </w:rPr>
        <w:t xml:space="preserve">. </w:t>
      </w:r>
      <w:r>
        <w:rPr>
          <w:rtl w:val="true"/>
        </w:rPr>
        <w:t>طلبهم من موسى عليه السلام الإله المجسّم</w:t>
      </w:r>
      <w:bookmarkEnd w:id="23"/>
    </w:p>
    <w:p>
      <w:pPr>
        <w:pStyle w:val="BookText"/>
        <w:rPr/>
      </w:pPr>
      <w:r>
        <w:rPr>
          <w:rFonts w:ascii="Amiri" w:hAnsi="Amiri" w:eastAsia="Amiri" w:cs="Amiri"/>
          <w:color w:val="111111"/>
          <w:sz w:val="28"/>
          <w:sz w:val="28"/>
          <w:szCs w:val="28"/>
          <w:rtl w:val="true"/>
          <w:lang w:bidi="ar-SA"/>
        </w:rPr>
        <w:t>إنّ نبي اللّه موسى عليه السلام بعد ما عبر ببني إسرائيل البحر ونزلوا إلى الضفة الأُخرى منه، رأوا أنّ أقواماً يعبدون أصناماً، فطلبوا من موسى عليه السلام أن يجعل لهم إلهاً مثل ما لهؤلاء آلهة، لكي يعبدونها، فكأنّهم فكّروا أنّ عبادة الإله غير المرئي أمر غير مفيد، فيجب أن يُعبد اللّه سبحانه بصورة موجود مجسّم، وهذا ما يحكيه قوله سبحانه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جاوَزْنا بِبَنِي إِسْرائِيلَ الْبَحْرَ فَأَتَوْا عَلى قَوْمٍ يَعْكُفُونَ عَلى أَصْنامٍ لَهُمْ قالُوا يا مُوسَى اجْعَلْ لَنا إِلهاً كَما لَهُمْ آلِهَةٌ قالَ إِنَّكُمْ قَوْمٌ‌</w:t>
      </w:r>
      <w:bookmarkStart w:id="24" w:name="pg16768_165160"/>
    </w:p>
    <w:p>
      <w:pPr>
        <w:pStyle w:val="BookText"/>
        <w:rPr/>
      </w:pPr>
      <w:bookmarkEnd w:id="24"/>
      <w:r>
        <w:rPr>
          <w:rFonts w:ascii="Amiri" w:hAnsi="Amiri" w:eastAsia="Amiri" w:cs="Amiri"/>
          <w:color w:val="111111"/>
          <w:sz w:val="28"/>
          <w:sz w:val="28"/>
          <w:szCs w:val="28"/>
          <w:rtl w:val="true"/>
          <w:lang w:bidi="ar-SA"/>
        </w:rPr>
        <w:t>تَجْهَلُونَ‌</w:t>
      </w:r>
      <w:r>
        <w:rPr>
          <w:rFonts w:eastAsia="Amiri" w:cs="Amiri" w:ascii="Amiri" w:hAnsi="Amiri"/>
          <w:color w:val="111111"/>
          <w:sz w:val="28"/>
          <w:szCs w:val="28"/>
          <w:rtl w:val="true"/>
          <w:lang w:bidi="ar-SA"/>
        </w:rPr>
        <w:t>)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فالآية تحكي أنّ النزوع إلى الوثنية كان راسخاً في نفوسهم حتى غفلوا عن النعمة الكبرى التي شملتهم، وهي نجاتهم من فرعون، فطلبوا من موسى ما يضاد شريعته وعقيدته</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6863406_73709187"/>
      <w:bookmarkStart w:id="26" w:name="_Toc10"/>
      <w:bookmarkEnd w:id="25"/>
      <w:r>
        <w:rPr/>
        <w:t>2</w:t>
      </w:r>
      <w:r>
        <w:rPr>
          <w:rtl w:val="true"/>
        </w:rPr>
        <w:t xml:space="preserve">. </w:t>
      </w:r>
      <w:r>
        <w:rPr>
          <w:rtl w:val="true"/>
        </w:rPr>
        <w:t>طلبهم رؤية اللّه تعالى</w:t>
      </w:r>
      <w:bookmarkEnd w:id="26"/>
    </w:p>
    <w:p>
      <w:pPr>
        <w:pStyle w:val="BookText"/>
        <w:rPr/>
      </w:pPr>
      <w:r>
        <w:rPr>
          <w:rFonts w:ascii="Amiri" w:hAnsi="Amiri" w:eastAsia="Amiri" w:cs="Amiri"/>
          <w:color w:val="111111"/>
          <w:sz w:val="28"/>
          <w:sz w:val="28"/>
          <w:szCs w:val="28"/>
          <w:rtl w:val="true"/>
          <w:lang w:bidi="ar-SA"/>
        </w:rPr>
        <w:t>الشاهد الثاني على رسوخ فكرة التجسيم عندهم، أنّهم طلبوا من موسى عليه السلام رؤية اللّه سبحانه بالعين، ولولاها لم يؤمنوا به، وهذا ما يحكيه الذكر الحكيم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قُلْتُمْ يا مُوسى لَنْ نُؤْمِنَ لَكَ حَتّى نَرَى اللّهَ جَهْرَةً فَأَخَذَتْكُمُ الصّاعِقَةُ وَ أَنْتُمْ تَنْظُرُونَ‌</w:t>
      </w:r>
      <w:r>
        <w:rPr>
          <w:rFonts w:eastAsia="Amiri" w:cs="Amiri" w:ascii="Amiri" w:hAnsi="Amiri"/>
          <w:color w:val="111111"/>
          <w:sz w:val="28"/>
          <w:szCs w:val="28"/>
          <w:rtl w:val="true"/>
          <w:lang w:bidi="ar-SA"/>
        </w:rPr>
        <w:t>) .</w:t>
      </w:r>
      <w:r>
        <w:rPr>
          <w:rStyle w:val="FootnoteAnchor"/>
          <w:rtl w:val="true"/>
        </w:rPr>
        <w:footnoteReference w:id="4"/>
      </w:r>
    </w:p>
    <w:p>
      <w:pPr>
        <w:pStyle w:val="Heading4"/>
        <w:numPr>
          <w:ilvl w:val="3"/>
          <w:numId w:val="1"/>
        </w:numPr>
        <w:rPr/>
      </w:pPr>
      <w:bookmarkStart w:id="27" w:name="__RefHeading___Toc6863408_73709187"/>
      <w:bookmarkStart w:id="28" w:name="_Toc11"/>
      <w:bookmarkEnd w:id="27"/>
      <w:r>
        <w:rPr/>
        <w:t>3</w:t>
      </w:r>
      <w:r>
        <w:rPr>
          <w:rtl w:val="true"/>
        </w:rPr>
        <w:t xml:space="preserve">. </w:t>
      </w:r>
      <w:r>
        <w:rPr>
          <w:rtl w:val="true"/>
        </w:rPr>
        <w:t>عبادتهم العجل في غياب موسى عليه السلام عنهم</w:t>
      </w:r>
      <w:bookmarkEnd w:id="28"/>
    </w:p>
    <w:p>
      <w:pPr>
        <w:pStyle w:val="BookText"/>
        <w:rPr/>
      </w:pPr>
      <w:r>
        <w:rPr>
          <w:rFonts w:ascii="Amiri" w:hAnsi="Amiri" w:eastAsia="Amiri" w:cs="Amiri"/>
          <w:color w:val="111111"/>
          <w:sz w:val="28"/>
          <w:sz w:val="28"/>
          <w:szCs w:val="28"/>
          <w:rtl w:val="true"/>
          <w:lang w:bidi="ar-SA"/>
        </w:rPr>
        <w:t xml:space="preserve">الشاهد الثالث على رسوخ فكرة التجسيم في أذهانهم وأنّهم كانوا يميلون إلى الإله المجسم أكثر من ميلهم لما دعاهم إليه موسى عليه السلام، إغترارهم بما صنع السامريّ حيث صنع لهم عجلاً جسداً له خوار، ودعاهم لعبادته، فعكف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القليل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عبادته، دون أن يدور في خلد أحدهم أنّ هذا يخالف ما دعاهم إليه نبيهم موسى عليه السلام عبر السنوات الطوال، وهذا ما يحكيه الذكر الحكيم عنهم،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 قَوْمُ مُوسى مِنْ بَعْدِهِ مِنْ حُلِيِّهِمْ عِجْلاً جَسَداً لَهُ خُوارٌ أَ لَمْ يَرَوْا أَنَّهُ لا يُكَلِّمُهُمْ وَ لا يَهْدِيهِمْ سَبِيلاً اتَّخَذُوهُ وَ كانُوا ظالِمِينَ‌</w:t>
      </w:r>
      <w:r>
        <w:rPr>
          <w:rFonts w:eastAsia="Amiri" w:cs="Amiri" w:ascii="Amiri" w:hAnsi="Amiri"/>
          <w:color w:val="111111"/>
          <w:sz w:val="28"/>
          <w:szCs w:val="28"/>
          <w:rtl w:val="true"/>
          <w:lang w:bidi="ar-SA"/>
        </w:rPr>
        <w:t>) .</w:t>
      </w:r>
      <w:r>
        <w:rPr>
          <w:rStyle w:val="FootnoteAnchor"/>
          <w:rtl w:val="true"/>
        </w:rPr>
        <w:footnoteReference w:id="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آية أُخرى يتضح بصراحة أنّهم اتخذوا هذا العجل إلهاً لهم، قال سبحانه</w:t>
      </w:r>
      <w:r>
        <w:rPr>
          <w:rFonts w:eastAsia="Amiri" w:cs="Amiri" w:ascii="Amiri" w:hAnsi="Amiri"/>
          <w:color w:val="111111"/>
          <w:sz w:val="28"/>
          <w:szCs w:val="28"/>
          <w:rtl w:val="true"/>
          <w:lang w:bidi="ar-SA"/>
        </w:rPr>
        <w:t>:</w:t>
      </w:r>
      <w:bookmarkStart w:id="29" w:name="pg16768_165161"/>
    </w:p>
    <w:p>
      <w:pPr>
        <w:pStyle w:val="BookText"/>
        <w:rPr/>
      </w:pPr>
      <w:bookmarkEnd w:id="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لَهُمْ عِجْلاً جَسَداً لَهُ خُوارٌ فَقالُوا هذا إِلهُكُمْ وَ إِلهُ مُوسى فَنَسِيَ‌</w:t>
      </w:r>
      <w:r>
        <w:rPr>
          <w:rFonts w:eastAsia="Amiri" w:cs="Amiri" w:ascii="Amiri" w:hAnsi="Amiri"/>
          <w:color w:val="111111"/>
          <w:sz w:val="28"/>
          <w:szCs w:val="28"/>
          <w:rtl w:val="true"/>
          <w:lang w:bidi="ar-SA"/>
        </w:rPr>
        <w:t>)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وهذه الحوادث التاريخية المريرة على قلب موسى عليه السلام التي يذكرها القرآن الكريم، تحكي عن انحراف بني إسرائيل عن خط التنزيه إلى خط التجسيم</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6863410_73709187"/>
      <w:bookmarkStart w:id="31" w:name="_Toc12"/>
      <w:bookmarkEnd w:id="30"/>
      <w:r>
        <w:rPr>
          <w:rtl w:val="true"/>
        </w:rPr>
        <w:t>تطرّق فكرة التجسيم إلى النصرانية</w:t>
      </w:r>
      <w:bookmarkEnd w:id="31"/>
    </w:p>
    <w:p>
      <w:pPr>
        <w:pStyle w:val="BookText"/>
        <w:rPr/>
      </w:pPr>
      <w:r>
        <w:rPr>
          <w:rFonts w:ascii="Amiri" w:hAnsi="Amiri" w:eastAsia="Amiri" w:cs="Amiri"/>
          <w:color w:val="111111"/>
          <w:sz w:val="28"/>
          <w:sz w:val="28"/>
          <w:szCs w:val="28"/>
          <w:rtl w:val="true"/>
          <w:lang w:bidi="ar-SA"/>
        </w:rPr>
        <w:t>لمّا بُعث المسيح عليه السلام إلى بني إسرائيل ذكر بأنّه بُعث بنفس ما بعث به الكليم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عِيسَى ابْنُ مَرْيَمَ يا بَنِي إِسْرائِيلَ إِنِّي رَسُولُ اللّهِ إِلَيْكُمْ مُصَدِّقاً لِما بَيْنَ يَدَيَّ مِنَ التَّوْراةِ‌</w:t>
      </w:r>
      <w:r>
        <w:rPr>
          <w:rFonts w:eastAsia="Amiri" w:cs="Amiri" w:ascii="Amiri" w:hAnsi="Amiri"/>
          <w:color w:val="111111"/>
          <w:sz w:val="28"/>
          <w:szCs w:val="28"/>
          <w:rtl w:val="true"/>
          <w:lang w:bidi="ar-SA"/>
        </w:rPr>
        <w:t>)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ولكن تطرّقت فكرة التجسيم إلى النصرانية بعد ما رفع اللّه المسيح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المبدأ لذلك هو الديانة البرهمانية التي رفعت علم التثليث وقالت بالآلهة الثلاثة، أعني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فيشنو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فالإله عند البراهمة يشبه مثلثاً ذا أضلاع ثلاثة، وكانت تلك الفكرة منتشرة بين الروم القاطنين في سوريا وفلسطين وما جاورها حيث بعث المسيح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أتباعه في القرن الثاني نفس الفكرة فصبغوها بشكل آخر، فصار التثليث بالنحو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 الإبن، 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يسمّونها الأقانيم الثلاثة، ينقل الأُستاذ محمد فريد وجدي عن دائرة 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يلي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تلاميذ المسيح الأوّليّين الذين عرفوا شخصه، وسمعوا قوله، كانوا أبعد الناس عن اعتقاد أنّه أحد الأركان الثلاثة المكوّنة لذات الخالق، و ما كان بطرس </w:t>
      </w:r>
      <w:r>
        <w:rPr>
          <w:rFonts w:eastAsia="Amiri" w:cs="Amiri" w:ascii="Amiri" w:hAnsi="Amiri"/>
          <w:color w:val="111111"/>
          <w:sz w:val="28"/>
          <w:szCs w:val="28"/>
          <w:rtl w:val="true"/>
          <w:lang w:bidi="ar-SA"/>
        </w:rPr>
        <w:t>-</w:t>
      </w:r>
      <w:bookmarkStart w:id="32" w:name="pg16768_165162"/>
    </w:p>
    <w:p>
      <w:pPr>
        <w:pStyle w:val="BookText"/>
        <w:rPr/>
      </w:pPr>
      <w:bookmarkEnd w:id="32"/>
      <w:r>
        <w:rPr>
          <w:rFonts w:ascii="Amiri" w:hAnsi="Amiri" w:eastAsia="Amiri" w:cs="Amiri"/>
          <w:color w:val="111111"/>
          <w:sz w:val="28"/>
          <w:sz w:val="28"/>
          <w:szCs w:val="28"/>
          <w:rtl w:val="true"/>
          <w:lang w:bidi="ar-SA"/>
        </w:rPr>
        <w:t xml:space="preserve">أحد حوارييه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يعتبره إلّارجلاً موحى إليه من عند اللّه، أمّا بولس فإنّه خالف عقيدة التلاميذ الأقربين لعيسى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المسيح أرقى من إنسان وهو نموذج إنسان جديد أي عقل سام متولد من اللّه</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ثمّ إنّ القرآن الحكيم يحكي عن أنّ النصارى قد اقتبسوا هذه الفكرة من الذين كفروا من قبل،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الْيَهُودُ عُزَيْرٌ ابْنُ اللّهِ وَ قالَتِ النَّصارى الْمَسِيحُ ابْنُ اللّهِ ذلِكَ قَوْلُهُمْ بِأَفْواهِهِمْ يُضاهِؤُنَ قَوْلَ الَّذِينَ كَفَرُوا مِنْ قَبْلُ قاتَلَهُمُ اللّهُ أَنّى يُؤْفَكُونَ‌</w:t>
      </w:r>
      <w:r>
        <w:rPr>
          <w:rFonts w:eastAsia="Amiri" w:cs="Amiri" w:ascii="Amiri" w:hAnsi="Amiri"/>
          <w:color w:val="111111"/>
          <w:sz w:val="28"/>
          <w:szCs w:val="28"/>
          <w:rtl w:val="true"/>
          <w:lang w:bidi="ar-SA"/>
        </w:rPr>
        <w:t>) .</w:t>
      </w:r>
      <w:r>
        <w:rPr>
          <w:rStyle w:val="FootnoteAnchor"/>
          <w:rtl w:val="true"/>
        </w:rPr>
        <w:footnoteReference w:id="9"/>
      </w:r>
    </w:p>
    <w:p>
      <w:pPr>
        <w:pStyle w:val="Heading4"/>
        <w:numPr>
          <w:ilvl w:val="3"/>
          <w:numId w:val="1"/>
        </w:numPr>
        <w:rPr/>
      </w:pPr>
      <w:bookmarkStart w:id="33" w:name="__RefHeading___Toc6863412_73709187"/>
      <w:bookmarkStart w:id="34" w:name="_Toc13"/>
      <w:bookmarkEnd w:id="33"/>
      <w:r>
        <w:rPr>
          <w:rtl w:val="true"/>
        </w:rPr>
        <w:t>دور الأحبار و الرهبان في نشر فكرة التجسيم</w:t>
      </w:r>
      <w:bookmarkEnd w:id="34"/>
    </w:p>
    <w:p>
      <w:pPr>
        <w:pStyle w:val="BookText"/>
        <w:rPr/>
      </w:pPr>
      <w:r>
        <w:rPr>
          <w:rFonts w:ascii="Amiri" w:hAnsi="Amiri" w:eastAsia="Amiri" w:cs="Amiri"/>
          <w:color w:val="111111"/>
          <w:sz w:val="28"/>
          <w:sz w:val="28"/>
          <w:szCs w:val="28"/>
          <w:rtl w:val="true"/>
          <w:lang w:bidi="ar-SA"/>
        </w:rPr>
        <w:t>بعث النبي الخاتم صلى الله عليه و آله على تنزيهه سبحانه ورفع مقامه تعالى عن مشابهة المخلوقات، ملهماً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غير أنّ قسماً من الأحبار والرهبان الذين استسلموا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بقوا على ما كانوا عليه من الديانة الموسوية أو العيسوية باطناً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أشاعوا بين المسلمين نفس الفكرة بواسطة الأحاديث والقصص التي كانوا يحكونها عن كتبهم، فأخذها السُّذّج من المحدّثين كحقائق صادقة واقعية، محتجّين بما نسب إلى النبي صلى الله عليه و آله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حدّثوا عن بني إسرائيل ولا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اغتر بهذه الإسرائيليات أو المسيحيات محدّثان معروفان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خزيمة وابن مندة، فقد حشدا في كتابيهما كلّ ما يدلّ على تلك الفكرة الموروثة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الأوّل يقول الرازي في تفسيره الكبير عند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احتج علماء التوحيد قديماً وحديثاً بهذه الآية في نفي كونه تعالى جسماً مركباً من الأعضاء والأجزاء، وحاصلاً في المكان والجهة،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w:t>
      </w:r>
      <w:bookmarkStart w:id="35" w:name="pg16768_165163"/>
    </w:p>
    <w:p>
      <w:pPr>
        <w:pStyle w:val="BookText"/>
        <w:rPr/>
      </w:pPr>
      <w:bookmarkEnd w:id="35"/>
      <w:r>
        <w:rPr>
          <w:rFonts w:ascii="Amiri" w:hAnsi="Amiri" w:eastAsia="Amiri" w:cs="Amiri"/>
          <w:color w:val="111111"/>
          <w:sz w:val="28"/>
          <w:sz w:val="28"/>
          <w:szCs w:val="28"/>
          <w:rtl w:val="true"/>
          <w:lang w:bidi="ar-SA"/>
        </w:rPr>
        <w:t xml:space="preserve">جسماً لكان مثلاً لسائر الأجسام فيلزم وجود الأمثال والأشباه له، وذلك باطل بصريح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محمد بن إسحاق بن خزيمة أورد استدلال أصحابنا بهذه الآية في الكتاب الذي 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الحقيقة كتاب الشرك، ثم وصفه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مضطرب الكلام، قليل الفهم، ناقص العقل</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ولكلامه صلة، من أراد فليرجع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وكفى في حق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سنذكره عنه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سبحانه عرشاً يجلس عليه وهو يئط أطيط الرحل</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6863414_73709187"/>
      <w:bookmarkStart w:id="37" w:name="_Toc14"/>
      <w:bookmarkEnd w:id="36"/>
      <w:r>
        <w:rPr>
          <w:rtl w:val="true"/>
        </w:rPr>
        <w:t>عقيدة أهل السنة في التنزيه</w:t>
      </w:r>
      <w:bookmarkEnd w:id="37"/>
    </w:p>
    <w:p>
      <w:pPr>
        <w:pStyle w:val="BookText"/>
        <w:rPr/>
      </w:pPr>
      <w:r>
        <w:rPr>
          <w:rFonts w:ascii="Amiri" w:hAnsi="Amiri" w:eastAsia="Amiri" w:cs="Amiri"/>
          <w:color w:val="111111"/>
          <w:sz w:val="28"/>
          <w:sz w:val="28"/>
          <w:szCs w:val="28"/>
          <w:rtl w:val="true"/>
          <w:lang w:bidi="ar-SA"/>
        </w:rPr>
        <w:t>اتّفق أهل السنة وعلى رأسهم أئمة الأشاعرة على تنزيهه سبحانه عن مشابهة المخلوقات وقد أفاضوا الكلام في ذلك بإجمال تارة وتفصيل أُخرى، وشذّ عنهم بعض الحنابلة وأهل الحديث، وها نحن نذكر بعض كلماتهم ليقف القارئ على أنّ علماء المسلمين عن بكرة أبيهم مجمعون على أنّه سبحانه منزّه عن مشابهة المخلوقات وعن كونه جسماً أو جسمانياً، وإليك أسماء بعض هؤلاء مع مقتطفات من أقوالهم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جعفر أحمد بن محمد المصري الطحاوي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 الطحاوية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أصبحت مع بعض شروحها كتاباً دراسياً في الجامعات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شيء مثله،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تبلغه الأحكام ولا تدركه الأفهام، ولا يشبهه</w:t>
      </w:r>
      <w:r>
        <w:rPr>
          <w:rStyle w:val="FootnoteAnchor"/>
          <w:rtl w:val="true"/>
        </w:rPr>
        <w:footnoteReference w:id="12"/>
      </w:r>
      <w:r>
        <w:rPr>
          <w:rFonts w:ascii="IRNazanin" w:hAnsi="IRNazanin" w:eastAsia="IRNazanin"/>
          <w:color w:val="111111"/>
          <w:sz w:val="28"/>
          <w:sz w:val="28"/>
          <w:szCs w:val="28"/>
          <w:rtl w:val="true"/>
          <w:lang w:bidi="fa-IR"/>
        </w:rPr>
        <w:t>الأنام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الثناء اللامشي الحنفي الماتريدي من علماء القرن الخامس وأوائل السادس، قال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أنّه تعالى ليس بجوهر فلا يتصور أن يكون جسماً أيضاً لأنّ الجسم اسم للمتركب عن الأجزاء،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أجسمُ من ذلك، أي أكثر تركّباً منه، وتركب الجسم بدون الجوهرية وهي الأجزاء التي لا تتجزأ، لا يتصور، ولأنّ الجسم لا يتصور إلّاعلى شكل من الأشكال، ووجوده على جميع الأشكال لا يُتصور أن يكون، إذ الفرد لا يتصور أن يكون مطوّلاً ومدوراً ومثلثاً ومربعاً، ووجوده على واحد من هذه الأشكال مع مساواة غيره إياه في صفات المدح والذم لا يكون إلّابتخصيص مخصص، وذلك من أمارات الحدث، ولأنّه لو كان جسماً لوقعت المشابهة والمماثلة بينه وبين سائر الأجسام في الجسمية،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الباقلاني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تمهيد الأوائل،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أنكرتم أن يكون القديم سبحانه جسماً؟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قدمناه من قبل، وهو أنّ حقيقة الجسم أنّه مؤلف مجتمع بدليل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جسيم، وزيد أجسم من عمرو، وعلماً بأنّهم يقصرون هذه المبالغة على ضرب من ضروب التأليف في جهة العرض والطول، ولا يوقعونها بزيادة شيء من صفات الجسم سوى التأليف، فلما لم يجز أن يكون القديم مجتمعاً مؤتلفاً، وكان شيئاً واحداً، ثبت أنّه تعالى ليس بجسم</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المظفر الاسفراييني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تعلم أنّ القديم سبحانه ليس بجسم ولا جوهر، لأنّ الجسم يكون فيه التأليف، والجوهر يجوز فيه التأليف والاتصال، وكل ما كان له الاتصال أو جاز عليه الاتصال يكون له حدّ ونهاية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دللنا على استحالة الحدّ والنهاية على</w:t>
      </w:r>
    </w:p>
    <w:p>
      <w:pPr>
        <w:pStyle w:val="BookText"/>
        <w:rPr/>
      </w:pPr>
      <w:r>
        <w:rPr>
          <w:rFonts w:ascii="Amiri" w:hAnsi="Amiri" w:eastAsia="Amiri" w:cs="Amiri"/>
          <w:color w:val="111111"/>
          <w:sz w:val="28"/>
          <w:sz w:val="28"/>
          <w:szCs w:val="28"/>
          <w:rtl w:val="true"/>
          <w:lang w:bidi="ar-SA"/>
        </w:rPr>
        <w:t>الباري سبحانه وتعالى وقد ذكراللّه تعالى في صفة الجسم الزيادة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زادَهُ بَسْطَةً فِي الْعِلْمِ وَ الْجِسْمِ‌</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فبيّن أنّ ما كان جسماً جازت عليه الزيادة والنقصان ولا تجوز الزيادة والنقصان على الباري سبحانه</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النسفي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العقيدة النسفية،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والمحدث للعالم هو اللّه تعالى الواحد القديم القادر الحي العليم السميع البصير الشائي المريد ليس بعرض ولا جسم ولا جوهر ولا مصور ولا ممدود ولا معدود ولا متبعض ولا متجز ولا متركب ولا متناه ولا يوصف بالمائية ولا بالكيفية ولا يتمكن في مكان ولا يجري عليه زمان ولا يشبهه شيء ولا يخرج من علمه وقدرته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هذه إلمامة عابرة على عقيدة أهل السنة في التنزيه، فكتبهم الكلامية والعقديّة مليئة بهذه الكلمات ولا حاجة إلى نقل المزيد منها، إنّما الكلام دراسة عقيدة ابن تيمية في مجال التنزيه، فالرجل من مواليد سنة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وتوفي سنة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فقد أحيا عقيدة أهل التجسيم والتشبيه فتارة يخفي عقيدته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نقول إنّه سبحانه جسم ولا نقول إنّه ليس بجسم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في بعض المواضع يصرّح بأنّه سبحانه جسم بالمعنى الذي اختاره للجسم وها نحن نذكر كلماته من كتبه المختلفة مشيرين إلى الكتاب وطبعته ومحققه حتى يرجع من أراد أن يحقق الموضوع عن كثب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تفسير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 وَ هُوَ السَّمِيعُ الْبَصِيرُ</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 و تفسير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تَعْلَمُ لَهُ سَمِيًّا</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ما هذا نصّه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يدلّ على نفي الصفات بوجه من الوجوه، بل ولا على نفي</w:t>
      </w:r>
    </w:p>
    <w:p>
      <w:pPr>
        <w:pStyle w:val="BookText"/>
        <w:rPr/>
      </w:pPr>
      <w:r>
        <w:rPr>
          <w:rFonts w:ascii="Amiri" w:hAnsi="Amiri" w:eastAsia="Amiri" w:cs="Amiri"/>
          <w:color w:val="111111"/>
          <w:sz w:val="28"/>
          <w:sz w:val="28"/>
          <w:szCs w:val="28"/>
          <w:rtl w:val="true"/>
          <w:lang w:bidi="ar-SA"/>
        </w:rPr>
        <w:t>ما يسمّيه أهل الاصطلاح جسماً بوجه من الوجوه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ومراده من الصفات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الصفات، الصفات الخبرية التي أخبر عنها سبحانه كاليد والوجه وغيرهما، فهو يعتقد أنّ الجميع يوصف به سبحانه من غير تأويل ولا تعطيل بل بنفس المعنى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ذكر التجسيم وذم المجسّمة، فهذا لا يعرف في كلام أحد من السلف والأئمّة، كما لا يعرف في كلامهم أيضاً القول بأنّ اللّه جسم أو ليس بجسم</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النص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في كتاب آخر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لفظ الجسم وما يتبع ذلك، فإنّ هذا اللفظ لم ينطق به في صفات اللّه لا كتاب ولا سنّة، لا نفياً ولا إثباتاً، ولا تكلّم به أحد من الصحابة والتابعين وتابعيهم، لا أهل البيت ولا غيرهم</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إلى هنا يتّضح أنّه أخفى التصريح بأنّه تعالى جسمٌ‌، ولكن ذكر أنّ تلك القضيتين ليستا من كلام السلف يعني أنّ اللّه جسم أو ليس بجسم، ولكنّه في موضع من كتابه منهاج السنّة أظهر عقيدته، وهذا ما نلاحظه في النص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يراد بالجسم ما يشار إليه أو ما يرى أو ما تقوم به الصفات، واللّه تعالى يُرى في الآخرة وتقوم به الصفات ويشير إليه الناس عند الدعاء بأيديهم وقلوبهم ووجوههم وأعينهم، فإن أراد بقوله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بجسم هذا المعنى قيل له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قصدت نفيه</w:t>
      </w:r>
    </w:p>
    <w:p>
      <w:pPr>
        <w:pStyle w:val="BookText"/>
        <w:rPr/>
      </w:pPr>
      <w:r>
        <w:rPr>
          <w:rFonts w:ascii="Amiri" w:hAnsi="Amiri" w:eastAsia="Amiri" w:cs="Amiri"/>
          <w:color w:val="111111"/>
          <w:sz w:val="28"/>
          <w:sz w:val="28"/>
          <w:szCs w:val="28"/>
          <w:rtl w:val="true"/>
          <w:lang w:bidi="ar-SA"/>
        </w:rPr>
        <w:t xml:space="preserve">بهذا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ثابت بصحيح المنقول وصريح المعقول وأنت لم تقم دليلاً على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اللفظ فبدعة نفياً وإثباتاً فليس في الكتاب ولا السنّة، ولا قول أحد من سلف الأُمّة وأئمتها إطلاق لفظ الجسم في صفات اللّه، لا نفياً ولا إثباتاً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فقد عرّف إلهه الذي يعبده بالأُمور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يُشار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يُرى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تقوم به الصفات فيكون مركباً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له مكاناً وجهة، بدليل رفع الناس أيديهم عند الدعاء إلى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فالإله بهذا المعنى عنده ثابت بصحيح المنقول وصريح المعقول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القول الثابت عن أئمة السنة المحضة كالإمام أحمد وذويه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يطلقون لفظ الجسم لا نفياً ولا إثباتاً، لأنّه ليس مأثوراً لا في كتاب ولا سنّة، ولا أثر من أحد من الصحابة والتابعين لهم بإحسان، ولا غيرهم من أئمة المسلمين، فصار من البدع المذمومة</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النص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 كتاب اللّه، ولا سنّة رسوله، ولا قول أحد من سلف الأُمّة وأئمتها أنّه ليس بجسم، وأنّ صفاته ليست أجساماً وأعراضاً</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كلماته التي نقلناها بنص من كتبه المشهورة، ودع عنك ما ذكره في</w:t>
      </w:r>
      <w:bookmarkStart w:id="38" w:name="pg16768_165168"/>
    </w:p>
    <w:p>
      <w:pPr>
        <w:pStyle w:val="BookText"/>
        <w:rPr/>
      </w:pPr>
      <w:bookmarkEnd w:id="38"/>
      <w:r>
        <w:rPr>
          <w:rFonts w:ascii="Amiri" w:hAnsi="Amiri" w:eastAsia="Amiri" w:cs="Amiri"/>
          <w:color w:val="111111"/>
          <w:sz w:val="28"/>
          <w:sz w:val="28"/>
          <w:szCs w:val="28"/>
          <w:rtl w:val="true"/>
          <w:lang w:bidi="ar-SA"/>
        </w:rPr>
        <w:t>الرسائل الكبرى التي سيوافيك 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ندري ما ذا يريد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بصحيح المنقول، فهل يعني الذكر الحكيم‌؟ فما اختاره يضادّه تماماً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كان سبحانه جسماً يلزم أن يكون له طول وعرض وارتفاع، وبالتالي يكون مركباً من أجزاء محتاجّاً في تحقّقه إلى كلّ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يقوله صحيح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نسبه إلى صريح المعقول فهو أيضاً يضادّ ما ذكره تماماً كذلك إذ لو كان جسماً لاحتاج إلى مكان، فالمكان إمّا أن يكون قديماً فيكون إلهاً ثانياً، وإن كان حادثاً أحدثه سبحانه، فأين كان هو قبل إحداث هذا المكان‌؟</w:t>
      </w:r>
    </w:p>
    <w:p>
      <w:pPr>
        <w:pStyle w:val="BookText"/>
        <w:rPr/>
      </w:pPr>
      <w:r>
        <w:rPr>
          <w:rFonts w:ascii="Amiri" w:hAnsi="Amiri" w:eastAsia="Amiri" w:cs="Amiri"/>
          <w:color w:val="111111"/>
          <w:sz w:val="28"/>
          <w:sz w:val="28"/>
          <w:szCs w:val="28"/>
          <w:rtl w:val="true"/>
          <w:lang w:bidi="ar-SA"/>
        </w:rPr>
        <w:t>وأمّا رفع الناس أيديهم عند الدعاء فلا يعني أنّه سبحانه في السماء وإنّما يريدون إفهام رفعة مقام اللّه سبحانه برفعهم أيديهم؛ مضافاً إلى أنّ البركات تنزل من السماء،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السَّماءِ رِزْقُكُمْ وَ ما تُوعَدُونَ‌</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وسيأتي الكلام فيه،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نسبه إلى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فالسلف بريء منه براءة يوسف ممّا اتّهم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فيكفينا أن نذكر كلام البيهقي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والصفات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أهل السنّة على أنّه سبحانه ليس في مكان بالحديث النبوي التالي،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الظاهر فليس فوقك شيء، وأنت الباطن فليس دونك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فوقه شيء ولا دونه شيء لم يكن في مكان</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وهناك كلمات كثيرة من أهل الحديث لا يسعها المقام</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6863416_73709187"/>
      <w:bookmarkStart w:id="40" w:name="_Toc15"/>
      <w:bookmarkEnd w:id="39"/>
      <w:r>
        <w:rPr>
          <w:rtl w:val="true"/>
        </w:rPr>
        <w:t>إجابة عن سؤال</w:t>
      </w:r>
      <w:bookmarkEnd w:id="4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نسمع من الكثير من أتباع الرجل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جسم لا كالأجسام، نظير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لا كالأشياء، فكما أنّ الثاني صحيح، فالأوّل صحيح أيضاً</w:t>
      </w:r>
      <w:r>
        <w:rPr>
          <w:rFonts w:eastAsia="Amiri" w:cs="Amiri" w:ascii="Amiri" w:hAnsi="Amiri"/>
          <w:color w:val="111111"/>
          <w:sz w:val="28"/>
          <w:szCs w:val="28"/>
          <w:rtl w:val="true"/>
          <w:lang w:bidi="ar-SA"/>
        </w:rPr>
        <w:t>.</w:t>
      </w:r>
      <w:bookmarkStart w:id="41" w:name="pg16768_165169"/>
    </w:p>
    <w:p>
      <w:pPr>
        <w:pStyle w:val="BookText"/>
        <w:rPr/>
      </w:pPr>
      <w:bookmarkEnd w:id="41"/>
      <w:r>
        <w:rPr>
          <w:rFonts w:ascii="Amiri" w:hAnsi="Amiri" w:eastAsia="Amiri" w:cs="Amiri"/>
          <w:color w:val="111111"/>
          <w:sz w:val="28"/>
          <w:sz w:val="28"/>
          <w:szCs w:val="28"/>
          <w:rtl w:val="true"/>
          <w:lang w:bidi="ar-SA"/>
        </w:rPr>
        <w:t>والجواب عنه واضح، وهو أنّ الشيء لا يدل على خصوصية خاصّة بل يدل على نفس الوجود والتحقق، فلا مانع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شيء لا كالأشياء، أي له وجود لا كوجود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الجسم فيدل على خصوصية مقوّمة له، وهو كونه ذا عرض وطول وارتفاع، فالقول بأنّه جسم يلازم ثبوت هذه الصفات، فتعقيبه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كالأجسام ينفي هذه الخصوصيات، فيكون الكلام حاملاً للتناقض</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6863418_73709187"/>
      <w:bookmarkStart w:id="43" w:name="_Toc16"/>
      <w:bookmarkEnd w:id="42"/>
      <w:r>
        <w:rPr>
          <w:rtl w:val="true"/>
        </w:rPr>
        <w:t>كلام ابن تيمية في العقيدة الواسطية</w:t>
      </w:r>
      <w:bookmarkEnd w:id="43"/>
    </w:p>
    <w:p>
      <w:pPr>
        <w:pStyle w:val="BookText"/>
        <w:rPr/>
      </w:pPr>
      <w:r>
        <w:rPr>
          <w:rFonts w:ascii="Amiri" w:hAnsi="Amiri" w:eastAsia="Amiri" w:cs="Amiri"/>
          <w:color w:val="111111"/>
          <w:sz w:val="28"/>
          <w:sz w:val="28"/>
          <w:szCs w:val="28"/>
          <w:rtl w:val="true"/>
          <w:lang w:bidi="ar-SA"/>
        </w:rPr>
        <w:t xml:space="preserve">إنّ ابن تيمية قد بدأ بنشر أفكاره الشاذّة لأول مرّة في رسالته في العقيدة الواسطية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التاسعة من مجموعة الرسائل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فيها الباري سبحانه بالعبارة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تواتر عن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 عليه سلف الأُمّة من أنّه سبحانه فوق سماواته، على عرشه، عليٌّ على خلقه</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ومعنى العبارة أنّه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فوق السماوات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جالس على عرشه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مكان مرتفع عن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لهذه الجمل معنى سوى أنّه كملك جالس على السرير في مكان مرتفع ينظر إلى العالم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استند هو في كلامه هذا بما نقله ابن مندة في توحيده عن رسول اللّه صلى الله عليه و آله أنّه قال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أتدري ما اللّه، إنّ عرشه على سماواته وأرضيه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هكذا بأصابعه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 القبة عليها، وإنّه ليئط أطيط الرحل بالراكب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وكأنّه سبحانه جسم كبير فوق الكبر له ثقل على العرش، وهو يئط كما يئط الرحل حينما يجلس عليه الإنسان الثقيل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وللأسف فإنّ هذا الحديث قد ورد كثيراً في كتب الحديث، فقد نقله أبو داود في سننه برقم </w:t>
      </w:r>
      <w:r>
        <w:rPr>
          <w:rFonts w:eastAsia="Amiri" w:cs="Amiri" w:ascii="Amiri" w:hAnsi="Amiri"/>
          <w:color w:val="111111"/>
          <w:sz w:val="28"/>
          <w:szCs w:val="28"/>
          <w:lang w:bidi="ar-SA"/>
        </w:rPr>
        <w:t>4726</w:t>
      </w:r>
      <w:r>
        <w:rPr>
          <w:rFonts w:ascii="Amiri" w:hAnsi="Amiri" w:eastAsia="Amiri" w:cs="Amiri"/>
          <w:color w:val="111111"/>
          <w:sz w:val="28"/>
          <w:sz w:val="28"/>
          <w:szCs w:val="28"/>
          <w:rtl w:val="true"/>
          <w:lang w:bidi="ar-SA"/>
        </w:rPr>
        <w:t xml:space="preserve">، وابن خزيمة في توحيده برقم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وابن أبي عاصم في السنة، ص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وابن أبي حاتم في تفسير سورة البقرة برقم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هذا الحديث وأمثاله من الإسرائيليات التي تطرقت إلى كتب الحديث، هو من الآثار السلبية لمنع كتابة الحديث النبوي في القرن الأوّل وشيء من الثاني، حتى تداركه الدوانيقي عام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ابن تيمية لما رأى أنّ كلامه يستلزم أن يكون سبحانه جسماً كالأجسام حاول التهرّب عن ذلك بوجه أوقعه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المحذور، حيث جمع مصطلحات الحكماء والمتكلمين في الجسم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 الجسم فيه إجمال، فقد يراد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المركب الذي أجزاؤه مفرّقة فجمعت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ما يقبل التفريق أو الانفصال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المركّب من مادة وصورة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المركّب من الأجزاء المفردة التي تسمى الجواهر 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منزّه عن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يراد بالجسم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يُشار إليه، أو ما يُرى، أو ما تقوم به الصفات، واللّه تعالى يُرى في الآخرة، وتقوم به الصفات ويشير إليه الناس عند الدعاء بأيديهم وقلوبهم ووجوههم وأعينهم، فإن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بجسم هذا المعنى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pStyle w:val="BookText"/>
        <w:rPr/>
      </w:pPr>
      <w:r>
        <w:rPr>
          <w:rFonts w:ascii="Amiri" w:hAnsi="Amiri" w:eastAsia="Amiri" w:cs="Amiri"/>
          <w:color w:val="111111"/>
          <w:sz w:val="28"/>
          <w:sz w:val="28"/>
          <w:szCs w:val="28"/>
          <w:rtl w:val="true"/>
          <w:lang w:bidi="ar-SA"/>
        </w:rPr>
        <w:t>المعنى ثابت للّه ولم يقم دليل على نفيه</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الجسم من المفاهيم الواضحة عند العرف وليس مشتركاً بين هذه المعاني التي أخذها من الفلاسفة والمتكلمين، فالصحابة عندما سمعوا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اصْطَفاهُ عَلَيْكُمْ وَ زادَهُ بَسْطَةً فِي الْعِلْمِ وَ الْجِسْمِ‌</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أو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رَأَيْتَهُمْ تُعْجِبُكَ أَجْسامُهُمْ‌</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لم يخطر ببال أحد منهم أي واحد من المعاني المذكورة حتى المعنى الأخير الذي اختاره وقال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المعنى ثابت للّه ولم يقم دليل على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فالجسم عند العرب الأقحاح عامّة ما جاء نموذجه في نفس الآيتين 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طالوت في الآية الأُولى، والمنافقين في 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شيء كان كهذين النموذجين فهو جسم، والذي يجمع الجميع هو اشتماله على الطول والعرض والعمق، فلو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جسم، فلا محيص من اشتماله على ما اشتملت عليه سائر الأجسام من الأبعاد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كرر ما ذكره هنا في مقام آخر</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ولا حاجة لنقله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إنّه تفلسف أيضاً في تفسير المكان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بالمكان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يحوي الشيء ويحيط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يستقر الشيء عليه بحيث يكون محتاجاً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يراد به ما كان الشيء فوقه وإن لم يكن محتاجاً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يراد به ما فوق العالم وإن لم يكن شيئاً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نفى ما ذكره من المعاني للمكان واختار المعنى التالي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سبحانه فوق سماواته على عرشه، بائن من خلقه، وهذا المعنى حق،</w:t>
      </w:r>
      <w:bookmarkStart w:id="44" w:name="pg16768_165172"/>
    </w:p>
    <w:p>
      <w:pPr>
        <w:pStyle w:val="BookText"/>
        <w:rPr/>
      </w:pPr>
      <w:bookmarkEnd w:id="44"/>
      <w:r>
        <w:rPr>
          <w:rFonts w:ascii="Amiri" w:hAnsi="Amiri" w:eastAsia="Amiri" w:cs="Amiri"/>
          <w:color w:val="111111"/>
          <w:sz w:val="28"/>
          <w:sz w:val="28"/>
          <w:szCs w:val="28"/>
          <w:rtl w:val="true"/>
          <w:lang w:bidi="ar-SA"/>
        </w:rPr>
        <w:t>سواء سميّت ذلك مكاناً أم لم تُسمّ‌</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للمكان إلّامعنى واحد وهو كون شيءٍ في شيءٍ‌، وإحاطة شيء لشيء، ولذلك يفسره أهل اللغة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موضع كون الشيء، فلو كان للّه سبحانه مكان فليس إلّابهذا المعنى، دون المعاني التي أخذها من مصطلحات الحكماء والمتكلمين، الذين لهم مصطلحات خاصّة في المفاهيم لا صلة لها بمصطلحات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يريد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عرشه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عندئذٍ يتوجه إليه 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يريد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ذاته سبحانه لا تخلو من أن تكون مماسّة للعرش، أو غير مماسّة‌؟</w:t>
      </w:r>
    </w:p>
    <w:p>
      <w:pPr>
        <w:pStyle w:val="BookText"/>
        <w:rPr/>
      </w:pPr>
      <w:r>
        <w:rPr>
          <w:rFonts w:ascii="Amiri" w:hAnsi="Amiri" w:eastAsia="Amiri" w:cs="Amiri"/>
          <w:color w:val="111111"/>
          <w:sz w:val="28"/>
          <w:sz w:val="28"/>
          <w:szCs w:val="28"/>
          <w:rtl w:val="true"/>
          <w:lang w:bidi="ar-SA"/>
        </w:rPr>
        <w:t>فعلى الثاني تكون ذاته سبحانه منزهةً عن المكان لأنّ المكان عبارة عن كون شيء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يكون ذا جهة وهو كونه فوق العرش يشار إليه فقد اثبت للّه الجهة التي هي من خصائص الأُمور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مماسّة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محتاجاً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 القارئ إنّ صرف الحبر والقلم في نقد هذه الأفكار الرديئة تضييع للمال والعمر، ولكن اغترار المتظاهرين بالسلفية بابن تيمية، ألجأني إلى دراسة هذه المواضيع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حول المكان والجهة للّه في الرسالة الثالثة</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6863420_73709187"/>
      <w:bookmarkStart w:id="46" w:name="_Toc17"/>
      <w:bookmarkEnd w:id="45"/>
      <w:r>
        <w:rPr>
          <w:rtl w:val="true"/>
        </w:rPr>
        <w:t>موقف أهل البيت عليهم السلام من فكرة التجسيم</w:t>
      </w:r>
      <w:bookmarkEnd w:id="46"/>
    </w:p>
    <w:p>
      <w:pPr>
        <w:pStyle w:val="BookText"/>
        <w:rPr/>
      </w:pPr>
      <w:r>
        <w:rPr>
          <w:rFonts w:ascii="Amiri" w:hAnsi="Amiri" w:eastAsia="Amiri" w:cs="Amiri"/>
          <w:color w:val="111111"/>
          <w:sz w:val="28"/>
          <w:sz w:val="28"/>
          <w:szCs w:val="28"/>
          <w:rtl w:val="true"/>
          <w:lang w:bidi="ar-SA"/>
        </w:rPr>
        <w:t>تقدم أنّ ابن تيمية ذكر في كلماته أنّه لم يرد عن أهل البيت عليهم السلام ما يدل على عدم كونه جسماً، ولكنّه لبعده عنهم وما يبدو من كلماته من النصب والعداء الذي يكنّه لهم، فإنّه لم يراجع كلماتهم، فصار يرمي الكلام على عواهنه من غير دليل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وقف الأصم والأبكم فضلاً عن العلماء على أنّ التوحيد والتنزيه من</w:t>
      </w:r>
    </w:p>
    <w:p>
      <w:pPr>
        <w:pStyle w:val="BookText"/>
        <w:rPr/>
      </w:pPr>
      <w:r>
        <w:rPr>
          <w:rFonts w:ascii="Amiri" w:hAnsi="Amiri" w:eastAsia="Amiri" w:cs="Amiri"/>
          <w:color w:val="111111"/>
          <w:sz w:val="28"/>
          <w:sz w:val="28"/>
          <w:szCs w:val="28"/>
          <w:rtl w:val="true"/>
          <w:lang w:bidi="ar-SA"/>
        </w:rPr>
        <w:t>شعار أئمة أهل البيت عليهم السلام كما أنّ التشبيه والجبر من شعار الأمويين، وها نحن ننقل شيئاً قليلاً من كلمات أهل بيت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أمير المؤمنين عليه السلام في أحدى خطبه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وحدّه من كيّفه، ولا حقيقته أصاب مَن مثّله، ولا إياه عنى من شبّهه، ولا صمده من أشار إليه وتوهمه</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روى الصدوق بإسناده إلى أبي إسحاق السبيعي، عن الحارث الأعور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أمير المؤمنين علي بن أبي طالب عليه السلام يوماً خطبة بعد العصر، قال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يموت، ولا تنقضي عجائبه، لأنّه كل يوم في شأن، من إحداث بديع لم يكن، الذي لم يولد فيكون في العزّ مشاركاً، ولم يلد فيكون موروثاً هالكاً، ولم تقع عليه الأوهام فتقدّره شبحاً ماثلاً، ولم تدركه الأبصار فيكون بعد انتقالها حائلاً، الذي ليست له في أوّليّته نهاية، ولا في آخريّته حدّ ولا غاية، الذي لم يسبقه وقت، ولم يتقدمه زمان، ولم يتعاوره زيادة ولا نقصان، ولم يوصف بأين ولا مكان</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فأي كلمة أوضح في نفي التشبيه والتجسيم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تقع عليه الأوهام فتقدّره شبحاً ماثلاً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جملة أوضح في نفي المكان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يوصف بأين ولا مكان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ابن تيمية صار بصدد تصحيح حديث عبد اللّه بن خليفة الظاهر في التجسيم على ما رواه عبد اللّه بن أحمد بن حنبل باسناده عن عبد اللّه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إلى النبي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يدخلني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 الرب عزّ وجلّ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ليقعد عليه جل وعز فما</w:t>
      </w:r>
    </w:p>
    <w:p>
      <w:pPr>
        <w:pStyle w:val="BookText"/>
        <w:rPr/>
      </w:pPr>
      <w:r>
        <w:rPr>
          <w:rFonts w:ascii="Amiri" w:hAnsi="Amiri" w:eastAsia="Amiri" w:cs="Amiri"/>
          <w:color w:val="111111"/>
          <w:sz w:val="28"/>
          <w:sz w:val="28"/>
          <w:szCs w:val="28"/>
          <w:rtl w:val="true"/>
          <w:lang w:bidi="ar-SA"/>
        </w:rPr>
        <w:t>يفضل منه إلّاقيد أربع أصابع وإنّ له أطيطاً كأطيط الرحل إذا رُكب</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فقال ردّاً على العلّامة الحلي حيث نقل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 أعرف له قائلاً ولا ناقلاً ولكن روي في حديث عبد اللّه بن خليفة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يفضل من العرش أربع أصابع، يُروى بالنفي تارة ويُروى بالإثبات، والحديث قد طعن فيه غير واحد من المحدّثين كالإسماعيلي وابن الجوزي، ومن الناس من ذكر له شواهد وقوّاه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ولفظ النفي لا يرد عليه شيء فإن مثل هذا اللفظ يرد لعموم النفي كقول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السماء موضع أربع أصابع إلّاوملك قائم أو قاعد أو راكع أو 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ما فيها موضع</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الوارد في كتاب السنّة أي كتاب إمام مذهبه أحمد بن حنبل الذي نقله عنه ولده عبد اللّه هو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يفضل منه إلّاقيد أربع 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أنّ العرش يمتلأ بوجوده سبحانه ويبقى منه أربعة أصابع خالياً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احتمله من النفي للفرار عن المعنى الذي يضحك الثكلى، وما استشهد به من الحديث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السموات موضع أربع أصابع إلّاوملك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يفارق المقام، فإنّ الاستثناء فيه بعد أربع أصابع وفي المقام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كلتا الصورتين فالحديث ظاهر في التجسيم سواء امتلأ العرش بوجوده أو بقي منه أربع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فآفة المشبهة لا تنتهي بما ذكرنا فإنّهم أخذوا التشبيه من اليهود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وزادوا في الأخبار أكاذيب وضعوها ونسبوها إلى النبي عليه الصلاة والسلام، وأكثرها مقتبسة من اليهود، فإنّ التشبيه فيهم طباع،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اشتكت عيناه فعادته الملائكة، وبكى على طوفان نوح حتى رمدت عيناه، وإنّ العرش ليئط من تحته كأطيط الرحل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ليفضل من كل</w:t>
      </w:r>
    </w:p>
    <w:p>
      <w:pPr>
        <w:pStyle w:val="BookText"/>
        <w:rPr/>
      </w:pPr>
      <w:r>
        <w:rPr>
          <w:rFonts w:ascii="IRNazanin" w:hAnsi="IRNazanin" w:eastAsia="IRNazanin"/>
          <w:color w:val="111111"/>
          <w:sz w:val="28"/>
          <w:sz w:val="28"/>
          <w:szCs w:val="28"/>
          <w:rtl w:val="true"/>
          <w:lang w:bidi="fa-IR"/>
        </w:rPr>
        <w:t>جانب أربع أصابع</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ولو أراد الباحث تنظيم العقيدة الإسلامية عما عليه المشبهة من حمل الصفات الخبرية في الكتاب والسنة على ظاهرها لأصبحت العقيدة الإسلامية عقيدة الزنادقة، وإن كنت في شك فلاحظ ما ذكره الشهرستاني،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ورد في التنزيل من الاستواء والوجه واليدين والجنب والمجيء والإتيان والفوقية وغير ذلك فأجروها على ظاهرها، أعني ما يفهم عند الإطلاق على الأجسام، وكذلك ما ورد في الأخبار من الصورة وغيرها في قوله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آدم على صورة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يضع الجبار قدمه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 المؤمن بين اصبعين من أصابع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خمّر طينة آدم بيده أربعين صباحاً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يده أو كفّه على كتفي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وجدت برد أنامله على كتفي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أجروها على ما يتعارف في صفات الأجسام</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إنّ الصفات الخبرية هي التي أوجدت فكرة التشبيه والتجسيم عند بعض السلفيين، والمراد بها ما أخبر عنه سبحانه دون أن يدلّ عليه العقل من كونه مستوياً على عرشه، أو أنّ له الوجه واليدين، والجَنْب والمجيء والإتيان والفوق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السلف في تفسير الصفات الخبرية على مذاهب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منهم مَن يثبت الصفات الخبرية كاليدين والوجه ويقولون هذه الصفات وردت في الشرع، فبالغوا في إثبات الصفات إلى حدّ التشبيه بصفات المحدثات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من المتأخّرين زادوا على ما قاله السلف، فقالوا لابد من إجرائها على ظاهرها فوقعوا في التشبيه الصرف، ولقد كان التشبيه صرفاً خالصاً في اليهود</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اكتفى بتلاوتها من دون أن يحقّقوا معانيها، ونسب ذلك إلى مالك بن أنس لمّا سُئل عن الاستواء على العرش،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الاستواء معلوم، والكيفية مجهولة، والإيمان به واجب، والسؤال عنه بدعة، ونسب ذلك إلى أحمد بن حنبل وسفيان الثوري وداود بن علي الإصفهاني</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أوّل الظواهر كي يخرجوا عن مغبّة التشبيه والتجسيم،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اليد قدرته ونعمته إلى غير ذلك من وجوه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فالسلف إمّا مبتدعة وهم الذين يجرون الصفات الخبرية على ظاهرها، وإمّا معطلة الذين يمرّون على الآيات ويتلونها دون أن يتفكّروا في حقائقها، أو مؤوّلة يحملون الآية على خلاف ظواهرها من دون قرينة في نفس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العلماء الواعون فهم برآء من التشبيه والتعطيل والتأويل، وإنّما يفرقون بين الظهور الإفرادي والظهور الجملي‌؟ وإنّما يحتاج إلى التأويل إذا أخذنا بالظهور الحرفي أو الإفرادي، وأمّا لو أخذنا بالظهور الجملي فنحن في غنى عنه، إذ تصير الجمل عندئذٍ ظاهرة في المعاني الكنائية أو المجازية، فالحجّة هو الثاني دون الأوّل، والآيات عندهم ظاهرة في معانيها التصديقية من دون حاجة إلى التأويل، وهي بين مجاز وكناية واستعارة، وأمّا تفصيل ذلك ففي مجال آخر، وقد أوضحنا حاله في كتابنا الإنصاف</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تقدير فابن تيمية من الطائفة الأُولى، وهو إمام المدافعين عن بيضة أهل التشبيه وشيخ اسلام أهل التجسيم ممّن سبقه من الكرامية وجهلة المحدّثين الذين أخذوا بالظواهر ونسبوها إلى اللّه سبحانه وأحيوا بذلك عقيدة اليهود في اللّه سبحانه</w:t>
      </w:r>
      <w:r>
        <w:rPr>
          <w:rFonts w:eastAsia="Amiri" w:cs="Amiri" w:ascii="Amiri" w:hAnsi="Amiri"/>
          <w:color w:val="111111"/>
          <w:sz w:val="28"/>
          <w:szCs w:val="28"/>
          <w:rtl w:val="true"/>
          <w:lang w:bidi="ar-SA"/>
        </w:rPr>
        <w:t>.</w:t>
      </w:r>
      <w:bookmarkStart w:id="47" w:name="pg16768_165177"/>
    </w:p>
    <w:p>
      <w:pPr>
        <w:pStyle w:val="Heading3"/>
        <w:numPr>
          <w:ilvl w:val="2"/>
          <w:numId w:val="1"/>
        </w:numPr>
        <w:rPr/>
      </w:pPr>
      <w:bookmarkStart w:id="48" w:name="__RefHeading___Toc6863422_73709187"/>
      <w:bookmarkStart w:id="49" w:name="_Toc18"/>
      <w:bookmarkEnd w:id="47"/>
      <w:bookmarkEnd w:id="48"/>
      <w:r>
        <w:rPr/>
        <w:t>2</w:t>
      </w:r>
      <w:r>
        <w:rPr>
          <w:rtl w:val="true"/>
        </w:rPr>
        <w:t xml:space="preserve"> </w:t>
      </w:r>
      <w:r>
        <w:rPr>
          <w:rtl w:val="true"/>
        </w:rPr>
        <w:t>حركة الباري ونزوله عند ابن تيمية</w:t>
      </w:r>
      <w:bookmarkEnd w:id="49"/>
    </w:p>
    <w:p>
      <w:pPr>
        <w:pStyle w:val="Heading4"/>
        <w:numPr>
          <w:ilvl w:val="3"/>
          <w:numId w:val="1"/>
        </w:numPr>
        <w:rPr/>
      </w:pPr>
      <w:bookmarkStart w:id="50" w:name="__RefHeading___Toc6863424_73709187"/>
      <w:bookmarkStart w:id="51" w:name="_Toc19"/>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من الأُمور الّتي يصرّ عليها ابن تيمية، تجويز الحركة والانتقال والنزول للّه سبحانه، بل إنّه يقول فوق ذلك بأنّه ينزل وينتقل من مكان إلى آخر، وأنّه لا مانع من ثبوت ذلك للّه سبحانه، بل يدّعي أنّ عليه أئمة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يدّعيه ابن تيمية في غير واحد من كتبه، وهانحن ننقل شيئاً من كلماته، ليتّضح للقارئ موقف الرجل من هذا الأمر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بشر المريسي الجهني كتاباً في التوحيد ونقضه عثمان بن سعيد الدارمي المجسّم، وقد نقل ابن تيمية شيئاً من كتاب النقض مرتضياً به وإليك ما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دعواك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المريسي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تفسير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يزول عن مكانه ولا يتحرك، فلا يقبل منك هذا التفسير إلّابأثر صحيح مأثور عن رسول اللّه صلى الله عليه و آله أو عن بعض أصحابه أو التابعين، لأنّ الحيّ القيوم يفعل ما يشاء، ويتحرك إذا شاء، ويهبط ويرتفع إذا شاء، ويقبض ويبسط ويقوم ويجلس إذا شاء، لأن أمارة ما بين الحي والميّت، التحرّك كل حيّ متحرّك لا محالة، وكل ميّت غير متحرك لا</w:t>
      </w:r>
    </w:p>
    <w:p>
      <w:pPr>
        <w:pStyle w:val="BookText"/>
        <w:rPr/>
      </w:pPr>
      <w:r>
        <w:rPr>
          <w:rFonts w:ascii="Amiri" w:hAnsi="Amiri" w:eastAsia="Amiri" w:cs="Amiri"/>
          <w:color w:val="111111"/>
          <w:sz w:val="28"/>
          <w:sz w:val="28"/>
          <w:szCs w:val="28"/>
          <w:rtl w:val="true"/>
          <w:lang w:bidi="ar-SA"/>
        </w:rPr>
        <w:t>محالة</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ويقول ابن تيمية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جمهور أهل السنّة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ينزل ولا يخلو منه العرش، كما نُقل مثل ذلك عن إسحاق بن راهويه وحمّاد بن زيد وغيرهما ونقلوه عن أحمد بن حنبل في رسالته إلى مسدّد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وأئمة السنّة والحديث على إثبات النوعين، وهوالّذي ذكره عنهم مَنْ نقل مذهبهم، كحرب الكرماني وعثمان بن سعيد الدارمي وغيرهما، بل صرح هؤلاء بلفظ الحركة، وأنّ ذلك هو مذهب أئمة السنّة والحديث من المتقدّمين والمتأخّرين، وذكر حرب الكرماني أنّه قول مَن لقيه من أئمة السنة، كأحمد بن حنبل وإسحاق بن راهويه وعبداللّه بن الزبير الحميدي وسعيد بن منصور، وقال عثمان بن سعيد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الحركة من لوازم الحياة، فكلّ حيّ متحرك، وجعلوا نفي هذا من أقوال الجهمية نفاة الصفات، الذين اتفق السلف والأئمة على تضليلهم وتبديعهم</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الكلمات تكفي في بيان نظرية الرجل، وأنّه يثبت للّه سبحانه ما هو من صفات الأجسام، وسيوافيك في آخر المقال أنّه جسّد عقيدته في نزوله سبحانه عن العرش، بنزوله درجة من درج المنبر إلى درجة أُخرى، وقبل دراسة هذه النظرية ومناقشتها، نقدّم أُموراً</w:t>
      </w:r>
      <w:r>
        <w:rPr>
          <w:rFonts w:eastAsia="Amiri" w:cs="Amiri" w:ascii="Amiri" w:hAnsi="Amiri"/>
          <w:color w:val="111111"/>
          <w:sz w:val="28"/>
          <w:szCs w:val="28"/>
          <w:rtl w:val="true"/>
          <w:lang w:bidi="ar-SA"/>
        </w:rPr>
        <w:t>:</w:t>
      </w:r>
      <w:bookmarkStart w:id="52" w:name="pg16768_165179"/>
    </w:p>
    <w:p>
      <w:pPr>
        <w:pStyle w:val="Heading4"/>
        <w:numPr>
          <w:ilvl w:val="3"/>
          <w:numId w:val="1"/>
        </w:numPr>
        <w:rPr/>
      </w:pPr>
      <w:bookmarkStart w:id="53" w:name="__RefHeading___Toc6863426_73709187"/>
      <w:bookmarkStart w:id="54" w:name="_Toc20"/>
      <w:bookmarkEnd w:id="52"/>
      <w:bookmarkEnd w:id="53"/>
      <w:r>
        <w:rPr>
          <w:rtl w:val="true"/>
        </w:rPr>
        <w:t>الأوّل</w:t>
      </w:r>
      <w:r>
        <w:rPr>
          <w:rtl w:val="true"/>
        </w:rPr>
        <w:t xml:space="preserve">: </w:t>
      </w:r>
      <w:r>
        <w:rPr>
          <w:rtl w:val="true"/>
        </w:rPr>
        <w:t>تعريف الحركة</w:t>
      </w:r>
      <w:bookmarkEnd w:id="54"/>
    </w:p>
    <w:p>
      <w:pPr>
        <w:pStyle w:val="BookText"/>
        <w:rPr/>
      </w:pPr>
      <w:r>
        <w:rPr>
          <w:rFonts w:ascii="Amiri" w:hAnsi="Amiri" w:eastAsia="Amiri" w:cs="Amiri"/>
          <w:color w:val="111111"/>
          <w:sz w:val="28"/>
          <w:sz w:val="28"/>
          <w:szCs w:val="28"/>
          <w:rtl w:val="true"/>
          <w:lang w:bidi="ar-SA"/>
        </w:rPr>
        <w:t>عرّفت الحركة بتعاريف مختلفة أصحّها وأسدّها هو أنّ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خروج الشيء من القوّة إلى الفعل على سبيل التدرّج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والقوة عبارة عن الاستعداد، ووجوده المستعدلة يلازم خروجه عن القوة إلى الفعلية، فهذا النوع من التعريف يشمل كلّ أنواع الحركة الجوهرية والعرضية، أمّا الأُولى فإنّ نواة البرتقال تنطوي على قابلية خاصّة، وهي قابلية أن تكون شجرة في المستقبل، فإذا وقعت تحت التراب تحولت تلك القابلية إلى الفعلية وبالتدريج تخرج من القوّة إلى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الحركة الجوهرية، أمّا الحركة العرضية فمنها الحركة في الأين الّتي نسمّيها بالحركة الانتقالية إلى مكان آخر، فهي أيضاً داخلة في التعريف، ففي الجسم قابلية لأن ينتقل من مكان إلى مكان، فإذا أخذ بالحركة فقد صحّ أن تتحول تلك القوة والقابلية إلى الفعلية، سواء أكان ذلك بسبب عامل داخلي أو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الحركة وأقسامها</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6863428_73709187"/>
      <w:bookmarkStart w:id="56" w:name="_Toc21"/>
      <w:bookmarkEnd w:id="55"/>
      <w:r>
        <w:rPr>
          <w:rtl w:val="true"/>
        </w:rPr>
        <w:t>الثاني</w:t>
      </w:r>
      <w:r>
        <w:rPr>
          <w:rtl w:val="true"/>
        </w:rPr>
        <w:t xml:space="preserve">: </w:t>
      </w:r>
      <w:r>
        <w:rPr>
          <w:rtl w:val="true"/>
        </w:rPr>
        <w:t>وجود الإمكان في المتحرّك</w:t>
      </w:r>
      <w:bookmarkEnd w:id="56"/>
    </w:p>
    <w:p>
      <w:pPr>
        <w:pStyle w:val="BookText"/>
        <w:rPr/>
      </w:pPr>
      <w:r>
        <w:rPr>
          <w:rFonts w:ascii="Amiri" w:hAnsi="Amiri" w:eastAsia="Amiri" w:cs="Amiri"/>
          <w:color w:val="111111"/>
          <w:sz w:val="28"/>
          <w:sz w:val="28"/>
          <w:szCs w:val="28"/>
          <w:rtl w:val="true"/>
          <w:lang w:bidi="ar-SA"/>
        </w:rPr>
        <w:t>إذا كانت الحركة هي الخروج من القوة إلى الفعل، فلازم ذلك إمكان وجود الشيء المترقّب في المتحرك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واجب الوجود بريء عن الإمكان فهو فعلية محضة لا ينسجم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واجب الوجود، قوة ناقصة تتكامل بالخروج عنها إلى الفعلية، وهو كمال مطلق وغنيّ من عامة الجهات</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6863430_73709187"/>
      <w:bookmarkStart w:id="58" w:name="_Toc22"/>
      <w:bookmarkEnd w:id="57"/>
      <w:r>
        <w:rPr>
          <w:rtl w:val="true"/>
        </w:rPr>
        <w:t>الثالث</w:t>
      </w:r>
      <w:r>
        <w:rPr>
          <w:rtl w:val="true"/>
        </w:rPr>
        <w:t xml:space="preserve">: </w:t>
      </w:r>
      <w:r>
        <w:rPr>
          <w:rtl w:val="true"/>
        </w:rPr>
        <w:t>ما هي الغاية من الحركة‌؟</w:t>
      </w:r>
      <w:bookmarkEnd w:id="5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الحركة لابدّ لها من غاية، فما هي الغاية في حركة الباري‌؟ فهل هي الحركة من النقص إلى الكمال أو من الكمال إلى النقص‌؟ أو لا هذا ولا ذاك‌؟</w:t>
      </w:r>
    </w:p>
    <w:p>
      <w:pPr>
        <w:pStyle w:val="BookText"/>
        <w:rPr/>
      </w:pPr>
      <w:r>
        <w:rPr>
          <w:rFonts w:ascii="Amiri" w:hAnsi="Amiri" w:eastAsia="Amiri" w:cs="Amiri"/>
          <w:color w:val="111111"/>
          <w:sz w:val="28"/>
          <w:sz w:val="28"/>
          <w:szCs w:val="28"/>
          <w:rtl w:val="true"/>
          <w:lang w:bidi="ar-SA"/>
        </w:rPr>
        <w:t>أمّا الأوّل فيلازم وجود النقص في اللّه سبحانه مع أنّه الغني المطلق والكمال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فهو يلازم خروج الواجب من الكمال المطلق إلى النقص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الكمال النسبي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فهو يلازم العبث،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تحليلات فلسفية تعرضنا لها في هذا المقام لمن له مقدرة علمية على فهم هذه الأُمور، وهناك أمر آخر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لذهاب ابن تيمية وأسلافه المجسّمة إلى إثبات الحركة والنزول للّه سبحانه هو ما أخرجه البخاري في صحيحه عن أبي هريرة عن رسول اللّه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يتنزّل ربنا تبارك وتعالى كل ليلة إلى السماء الدنيا حين يبقى ثلث الليل 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يدعوني فأستجيب له، مَنْ يسألني فأُعطيه، مَنْ يستغفرني فأغفر له</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هذا الحديث تثار تساؤلات،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هو الغفور الرحيم، وأنّه أقرب إلينا من حبل الوريد، فأي حاجة إلى نزول الرب الجليل من عرشه إلى سماء الدنيا وندائه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يدعوني فأستجيب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القائل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تابَ مِنْ بَعْدِ ظُلْمِهِ وَ أَصْلَحَ فَإِنَّ اللّهَ يَتُوبُ عَلَيْهِ 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والقائل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يَتُوبُونَ إِلَى اللّهِ وَ يَسْتَغْفِرُونَهُ وَ اللّهُ غَفُورٌ رَحِيمٌ‌</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والقائل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 لا تَقْنَطُوا مِنْ رَحْمَةِ‌</w:t>
      </w:r>
    </w:p>
    <w:p>
      <w:pPr>
        <w:pStyle w:val="BookText"/>
        <w:rPr/>
      </w:pPr>
      <w:r>
        <w:rPr>
          <w:rFonts w:ascii="Amiri" w:hAnsi="Amiri" w:eastAsia="Amiri" w:cs="Amiri"/>
          <w:color w:val="111111"/>
          <w:sz w:val="28"/>
          <w:sz w:val="28"/>
          <w:szCs w:val="28"/>
          <w:rtl w:val="true"/>
          <w:lang w:bidi="ar-SA"/>
        </w:rPr>
        <w:t>اَللّهِ إِنَّ اللّهَ يَغْفِرُ الذُّنُوبَ جَمِيعاً</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إلى غير ذلك من الآيات التي تكشف عن سعة رحمته لعموم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سبحانه وعد عباده بأنّه يستجيب دعاء من دعاه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إلى غير ذلك من الآيات الدالّة على قُرب المغفرة من المستغفرين، والإجابة من اللّه سبحانه للسائلين آناء الليل والنهار، فأي حاجة إلى نزول الرب الجليل من عرشه الكريم إلى السماء الدنيا وندائه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يدعوني فاستجيب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ربّنا عن النزول والصعود والمجيء والذهاب والحركة والانتقال وسائر العوارض والحوادث التي تُفضي إلى الجسمية والتحيّز، تعالى اللّه عن ذلك علوّاً كبيراً، ومن هنا صار هذا الحديث وأشباهه، سبباً لذهاب الحشوية إلى التجسيم والسلفية إلى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ما ذكره أن يكون اللّه سبحانه مستمراً طوال النهار والليل في النزول والصعود وذلك لتعاقب الليل والنهار، فربما يكون نصف النهار في بلد هو نصف الليل في بلد آخر، أو أوّل النهار في بلد هو أوّل الليل في بلد آخر، وكلّ بلد له نصف ليل، فحينئذٍ يلزم أن يكون سبحانه طول الليل والنهار بين النزول والصعود، إذ معنى ذلك أنّه يتحرك في عامّة الليل وعامّة النهار الّتي تكون ليلاً في بلد آخر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فائدة في هذا النداء الّذي لا يسمعه أي ابن أُنثى حتّى يرغب في الدعاء؟</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العجيب أنّه نسبه إلى أئمة السلف، ولكنّ السلف والخلف بريئان من</w:t>
      </w:r>
    </w:p>
    <w:p>
      <w:pPr>
        <w:pStyle w:val="BookText"/>
        <w:rPr/>
      </w:pPr>
      <w:r>
        <w:rPr>
          <w:rFonts w:ascii="Amiri" w:hAnsi="Amiri" w:eastAsia="Amiri" w:cs="Amiri"/>
          <w:color w:val="111111"/>
          <w:sz w:val="28"/>
          <w:sz w:val="28"/>
          <w:szCs w:val="28"/>
          <w:rtl w:val="true"/>
          <w:lang w:bidi="ar-SA"/>
        </w:rPr>
        <w:t>هذه النسبة؛ وذلك لأنّهم يتلون كتاب اللّه ليل نهار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وإذا أثبتوا للّه الحركة والنزول والصعود، فقد جعلوا للّه مثلاً وشبيهاً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يرجع إلى كلمات علماء الإسلام الواعين من السلف والخلف يجد أنّهم متّفقون على تنزيهه سبحانه من أوصاف الجسم والجسمانيات وأنّهم أوّلوا الحديث المروي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الحافظ ابن حجر في شرح البخاري ما هذا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به من أثبت الجهة وقال هي جهة العلو، وأنكر ذلك الجمهور؛ لأنّ القول بذلك يُفضي إلى التحيّز، تعالى اللّه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في معنى النزول على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حكى أبو بكر بن فورك أنّ بعض المشايخ ضبطه بضم أوله على حذف المفعول أي ينزل ملكاً، ويقوّيه ما رواه النسائي من طريق الأعز عن أبي حويرة وأبي سعيد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يمهل حتّى يمضي شطر الليل ثم يأمر منادياً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داع فيستجاب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يرتفع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عن البيضاوي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ثبت بالقواطع أنّه سبحانه منزّه عن الجسمية والتميّز امتنع عليه النزول على معنى الانتقال من موضع إلى موضع أخفض منه</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نعم ربّما يتمسّك المجسّمة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رَبُّكَ وَ الْمَلَكُ صَفًّا صَفًّا</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الناظر في آيات تلك السورة يقف على أنّه سبحانه يصوّر هول القيامة ورعبها ويقول قبل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إِذا دُكَّتِ الْأَرْضُ دَكًّا دَكًّا</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ثم يقول بعدها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جِيءَ يَوْمَئِذٍ بِجَهَنَّمَ يَوْمَئِذٍ يَتَذَكَّرُ الْإِنْسانُ وَ أَنّى لَهُ الذِّكْرى‌</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من مجيء جهنم إبرازها للعصاة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بُرِّزَتِ الْجَحِيمُ لِمَنْ يَرى‌</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فالمراد من مجيئه سبحانه هو ظهور قدرته في ذلك اليوم العصيب وسطوع شوكته، وكثيراً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آل فلان، ويراد تسلطهم وسيطرتهم على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تمثيل لظهورآيات اقتداره وتبيين آثار قهره وسلطانه، مثّلت حاله في ذلك بحال الملك إذا حضر بنفسه ظهر بحضوره من آثار الهيبة والسياسة ما لا يظهر بحضور عساكره كلها ووزرائه وخواصه عن بكرة أبيهم</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ما ذكرنا فالمراد بمجيئه تعالى مجيء أمره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الْأَمْرُ يَوْمَئِذٍ لِلّهِ‌</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ويؤيد هذا الوجه بعض التأييد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يَأْتِيَهُمُ اللّهُ فِي ظُلَلٍ مِنَ الْغَمامِ وَ الْمَلائِكَةُ وَ قُضِيَ الْأَمْرُ</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إذا انضم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تَأْتِيَهُمُ الْمَلائِكَةُ أَوْ يَأْتِيَ أَمْرُ رَبِّكَ‌</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وعليه فهناك مضاف محذوف والتقدير جاء أمر ربك، أو نسبة المجيء إليه تعالى من المجاز العقلي</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وكان على ابن تيمية ومن لف لفه أن يرجعوا إلى أئمة أهل البيت عليهم السلام، الذين هم اعدال الكتاب وقرناؤه، حتّى يعرفوا مكانة الحديث من الصحة والسقم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يعقوب بن جعفر الجعفري عن الإمام موسى الكاظم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عنده قوم يزعمون أنّ اللّه تبارك وتعالى ينزل إلى السماء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لا ينزل، ولا يحتاج إلى أن ينزل، إنّما منظره في القرب والبعد سواء، لم</w:t>
      </w:r>
    </w:p>
    <w:p>
      <w:pPr>
        <w:pStyle w:val="BookText"/>
        <w:rPr/>
      </w:pPr>
      <w:r>
        <w:rPr>
          <w:rFonts w:ascii="Amiri" w:hAnsi="Amiri" w:eastAsia="Amiri" w:cs="Amiri"/>
          <w:color w:val="111111"/>
          <w:sz w:val="28"/>
          <w:sz w:val="28"/>
          <w:szCs w:val="28"/>
          <w:rtl w:val="true"/>
          <w:lang w:bidi="ar-SA"/>
        </w:rPr>
        <w:t>يبعد منه قريب، ولم يقرب منه بعيد، ولم يحتج بل يُحتاج إليه، وهو ذو الطول، لا إله إلّاهو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 الواصفين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تبارك وتعالى ينزل فإنّما يقول ذلك من ينسبه إلى نقص أو زيادة، وكلُّ متحرِّك محتاج إلى من يحرِّكه أو يتحرَّك به، فظنّ باللّه الظنون فهلك، فاحذروا في صفاته من أن تقفوا له على حدٍّ تحدّوه بنقص أو زيادة أو تحرّك أو زوال أو نهوض أو قعود، فإنّ اللّه جلّ عن صفة الواصفين و نعت الناعتين وتوهُّم المتوهِّمين،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تَوَكَّلْ عَلَى الْعَزِيزِ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يَراكَ حِينَ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تَقَلُّبَكَ فِي السّاجِدِينَ‌</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وفي الختام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إن الرجل صرّح بمذهبه وهو على منبر الشام، يقول الرّحالة ابن بطوطة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بدمشق من كبار فقهاء الحنابلة تقي الدين ابن تيمية كبير الشام يتكلم في فنون، إلّاأنّ في عقله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أهل دمشق يعظّمونه أشدّ التعظيم، ويعظهم على المنبر، وتكلم مرّة بأمر أنكره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ورفعوه إلى الملك الناصر فأمر بإشخاصه إلى القاهرة، وجمع القضاة والفقهاء بمجلس الملك الناصر، وتكلم شرف الدين الزواوي المالكي،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الرجل قال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وعدّد ما أُنكر على ابن تيمية، وأحضر العقود بذلك ووضعها بين يدي قاضي القضاة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قاضي القضاة لابن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فأعاد عليه فأجاب عليه بمثل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الملك الناصر بسجنه، فسجن أعواماً، وصنف في السجن كتاباً في تفسير القرآن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نحو أربعين مجلداً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أُمّه تعرضت للملك الناصر، وشكت إليه فأمر بإطلاقه إلى أن وقع منه ذلك ثانية، وكنت إذ ذاك بدمشق، فحضرتُه يوم الجمعة، وهو يعظ الناس على منبر</w:t>
      </w:r>
    </w:p>
    <w:p>
      <w:pPr>
        <w:pStyle w:val="BookText"/>
        <w:rPr/>
      </w:pPr>
      <w:r>
        <w:rPr>
          <w:rFonts w:ascii="Amiri" w:hAnsi="Amiri" w:eastAsia="Amiri" w:cs="Amiri"/>
          <w:color w:val="111111"/>
          <w:sz w:val="28"/>
          <w:sz w:val="28"/>
          <w:szCs w:val="28"/>
          <w:rtl w:val="true"/>
          <w:lang w:bidi="ar-SA"/>
        </w:rPr>
        <w:t>الجامع ويذكّرهم، فكان من جملة كلامه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ينزل إلى سماء الدنيا كنزولي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درجة من درج المنبر، فعارضه فقيه مالكي يعرف بابن الزهراء، وأنكر ما تكلّم به، فقامت العامّة إلى هذا الفقيه وضربوه بالأيدي والنعال ضرباً كثيراً</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وربما يحاول بعض المتعصّبين، أن ينفي حضور ابن بطوطة في ذلك العام في دمشق، لكنّه غفل عن أنّ النقل لا ينحصر به، بل نقله الحافظ ابن حجر العسقلاني في موسوعته الدرر الكامنة</w:t>
      </w:r>
      <w:r>
        <w:rPr>
          <w:rStyle w:val="FootnoteAnchor"/>
          <w:rtl w:val="true"/>
        </w:rPr>
        <w:footnoteReference w:id="65"/>
      </w:r>
      <w:r>
        <w:rPr>
          <w:rFonts w:ascii="Amiri" w:hAnsi="Amiri" w:eastAsia="Amiri" w:cs="Amiri"/>
          <w:color w:val="111111"/>
          <w:sz w:val="28"/>
          <w:sz w:val="28"/>
          <w:szCs w:val="28"/>
          <w:rtl w:val="true"/>
          <w:lang w:bidi="ar-SA"/>
        </w:rPr>
        <w:t>، وهذا يدلّ على أنّ الخبر كان منتشراً يوم ذاك في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مَبْلَغُهُمْ مِنَ الْعِلْمِ إِنَّ رَبَّكَ هُوَ أَعْلَمُ بِمَنْ‌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ضَلَّ عَنْ سَبِيلِهِ وَ هُوَ أَعْلَمُ بِمَنِ اهْتَدى‌</w:t>
      </w:r>
      <w:r>
        <w:rPr>
          <w:rFonts w:eastAsia="Amiri" w:cs="Amiri" w:ascii="Amiri" w:hAnsi="Amiri"/>
          <w:color w:val="111111"/>
          <w:sz w:val="28"/>
          <w:szCs w:val="28"/>
          <w:rtl w:val="true"/>
          <w:lang w:bidi="ar-SA"/>
        </w:rPr>
        <w:t>) .</w:t>
      </w:r>
      <w:r>
        <w:rPr>
          <w:rStyle w:val="FootnoteAnchor"/>
          <w:rtl w:val="true"/>
        </w:rPr>
        <w:footnoteReference w:id="66"/>
      </w:r>
      <w:bookmarkStart w:id="59" w:name="pg16768_165186"/>
    </w:p>
    <w:p>
      <w:pPr>
        <w:pStyle w:val="Heading3"/>
        <w:numPr>
          <w:ilvl w:val="2"/>
          <w:numId w:val="1"/>
        </w:numPr>
        <w:rPr/>
      </w:pPr>
      <w:bookmarkStart w:id="60" w:name="__RefHeading___Toc6863432_73709187"/>
      <w:bookmarkStart w:id="61" w:name="_Toc23"/>
      <w:bookmarkEnd w:id="59"/>
      <w:bookmarkEnd w:id="60"/>
      <w:r>
        <w:rPr/>
        <w:t>3</w:t>
      </w:r>
      <w:r>
        <w:rPr>
          <w:rtl w:val="true"/>
        </w:rPr>
        <w:t xml:space="preserve"> </w:t>
      </w:r>
      <w:r>
        <w:rPr>
          <w:rtl w:val="true"/>
        </w:rPr>
        <w:t>الجهة والمكان للّه سبحانه عند ابن تيمية</w:t>
      </w:r>
      <w:bookmarkEnd w:id="61"/>
    </w:p>
    <w:p>
      <w:pPr>
        <w:pStyle w:val="Heading4"/>
        <w:numPr>
          <w:ilvl w:val="3"/>
          <w:numId w:val="1"/>
        </w:numPr>
        <w:rPr/>
      </w:pPr>
      <w:bookmarkStart w:id="62" w:name="__RefHeading___Toc6863434_73709187"/>
      <w:bookmarkStart w:id="63" w:name="_Toc24"/>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 xml:space="preserve">اتّفق علماء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بعض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سبحانه منزّه عن الجهة والمكان، وقد برهنوا على ذلك ببراهين واضحة، نذكر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الجهة أو المكان لو كانا قديمين للزم تعدّد القدماء، ولو كانا حادثين ليلزم أن يكون سبحانه محلّاً للحوادث، حيث لم يكن ذا مكان ولا ذا جهة ثم وصف بهما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اللّه سبحانه غني بالذات، فكونه ذا جهة أو ذا مكان، يلازم حاجته إليهما، فينقلب الغني فقيراً، تعالى اللّه عن ذلك علواً كبيراً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كلّ ما هو في جهة إمّا جسم أو جسماني، وكلّ منهما ممكن بل حادث، فكيف يوصف بهما سبحانه وتعالى‌؟</w:t>
      </w:r>
    </w:p>
    <w:p>
      <w:pPr>
        <w:pStyle w:val="BookText"/>
        <w:rPr/>
      </w:pPr>
      <w:r>
        <w:rPr>
          <w:rFonts w:ascii="Amiri" w:hAnsi="Amiri" w:eastAsia="Amiri" w:cs="Amiri"/>
          <w:color w:val="111111"/>
          <w:sz w:val="28"/>
          <w:sz w:val="28"/>
          <w:szCs w:val="28"/>
          <w:rtl w:val="true"/>
          <w:lang w:bidi="ar-SA"/>
        </w:rPr>
        <w:t>وهذه البراهين مبثوثة ومشروحة في الكتب الكلامية والعقدية، ونحن في غنى عن أن نأتي بكلمات العلماء أو أن نشرحها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البراهين العقلية الّتي تفسّر لنا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فلو كان في جهة أو مكان، يكون له ملايين الأمثال، تعالى اللّه عن ذلك علواً كبيراً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رجعنا إلى كلمات أئمة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ينزّهون الباري أشدّ</w:t>
      </w:r>
    </w:p>
    <w:p>
      <w:pPr>
        <w:pStyle w:val="BookText"/>
        <w:rPr/>
      </w:pPr>
      <w:r>
        <w:rPr>
          <w:rFonts w:ascii="Amiri" w:hAnsi="Amiri" w:eastAsia="Amiri" w:cs="Amiri"/>
          <w:color w:val="111111"/>
          <w:sz w:val="28"/>
          <w:sz w:val="28"/>
          <w:szCs w:val="28"/>
          <w:rtl w:val="true"/>
          <w:lang w:bidi="ar-SA"/>
        </w:rPr>
        <w:t xml:space="preserve">التنزيه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أنّهم يصفونه بنفي الجهة والمكان، وكلام الإمام علي عليه السلام خير شاهد على ذلك، حيث قال عليه السلام 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وَصَفَهُ فَقَدْ حَدَّهُ‌، وَمَنْ حَدَّهُ فَقَدْ عَدَّهُ‌، وَمَنْ عَدَّهُ فَقَدْ أَبْطَلَ أَزَلَهُ‌،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فَقَدِ اسْتَوْصَفَهُ‌،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حَيَّزَهُ‌</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يَشْغَلُهُ شَأْنٌ‌، وَلَا يُغَيِّرُهُ زَمَانٌ‌، وَلَا يَحْوِيهِ مَكَانٌ‌، وَلَا يَصِفُهُ لِسَانٌ‌</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وقال في خطبة أُخرى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أنّ الأشياء تحويه، فتقلّه أو تهويه، أو أنّ شيئاً يحمله، فيميله أو يعدله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الأشياء بوالج، ولا عنها بخارج</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وروى الصدوق بإسناده عن سليمان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في مكان‌؟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وتعالى عن ذلك، إنّه لو كان في مكان لكان محدثاً، لأنّ الكائن في مكان محتاج إلى المكان، والاحتياج من صفات المحدَث لا من صفات القديم</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عن أبي بصيرد عن أبي عبد اللّه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لا يوصف بزمان ولا مكان ولا حركة ولا انتقال ولا سكون، بل هو خالق الزمان والمكان والحركة والسكون، تعالى اللّه عمّا يقولون علواً كبيراً</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إلى غير ذلك من الكلمات الواردة في الجوامع الحديثية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فلنرجع إلى عقيدة ابن تيمية من خلال ما ورد في كتبه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وجمهور السلف على أنّ اللّه فوق العالم، وأنّ‌</w:t>
      </w:r>
    </w:p>
    <w:p>
      <w:pPr>
        <w:pStyle w:val="BookText"/>
        <w:rPr/>
      </w:pPr>
      <w:r>
        <w:rPr>
          <w:rFonts w:ascii="Amiri" w:hAnsi="Amiri" w:eastAsia="Amiri" w:cs="Amiri"/>
          <w:color w:val="111111"/>
          <w:sz w:val="28"/>
          <w:sz w:val="28"/>
          <w:szCs w:val="28"/>
          <w:rtl w:val="true"/>
          <w:lang w:bidi="ar-SA"/>
        </w:rPr>
        <w:t>أحدهم لا يلفظ بلفظ الجهة، فهم يعتقدون بقلوبهم، ويقولون بألسنتهم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ربهم فوق</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قد أخبر عن فرعون أنّه طلب أن يصعد ليطلع إلى إله موسى، فلو لم يكن موسى أخبر أنّ اللّه فوق لم يقصد ذلك، فإنّه لو لم يكن مقرّاً به فإذا لم يخبره موسى به لم يكن إثبات العلو لا منه ولا من موسى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فموسى صدق محمداً في أنّ ربه فوق، وفرعون كذب موسى في أنّ ربه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فالمقرّون بذلك متّبعون لموسى ولمحمد، والمكذبون بذلك موافقون لفرعون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والعجب أنّه يستدلّ بطلب فرعون من هامان ليبني له صرحاً ليصعد عليه ويطّلع إلى إله موسى، فهل يكون طلبه دليلاً على أنّ اللّه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له أنّ موسى قد أخبر فرعون، بل أنّ طلبه مبني على توهّمه أنّ إله موسى جسم ماديّ فبما أنّه ليس في الأرض فلا بد أن يكون في السماء، فطلب من وزيره أن يجعل له صرحاً ليطّلع إلى إله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 القارئ أنّ هذا النوع من الاستدلال يكشف عن عجز المستدل حيث يتشبث بهذا النوع من التسويلات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المحقّق الدواني في شرح العقائد العضدية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ولابن تيمية أبي العباس أحمد وأصحابه ميل عظيم إلى إثبات الجهة ومبالغة في القدح في نفيها، ورأيت في بعض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عند بديهية العقل بين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معدوم، أو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طلبته في جميع الأمكنة فلم أجده، ونسب النافين إلى التضليل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 الواسطية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دخل فيما ذكرناه من الإيمان باللّه، الإيمان بما أخبر اللّه به في كتابه وتواتر عن رسوله صلى الله عليه و آله وأجمع عليه سلف الأُمّة،</w:t>
      </w:r>
    </w:p>
    <w:p>
      <w:pPr>
        <w:pStyle w:val="BookText"/>
        <w:rPr/>
      </w:pPr>
      <w:r>
        <w:rPr>
          <w:rFonts w:ascii="Amiri" w:hAnsi="Amiri" w:eastAsia="Amiri" w:cs="Amiri"/>
          <w:color w:val="111111"/>
          <w:sz w:val="28"/>
          <w:sz w:val="28"/>
          <w:szCs w:val="28"/>
          <w:rtl w:val="true"/>
          <w:lang w:bidi="ar-SA"/>
        </w:rPr>
        <w:t>من أنّه سبحانه فوق سماواته على عرشه، عليّ على خلقه، وهو معهم سبحانه أينما كانوا، يعلم ما هم عاملون كما جمع بين 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 السَّماواتِ وَ الْأَرْضَ فِي سِتَّةِ أَيّامٍ ثُمَّ اسْتَوى عَلَى الْعَرْشِ يَعْلَمُ ما يَلِجُ فِي الْأَرْضِ وَ ما يَخْرُجُ مِنْها وَ ما يَنْزِلُ مِنَ السَّماءِ وَ ما يَعْرُجُ فِيها وَ هُوَ مَعَكُمْ أَيْنَ ما كُنْتُمْ وَ اللّهُ بِما تَعْمَلُونَ بَصِيرٌ</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وليس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مختلط بالخلق فإنّ هذا لا توجبه اللغة، وهو خلاف ما أجمع عليه سلف الأُمّة، وخلاف ما فطر اللّه عليه الخلق، بل القمر آية من آيات اللّه من أصغر مخلوقاته وهو موضوع في السماء، وهو مع المسافر أينما كان، وهو سبحانه فوق العرش رقيب على خلقه مهيمن عليهم مطّلع إليهم، إلى غير ذلك من معاني ربوبيته</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كلامه صريح في أنّ اللّه سبحانه واقع في جهة وهي فوق السماوات، مستقر على عرشه، مستعل على خلقه، فهو مهما أراد أن ينكر عقيدته بأنّ اللّه سبحانه في جهة، فلا يتسنّى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لمّا لاحظ التعارض بين عقيدته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مستقر على عرشه، بائن عن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أن يجمع بين الآيتين، بتفسير المعيّة بالمعية العلمية، حيث إنّه سبحانه في العرش مع أنّه مطّلع على أعمال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إلّاتأويلاً للكتاب العزيز وتفسيراً بالرأي حيث إنّ عقيدته بأنّ اللّه فوق السماوات صارت سبباً لتفسير الآية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 تيمية كثيراً ما يرد على الجهمية بتأويلهم آيات الصفات ولكنّه وقع بنفس ما يردّ به عليهم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هبّ أنّه صح تأويله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بالمعيّة، فبماذا يفسّر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مِنْ نَجْوى ثَلاثَةٍ إِلاّ هُوَ رابِعُهُمْ وَ لا خَمْسَةٍ إِلاّ هُوَ سادِسُهُمْ وَ لا أَدْنى مِنْ ذلِكَ وَ لا أَكْثَرَ إِلاّ هُوَ مَعَهُمْ أَيْنَ ما كانُوا ثُمَّ يُنَبِّئُهُمْ بِما عَمِلُوا يَوْمَ الْقِيامَةِ إِنَّ اللّهَ بِكُلِّ شَيْ‌ءٍ عَلِيمٌ‌</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الآية صريحة في حضوره سبحانه بين الثلاثة وهو رابعهم، وبين الخمسة وهو سادسهم، لا أنّه مستقر في عرشه ينظر إلى مادونه فيعلم بما يجري بين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الرجل لمّا لم يتوفّق لتفسير المعيّة، تصور أنّ القول بالمعيّة يستلزم الحلول، ومن المعلوم أنّ الحلول في المخلوقات كفر بواح، لا يتكلّم به المتشرّع المؤمن بكتابه وسنّة رسوله، وإنّما المراد بالمعيّة، المعيّة القيوميّة فهو مع كونه خارجاً عن مخلوقاته لكن لا بنحو تنقطع صلته بهم، بل هو مع كونه موجوداً بنفسه، لكن عالم الإمكان قائم به قيام صدور لا قيام حلول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أردنا أن نصوّر ذلك بتصوير أدنى فلنذكر هذا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النفس الإنسانية مع علوها واستقلالها، لكن الصور الإبداعية التي تخلقها في عالمها قائمة بها، فلا الصور داخلة في النفس، ولا النفس منقطعة عنها، بشهادة أنّ النفس لو ذهلت عن الصور لم يبق منها شيء، فمن قال بالمعية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للذكر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المعيّة القيوميّة، ولذلك يقول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كلّ شيء لا بمقارنة، وغير كلّ شيء لا بمزايلة</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الرجل لمّا وقف على كلام الإمام علي عليه السلام في شأنه سبحانه مع المخلوقات، حاول أن يردّ عليه دون أن يذكر اسمه، يقول مخاطباً خصمه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موجود قائم بنفسه وليس بداخل في العالم ولا خارج عنه ولا مباين له ولا محايث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وأنّه لا يقرب منه شيء ولا يبعد منه شيء، وأمثال ذلك من النفي الذي لو عُرض على الفطرة السليمة جزمت جزماً قاطعاً أنّ هذا باطل</w:t>
      </w:r>
    </w:p>
    <w:p>
      <w:pPr>
        <w:pStyle w:val="BookText"/>
        <w:rPr/>
      </w:pPr>
      <w:r>
        <w:rPr>
          <w:rFonts w:ascii="Amiri" w:hAnsi="Amiri" w:eastAsia="Amiri" w:cs="Amiri"/>
          <w:color w:val="111111"/>
          <w:sz w:val="28"/>
          <w:sz w:val="28"/>
          <w:szCs w:val="28"/>
          <w:rtl w:val="true"/>
          <w:lang w:bidi="ar-SA"/>
        </w:rPr>
        <w:t>وأنّ وجود مثل هذا ممتنع، وكان جزمها ببطلان هذا أقوى من جزمها ببطلان كونه فوق العالم وليس بجسم</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ويقول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الأحكام الكلّية فهي عقلية فحكم الفطرة بأنّ كل موجودين إمّا متحايثان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متجانبان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متباينان، وبأنّ ما لا يكون داخل العالم ولا خارجه لا يكون إلّامعدوماً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يمتنع وجود ما هو كذلك</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جزم الفطرة ببطلان القول بأنّه سبحانه ليس بداخل في العالم ولا خارج عنه، أقوى من جزمها ببطلان كونه فوق العالم وليس بجسم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كلا القولين عنده باطل، ولكن الأوّل أظهر بطلاناً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سلف الأُمّة اتفقوا على أنّه فوق العالم، وأنّه ليس لنا أن نصفه بأنّه ليس بجسم، إذ لم يرد في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يكون داخل العالم ولا خارجه لا يكون إلّامعدوماً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أنّه يتصوّر أنّه سبحانه جسم، إذ من المعلوم أنّ الجسم إذا لم يكن داخل العالم ولا خارجه يكون معدوماً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سبحانه فوق أن يكون جسماً أو جسمانياً، وأنّ سنخ وجوده أعلى وأنبل من أن يكون مادّة أو مادّياً، جوهراً أو عرضاً، أو ينال حقيقته العقل، فمثل هذا أعلى من أن يوصف بأنّه في خارج العالم أو داخل العالم، إذ الخارج والداخل ظرف للأُمور الجسمية، وما هو غير مماثل له فلا يوصف بالداخل ولا بالخارج</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الرجل يصرّح بأنّ جعفر بن محمد عليهما السلام من أئمة الدين،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استفاض عن جعفر الصادق أنّه سئل عن القرآن أخالق هو أم مخلوق‌؟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بخالق ولا مخلوق، ولكنّه كلام اللّه، وهذا ممّا اقتدى به الإمام أحمد في المحنة،</w:t>
      </w:r>
    </w:p>
    <w:p>
      <w:pPr>
        <w:pStyle w:val="BookText"/>
        <w:rPr/>
      </w:pPr>
      <w:r>
        <w:rPr>
          <w:rFonts w:ascii="Amiri" w:hAnsi="Amiri" w:eastAsia="Amiri" w:cs="Amiri"/>
          <w:color w:val="111111"/>
          <w:sz w:val="28"/>
          <w:sz w:val="28"/>
          <w:szCs w:val="28"/>
          <w:rtl w:val="true"/>
          <w:lang w:bidi="ar-SA"/>
        </w:rPr>
        <w:t>فإنّ جعفر بن محمد من أئمة الدين باتّفاق أهل السنّة</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فإذا كانت هذه مكانة الإمام الصادق عليه السلام فهو وآباؤه الأقدمون بدأ من علي عليه السلام إلى أن ينتهي بأبيه الباقر عليه السلام كلّهم من أئمة الدين، فلماذا لم يرجع إلى شيء من أحاديثهم حول تنزيهه سبحانه عن المكان والجهة‌؟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خطب الإمام علي عليه السلام وأحاديث العترة، وهي واضحة في تنزيه اللّه سبحانه عن شوائب المادّة والمادّيات وعن الجهة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لا يبلغ مدحته القائلون، ولا يحصي نعماؤه العادّون، ولا يؤدّي حقّه المجتهدون، الذي لا يدركه بُعد الهمم، ولا يناله غوص الفطن، الذي ليس لصفته حدّ محدود، ولا نعت موجود، ولا وقت معدود، ولا أجل ممدود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وصف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بصفة زائدة على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قرنه، ومن قرنه فقد ثنّاه، ومن ثنّاه فقد جزّأه، ومن جزّأه فقد جهله، ومن جهله فقد أشار إليه، ومن أشار إليه فقد حدّه، ومن حدّه فقد عدّه،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فقد ضمّه،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فقد أخلى منه، كائن لا عن حدث، موجود لا عن عدم، مع كلّ شيء لا بمقارنة، وغير كلّ شيء لا بمزايلة</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موسى بن جعفر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كان لم يزل بلا زمان ولا مكان وهو الآن كما كان، لا يخلو منه مكان، ولا يشغل به مكان، ولا يحلّ في مكان، ما يكون من نجوى ثلاثة إلّاهو رابعهم، ولا خمسة إلّاهو سادسهم، ولا أدنى من ذلك ولا أكثر إلّاهو معهم أينما كانوا ليس بينه وبين خلقه حجاب غير خلقه، احتجب بغير حجاب محجوب، واستتر بغير ستر مستور، لا إله إلّاهو الكبير المتعال</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وفي النهاية أنّ الرجل متأثر بالأحاديث التي أدخلتها مستسلمة أهل الكتاب في الأحاديث الإسلامية وأنت تقرأ كثيراً منها في توحيد ابن خزيمة وابن مندة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بالذكر، أنّ ابن تيمية كأنّه يسلم بأنّ كثيراً من هذه الأحاديث يوافق التوراة، ولكن بما أنّ النبي صلى الله عليه و آله لم يردّه فيكون دليلاً عنده على صحة غير المردود،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المشركين من العرب لم تكن تنازع فيه كما كانت تنازع في المعاد، مع أنّ التوراة مملوءة من ذلك ولم ينكره الرسول صلى الله عليه و آله على اليهود كما أنكر عليهم ما حرّفوه وما وصفوا به الرب من النقائص،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فَقِيرٌ وَ نَحْنُ أَغْنِياءُ‌</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أنّ التوراة مملوءة بإثبات الصفات التي تسمّيها النفاة تجسيماً، ومع ذلك فلم ينكر رسول اللّه ولا أصحابه على اليهود شيئاً من ذلك ولا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تجسّمون</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وكفى في ردّ ما يخبره الأحبار في باب المعارف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أي ما وصفوه حق وصفه وما عرفوه حق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موقف القرآن من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أغلب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النفي حيث يصرّح في غير واحد من آياته بأنّها محرّفة وكذلك يصفها بأنّها أمنية، قال سبحانه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أَيْدِيهِمْ وَ وَيْلٌ لَهُمْ مِمّا يَكْسِبُونَ‌</w:t>
      </w:r>
      <w:r>
        <w:rPr>
          <w:rFonts w:eastAsia="Amiri" w:cs="Amiri" w:ascii="Amiri" w:hAnsi="Amiri"/>
          <w:color w:val="111111"/>
          <w:sz w:val="28"/>
          <w:szCs w:val="28"/>
          <w:rtl w:val="true"/>
          <w:lang w:bidi="ar-SA"/>
        </w:rPr>
        <w:t>)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فالآية صريحة في أنّ الأحبار كانوا يكتبون الكتاب بأيديهم ثم يقولون هذا من عند اللّه، وأنّهم يتكسّبون بفعلهم هذا، وليس هذا الكتاب المزوّر إلّاالتوراة المحرّفة، وكذلك ما يوصف بالكتب السماويّة الواردة في العهدين، وهذا المقدار كافٍ في عدم جواز الاعتماد على ما ورد في الكتب الموصوفة بالسماوية في باب المعارف خصوصاً ما يرجع إلى صفات اللّه سبحانه من التجسيم والتشبيه والحركة والنزول، والتمكّن من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نعتمد على كتاب وصف بكونه ممّا أُنزل على موسى وهو يذكر مصارعة الرب مع يعقوب إلى نهاية الفجر في خيمته‌؟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في تلك الليلة وأخذ امرأتيه وجاريتيه وأولاده الأحد عشر، وعبر مخاضة يبوق، أخذهم وأجازهم الوادي وأجاز ما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يعقوب وحده، وصارعه إنسانٌ حتى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رأى أنّه لا يقدر عليه ضرب حُقّ فخذه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فانخلع حُقّ فخذ يعقوب في مصارعته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أطلقني لأنّه قد طلع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أطلقك إن لم تباركني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يُدعى اسمك في ما بعد يعقوب بل إسرائيل</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هذه هي التوراة التي كتبتها أيدي الأحبار، ليتكسّبوا بها في الدنيا وهي مليئة بنزول الرب وحركته وجسمانيته، وغير ذلك ممّا لا يليق أن يكتب ويسطّر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افتخر أحد المحاضرين في قناة المستقلة، بأنّ ابن تيمية حلّ مشكلة تدور في أذهان الإلهيين، وهي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لا في داخل العالم ولا في خارجه، وعندئذٍ يطرح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لا في داخل العالم ولا في خارجه، فكيف يكون موجوداً؟ فقد حلّ ابن تيمية المشكلة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على عرشه خارج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تطرّق له المحاضر في تلك القناة الفضائية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أنّه غفل عن أنّ السؤال عن مكان اللّه سبحانه وأنّه هل هو في هذا العالم</w:t>
      </w:r>
    </w:p>
    <w:p>
      <w:pPr>
        <w:pStyle w:val="BookText"/>
        <w:rPr/>
      </w:pPr>
      <w:r>
        <w:rPr>
          <w:rFonts w:ascii="Amiri" w:hAnsi="Amiri" w:eastAsia="Amiri" w:cs="Amiri"/>
          <w:color w:val="111111"/>
          <w:sz w:val="28"/>
          <w:sz w:val="28"/>
          <w:szCs w:val="28"/>
          <w:rtl w:val="true"/>
          <w:lang w:bidi="ar-SA"/>
        </w:rPr>
        <w:t>أو خارجه، يساوق تسليم كونه جسماً متحيّزاً، ومن المعلوم أنّ المتحيّز لا يفارق الحيّز، فلابد أن يكون له مكان وهو إمّا داخل العالم أو خارجه، وهذا يكشف عن أنّهم لم يعرفوا اللّه حق قدره، وصوّروه موجوداً مادّياً، فطلبوا مكاناً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وزعموا أنّه إذا لم يكن داخل العالم فهو في خارج العالم وليس هو إلّافوق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البارئ سبحانه بما أنّه ليس كمثله شيء ليس جسماً ولا جسمانياً، فلا معنى أن نطلب له مكاناً داخل العالم أو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خارج العالم إذا لم يكن أمراً مادّياً فهو مساوق عند المحاضر للعدم، فيعود السؤال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موجوداً في عالم معدوم‌؟</w:t>
      </w:r>
    </w:p>
    <w:p>
      <w:pPr>
        <w:pStyle w:val="BookText"/>
        <w:rPr/>
      </w:pPr>
      <w:r>
        <w:rPr>
          <w:rFonts w:ascii="Amiri" w:hAnsi="Amiri" w:eastAsia="Amiri" w:cs="Amiri"/>
          <w:color w:val="111111"/>
          <w:sz w:val="28"/>
          <w:sz w:val="28"/>
          <w:szCs w:val="28"/>
          <w:rtl w:val="true"/>
          <w:lang w:bidi="ar-SA"/>
        </w:rPr>
        <w:t>ثم أين كان سبحانه قبل أن يخلق هذا العالم‌؟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هذا العالم،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الخارج لا يتصور إلّامع وجود الداخل، والمفروض أنّه لم يخلق الداخل حتى يتصور له خارج، ويكون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وحقيقة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في أنّه سبحانه في داخل هذا العالم أو خارجه أو ليس فيهما، كلّ ذلك مبني على تصويره سبحانه موجوداً مادّياً، فيتطلب أنّه إمّا في داخل العالم أو خارجه لا في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بأنّ وجوده أرفع من أن يحيطه مكان أو يحدّه زمان، فهو قد خلقهما، فعندئذٍ يسقط السؤال عن مكانه في داخل العالم أو خارجه أو لا هذا ولا ذاك، بل هو موجود قيّوم قائم بنفسه والكون قائم به نظير قيام الصور العلمية بالنفس، وعندئذٍ فهو في نفس العالم لكن لا بالحلول والممازجة وفي خارج هذا العالم لكن لا بالمباينة، فلا يمكن للإنسان الغور في كنه وجوده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 يا أُعجوبة الكو ن غدا الفكر كليلاً</w:t>
      </w:r>
    </w:p>
    <w:p>
      <w:pPr>
        <w:pStyle w:val="BookText"/>
        <w:rPr/>
      </w:pPr>
      <w:r>
        <w:rPr>
          <w:rFonts w:ascii="Amiri" w:hAnsi="Amiri" w:eastAsia="Amiri" w:cs="Amiri"/>
          <w:color w:val="111111"/>
          <w:sz w:val="28"/>
          <w:sz w:val="28"/>
          <w:szCs w:val="28"/>
          <w:rtl w:val="true"/>
          <w:lang w:bidi="ar-SA"/>
        </w:rPr>
        <w:t>كلّما قدم فكري في‍ ك شبراً فرّ ميلاً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تقف على قيمة كلام ابن تيمية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أحد من سلف الأُمّة ولا من الصحابة والتابعين إنّ اللّه ليس في السماء، ولا إنّه ليس على العرش، ولا إنّه في كل مكان، ولا إنّ جميع الأمكنة بالنسبة إليه سواء، ولا إنّه داخل العالم ولا</w:t>
      </w:r>
      <w:bookmarkStart w:id="64" w:name="pg16768_165196"/>
    </w:p>
    <w:p>
      <w:pPr>
        <w:pStyle w:val="BookText"/>
        <w:rPr/>
      </w:pPr>
      <w:bookmarkEnd w:id="64"/>
      <w:r>
        <w:rPr>
          <w:rFonts w:ascii="Amiri" w:hAnsi="Amiri" w:eastAsia="Amiri" w:cs="Amiri"/>
          <w:color w:val="111111"/>
          <w:sz w:val="28"/>
          <w:sz w:val="28"/>
          <w:szCs w:val="28"/>
          <w:rtl w:val="true"/>
          <w:lang w:bidi="ar-SA"/>
        </w:rPr>
        <w:t>خارجه، ولا متصل ولا منفصل، ولا إنّه لا تجوز الإشارة الحسيّة إليه بالأصابع ونحوها</w:t>
      </w:r>
      <w:r>
        <w:rPr>
          <w:rFonts w:eastAsia="Amiri" w:cs="Amiri" w:ascii="Amiri" w:hAnsi="Amiri"/>
          <w:color w:val="111111"/>
          <w:sz w:val="28"/>
          <w:szCs w:val="28"/>
          <w:rtl w:val="true"/>
          <w:lang w:bidi="ar-SA"/>
        </w:rPr>
        <w:t>.</w:t>
      </w:r>
      <w:r>
        <w:rPr>
          <w:rStyle w:val="FootnoteAnchor"/>
          <w:rtl w:val="true"/>
        </w:rPr>
        <w:footnoteReference w:id="90"/>
      </w:r>
    </w:p>
    <w:p>
      <w:pPr>
        <w:pStyle w:val="Heading4"/>
        <w:numPr>
          <w:ilvl w:val="3"/>
          <w:numId w:val="1"/>
        </w:numPr>
        <w:rPr/>
      </w:pPr>
      <w:bookmarkStart w:id="65" w:name="__RefHeading___Toc6863436_73709187"/>
      <w:bookmarkStart w:id="66" w:name="_Toc25"/>
      <w:bookmarkEnd w:id="65"/>
      <w:r>
        <w:rPr>
          <w:rtl w:val="true"/>
        </w:rPr>
        <w:t>أخبار الآحاد هي المصدر عنده للعقائد</w:t>
      </w:r>
      <w:bookmarkEnd w:id="66"/>
    </w:p>
    <w:p>
      <w:pPr>
        <w:pStyle w:val="BookText"/>
        <w:rPr/>
      </w:pPr>
      <w:r>
        <w:rPr>
          <w:rFonts w:ascii="Amiri" w:hAnsi="Amiri" w:eastAsia="Amiri" w:cs="Amiri"/>
          <w:color w:val="111111"/>
          <w:sz w:val="28"/>
          <w:sz w:val="28"/>
          <w:szCs w:val="28"/>
          <w:rtl w:val="true"/>
          <w:lang w:bidi="ar-SA"/>
        </w:rPr>
        <w:t>إنّ جذور فكرة التجسيم والتشبيه التي استولت على فكر ابن تيمية ومقلّديه في العصر الحاضر هي أنّهم يعتمدون في الأُصول والفروع على أخبار الآحاد، وقد انعقد مؤتمر قبل سنين في المدينة المنوّرة وكان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حجّية أخبار الآحاد في الأُصول والفروع، وقد قُدّم إلى المؤتمر حوالي ثمانين مقالاً كلّها تؤيد حجّية خبر الآحاد في الأُصول، ولم يدر في خلد واحد منهم، أنّ المقصود الأسنى في العقائد هو تحصيل اليقين، ومن المعلوم أنّ أخبار الآحاد لا توجب علماً ولا يقيناً، نعم هي حجّة في باب الفروع لأنّ المقصود فيها هو تطبيق العمل على مضمون الخبر، سواء أفاد يقيناً أو ظناً أولا هذا ولا ذاك، وهو أمر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أخبار الآحاد التي يعتمد عليها هؤلاء في الأُصول والمعارف أكثرها مدسوسة وموضوعة من قبل مستسلمة أهل الكتاب أو الوضّاعين والكذّابين الذين كانوا يتاجرون بوضع الأحاديث، وقد أدخلوها في الأحاديث الإسلامية ونشروها بين المحدّثين واغترّ بها السذّج منهم، فتصوّروها حقائق راهنة، وحيكت الأسانيد بشكل لا يظهر تدخل الأحبار والرهبان في وضع هذه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ودوّنها أصحاب الصحاح والسنن وجمعها ابن خزيمة وابن مندّة في كتابيهما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المجسّمة الذين يصورون اللّه تعالى أنّه في السماء ينظر إلى ما دونه من الخلائق يستدلّون بحديث الجارية، على ما رواه مسلم في صحيحه، التي سألها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لسيدها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اعتقها فإنّها مؤمنة</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إنّ الاحتجاج بهذه الرواية مشكل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السيرة المستمرة لرسول اللّه صلى الله عليه و آله في دعوته الناس للإسلام هو أخذ الاعتراف بالشهادتين، ولم يرد أنّه سأل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هذه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ومكانه وصفاته، فلماذا خُصّت هذه الجارية التي كانت بعيدة عن الإسلام، بهذا السؤال المشكل‌؟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رويت بشكل آخر أيضاً، فهذا هو مالك يرويها في الموطّأ بالشكل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أتشهدين أن لا إله إلّااللّه‌؟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أتشهدين أنّي رسول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ورواها أحمد بالنحو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الأنصار بأمة سوداء،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رقبة مؤمنة، فإن كنت ترى هذه مؤمنة فاعتقها، فقال لها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أتشهدين أن لا إله إلّااللّه‌؟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أتشهدين أنّي رسول اللّه‌؟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تؤمنين بالبعث بعد الموت‌؟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اعتقها</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وللعلّامة كمال الدين أحمد البياضي الحنفي كلام حول هذه الرواية نذكر عصارته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مأوّل لمخالفته القواطع العقليات والنقليات، إذ لا يُتجاوز عن الظاهر إلّا لضرورة، فإنّ حجج اللّه تعالى تتعاضد ولا تتضاد،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أعجمية لا تقدر أن تفصح عمّا في ضميرها من اعتقاد التوحيد بالعبارة فتعرف بالإشارة أنّ معبودها إله السماء، فإنّهم كانوا يسمّون اللّه إله السماء، كما دلّ السؤال والاكتفاء بتلك الإشارة</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يسقط الاستدلال بظاهر حديث الجارية على كونه سبحانه في السماء</w:t>
      </w:r>
      <w:r>
        <w:rPr>
          <w:rFonts w:eastAsia="Amiri" w:cs="Amiri" w:ascii="Amiri" w:hAnsi="Amiri"/>
          <w:color w:val="111111"/>
          <w:sz w:val="28"/>
          <w:szCs w:val="28"/>
          <w:rtl w:val="true"/>
          <w:lang w:bidi="ar-SA"/>
        </w:rPr>
        <w:t>.</w:t>
      </w:r>
      <w:bookmarkStart w:id="67" w:name="pg16768_165198"/>
    </w:p>
    <w:p>
      <w:pPr>
        <w:pStyle w:val="BookText"/>
        <w:rPr/>
      </w:pPr>
      <w:bookmarkEnd w:id="67"/>
      <w:r>
        <w:rPr>
          <w:rFonts w:ascii="Amiri" w:hAnsi="Amiri" w:eastAsia="Amiri" w:cs="Amiri"/>
          <w:color w:val="111111"/>
          <w:sz w:val="28"/>
          <w:sz w:val="28"/>
          <w:szCs w:val="28"/>
          <w:rtl w:val="true"/>
          <w:lang w:bidi="ar-SA"/>
        </w:rPr>
        <w:t xml:space="preserve">والعجب أنّ ابن تيمية كلّما يذكر شيئاً ممّا يدلّ على التجسيم والتشبيه والحركة والنزول ينسبه إلى السلف قاطبة، وكأنّ السلف عنده يتلخّص في مبتدعة السلفيين وأمّا الآخرون فكأنّهم ليسوا من الأُمّة ولا من سلفهم، حتى أنّه يرمي المفكّرين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كإمام الحرمين والغزالي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كتابيه منهاج السنة والموافقة بأنّهما أشد كفراً من 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هؤلاء المفكرون أشد كفراً من أهل الكتاب فعلى الإسلام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فيما يستند إليه المجسّمة وهو أنّ كل إنسان يتوجّه إلى السماء حين الدعاء ويرفع إليها يديه، وكأنّ الإنسان بالفطرة قائل بأنّ اللّه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الإجابة عن ذلك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أنّ الخيرات والبركات تنزل من السماء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السَّماءِ رِزْقُكُمْ وَ ما تُوعَدُونَ‌</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فلأجل ذلك يتوجّه إلى السماء وترفع الأيدي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بهذا العمل يجسّد علو مقامه سبحانه ورفعته</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6863438_73709187"/>
      <w:bookmarkStart w:id="69" w:name="_Toc26"/>
      <w:bookmarkEnd w:id="68"/>
      <w:r>
        <w:rPr>
          <w:rtl w:val="true"/>
        </w:rPr>
        <w:t>ابن تيمية وجلوسه سبحانه على العرش</w:t>
      </w:r>
      <w:bookmarkEnd w:id="69"/>
    </w:p>
    <w:p>
      <w:pPr>
        <w:pStyle w:val="BookText"/>
        <w:rPr/>
      </w:pPr>
      <w:r>
        <w:rPr>
          <w:rFonts w:ascii="Amiri" w:hAnsi="Amiri" w:eastAsia="Amiri" w:cs="Amiri"/>
          <w:color w:val="111111"/>
          <w:sz w:val="28"/>
          <w:sz w:val="28"/>
          <w:szCs w:val="28"/>
          <w:rtl w:val="true"/>
          <w:lang w:bidi="ar-SA"/>
        </w:rPr>
        <w:t>لا شكّ أنّ الجلوس والقعود من صفات الإنسان أو الموجود الحيّ‌، من غير فرق بين أن يكون الجلوس تربعاً، أو على ركبتيه، وهذا كالتحيّز، من صفات المادّة والمادّي، والموجود المنزّه عنهما لا يوصف بالجلوس</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فإنّ جلوس اللّه ينسبه ابن تيمية إلى أهل السنّة حيث قال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الاستواء من اللّه على عرشه المجيد على الحقيقة، لا على المجاز</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وقال في كتابه بيان تلبيس 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العرش في اللغة السرير بالنسبة إلى ما فوقه، وكالسقف إلى ما تحته، فإذا كان القرآن قد جعل للّه عرشاً، وليس هو بالنسبة إليه كالسقف، عُلم أنّه بالنسبة إليه كالسرير بالنسبة إلى غيره، وذلك يقتضي أنّه فوق العرش</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ولا أدري إذا كان اللّه سبحانه جالساً على السرير ينزل ويصعد، فما معنى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إنّه عندئذٍ أصبح ذا أمثال كثيرة وعديدة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جمع ابن قيّم الجوزيّة آراء أُستاذه ابن تيمية في قصيدته النونية، المليئة بالتجسيم، وأنّ اللّه بزعمه فوق سماواته، على عرشه، وأنّه ينزل ويهبط ويصعد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بعض أبيات قصيدته هذه التي أخذ فيها يستهزأ بعقيدة التنزيه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فأسرّ قول معطل ومكذب في قالب التنزيه للرحمن</w:t>
      </w:r>
    </w:p>
    <w:p>
      <w:pPr>
        <w:pStyle w:val="BookText"/>
        <w:rPr/>
      </w:pPr>
      <w:r>
        <w:rPr>
          <w:rFonts w:ascii="Amiri" w:hAnsi="Amiri" w:eastAsia="Amiri" w:cs="Amiri"/>
          <w:color w:val="111111"/>
          <w:sz w:val="28"/>
          <w:sz w:val="28"/>
          <w:szCs w:val="28"/>
          <w:rtl w:val="true"/>
          <w:lang w:bidi="ar-SA"/>
        </w:rPr>
        <w:t>إذ قال ليس بداخل فينا ولا هو خارج عن جملة الأكوان</w:t>
      </w:r>
    </w:p>
    <w:p>
      <w:pPr>
        <w:pStyle w:val="BookText"/>
        <w:rPr/>
      </w:pPr>
      <w:r>
        <w:rPr>
          <w:rFonts w:ascii="Amiri" w:hAnsi="Amiri" w:eastAsia="Amiri" w:cs="Amiri"/>
          <w:color w:val="111111"/>
          <w:sz w:val="28"/>
          <w:sz w:val="28"/>
          <w:szCs w:val="28"/>
          <w:rtl w:val="true"/>
          <w:lang w:bidi="ar-SA"/>
        </w:rPr>
        <w:t>بل قال ليس ببائن عنها ولا فيها ولا هو عينها ببيان</w:t>
      </w:r>
    </w:p>
    <w:p>
      <w:pPr>
        <w:pStyle w:val="BookText"/>
        <w:rPr/>
      </w:pPr>
      <w:r>
        <w:rPr>
          <w:rFonts w:ascii="Amiri" w:hAnsi="Amiri" w:eastAsia="Amiri" w:cs="Amiri"/>
          <w:color w:val="111111"/>
          <w:sz w:val="28"/>
          <w:sz w:val="28"/>
          <w:szCs w:val="28"/>
          <w:rtl w:val="true"/>
          <w:lang w:bidi="ar-SA"/>
        </w:rPr>
        <w:t>كلا ولا فوق السماوات العُلى والعرش من رب ولا رحمان</w:t>
      </w:r>
    </w:p>
    <w:p>
      <w:pPr>
        <w:pStyle w:val="BookText"/>
        <w:rPr/>
      </w:pPr>
      <w:r>
        <w:rPr>
          <w:rFonts w:ascii="Amiri" w:hAnsi="Amiri" w:eastAsia="Amiri" w:cs="Amiri"/>
          <w:color w:val="111111"/>
          <w:sz w:val="28"/>
          <w:sz w:val="28"/>
          <w:szCs w:val="28"/>
          <w:rtl w:val="true"/>
          <w:lang w:bidi="ar-SA"/>
        </w:rPr>
        <w:t>بل حظه من ربه حظ الثرى منه وحظ قواعد البنيان</w:t>
      </w:r>
    </w:p>
    <w:p>
      <w:pPr>
        <w:pStyle w:val="BookText"/>
        <w:rPr/>
      </w:pPr>
      <w:r>
        <w:rPr>
          <w:rFonts w:ascii="Amiri" w:hAnsi="Amiri" w:eastAsia="Amiri" w:cs="Amiri"/>
          <w:color w:val="111111"/>
          <w:sz w:val="28"/>
          <w:sz w:val="28"/>
          <w:szCs w:val="28"/>
          <w:rtl w:val="true"/>
          <w:lang w:bidi="ar-SA"/>
        </w:rPr>
        <w:t>لو كان فوق العرش كان كهذه أجسام سبحان العظيم الشأن</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ترى أنّه كيف يستهزأ بعقائد المسلمين في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فسّر المجسّمة المقام المحمود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بإقعاد النبي صلى الله عليه و آله على العرش في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نسب ابن القيّم لابي الحسن الدارقطني الأبيات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الشفاعة عن أحمد إلى أحمد المصطفى نسنده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حديث بإقعاده على العرش أيضاً فلا نجحده</w:t>
      </w:r>
    </w:p>
    <w:p>
      <w:pPr>
        <w:pStyle w:val="BookText"/>
        <w:rPr/>
      </w:pPr>
      <w:r>
        <w:rPr>
          <w:rFonts w:ascii="Amiri" w:hAnsi="Amiri" w:eastAsia="Amiri" w:cs="Amiri"/>
          <w:color w:val="111111"/>
          <w:sz w:val="28"/>
          <w:sz w:val="28"/>
          <w:szCs w:val="28"/>
          <w:rtl w:val="true"/>
          <w:lang w:bidi="ar-SA"/>
        </w:rPr>
        <w:t>أمروا الحديث على وجهه ولا تدخلوا فيه ما يفسده</w:t>
      </w:r>
    </w:p>
    <w:p>
      <w:pPr>
        <w:pStyle w:val="BookText"/>
        <w:rPr/>
      </w:pPr>
      <w:r>
        <w:rPr>
          <w:rFonts w:ascii="Amiri" w:hAnsi="Amiri" w:eastAsia="Amiri" w:cs="Amiri"/>
          <w:color w:val="111111"/>
          <w:sz w:val="28"/>
          <w:sz w:val="28"/>
          <w:szCs w:val="28"/>
          <w:rtl w:val="true"/>
          <w:lang w:bidi="ar-SA"/>
        </w:rPr>
        <w:t>ولا تنكروا أنّه قاعد ولا تنكروا أنّه يقعده</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فالنبي الأكرم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جنب اللّه وهو في عرشه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وسيوافيك الكلام فيه في المقال الخامس</w:t>
      </w:r>
      <w:r>
        <w:rPr>
          <w:rStyle w:val="FootnoteAnchor"/>
          <w:rtl w:val="true"/>
        </w:rPr>
        <w:footnoteReference w:id="102"/>
      </w:r>
      <w:r>
        <w:rPr>
          <w:rFonts w:ascii="IRNazanin" w:hAnsi="IRNazanin" w:eastAsia="IRNazanin"/>
          <w:color w:val="111111"/>
          <w:sz w:val="28"/>
          <w:sz w:val="28"/>
          <w:szCs w:val="28"/>
          <w:rtl w:val="true"/>
          <w:lang w:bidi="fa-IR"/>
        </w:rPr>
        <w:t>، فانتظر</w:t>
      </w:r>
      <w:r>
        <w:rPr>
          <w:rFonts w:eastAsia="IRNazanin" w:cs="IRNazanin"/>
          <w:color w:val="111111"/>
          <w:sz w:val="28"/>
          <w:szCs w:val="28"/>
          <w:rtl w:val="true"/>
          <w:lang w:bidi="fa-IR"/>
        </w:rPr>
        <w:t>.</w:t>
      </w:r>
      <w:bookmarkStart w:id="70" w:name="pg16768_165201"/>
    </w:p>
    <w:p>
      <w:pPr>
        <w:pStyle w:val="Heading3"/>
        <w:numPr>
          <w:ilvl w:val="2"/>
          <w:numId w:val="1"/>
        </w:numPr>
        <w:rPr/>
      </w:pPr>
      <w:bookmarkStart w:id="71" w:name="__RefHeading___Toc6863440_73709187"/>
      <w:bookmarkStart w:id="72" w:name="_Toc27"/>
      <w:bookmarkEnd w:id="70"/>
      <w:bookmarkEnd w:id="71"/>
      <w:r>
        <w:rPr/>
        <w:t>4</w:t>
      </w:r>
      <w:r>
        <w:rPr>
          <w:rtl w:val="true"/>
        </w:rPr>
        <w:t xml:space="preserve"> </w:t>
      </w:r>
      <w:r>
        <w:rPr>
          <w:rtl w:val="true"/>
        </w:rPr>
        <w:t>نظرة إلى تكلّمه سبحانه في منهج ابن تيمية</w:t>
      </w:r>
      <w:bookmarkEnd w:id="72"/>
    </w:p>
    <w:p>
      <w:pPr>
        <w:pStyle w:val="Heading4"/>
        <w:numPr>
          <w:ilvl w:val="3"/>
          <w:numId w:val="1"/>
        </w:numPr>
        <w:rPr/>
      </w:pPr>
      <w:bookmarkStart w:id="73" w:name="__RefHeading___Toc6863442_73709187"/>
      <w:bookmarkStart w:id="74" w:name="_Toc28"/>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 xml:space="preserve">اتّفق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كونه سبحانه متكلّماً، واختلفوا في كيفيّته، ويعدّ وصف التكلّم للّه سبحانه من الصفات الخبريّة حيث أخبر عنه سبحانه في الذكر الحكيم ولولاه لما صحّ لنا وصفه به لأنّ أسماءه وصفاته توقيفية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كَلَّمَ اللّهُ مُوسى تَكْلِيماً</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لِبَشَرٍ أَنْ يُكَلِّمَهُ اللّهُ إِلاّ وَحْياً أَوْ مِنْ وَراءِ حِجابٍ أَوْ يُرْسِلَ رَسُولاً فَيُوحِيَ بِإِذْنِهِ ما يَشاءُ إِنَّهُ عَلِيٌّ حَكِيمٌ‌</w:t>
      </w:r>
      <w:r>
        <w:rPr>
          <w:rFonts w:eastAsia="Amiri" w:cs="Amiri" w:ascii="Amiri" w:hAnsi="Amiri"/>
          <w:color w:val="111111"/>
          <w:sz w:val="28"/>
          <w:szCs w:val="28"/>
          <w:rtl w:val="true"/>
          <w:lang w:bidi="ar-SA"/>
        </w:rPr>
        <w:t>)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إنّما الكلام في تفسير حقيقة تكلّمه سبحانه فهناك أقوال للمسلمين مع اتّفاقهم على تنزيهه سبحانه عن كونه متكلّماً بحرف وصوت، قائمين بذاته كتكلّم الإنسان بهما، وإليك النظريات المعروفة</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6863444_73709187"/>
      <w:bookmarkStart w:id="76" w:name="_Toc29"/>
      <w:bookmarkEnd w:id="75"/>
      <w:r>
        <w:rPr>
          <w:rtl w:val="true"/>
        </w:rPr>
        <w:t>نظرية المعتزلة</w:t>
      </w:r>
      <w:bookmarkEnd w:id="7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ذهبت المعتزلة إلى أنّ كلامه تعالى أصوات وحروف ليست قائمة بذاته تعالى، بل يخلقها في غيره، وتكلّمه في الحقيقة من صفات الفعل لا من صفات الذات نظير كونه رازقاً ومنعماً</w:t>
      </w:r>
      <w:r>
        <w:rPr>
          <w:rFonts w:eastAsia="Amiri" w:cs="Amiri" w:ascii="Amiri" w:hAnsi="Amiri"/>
          <w:color w:val="111111"/>
          <w:sz w:val="28"/>
          <w:szCs w:val="28"/>
          <w:rtl w:val="true"/>
          <w:lang w:bidi="ar-SA"/>
        </w:rPr>
        <w:t>.</w:t>
      </w:r>
      <w:bookmarkStart w:id="77" w:name="pg16768_165202"/>
    </w:p>
    <w:p>
      <w:pPr>
        <w:pStyle w:val="BookText"/>
        <w:rPr/>
      </w:pPr>
      <w:bookmarkEnd w:id="77"/>
      <w:r>
        <w:rPr>
          <w:rFonts w:ascii="Amiri" w:hAnsi="Amiri" w:eastAsia="Amiri" w:cs="Amiri"/>
          <w:color w:val="111111"/>
          <w:sz w:val="28"/>
          <w:sz w:val="28"/>
          <w:szCs w:val="28"/>
          <w:rtl w:val="true"/>
          <w:lang w:bidi="ar-SA"/>
        </w:rPr>
        <w:t>قال القاضي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الكلام هي الحروف المنظومة والأصوات المقطّعة، وهذا كما يكون سبحانه منعماً بنعمة توجد في غيره ورازقاً برزق يوجد في غيره، وهكذا يكون متكلّماً بإيجاد الكلام في غيره، وليس من شرط الفاعل أن يحلّ عليه الفعل</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هذه النظرية وإن كانت صحيحة لكنّها إنّما تتمّ إذا كان المخاطب شخصاً خاصّاً كتكليمه موسى أو تكليمه أحداً من الأنبياء بالطرق الثلاثة حيث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وَحْياً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وَراءِ حِجابٍ‌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يُرْسِلَ رَسُولاً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إذا كان المخاطب عموم الناس من الأوّلين والآخرين، فلابدّ أن يفسّر بوجه آخر وهو أنّ كلامه هو الفعل المنبئ عن جماله، المظهر لكماله، كما سيوافيك</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6863446_73709187"/>
      <w:bookmarkStart w:id="79" w:name="_Toc30"/>
      <w:bookmarkEnd w:id="78"/>
      <w:r>
        <w:rPr>
          <w:rtl w:val="true"/>
        </w:rPr>
        <w:t>نظرية الأشاعرة</w:t>
      </w:r>
      <w:bookmarkEnd w:id="79"/>
    </w:p>
    <w:p>
      <w:pPr>
        <w:pStyle w:val="BookText"/>
        <w:rPr/>
      </w:pPr>
      <w:r>
        <w:rPr>
          <w:rFonts w:ascii="Amiri" w:hAnsi="Amiri" w:eastAsia="Amiri" w:cs="Amiri"/>
          <w:color w:val="111111"/>
          <w:sz w:val="28"/>
          <w:sz w:val="28"/>
          <w:szCs w:val="28"/>
          <w:rtl w:val="true"/>
          <w:lang w:bidi="ar-SA"/>
        </w:rPr>
        <w:t>ذهبت الأشاعرة إلى أنّ التكلّم من الصفات الذاتية كالعلم والقدرة، هذا من جانب ومن جانب آخر صاروا بصدد تنزيهه سبحانه عن قيام الأصوات والحروف بذاته، فاختاروا هنا مذهباً باسم الكلام النفسي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العلم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أبو الحسن الأشعري إلى أنّ حقيقة الكلام معنى قائم بذات المتكلم وإنّما هو القول لذي يجده العاقل في نفسه ويجيله في خلده، وفي تسمية الحروف التي في اللسان كلاماً حقيقياً تردّد، أهو على سبيل الحقيقة أم على سبيل المجاز؟ وإن كان على طريق الحقيقة فإطلاق الكلام عليه وعلى النطق النفسي بالاشتراك اللفظي</w:t>
      </w:r>
      <w:r>
        <w:rPr>
          <w:rFonts w:eastAsia="Amiri" w:cs="Amiri" w:ascii="Amiri" w:hAnsi="Amiri"/>
          <w:color w:val="111111"/>
          <w:sz w:val="28"/>
          <w:szCs w:val="28"/>
          <w:rtl w:val="true"/>
          <w:lang w:bidi="ar-SA"/>
        </w:rPr>
        <w:t>.</w:t>
      </w:r>
      <w:r>
        <w:rPr>
          <w:rStyle w:val="FootnoteAnchor"/>
          <w:rtl w:val="true"/>
        </w:rPr>
        <w:footnoteReference w:id="10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أنّ الأشعري يرى أنّ واقع الكلام ليس قائماً بالحروف والأصوات وأنّ‌</w:t>
      </w:r>
      <w:bookmarkStart w:id="80" w:name="pg16768_165203"/>
    </w:p>
    <w:p>
      <w:pPr>
        <w:pStyle w:val="BookText"/>
        <w:rPr/>
      </w:pPr>
      <w:bookmarkEnd w:id="80"/>
      <w:r>
        <w:rPr>
          <w:rFonts w:ascii="Amiri" w:hAnsi="Amiri" w:eastAsia="Amiri" w:cs="Amiri"/>
          <w:color w:val="111111"/>
          <w:sz w:val="28"/>
          <w:sz w:val="28"/>
          <w:szCs w:val="28"/>
          <w:rtl w:val="true"/>
          <w:lang w:bidi="ar-SA"/>
        </w:rPr>
        <w:t>حقيقته هي المعاني التي يردّدها الإنسان في خلده ويجيله وبهذا المعنى فسّر كلامه سبحانه وأسماه بالكلام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ولسنا في صدد نقد عقيدة الأشعري في المقام، لكن نشير إلى نكتة بأنّ ما ذكره من قيام المعاني والمفاهيم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رجوع وصف التكلّم إلى العلم، إذ ليس للعلم الحصولي حقيقة وراء قيام المفاهيم المتصوّرة بالذات، فلا يكون وصفاً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قيام المفاهيم المجرّدة بذاته سبحانه لا يخلو عن إشكال واضح مبيّن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ذكرنا المذهبين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المعتزلة والأشاعرة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الإشارة إلى أنّ المسلمين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اختلفوا في حقيقة التكلّم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اتفقوا على تنزيهه سبحانه بقيام الحروف والأصوات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المعتزلة فذهبوا إلى إيجاده سبحانه الحروف والأصوات في الشجر وغيره، وامّا الأشاعرة فلم يعيروا لهما قيمة، وإنّما ركّزوا على الكلام النفسي الباطني القائم بالذات</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6863448_73709187"/>
      <w:bookmarkStart w:id="82" w:name="_Toc31"/>
      <w:bookmarkEnd w:id="81"/>
      <w:r>
        <w:rPr>
          <w:rtl w:val="true"/>
        </w:rPr>
        <w:t>نظرية الإمامية</w:t>
      </w:r>
      <w:bookmarkEnd w:id="82"/>
    </w:p>
    <w:p>
      <w:pPr>
        <w:pStyle w:val="BookText"/>
        <w:rPr/>
      </w:pPr>
      <w:r>
        <w:rPr>
          <w:rFonts w:ascii="Amiri" w:hAnsi="Amiri" w:eastAsia="Amiri" w:cs="Amiri"/>
          <w:color w:val="111111"/>
          <w:sz w:val="28"/>
          <w:sz w:val="28"/>
          <w:szCs w:val="28"/>
          <w:rtl w:val="true"/>
          <w:lang w:bidi="ar-SA"/>
        </w:rPr>
        <w:t>إنّ مشاهير الإمامية قسّموا كلامه إلى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إذا كان المخاطب فرداً معيّناً فتكلّمه سبحانه هو ما أشار إليه في سورة الشورى بأنّه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يوحي إليه أو يكلّمه من وراء حجاب أو يرسل رسولاً، فقد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الكلام الملقى في روع الأنبياء بسرعة وخفاء من دون توسيط ملك، وأشار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وَراءِ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الكلام المسموع لموسى في البقعة المباركة من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أَتاها نُودِيَ مِنْ شاطِئِ الْوادِ الْأَيْمَنِ فِي الْبُقْعَةِ الْمُبارَكَةِ مِنَ الشَّجَرَةِ أَنْ يا مُوسى إِنِّي أَنَا اللّهُ رَبُّ‌</w:t>
      </w:r>
    </w:p>
    <w:p>
      <w:pPr>
        <w:pStyle w:val="BookText"/>
        <w:rPr/>
      </w:pP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w:t>
      </w:r>
      <w:r>
        <w:rPr>
          <w:rStyle w:val="FootnoteAnchor"/>
          <w:rtl w:val="true"/>
        </w:rPr>
        <w:footnoteReference w:id="107"/>
      </w:r>
      <w:r>
        <w:rPr>
          <w:rFonts w:ascii="Amiri" w:hAnsi="Amiri" w:eastAsia="Amiri" w:cs="Amiri"/>
          <w:color w:val="111111"/>
          <w:sz w:val="28"/>
          <w:sz w:val="28"/>
          <w:szCs w:val="28"/>
          <w:rtl w:val="true"/>
          <w:lang w:bidi="ar-SA"/>
        </w:rPr>
        <w:t>وأشار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يُرْسِلَ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الإلقاء الذي يتوسط فيه ملك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المخاطب عامّة الناس في عامة الأجيال والأعصار فيفسّر كلامه بصورة أُخرى يسمعه كل الناس سماعاً عقلياً وسماعاً يضفي على الإنسان التعرّف على كمال اللّه سبحانه، وهذا ما سنشرحه تالياً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الكلام في أنظار عامّة الناس هو الحروف والأصوات الصادرة من المتكلم القائمة به وهو يحصل من تموّج الهواء واهتزازه بحيث إذا زالت الأمواج زال الكلام معه، ولكن الإنسان يتوسّع في إطلاقه، فيطلقه على كلّ فعل من أفعال المتكلم إذا أفاد نفس الأثر الذي كان يفيده الكلام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وإن وضع يوم وضع للأصوات والحروف المتتابعة الكاشفة عمّا يقوم في ضمير المتكلم من المعاني إلّاأنّه لو وجد هناك شيء يفيد ما تفيده الأصوات والحروف المتتابعة بنحو أعلى وأتمّ‌، لصحّت تسميته كلاماً أو كلمة وهذا الشيء الذي يمكن أن يقوم مقام الكلام اللفظي هو فعل الفاعل الذي يليق أن يسمّى بالكلام الفعلي، ففعل كل فاعل يكشف عن مدى ما يكتنفه الفاعل من العلم والقدرة والعظمة والكمال، غير أنّ دلالة الألفاظ على السرائر والضمائر وضعية، ودلالة الأفعال والآثار على ما عليه الفاعل من العظمة 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يستدلّ على هذا القسم من الكلام ببعض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لا تَغْلُوا فِي دِينِكُمْ وَ لا تَقُولُوا عَلَى اللّهِ إِلاَّ الْحَقَّ إِنَّمَا الْمَسِيحُ عِيسَى ابْنُ مَرْيَمَ رَسُولُ اللّهِ وَ كَلِمَتُهُ أَلْقاها إِلى مَرْيَمَ وَ رُوحٌ مِنْهُ‌</w:t>
      </w:r>
      <w:r>
        <w:rPr>
          <w:rFonts w:eastAsia="Amiri" w:cs="Amiri" w:ascii="Amiri" w:hAnsi="Amiri"/>
          <w:color w:val="111111"/>
          <w:sz w:val="28"/>
          <w:szCs w:val="28"/>
          <w:rtl w:val="true"/>
          <w:lang w:bidi="ar-SA"/>
        </w:rPr>
        <w:t>) .</w:t>
      </w:r>
      <w:r>
        <w:rPr>
          <w:rStyle w:val="FootnoteAnchor"/>
          <w:rtl w:val="true"/>
        </w:rPr>
        <w:footnoteReference w:id="108"/>
      </w:r>
      <w:r>
        <w:rPr>
          <w:rFonts w:ascii="Amiri" w:hAnsi="Amiri" w:eastAsia="Amiri" w:cs="Amiri"/>
          <w:color w:val="111111"/>
          <w:sz w:val="28"/>
          <w:sz w:val="28"/>
          <w:szCs w:val="28"/>
          <w:rtl w:val="true"/>
          <w:lang w:bidi="ar-SA"/>
        </w:rPr>
        <w:t>ترى أنّه سبحانه يصف المسيح بكونه كلمته، لأنّ تولده بلا لقاح يعرب عن قدرة خالقه، وهكذا كلّ ما في الكون من الذرة إلى المجرّة، فالجميع كلامه ولسانه في مقام الفعل يتكلّم بلسان</w:t>
      </w:r>
      <w:bookmarkStart w:id="83" w:name="pg16768_165205"/>
    </w:p>
    <w:p>
      <w:pPr>
        <w:pStyle w:val="BookText"/>
        <w:rPr/>
      </w:pPr>
      <w:bookmarkEnd w:id="83"/>
      <w:r>
        <w:rPr>
          <w:rFonts w:ascii="Amiri" w:hAnsi="Amiri" w:eastAsia="Amiri" w:cs="Amiri"/>
          <w:color w:val="111111"/>
          <w:sz w:val="28"/>
          <w:sz w:val="28"/>
          <w:szCs w:val="28"/>
          <w:rtl w:val="true"/>
          <w:lang w:bidi="ar-SA"/>
        </w:rPr>
        <w:t>الحال، ويدل على عظمة الخالق وسعة علمه واحاطة قدرته بكلّ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لما أراد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لا بصوت يقرع ولا بنداء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كلامه سبحانه فعل منه، أنشأه ومثّله لم يكن من قبل ذلك كائناً، ولو كان قديماً لكان إلهاً ثانياً</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وقد نسب إليه هذان البيتان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أتزعم أنّك جرم صغير وفيك انطوى العالم الأكبر</w:t>
      </w:r>
    </w:p>
    <w:p>
      <w:pPr>
        <w:pStyle w:val="BookText"/>
        <w:rPr/>
      </w:pPr>
      <w:r>
        <w:rPr>
          <w:rFonts w:ascii="Amiri" w:hAnsi="Amiri" w:eastAsia="Amiri" w:cs="Amiri"/>
          <w:color w:val="111111"/>
          <w:sz w:val="28"/>
          <w:sz w:val="28"/>
          <w:szCs w:val="28"/>
          <w:rtl w:val="true"/>
          <w:lang w:bidi="ar-SA"/>
        </w:rPr>
        <w:t>وأنت الكتاب المبين الذي بأحرفه يظهر المضمر</w:t>
      </w:r>
    </w:p>
    <w:p>
      <w:pPr>
        <w:pStyle w:val="BookText"/>
        <w:rPr/>
      </w:pPr>
      <w:r>
        <w:rPr>
          <w:rFonts w:ascii="Amiri" w:hAnsi="Amiri" w:eastAsia="Amiri" w:cs="Amiri"/>
          <w:color w:val="111111"/>
          <w:sz w:val="28"/>
          <w:sz w:val="28"/>
          <w:szCs w:val="28"/>
          <w:rtl w:val="true"/>
          <w:lang w:bidi="ar-SA"/>
        </w:rPr>
        <w:t>فكلّ ما في صحيفة الكون من الموجودات الإمكانية كلماته، وتخبر عمّا في المبدأ من كمال وجمال وعلم وقدرة</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6863450_73709187"/>
      <w:bookmarkStart w:id="85" w:name="_Toc32"/>
      <w:bookmarkEnd w:id="84"/>
      <w:r>
        <w:rPr>
          <w:rtl w:val="true"/>
        </w:rPr>
        <w:t>نظرية ابن تيمية</w:t>
      </w:r>
      <w:bookmarkEnd w:id="85"/>
    </w:p>
    <w:p>
      <w:pPr>
        <w:pStyle w:val="BookText"/>
        <w:rPr/>
      </w:pPr>
      <w:r>
        <w:rPr>
          <w:rFonts w:ascii="Amiri" w:hAnsi="Amiri" w:eastAsia="Amiri" w:cs="Amiri"/>
          <w:color w:val="111111"/>
          <w:sz w:val="28"/>
          <w:sz w:val="28"/>
          <w:szCs w:val="28"/>
          <w:rtl w:val="true"/>
          <w:lang w:bidi="ar-SA"/>
        </w:rPr>
        <w:t>هذه نظرة عابرة إلى آراء المسلمين في وصف كونه سبحانه متكلماً وقد عرفت اتّفاقهم على تنزيهه من وصفه بالتكلّم، بمعنى قيام الحروف والأصوات بذاته، وحان حين البحث عن عقيدة ابن تيمية وسلفه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لم يزل متكلّماً وأنّ نوع التكلم قديم، ولكن مصاديقه حادثة نظير ما يقول الحكماء في العالم في بعض الأنواع بأنّ النوع قديم والمصاديق غير 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تقدير فالحروف والأصوات قائمة بذاته ولا تفارق العلم والإرادة والكراهة، فالجميع من صفات الذات، وإليك نصوص كلامه من كتبه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يزل متكلّماً إذا شاء بكلام يقوم به وهو متكلم بصوت يسمع، وإنّ نوع الكلام قديم وإن لم يجعل نفس الصوت المعيّن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المأثور عن أئمة الحديث والسنّة، وبالجملة</w:t>
      </w:r>
    </w:p>
    <w:p>
      <w:pPr>
        <w:pStyle w:val="BookText"/>
        <w:rPr/>
      </w:pPr>
      <w:r>
        <w:rPr>
          <w:rFonts w:ascii="Amiri" w:hAnsi="Amiri" w:eastAsia="Amiri" w:cs="Amiri"/>
          <w:color w:val="111111"/>
          <w:sz w:val="28"/>
          <w:sz w:val="28"/>
          <w:szCs w:val="28"/>
          <w:rtl w:val="true"/>
          <w:lang w:bidi="ar-SA"/>
        </w:rPr>
        <w:t>أهل السنة والجماعة أهل الحديث</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قال السلف والأئمة إنّ اللّه لم يزل متكلّماً إذا شاء فقد أثبتوا أنّه لم يتجدد له كونه متكلّماً، بل نفس تكلّمه بمشيئته قديم، وإن كان يتكلّم شيئاً بعد شيء، فتعاقب الكلام لا يقتضي حدوث نوعه، إلّاإذا وجب تناهي المقدورات والمرادات</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فيكون الحق هو القول الآخر وهو أنّه لم يزل متكلّماً بحروف متعاقبة لا مجتمعة</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يقول هؤلاء إنّه يتكلّم إذا شاء ويسكت إذا شاء، ولم يزل متكلّماً بمعنى أنّه يتكلّم إذا شاء ويسكت إذا شاء</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إذا تكلّم اللّه بالوحي، سمع أهل السماوات كجرّ السلسلة على الصفوان،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تكلم اللّه بالوحى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يتكلم به حين يسمعونه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ينفي كونه أزلياً، وأيضاً فما يكون كجرّ السلسلة على الصفا يكون شيئاً بعد شيء، والمسبوق بغيره لا يكون أزليّاً</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وجمهور المسلمين يقولون إنّ القرآن العربي كلام اللّه وقد تكلّم اللّه به بحرف وصوت،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الحروف والأصوات قديمة الأعيان، أو الحروف بلا أصوات، وأنّ الباء والسين والميم مع تعاقبها في ذاتها فهي أزليّة الأعيان لم تزل ولا تزال، كما بسطت الكلام على أقوال الناس في القرآن في موضع آخر</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كلامه عبارة عن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تكلمه سبحانه من صفات ذاته كالعلم والقدرة، فيجب أن يكون قائماً بذاته لا قائماً بفعله وليس كالرزق والنعمة، حتى يقوم بفعله، فإذا أنعم يصير منعماً وإذا رزق يصير رازقاً، بل تكلمه ككونه عالماً وقادراً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تكلمه قائماً بالذات وداخلاً فيها، يجب أن يكون قديماً كقدم علمه وقدرته ولا يكون حادثاً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أنّ التكلم سنخ وجوده التدّرج، وحقيقته قائمة به أيضاً، فلابدّ أن يكون نوع التكلم قديماً وافراده حادثاً، نظير قول الحكماء من الأغارقة أنّ النفس الإنساني قديم بالنوع وإن كانت مصاديقه حادثة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ما ذكره عقيدة جمهور المسلمين، وكأنّ المسلمين عنده هم جماعة أهل الحديث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على ما ذكره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كان التكلم الذي واقع وجوده الحدوث والتجدد، قائماً بالذات ونابعاً عنها، فلازم ذلك، حدوث الذات، لأنّ حدوث الجزء يلازم حدوث الكل، إلّاأن يرجع التكلّم إلى صفة الفعل، كما عليه العدلية من المعتزلة والشيعة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بأنّ نوع التكلم قديم ومصاديقه حادثة يستلزم قدم الكلام فيكون الهاً ثانياً كما في كلام الإمام أمير المؤمنين عليه السلام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يكون التكلم جزء الذات فيكون قديماً بقدمها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ينسب مختاره إلى جمهور المسلمين، مع أنّ جمهور المسلمين هم الأشاعرة والماتريدية والإمامية والمعتزلة، والجميع يتبرأون من تلك النسبة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هم بُرآء منها براءة يوسف ممّا اتهم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الإمام الاسفرائيني شيخ الأشاعرة في عصره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أنّ كلام اللّه تعالى ليس بحرف ولا صوت، لأنّ الحرف والصوت يتضمنان جواز التقدّم والتأخر، وذلك مستحيل على القادر</w:t>
      </w:r>
    </w:p>
    <w:p>
      <w:pPr>
        <w:pStyle w:val="BookText"/>
        <w:rPr/>
      </w:pP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تكلمه سبحانه مع كل فرد من المكلّفين بالحروف والأصوات، فلا يكون أسرع الحاسبين بل أبطأهم مع أنّه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رُدُّوا إِلَى اللّهِ مَوْلاهُمُ الْحَقِّ أَلا لَهُ الْحُكْمُ وَ هُوَ أَسْرَعُ الْحاسِبِينَ‌</w:t>
      </w:r>
      <w:r>
        <w:rPr>
          <w:rFonts w:eastAsia="Amiri" w:cs="Amiri" w:ascii="Amiri" w:hAnsi="Amiri"/>
          <w:color w:val="111111"/>
          <w:sz w:val="28"/>
          <w:szCs w:val="28"/>
          <w:rtl w:val="true"/>
          <w:lang w:bidi="ar-SA"/>
        </w:rPr>
        <w:t>)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زعمه في كيفية تكلّمه سبحانه يتفق تماماً مع ما ورد في التوراة في قصة آدم وحوّاء عند أكلهما من الشجرة، فقد جاء فيها ما هذا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ورأت المرأة أن الشجرة طيبة للأكل ومتعة للعيون وأنّ الشجرة شهية للنظر فأخذت من ثمرها وأكلت وأتت أيضاً زوجها الذي معها، فأكل فانفتحت أعينهما فعرفا أنّهما عريانان، فخاطا من ورق التين وصنعا لهما منه مآزر، فسمعا وقع خطى الرب الإله، وهو يتمشّى في الجنة عند نسيم النهار، فاختبأ الإنسان وامرأته من وجه الرب الإله فيما بين أشجار الجنّة، فنادى الرب الإله الإنسان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وقع خطاك في الجنّة، فخفت لأني عريان فاختبأت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أعلمك أنّك عريان، هل أكلت من الشجرة التي أمرتك أن لا تأكل منها؟ فقال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جعلتها معي هي أعطتني من الشجرة فأكلت</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تقف على قيمة كلام الشهرستاني في الملل والنحل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زادت المشبهة في الأخبار أكاذيب وضعوها ونسبوها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وأكثرها مقتبس من اليهود فإنّ التشبيه فيهم طباع حتى قالوا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اشتكت عيناه فعادته الملائكة، وبكى على طوفان نوح حتى رمدت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وزادوا على التشبيه قولهم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الحروف والأصوات والرقوم المكتوبة قديمة أزلية،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كلام ليس بحروف ولا كلم</w:t>
      </w:r>
      <w:r>
        <w:rPr>
          <w:rFonts w:eastAsia="Amiri" w:cs="Amiri" w:ascii="Amiri" w:hAnsi="Amiri"/>
          <w:color w:val="111111"/>
          <w:sz w:val="28"/>
          <w:szCs w:val="28"/>
          <w:rtl w:val="true"/>
          <w:lang w:bidi="ar-SA"/>
        </w:rPr>
        <w:t>.</w:t>
      </w:r>
      <w:r>
        <w:rPr>
          <w:rStyle w:val="FootnoteAnchor"/>
          <w:rtl w:val="true"/>
        </w:rPr>
        <w:footnoteReference w:id="119"/>
      </w:r>
      <w:bookmarkStart w:id="86" w:name="pg16768_165209"/>
    </w:p>
    <w:p>
      <w:pPr>
        <w:pStyle w:val="Heading4"/>
        <w:numPr>
          <w:ilvl w:val="3"/>
          <w:numId w:val="1"/>
        </w:numPr>
        <w:rPr/>
      </w:pPr>
      <w:bookmarkStart w:id="87" w:name="__RefHeading___Toc6863452_73709187"/>
      <w:bookmarkStart w:id="88" w:name="_Toc33"/>
      <w:bookmarkEnd w:id="86"/>
      <w:bookmarkEnd w:id="87"/>
      <w:r>
        <w:rPr>
          <w:rtl w:val="true"/>
        </w:rPr>
        <w:t>الاستدلال برواية جابر بن عبد اللّه</w:t>
      </w:r>
      <w:bookmarkEnd w:id="88"/>
    </w:p>
    <w:p>
      <w:pPr>
        <w:pStyle w:val="BookText"/>
        <w:rPr/>
      </w:pPr>
      <w:r>
        <w:rPr>
          <w:rFonts w:ascii="Amiri" w:hAnsi="Amiri" w:eastAsia="Amiri" w:cs="Amiri"/>
          <w:color w:val="111111"/>
          <w:sz w:val="28"/>
          <w:sz w:val="28"/>
          <w:szCs w:val="28"/>
          <w:rtl w:val="true"/>
          <w:lang w:bidi="ar-SA"/>
        </w:rPr>
        <w:t>استدلّ ابن تيمية على أنّ تكلّمه سبحانه بحرف وصوت برواية جابر بن عبد اللّه التي أشار إليها البخاري في كتاب العلم، باب الخروج في طلب العلم إشارة إجمالية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ورحل جابر بن عبد اللّه مسيرة شهر إلى عبد اللّه بن أنيس في حديث واحد</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وأمّا ما هو هذا الحديث فقد نقله في صحيحه في كتاب التوحيد، باب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تَنْفَعُ الشَّفاعَةُ عِنْدَهُ إِلاّ لِمَنْ 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عن جابر عن عبد اللّه ابن أنيس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اللّه العباد فيناديهم بصوت يسمعه مَن بَعُدَ كما يسمعه من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الملك أنا الديَّان</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ترى أنّه ينقله بتمريض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ويذكر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عدم جزمه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عقيل أنّ جابر بن عبد اللّه حدّثه أنّه بلغه حديث عن رجل من أصحاب النبي فابتعت بعيراً فشددت إليه رحلي شهراً حتى قدمت الشام، فإذا عبد اللّه بن أنيس، فبعثت إليه أنّ جابراً بالباب فرجع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فخرج فاعتنقني،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بلغني لم أسمعه، خشيت أن أموت أو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اللّه العباد أو الناس عراة غُرلاً بُهماً،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معهم شيء، فيناديهم بصوت يسمعه من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يسمعه من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الملك</w:t>
      </w:r>
      <w:r>
        <w:rPr>
          <w:rFonts w:eastAsia="Amiri" w:cs="Amiri" w:ascii="Amiri" w:hAnsi="Amiri"/>
          <w:color w:val="111111"/>
          <w:sz w:val="28"/>
          <w:szCs w:val="28"/>
          <w:rtl w:val="true"/>
          <w:lang w:bidi="ar-SA"/>
        </w:rPr>
        <w:t>.</w:t>
      </w:r>
      <w:r>
        <w:rPr>
          <w:rStyle w:val="FootnoteAnchor"/>
          <w:rtl w:val="true"/>
        </w:rPr>
        <w:footnoteReference w:id="122"/>
      </w:r>
      <w:bookmarkStart w:id="89" w:name="pg16768_165210"/>
    </w:p>
    <w:p>
      <w:pPr>
        <w:pStyle w:val="Heading4"/>
        <w:numPr>
          <w:ilvl w:val="3"/>
          <w:numId w:val="1"/>
        </w:numPr>
        <w:rPr/>
      </w:pPr>
      <w:bookmarkStart w:id="90" w:name="__RefHeading___Toc6863454_73709187"/>
      <w:bookmarkStart w:id="91" w:name="_Toc34"/>
      <w:bookmarkEnd w:id="89"/>
      <w:bookmarkEnd w:id="90"/>
      <w:r>
        <w:rPr>
          <w:rtl w:val="true"/>
        </w:rPr>
        <w:t>تحليل الحديث</w:t>
      </w:r>
      <w:bookmarkEnd w:id="91"/>
    </w:p>
    <w:p>
      <w:pPr>
        <w:pStyle w:val="BookText"/>
        <w:rPr/>
      </w:pPr>
      <w:r>
        <w:rPr>
          <w:rFonts w:ascii="Amiri" w:hAnsi="Amiri" w:eastAsia="Amiri" w:cs="Amiri"/>
          <w:color w:val="111111"/>
          <w:sz w:val="28"/>
          <w:sz w:val="28"/>
          <w:szCs w:val="28"/>
          <w:rtl w:val="true"/>
          <w:lang w:bidi="ar-SA"/>
        </w:rPr>
        <w:t>يلاحظ على الاستدلال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شك أنّ صحيح البخاري أصحّ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نقله فيه بصيغة التمريض، وهذا يدل على عدم جزمه فلا يعادل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أخرجه البخاري في صحيحه في كتاب التوحيد،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يا آدم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 فينادي بصوت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تخرج من ذريتك بعثاً إلى النار</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المعلوم فيكون المنادي هو اللّه ويصير كالشاهد على مذهب ابن تيمية، وبصيغة المجهول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فيُنادى بصوت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نائب فاعله هو آدم، ومع هذا الاحتمال لا يمكن أن يستدل بمثل هذا الحديث على عقيدة يطلب فيها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البخاري أخرجه في كتاب أحاديث الأنبياء عن أبي سعيد الخدري رضى الله عنه عن النبي باللفظ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 والخير في يديك،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بعث النار</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فقد ورد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تعالى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فينادى بصوت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الحديث مردداً بين التعبيرين ولا دلالة في التعبير الثاني على مرامه إذ هو نظير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هذا يَوْمُ يَنْفَعُ الصّادِقِينَ صِدْقُهُمْ‌</w:t>
      </w:r>
      <w:r>
        <w:rPr>
          <w:rFonts w:eastAsia="Amiri" w:cs="Amiri" w:ascii="Amiri" w:hAnsi="Amiri"/>
          <w:color w:val="111111"/>
          <w:sz w:val="28"/>
          <w:szCs w:val="28"/>
          <w:rtl w:val="true"/>
          <w:lang w:bidi="ar-SA"/>
        </w:rPr>
        <w:t>)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فتلخص مما ذكرنا أنّ الحديث لا يمكن الاحتجاج به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في كتاب التوحيد عن جابر عن عبد اللّه بن أنيس بصيغة التمريض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أيضاً في كتاب التوحيد عن أبي سعيد الخدري بلفظ</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فينادي، الذي يُحتمل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المعلوم وصيغة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مضبوطاً للأكثر بكسر الدال، وفي رواية أبي ذر بفتحها على البناء للمجهول، ولا محذور في رواية الجمهور فإنّ 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المنادي ملك يأمره اللّه بأن ينادي بذلك</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البخاري 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حديث الأنبياء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 دون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بصوت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الاضطراب هل يصح لعالم أن يستدل بمثله على أصل من 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بصوت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يوجد النداء يوم القيامة ويسمعه من قرب ومن بعد لا أنّه يتكلّم بذاته بالحروف والأصوات ومثل هذا الاستعمال كثير فلا فرق بين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فالجميع من صفات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دلّ العقل الحصيف الذي عرفنا به اللّه سبحانه وتعالى على امتناع قيام الحوادث بذاته لا يعتد بخبر الواحد وان بلغ من الصحة ما بلغ إذا كان على خلاف ما يحكم به العقل الحصيف الذي هو من حجج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وللمحقق الكوثري في نقد هذا كلام نذكره بنصه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أفاض الحافظ أبو الحسن المقدسي شيخ المنذري في رسالة خاصّة في تبيين بطلان الروايات في ذلك زيادة على ما يوجبه الدليل العقلي القاضي بتنزيه اللّه عن حلول الحوادث فيه سبحانه، وإن أجاز ذلك الشيخ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لابن ملكا اليهودي الفيلسوف المتمسلم، حتى اجترأ على أن يزعم أنّ اللفظ حادث شخصاً قديم نوعاً يعني أنّ اللفظ صادر منه تعالى بالحرف والصوت فيكون حادثاً حتماً، لكن ما من لفظ إلّاوقبله لفظ صادر منه إلى ما لا أوّل له فيكون قديماً بالنوع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يدر المسكين بطلان القول بحلول الحوادث في اللّه جلّ شأنه وأنّ القول بحوادث لا أول لها هذيان، لأنّ الحركة انتقال من حالة إلى حالة فهي تقتضي بحسب ماهيتها كونها مسبوقة بالغير، والأزل ينافي كونه مسبوقاً</w:t>
      </w:r>
      <w:bookmarkStart w:id="92" w:name="pg16768_165212"/>
    </w:p>
    <w:p>
      <w:pPr>
        <w:pStyle w:val="BookText"/>
        <w:rPr/>
      </w:pPr>
      <w:bookmarkEnd w:id="92"/>
      <w:r>
        <w:rPr>
          <w:rFonts w:ascii="Amiri" w:hAnsi="Amiri" w:eastAsia="Amiri" w:cs="Amiri"/>
          <w:color w:val="111111"/>
          <w:sz w:val="28"/>
          <w:sz w:val="28"/>
          <w:szCs w:val="28"/>
          <w:rtl w:val="true"/>
          <w:lang w:bidi="ar-SA"/>
        </w:rPr>
        <w:t>بالغير، فوجب أن يكون الجمع بينهما محالاً</w:t>
      </w:r>
      <w:r>
        <w:rPr>
          <w:rFonts w:eastAsia="Amiri" w:cs="Amiri" w:ascii="Amiri" w:hAnsi="Amiri"/>
          <w:color w:val="111111"/>
          <w:sz w:val="28"/>
          <w:szCs w:val="28"/>
          <w:rtl w:val="true"/>
          <w:lang w:bidi="ar-SA"/>
        </w:rPr>
        <w:t>.</w:t>
      </w:r>
      <w:r>
        <w:rPr>
          <w:rStyle w:val="FootnoteAnchor"/>
          <w:rtl w:val="true"/>
        </w:rPr>
        <w:footnoteReference w:id="127"/>
      </w:r>
    </w:p>
    <w:p>
      <w:pPr>
        <w:pStyle w:val="Heading4"/>
        <w:numPr>
          <w:ilvl w:val="3"/>
          <w:numId w:val="1"/>
        </w:numPr>
        <w:rPr/>
      </w:pPr>
      <w:bookmarkStart w:id="93" w:name="__RefHeading___Toc6863456_73709187"/>
      <w:bookmarkStart w:id="94" w:name="_Toc35"/>
      <w:bookmarkEnd w:id="93"/>
      <w:r>
        <w:rPr>
          <w:rtl w:val="true"/>
        </w:rPr>
        <w:t>استدلال بحديث آخر</w:t>
      </w:r>
      <w:bookmarkEnd w:id="94"/>
    </w:p>
    <w:p>
      <w:pPr>
        <w:pStyle w:val="BookText"/>
        <w:rPr/>
      </w:pPr>
      <w:r>
        <w:rPr>
          <w:rFonts w:ascii="Amiri" w:hAnsi="Amiri" w:eastAsia="Amiri" w:cs="Amiri"/>
          <w:color w:val="111111"/>
          <w:sz w:val="28"/>
          <w:sz w:val="28"/>
          <w:szCs w:val="28"/>
          <w:rtl w:val="true"/>
          <w:lang w:bidi="ar-SA"/>
        </w:rPr>
        <w:t>روى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مسروق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تكلم اللّه بالوحي سمع أهل السماوات شيئاً</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فنقله ابو داود بلفظ آخر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تكلّم اللّه بالوحي سمع أهل السماء للسماء صَلْصَلة كجرّ السلسلة على الصفا</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وقد زعم المستدل أنّ الصوت للّه سبحانه، ولكن ظاهر الحديث الذي نقله أبو داود أنّ الصوت للسماء حيث إنّ المسموع لأهل السماء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للسماء صلصلة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الاستدلال بحديث أعرض عن ذيله البخاري في صحيحه وتفرّد بنقله أبو داود أمر مرفوض جدّاً، فإنّ معرفة العقائد لا تخضع لخبر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مستغن عن أن يستعين في كلامه بالحروف والأصوات وإلّا يكون فقيراً كالإنسان تعالى اللّه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اشتهر بين المحققين أنّ من وصف اللّه تعالى بمعنى من معاني البشر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نهاية المقال نذكر ما ذكره الخطيب البغدادي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الحديث الصحيح الإسناد لأُمور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يخالف القرآن، أو السنة المتواترة، أو العقل، لأنّ الشرع لا يأتي إلّا بمجوزات العقول</w:t>
      </w:r>
      <w:r>
        <w:rPr>
          <w:rFonts w:eastAsia="Amiri" w:cs="Amiri" w:ascii="Amiri" w:hAnsi="Amiri"/>
          <w:color w:val="111111"/>
          <w:sz w:val="28"/>
          <w:szCs w:val="28"/>
          <w:rtl w:val="true"/>
          <w:lang w:bidi="ar-SA"/>
        </w:rPr>
        <w:t>.</w:t>
      </w:r>
      <w:r>
        <w:rPr>
          <w:rStyle w:val="FootnoteAnchor"/>
          <w:rtl w:val="true"/>
        </w:rPr>
        <w:footnoteReference w:id="130"/>
      </w:r>
      <w:bookmarkStart w:id="95" w:name="pg16768_165213"/>
    </w:p>
    <w:p>
      <w:pPr>
        <w:pStyle w:val="BookText"/>
        <w:rPr/>
      </w:pPr>
      <w:bookmarkEnd w:id="95"/>
      <w:r>
        <w:rPr>
          <w:rFonts w:ascii="Amiri" w:hAnsi="Amiri" w:eastAsia="Amiri" w:cs="Amiri"/>
          <w:color w:val="111111"/>
          <w:sz w:val="28"/>
          <w:sz w:val="28"/>
          <w:szCs w:val="28"/>
          <w:rtl w:val="true"/>
          <w:lang w:bidi="ar-SA"/>
        </w:rPr>
        <w:t xml:space="preserve">ومن المعلوم أنّ هذه الأحاديث على خلاف العقل الحصيف ومن أوضح مصاديق تشبيه الخالق بالمخلوق، غير أنّ اغترار بعض 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رأسهم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بالتعبد بالأحاديث جرّهم إلى تلك المغبّة، وإلّا فالموحّد الذي يعتمد على النصوص القرآنية أوّلاً والنبوية ثانياً وحكم العقل الحصيف ثالثاً لا يحوم حول هذه الأحاديث ولا يقيم لها قيمة</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6863458_73709187"/>
      <w:bookmarkStart w:id="97" w:name="_Toc36"/>
      <w:bookmarkEnd w:id="96"/>
      <w:r>
        <w:rPr>
          <w:rtl w:val="true"/>
        </w:rPr>
        <w:t>ذاته سبحانه ليست محلّاً للحوادث</w:t>
      </w:r>
      <w:bookmarkEnd w:id="97"/>
    </w:p>
    <w:p>
      <w:pPr>
        <w:pStyle w:val="BookText"/>
        <w:rPr/>
      </w:pPr>
      <w:r>
        <w:rPr>
          <w:rFonts w:ascii="Amiri" w:hAnsi="Amiri" w:eastAsia="Amiri" w:cs="Amiri"/>
          <w:color w:val="111111"/>
          <w:sz w:val="28"/>
          <w:sz w:val="28"/>
          <w:szCs w:val="28"/>
          <w:rtl w:val="true"/>
          <w:lang w:bidi="ar-SA"/>
        </w:rPr>
        <w:t>إنّ نظرية ابن تيمية في تكلّمه سبحانه،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الصوت والحروف قائمان بذاته، تستلزم أنّ ذاته تكون محلّاً للحوادث، ولم يقل به أحد من أئمة السلف إلّا الكرّامية، وقد استدلّ المحقّقون على امتناع كون ذاته محلّاً للحوادث بوجوه نأتي بها إجمالاً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حدوث الحوادث في ذاته يدلّ على انفعاله، والانفعال من شؤون الممكن لا الواجب، كما هو واضح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المقتضي للحادث إن كان ذاته كان أزلياً وهو خلاف الفرض، وإن كان غيره، كان الواجب مفتقراً إلى الغير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كان الحادث صفة كمال استحال خلو الذات عنها، وإن كان صفة نقص استحال اتّصاف الذات بها</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أوضح سيف الدين الآمدي الوجه الثالث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ما هذا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فالرأي الحق والسبيل الصدق والأقرب إلى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قيام الحوادث به لم يخل عند اتّصافه بها إمّا أن توجب له نقصاً، أو كمالاً، أو لا نقص ولا 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جائز أن يقال بكونها غير موجبة للكمال ولا النقصان، فإنّ وجود الشيء بالنسبة إلى نفسه أشرف له من عدمه،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جائز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موجبة لكماله، وإلّا لوجب قدمها لضرورة أن لا يكون البارئ ناقصاً محتاجاً إلى ناحية كمال في حال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 أن يكون اتّصافه بها ممّا يوجب القول بنقصه بالنسبة إلى حاله قبل أن يتّصف بها، وبالنسبة إلى ما لم يتّصف بها من الموجودات، ومحال أن يكون الخالق مشروفاً أو ناقصاً بالنسبة إلى المخلوق، ولا من جهة ما</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وقال الاسفرائيني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الحوادث لا يجوز حلولها في ذاته وصفاته؛ لأنّ ما كان محلّاً للحوادث لم يخل منها، وإذا لم يخل منها كان محدثاً مثلها؛ ولهذا قال الخليل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 الْآفِلِينَ‌</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بيّن به أنّ من حلّ به من المعاني ما يغيره من حال إلى حال كان محدثاً لا يصحّ أن يكون إلهاً</w:t>
      </w:r>
      <w:r>
        <w:rPr>
          <w:rFonts w:eastAsia="Amiri" w:cs="Amiri" w:ascii="Amiri" w:hAnsi="Amiri"/>
          <w:color w:val="111111"/>
          <w:sz w:val="28"/>
          <w:szCs w:val="28"/>
          <w:rtl w:val="true"/>
          <w:lang w:bidi="ar-SA"/>
        </w:rPr>
        <w:t>.</w:t>
      </w:r>
      <w:r>
        <w:rPr>
          <w:rStyle w:val="FootnoteAnchor"/>
          <w:rtl w:val="true"/>
        </w:rPr>
        <w:footnoteReference w:id="13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ظهر أنّ ابن تيمية قد أحيا منهج الكرّامية لا منهج السلف الصالح ولا من تبعهم بإحسان، واللّه هو الهادي</w:t>
      </w:r>
      <w:r>
        <w:rPr>
          <w:rFonts w:eastAsia="Amiri" w:cs="Amiri" w:ascii="Amiri" w:hAnsi="Amiri"/>
          <w:color w:val="111111"/>
          <w:sz w:val="28"/>
          <w:szCs w:val="28"/>
          <w:rtl w:val="true"/>
          <w:lang w:bidi="ar-SA"/>
        </w:rPr>
        <w:t>.</w:t>
      </w:r>
      <w:bookmarkStart w:id="98" w:name="pg16768_165215"/>
    </w:p>
    <w:p>
      <w:pPr>
        <w:pStyle w:val="Heading3"/>
        <w:numPr>
          <w:ilvl w:val="2"/>
          <w:numId w:val="1"/>
        </w:numPr>
        <w:rPr/>
      </w:pPr>
      <w:bookmarkStart w:id="99" w:name="__RefHeading___Toc6863460_73709187"/>
      <w:bookmarkStart w:id="100" w:name="_Toc37"/>
      <w:bookmarkEnd w:id="98"/>
      <w:bookmarkEnd w:id="99"/>
      <w:r>
        <w:rPr/>
        <w:t>5</w:t>
      </w:r>
      <w:r>
        <w:rPr>
          <w:rtl w:val="true"/>
        </w:rPr>
        <w:t xml:space="preserve"> </w:t>
      </w:r>
      <w:r>
        <w:rPr>
          <w:rtl w:val="true"/>
        </w:rPr>
        <w:t>عقائد شاذّة نابية</w:t>
      </w:r>
      <w:bookmarkEnd w:id="100"/>
    </w:p>
    <w:p>
      <w:pPr>
        <w:pStyle w:val="BookText"/>
        <w:rPr/>
      </w:pPr>
      <w:r>
        <w:rPr>
          <w:rFonts w:ascii="Amiri" w:hAnsi="Amiri" w:eastAsia="Amiri" w:cs="Amiri"/>
          <w:color w:val="111111"/>
          <w:sz w:val="28"/>
          <w:sz w:val="28"/>
          <w:szCs w:val="28"/>
          <w:rtl w:val="true"/>
          <w:lang w:bidi="ar-SA"/>
        </w:rPr>
        <w:t>إنّ القول بتجسيم اللّه سبحانه وحركته ونزوله و تكلّمه بصوت، الذي تبنّاه ابن تيمية وإن كان قولاً غريباً بعيداً عن الكتاب والسنّة ودلائل العقل، إلّاأنّ للرجل عقائد أُخرى أغرب من ذلك، نذكر منها نماذج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استقرار اللّه على العرش وإمكان استقراره على ظهر بعوضة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إقعاد النبي صلى الله عليه و آله جنبه سبحانه في العرش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فناء النار والعذاب، عن أهل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شاء لاستقرّ على ظهر بعوضة، فاستقلت به بقدرته ولطف ربوبيته، فكيف على عرش عظيم أكبر من السماوات والأرض، فكيف تنكر أيها النفّاج أنّ عرشه يقلّه</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إنّ ابن تيمية قد اعتقد أنّ اللّه عزّ وجل جسم وأنّ له استقراراً وأنّه مع عظمته وكبره يستطيع أن يستقر على ظهر بعوضة، أفيصح في عصرنا هذا الذي غلب على أهله التعقّل أكثر من التعبّد، الدعوة إلى الاعتقاد بربٍ تستطيع أن تحمله بعوضة، وهو في نفس الوقت أكبر من العرش، وهذا العرش أكبر من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 نشر هذه الأفكار السخيفة في هذه الأيام يورث ابتعاد الناس عن الدين، والعزوف إلى الماديّة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إقعاد اللّه النبي جنبه على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الحافظ أبو</w:t>
      </w:r>
    </w:p>
    <w:p>
      <w:pPr>
        <w:pStyle w:val="BookText"/>
        <w:rPr/>
      </w:pPr>
      <w:r>
        <w:rPr>
          <w:rFonts w:ascii="Amiri" w:hAnsi="Amiri" w:eastAsia="Amiri" w:cs="Amiri"/>
          <w:color w:val="111111"/>
          <w:sz w:val="28"/>
          <w:sz w:val="28"/>
          <w:szCs w:val="28"/>
          <w:rtl w:val="true"/>
          <w:lang w:bidi="ar-SA"/>
        </w:rPr>
        <w:t>حيان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وقرأت في كتاب لأحمد 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عاصرناه وهو بخطه سمّاه كتاب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يجلس على الكرسي وقد أخلى منه مكاناً يقعد فيه معه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إنّ النسخة المطبوعة من التفسير خالية من هذا المطلب</w:t>
      </w:r>
      <w:r>
        <w:rPr>
          <w:rStyle w:val="FootnoteAnchor"/>
          <w:rtl w:val="true"/>
        </w:rPr>
        <w:footnoteReference w:id="137"/>
      </w:r>
      <w:r>
        <w:rPr>
          <w:rFonts w:ascii="Amiri" w:hAnsi="Amiri" w:eastAsia="Amiri" w:cs="Amiri"/>
          <w:color w:val="111111"/>
          <w:sz w:val="28"/>
          <w:sz w:val="28"/>
          <w:szCs w:val="28"/>
          <w:rtl w:val="true"/>
          <w:lang w:bidi="ar-SA"/>
        </w:rPr>
        <w:t xml:space="preserve">، قال الزاهد الكوثري في تعليقه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الصقيل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أخبرني مصحّح طبعه في مطبعة السعادة أنّه استفظعها جدّاً، فحذفها عند الطبع، لئلّا يستغلها أعداء الدين، ورجاني أن أسجل ذلك هنا استدراكاً لما كان منه ونصيحة للمسلمين</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وقد مرّ في الفصل الثالث ما نسبه ابن القيم إلى أبي الحسن الدارقطني من الأبيات التي تضمنت هذه الأُسطورة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قوله بفناء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المسند للطبراني ذكر فيه أنّه ينبت فيها الجرجير، وحينئذٍ فيحتج على فنائها بالكتاب والسنّة، وأقوال الصحابة، مع أنّ القائلين ببقائها ليس معهم كتاب ولا سنّة ولا أقوال الصحابة</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وقد نسب القول بفناء النار إلى السلف أيضاً، ونقل هذا عن عمر وابن مسعود وأبي هريرة وأبي سعيد وغيرهم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ادّعاه رد لصريح القرآن والسنّة، فقد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لَعَنَ الْكافِرِينَ‌</w:t>
      </w:r>
    </w:p>
    <w:p>
      <w:pPr>
        <w:pStyle w:val="BookText"/>
        <w:rPr/>
      </w:pPr>
      <w:r>
        <w:rPr>
          <w:rFonts w:ascii="Amiri" w:hAnsi="Amiri" w:eastAsia="Amiri" w:cs="Amiri"/>
          <w:color w:val="111111"/>
          <w:sz w:val="28"/>
          <w:sz w:val="28"/>
          <w:szCs w:val="28"/>
          <w:rtl w:val="true"/>
          <w:lang w:bidi="ar-SA"/>
        </w:rPr>
        <w:t xml:space="preserve">وَ أَعَدَّ لَهُمْ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أَبَداً لا يَجِدُونَ وَلِيًّا وَ لا نَصِيراً</w:t>
      </w:r>
      <w:r>
        <w:rPr>
          <w:rFonts w:eastAsia="Amiri" w:cs="Amiri" w:ascii="Amiri" w:hAnsi="Amiri"/>
          <w:color w:val="111111"/>
          <w:sz w:val="28"/>
          <w:szCs w:val="28"/>
          <w:rtl w:val="true"/>
          <w:lang w:bidi="ar-SA"/>
        </w:rPr>
        <w:t>)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وقد رد عليه الكثير من علماء الإسلام، فهذا المناوي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أبدية لا تفنى والنار مثلها، وزعم جهم بن صفوان أنّهما فانيتان لأنّهما حادثتان، ولم يتابعه أحد من الإسلاميين بل كفّروه به، وذهب بعضهم إلى إفناء النار دون الجنة، وأطال ابن القيّم كشيخه ابن تيمية في الانتصار له في عدة كراريس، وقد صار بذلك أقرب إلى الكفر منه إلى الإيمان لمخالفته نصّ القرآن، وختم بذلك كتابه الذي في وصف الجنان</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وقال الشيخ سلامة القضاعي العزامي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وبينما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 جهماً والجهمية، إذا بك تراه يأخذ بقوله في أنّ النار تفنى وأنّ أهلها ليسوا خالدين فيها أبداً</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وقال أبو بكر الحصيني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انتُقد عليه زعمه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النار تفنى‌، وأنّ اللّه تعالى يفنيها، وأنّه جعل لها أمداً تنتهي إليه وتفنى‌، ويزول عذابها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مطالب أين قال اللّه عزّ وجل‌؟ وأين قال رسول اللّه صلى الله عليه و آله وصحّ عنه‌؟</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ويكفي في بطلان هذه العقيدة قوله سبحانه في أهل الجحيم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أَرادُوا أَنْ يَخْرُجُوا مِنْها مِنْ غَمٍّ أُعِيدُوا فِيها وَ ذُوقُوا عَذابَ الْحَرِيقِ‌</w:t>
      </w:r>
      <w:r>
        <w:rPr>
          <w:rFonts w:eastAsia="Amiri" w:cs="Amiri" w:ascii="Amiri" w:hAnsi="Amiri"/>
          <w:color w:val="111111"/>
          <w:sz w:val="28"/>
          <w:szCs w:val="28"/>
          <w:rtl w:val="true"/>
          <w:lang w:bidi="ar-SA"/>
        </w:rPr>
        <w:t>)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مَأْواهُمْ جَهَنَّمُ كُلَّما خَبَتْ زِدْناهُمْ سَعِيراً</w:t>
      </w:r>
      <w:r>
        <w:rPr>
          <w:rFonts w:eastAsia="Amiri" w:cs="Amiri" w:ascii="Amiri" w:hAnsi="Amiri"/>
          <w:color w:val="111111"/>
          <w:sz w:val="28"/>
          <w:szCs w:val="28"/>
          <w:rtl w:val="true"/>
          <w:lang w:bidi="ar-SA"/>
        </w:rPr>
        <w:t>) .</w:t>
      </w:r>
      <w:r>
        <w:rPr>
          <w:rStyle w:val="FootnoteAnchor"/>
          <w:rtl w:val="true"/>
        </w:rPr>
        <w:footnoteReference w:id="14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عَذابَها كانَ غَراماً</w:t>
      </w:r>
      <w:r>
        <w:rPr>
          <w:rFonts w:eastAsia="Amiri" w:cs="Amiri" w:ascii="Amiri" w:hAnsi="Amiri"/>
          <w:color w:val="111111"/>
          <w:sz w:val="28"/>
          <w:szCs w:val="28"/>
          <w:rtl w:val="true"/>
          <w:lang w:bidi="ar-SA"/>
        </w:rPr>
        <w:t>) .</w:t>
      </w:r>
      <w:r>
        <w:rPr>
          <w:rStyle w:val="FootnoteAnchor"/>
          <w:rtl w:val="true"/>
        </w:rPr>
        <w:footnoteReference w:id="146"/>
      </w:r>
      <w:bookmarkStart w:id="101" w:name="pg16768_165218"/>
    </w:p>
    <w:p>
      <w:pPr>
        <w:pStyle w:val="Heading3"/>
        <w:numPr>
          <w:ilvl w:val="2"/>
          <w:numId w:val="1"/>
        </w:numPr>
        <w:rPr/>
      </w:pPr>
      <w:bookmarkStart w:id="102" w:name="__RefHeading___Toc6863462_73709187"/>
      <w:bookmarkStart w:id="103" w:name="_Toc38"/>
      <w:bookmarkEnd w:id="101"/>
      <w:bookmarkEnd w:id="102"/>
      <w:r>
        <w:rPr/>
        <w:t>6</w:t>
      </w:r>
      <w:r>
        <w:rPr>
          <w:rtl w:val="true"/>
        </w:rPr>
        <w:t xml:space="preserve"> </w:t>
      </w:r>
      <w:r>
        <w:rPr>
          <w:rtl w:val="true"/>
        </w:rPr>
        <w:t>العصمة حقيقتها وآثارها</w:t>
      </w:r>
      <w:bookmarkEnd w:id="103"/>
    </w:p>
    <w:p>
      <w:pPr>
        <w:pStyle w:val="Heading4"/>
        <w:numPr>
          <w:ilvl w:val="3"/>
          <w:numId w:val="1"/>
        </w:numPr>
        <w:rPr/>
      </w:pPr>
      <w:bookmarkStart w:id="104" w:name="__RefHeading___Toc6863464_73709187"/>
      <w:bookmarkStart w:id="105" w:name="_Toc39"/>
      <w:bookmarkEnd w:id="104"/>
      <w:r>
        <w:rPr>
          <w:rtl w:val="true"/>
        </w:rPr>
        <w:t>لماذا نبحث عن العصمة‌؟</w:t>
      </w:r>
      <w:bookmarkEnd w:id="105"/>
    </w:p>
    <w:p>
      <w:pPr>
        <w:pStyle w:val="BookText"/>
        <w:rPr/>
      </w:pPr>
      <w:r>
        <w:rPr>
          <w:rFonts w:ascii="Amiri" w:hAnsi="Amiri" w:eastAsia="Amiri" w:cs="Amiri"/>
          <w:color w:val="111111"/>
          <w:sz w:val="28"/>
          <w:sz w:val="28"/>
          <w:szCs w:val="28"/>
          <w:rtl w:val="true"/>
          <w:lang w:bidi="ar-SA"/>
        </w:rPr>
        <w:t xml:space="preserve">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المسائل الخلافية التي عفا عليها الزمن والتي يجب أن تُترك إلى غيرها من المسائل،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التي ترتبط ارتباطاً وثيقاً بالثقافة والحياة الإسلامية الحاضرة، لأنّ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فيما يضمن سلامة هذه الثقافة واستقامتها، وبالتالي يضمن مطابقة حياتنا الحاضرة لما أنزل اللّه من تشريع وما ترك نبيه العظيم صلى الله عليه و آله من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تشترط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النبي الذي يوحى إليه، ضماناً لسلامة تبليغه، وإلّا لما وثق الناس بكلامه، ولما اطمأنّوا إلى إخباره وحديثه، كذلك لابد من اشتراط هذه الصفة في مَن يحمل إلى الأجيال المتلاحقة هذا التشريع الإلهي ويكون امتداداً للنبوة في وظائفها ومسؤولياتها، حفاظاً على الدين من تحريف المحرفين، وإبطال المبطلين، وتشكيك المشكّكين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أسوأ داء أصاب الشرائع السابقة هو أنّ أتباعها أخذوا أحكام أنبيائهم بعد غيابهم من كلّ مَن هَب ودبّ‌، فكان 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تحدّث عنه الكتاب العزيز</w:t>
      </w:r>
      <w:bookmarkStart w:id="106" w:name="pg16768_165219"/>
    </w:p>
    <w:p>
      <w:pPr>
        <w:pStyle w:val="BookText"/>
        <w:rPr/>
      </w:pPr>
      <w:bookmarkEnd w:id="106"/>
      <w:r>
        <w:rPr>
          <w:rFonts w:ascii="Amiri" w:hAnsi="Amiri" w:eastAsia="Amiri" w:cs="Amiri"/>
          <w:color w:val="111111"/>
          <w:sz w:val="28"/>
          <w:sz w:val="28"/>
          <w:szCs w:val="28"/>
          <w:rtl w:val="true"/>
          <w:lang w:bidi="ar-SA"/>
        </w:rPr>
        <w:t>في ثلاثة مواضع</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الضلال، وكان 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بحث العصمة لا يعني إلّاالتعريف بالطريق الأفضل، لتلقّي الشريعة الإلهية على نقاوتها وأصالتها، ومن هنا يكون طرح هذه المسألة على بساط البحث ضرورة يقتضيها الواجب على كلّ مسلم بأن يتلقّى دينه من أكثر الطرق اطمئناناً</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6863466_73709187"/>
      <w:bookmarkStart w:id="108" w:name="_Toc40"/>
      <w:bookmarkEnd w:id="107"/>
      <w:r>
        <w:rPr>
          <w:rtl w:val="true"/>
        </w:rPr>
        <w:t>العصمة في اللغة</w:t>
      </w:r>
      <w:bookmarkEnd w:id="108"/>
    </w:p>
    <w:p>
      <w:pPr>
        <w:pStyle w:val="BookText"/>
        <w:rPr/>
      </w:pPr>
      <w:r>
        <w:rPr>
          <w:rFonts w:ascii="Amiri" w:hAnsi="Amiri" w:eastAsia="Amiri" w:cs="Amiri"/>
          <w:color w:val="111111"/>
          <w:sz w:val="28"/>
          <w:sz w:val="28"/>
          <w:szCs w:val="28"/>
          <w:rtl w:val="true"/>
          <w:lang w:bidi="ar-SA"/>
        </w:rPr>
        <w:t>العصمة في اللغة بمعنى المنع، ويطلق على ما يعتصم به الإنسان ويمنع به نفسه عن الوقوع فيما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اعتصم فلان بالجبل إذا امتنع به، ومنه سمّيت العصم وهي وعول الجبال لامتناعها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سَآوِي إِلى جَبَلٍ يَعْصِمُنِي مِنَ الْماءِ قالَ لا عاصِمَ الْيَوْمَ مِنْ أَمْرِ اللّهِ إِلاّ مَنْ رَحِمَ وَ حالَ بَيْنَهُمَا الْمَوْجُ فَكانَ مِنَ الْمُغْرَقِينَ‌</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أي التجأ إلى الجبل زاعماً أنّه يمنعه من الماء، وأُجيب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أمره سبحانه إلّامن رحم</w:t>
      </w:r>
      <w:r>
        <w:rPr>
          <w:rFonts w:eastAsia="Amiri" w:cs="Amiri" w:ascii="Amiri" w:hAnsi="Amiri"/>
          <w:color w:val="111111"/>
          <w:sz w:val="28"/>
          <w:szCs w:val="28"/>
          <w:rtl w:val="true"/>
          <w:lang w:bidi="ar-SA"/>
        </w:rPr>
        <w:t>.</w:t>
      </w:r>
      <w:r>
        <w:rPr>
          <w:rStyle w:val="FootnoteAnchor"/>
          <w:rtl w:val="true"/>
        </w:rPr>
        <w:footnoteReference w:id="149"/>
      </w:r>
    </w:p>
    <w:p>
      <w:pPr>
        <w:pStyle w:val="Heading4"/>
        <w:numPr>
          <w:ilvl w:val="3"/>
          <w:numId w:val="1"/>
        </w:numPr>
        <w:rPr/>
      </w:pPr>
      <w:bookmarkStart w:id="109" w:name="__RefHeading___Toc6863468_73709187"/>
      <w:bookmarkStart w:id="110" w:name="_Toc41"/>
      <w:bookmarkEnd w:id="109"/>
      <w:r>
        <w:rPr>
          <w:rtl w:val="true"/>
        </w:rPr>
        <w:t>العصمة في مصطلح المتكلمين</w:t>
      </w:r>
      <w:bookmarkEnd w:id="110"/>
    </w:p>
    <w:p>
      <w:pPr>
        <w:pStyle w:val="BookText"/>
        <w:rPr/>
      </w:pPr>
      <w:r>
        <w:rPr>
          <w:rFonts w:ascii="Amiri" w:hAnsi="Amiri" w:eastAsia="Amiri" w:cs="Amiri"/>
          <w:color w:val="111111"/>
          <w:sz w:val="28"/>
          <w:sz w:val="28"/>
          <w:szCs w:val="28"/>
          <w:rtl w:val="true"/>
          <w:lang w:bidi="ar-SA"/>
        </w:rPr>
        <w:t>في مصطلح أهل الكلام تعني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التوفيق واللطف والاعتصام عن الذنوب والغلط في دين اللّه، وهي تفضّل من اللّه على من علم أنّه يتمسّك بعصمته</w:t>
      </w:r>
      <w:r>
        <w:rPr>
          <w:rFonts w:eastAsia="Amiri" w:cs="Amiri" w:ascii="Amiri" w:hAnsi="Amiri"/>
          <w:color w:val="111111"/>
          <w:sz w:val="28"/>
          <w:szCs w:val="28"/>
          <w:rtl w:val="true"/>
          <w:lang w:bidi="ar-SA"/>
        </w:rPr>
        <w:t>.</w:t>
      </w:r>
      <w:r>
        <w:rPr>
          <w:rStyle w:val="FootnoteAnchor"/>
          <w:rtl w:val="true"/>
        </w:rPr>
        <w:footnoteReference w:id="15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لطف من اللّه إلى المكلّف يمنع منه وقوع المعصية</w:t>
      </w:r>
      <w:bookmarkStart w:id="111" w:name="pg16768_165220"/>
    </w:p>
    <w:p>
      <w:pPr>
        <w:pStyle w:val="BookText"/>
        <w:rPr/>
      </w:pPr>
      <w:bookmarkEnd w:id="111"/>
      <w:r>
        <w:rPr>
          <w:rFonts w:ascii="Amiri" w:hAnsi="Amiri" w:eastAsia="Amiri" w:cs="Amiri"/>
          <w:color w:val="111111"/>
          <w:sz w:val="28"/>
          <w:sz w:val="28"/>
          <w:szCs w:val="28"/>
          <w:rtl w:val="true"/>
          <w:lang w:bidi="ar-SA"/>
        </w:rPr>
        <w:t>وترك الطاعة مع قدرته عليهما</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ويقرب من هذين التعريفين، ما عرّفه غير واحد من علماء الكلام</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وهذه التعاريف توقفنا على حقيقة العصمة، وأنّها ليست أمراً اكتسابياً، بل هي موهبة من اللّه سبحانه لمن فيه قابلية ذلك الفيض وتلك الموهبة، وهذا ممّا لا بحث فيه، وإنّما الكلام هو في منشأ هذه العصمة،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مقولة هي‌؟</w:t>
      </w:r>
    </w:p>
    <w:p>
      <w:pPr>
        <w:pStyle w:val="Heading4"/>
        <w:numPr>
          <w:ilvl w:val="3"/>
          <w:numId w:val="1"/>
        </w:numPr>
        <w:rPr/>
      </w:pPr>
      <w:bookmarkStart w:id="112" w:name="__RefHeading___Toc6863470_73709187"/>
      <w:bookmarkStart w:id="113" w:name="_Toc42"/>
      <w:bookmarkEnd w:id="112"/>
      <w:r>
        <w:rPr>
          <w:rtl w:val="true"/>
        </w:rPr>
        <w:t>العصمة من مقولة العلم الرادع</w:t>
      </w:r>
      <w:bookmarkEnd w:id="113"/>
    </w:p>
    <w:p>
      <w:pPr>
        <w:pStyle w:val="BookText"/>
        <w:rPr/>
      </w:pPr>
      <w:r>
        <w:rPr>
          <w:rFonts w:ascii="Amiri" w:hAnsi="Amiri" w:eastAsia="Amiri" w:cs="Amiri"/>
          <w:color w:val="111111"/>
          <w:sz w:val="28"/>
          <w:sz w:val="28"/>
          <w:szCs w:val="28"/>
          <w:rtl w:val="true"/>
          <w:lang w:bidi="ar-SA"/>
        </w:rPr>
        <w:t xml:space="preserve">الحق أنّ العصمة نوع من العلم يفاض منه سبحانه على من اختاره اللّه سبحانه فيمنعه عن ارتكاب المعصية أو الوقوع في الخطأ، بل ويردعه عن التفكير في كلّ ذلك، فضلاً عن العمل، وذلك أثر العلم وخاصيته، فإنّ العلم النافع والحكمة البالغة يوجبان تنزّه صاحبهما عن الوقوع في مهالك الرذائل، والتلوث بأقذار المعاصي، وذلك ممّا نشاهده في رجال العلم والحكمة من أهل الدين والتقى، غير أنّ 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 غالبية لا دائمية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مقتض للتنزّه عن المعاصي، كما هو شأن سائر الأسباب الموجودة في عالم المادة، وعلى ذلك فكلّ متلبّس بالكمال، يحجزه ذلك الكمال عن النقص، ويصونه عن الخطأ حسب قوته وشدته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وأثره، غير أنّ القوى الشعورية والغريزية الأُخرى ربّما توجب مغلوبية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وتنفي أثره، أو توجب ضعفه، فصاحب ملكة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يشعر بتلك الفضيلة ويخضع لتلك الملكة فهو لا يميل إلى الشهوة غير المرضية، وإنّما توجب أن يجري صاحبها على مقتضى تقواه، غير أنّ اشتعال نار الشهوة، ربما أوجب تغلّب الشهوة على ذلك الشعور الديني، فلا يلبث دون أن</w:t>
      </w:r>
    </w:p>
    <w:p>
      <w:pPr>
        <w:pStyle w:val="BookText"/>
        <w:rPr/>
      </w:pPr>
      <w:r>
        <w:rPr>
          <w:rFonts w:ascii="Amiri" w:hAnsi="Amiri" w:eastAsia="Amiri" w:cs="Amiri"/>
          <w:color w:val="111111"/>
          <w:sz w:val="28"/>
          <w:sz w:val="28"/>
          <w:szCs w:val="28"/>
          <w:rtl w:val="true"/>
          <w:lang w:bidi="ar-SA"/>
        </w:rPr>
        <w:t>يرتكب مالا ترتضيه التقوى، وعلى هذا النمط يكون حال سائر الأسباب الشعورية في الإنسان فهو لا يحيد عن حكم سبب ومقتضاه مادام ذلك السبب قائماً على قدم وساق، ومادام الإنسان يخضع له ويعيش في جوّه إلّاإذا غلبته سائر القوى البشرية الأُخرى، فهناك يسقط تأثير السبب المغلوب، وينساق الإنسان مع مقتضى السبب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شتّان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يحجز صاحبه عن ارتكاب الرذائل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المفاض من اللّه سبحانه إلى أوليائه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العلم المفاض سبب علمي غير مغلوب البتة، ولو كان من قبيل ما هو متعارف من أقسام الوعي والعلم، ومن الأنواع المألوفة من الشعور والإدراك، لتسرب إليه التخلّف، فهذا العلم الذي يصون حامله عن ارتكاب المعاصي والخطايا، يغاير سائر العلوم والإدراكات العادية المألوفة التي تحصل بالاكتساب والتعلّم، ولعلّه إلى ذلك يشير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اللّهُ عَلَيْكَ الْكِتابَ وَ الْحِكْمَةَ وَ عَلَّمَكَ ما لَمْ تَكُنْ تَعْلَمُ‌</w:t>
      </w:r>
      <w:r>
        <w:rPr>
          <w:rFonts w:eastAsia="Amiri" w:cs="Amiri" w:ascii="Amiri" w:hAnsi="Amiri"/>
          <w:color w:val="111111"/>
          <w:sz w:val="28"/>
          <w:szCs w:val="28"/>
          <w:rtl w:val="true"/>
          <w:lang w:bidi="ar-SA"/>
        </w:rPr>
        <w:t>)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عَلَّمَكَ ما لَمْ تَكُنْ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عطفه على نزول الكتاب والحكمة، يفيد أنّ للنبي علماً مفاضاً منه سبحانه مضافاً إلى العلم والحكمة اللّذين أُنزلا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أنّ مورد الآية هو قضاء النبي صلى الله عليه و آله في الحوادث الواقعة والدعاوي التي يقضي فيها النبي بعلمه الخاص، وليس في ذلك شيء من الكتاب والحكمة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كلّ هذا تبيّن أنّ هذه الموهبة الإلهية التي نسمّيها بالعصمة نوع من العلم والشعور يغاير سائر أنواع العلم في أنّه غير مغلوب لشيء من القوى الشعورية، بل هو الغالب القاهر على سائر القوى المستخدمة إيّاه، ولأجل ذلك فإنّ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تصون صاحبها، وتمنعه من الوقوع في المعاصي، بل والتفكّر فيها، وقد ورد في الروايات والأخبار أنّ للنبي والإمام روحاً تسدّده، وتعصمه عن</w:t>
      </w:r>
      <w:bookmarkStart w:id="114" w:name="pg16768_165222"/>
    </w:p>
    <w:p>
      <w:pPr>
        <w:pStyle w:val="BookText"/>
        <w:rPr/>
      </w:pPr>
      <w:bookmarkEnd w:id="114"/>
      <w:r>
        <w:rPr>
          <w:rFonts w:ascii="Amiri" w:hAnsi="Amiri" w:eastAsia="Amiri" w:cs="Amiri"/>
          <w:color w:val="111111"/>
          <w:sz w:val="28"/>
          <w:sz w:val="28"/>
          <w:szCs w:val="28"/>
          <w:rtl w:val="true"/>
          <w:lang w:bidi="ar-SA"/>
        </w:rPr>
        <w:t>المعصية والخطيئة</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وممّا يقرب كون العصمة من مقولة العلم هو أنّه ربما يبلغ العلم في الأفراد العاديين مرتبة يوجب إيجاد العصمة في آحاد الناس في بعض الموارد، ولذلك لا يمسّ الإنسان العاقل بيده الأسلاك الكهربائية ولا يلقي بنفسه أمام السيارة المتحركة، لعلمه بأنّ في ذلك هلاكه وموته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بلغ علم الإنسان في جميع المجالات إلى هذه المرحلة لصار معصوماً ومصوناً من كلّ المعاصي، وعاد مثالاً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لَتَرَوُنَّها عَيْنَ الْيَقِينِ‌</w:t>
      </w:r>
      <w:r>
        <w:rPr>
          <w:rFonts w:eastAsia="Amiri" w:cs="Amiri" w:ascii="Amiri" w:hAnsi="Amiri"/>
          <w:color w:val="111111"/>
          <w:sz w:val="28"/>
          <w:szCs w:val="28"/>
          <w:rtl w:val="true"/>
          <w:lang w:bidi="ar-SA"/>
        </w:rPr>
        <w:t>) .</w:t>
      </w:r>
      <w:r>
        <w:rPr>
          <w:rStyle w:val="FootnoteAnchor"/>
          <w:rtl w:val="true"/>
        </w:rPr>
        <w:footnoteReference w:id="155"/>
      </w:r>
    </w:p>
    <w:p>
      <w:pPr>
        <w:pStyle w:val="Heading4"/>
        <w:numPr>
          <w:ilvl w:val="3"/>
          <w:numId w:val="1"/>
        </w:numPr>
        <w:rPr/>
      </w:pPr>
      <w:bookmarkStart w:id="115" w:name="__RefHeading___Toc6863472_73709187"/>
      <w:bookmarkStart w:id="116" w:name="_Toc43"/>
      <w:bookmarkEnd w:id="115"/>
      <w:r>
        <w:rPr>
          <w:rtl w:val="true"/>
        </w:rPr>
        <w:t>العصمة لا تسلب الاختيار عن صاحبها</w:t>
      </w:r>
      <w:bookmarkEnd w:id="116"/>
    </w:p>
    <w:p>
      <w:pPr>
        <w:pStyle w:val="BookText"/>
        <w:rPr/>
      </w:pPr>
      <w:r>
        <w:rPr>
          <w:rFonts w:ascii="Amiri" w:hAnsi="Amiri" w:eastAsia="Amiri" w:cs="Amiri"/>
          <w:color w:val="111111"/>
          <w:sz w:val="28"/>
          <w:sz w:val="28"/>
          <w:szCs w:val="28"/>
          <w:rtl w:val="true"/>
          <w:lang w:bidi="ar-SA"/>
        </w:rPr>
        <w:t xml:space="preserve">وممّا يجب التنبيه عليه هو أنّ صاحب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ماله من تلك الموهبة الإلهية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على ارتكاب المعصية وإن كان لا يختارها، وهذا يعني أنّ العلم الإلهي المذكور لا يوجب سلب الاختيار عن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العصمة وإن كانت لا تصدر منه المعصية قط إلى آخر عمره، إلّاأنّ عدم الصدور ليس بمعنى كونه مجبوراً على الترك، ومضطراً إلى الطاعة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على كلا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والترك، ويختار الطاعة على المعصية بإرادته واختياره، وسنوضح ذلك بالمثال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قدرته سبحانه عامة تشمل قدرته على القبائح كقدرته على الحسن، غير أنّه لا يصدر منه القبيح قط في زمن من الأزمان، ولأجل ذلك نرى عمومية قدرته لكلّ شيء، ونرى في جانبه عدم صدور القبيح منه سبحانه، إذ لو لم يقدر على القبيح لما صح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كلّ شيء قدير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ونظيره المعصوم المصون من القبائح فهو يعصم نفسه طيلة حياته من أي</w:t>
      </w:r>
      <w:bookmarkStart w:id="117" w:name="pg16768_165223"/>
    </w:p>
    <w:p>
      <w:pPr>
        <w:pStyle w:val="BookText"/>
        <w:rPr/>
      </w:pPr>
      <w:bookmarkEnd w:id="117"/>
      <w:r>
        <w:rPr>
          <w:rFonts w:ascii="Amiri" w:hAnsi="Amiri" w:eastAsia="Amiri" w:cs="Amiri"/>
          <w:color w:val="111111"/>
          <w:sz w:val="28"/>
          <w:sz w:val="28"/>
          <w:szCs w:val="28"/>
          <w:rtl w:val="true"/>
          <w:lang w:bidi="ar-SA"/>
        </w:rPr>
        <w:t>قبيح وإن كان قادراً على الإتيان به، وقد نصّ بذلك علماؤنا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العصمة مانعة من القدرة على القبيح، ولا مضطرة للمعصوم إلى الحسن ولا ملجئة له إليه، بل هي الشيء الذي يعلم اللّه تعالى أنّه إذا فعلها بعبد من عبيده لم تؤثر معه معصية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كلّ الخلق يعلم هذا من حاله، بل المعلوم منهم ذلك، بل هم الصفوة والأخيار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سَبَقَتْ لَهُمْ مِنَّا الْحُسْنى‌</w:t>
      </w:r>
      <w:r>
        <w:rPr>
          <w:rFonts w:eastAsia="Amiri" w:cs="Amiri" w:ascii="Amiri" w:hAnsi="Amiri"/>
          <w:color w:val="111111"/>
          <w:sz w:val="28"/>
          <w:szCs w:val="28"/>
          <w:rtl w:val="true"/>
          <w:lang w:bidi="ar-SA"/>
        </w:rPr>
        <w:t>)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اخْتَرْناهُمْ عَلى عِلْمٍ عَلَى الْعالَمِينَ‌</w:t>
      </w:r>
      <w:r>
        <w:rPr>
          <w:rFonts w:eastAsia="Amiri" w:cs="Amiri" w:ascii="Amiri" w:hAnsi="Amiri"/>
          <w:color w:val="111111"/>
          <w:sz w:val="28"/>
          <w:szCs w:val="28"/>
          <w:rtl w:val="true"/>
          <w:lang w:bidi="ar-SA"/>
        </w:rPr>
        <w:t>)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إِنَّهُمْ عِنْدَنا لَمِنَ الْمُصْطَفَيْنَ الْأَخْيارِ</w:t>
      </w:r>
      <w:r>
        <w:rPr>
          <w:rFonts w:eastAsia="Amiri" w:cs="Amiri" w:ascii="Amiri" w:hAnsi="Amiri"/>
          <w:color w:val="111111"/>
          <w:sz w:val="28"/>
          <w:szCs w:val="28"/>
          <w:rtl w:val="true"/>
          <w:lang w:bidi="ar-SA"/>
        </w:rPr>
        <w:t>) .</w:t>
      </w:r>
      <w:r>
        <w:rPr>
          <w:rStyle w:val="FootnoteAnchor"/>
          <w:rtl w:val="true"/>
        </w:rPr>
        <w:footnoteReference w:id="158"/>
      </w:r>
    </w:p>
    <w:p>
      <w:pPr>
        <w:pStyle w:val="Heading4"/>
        <w:numPr>
          <w:ilvl w:val="3"/>
          <w:numId w:val="1"/>
        </w:numPr>
        <w:rPr/>
      </w:pPr>
      <w:bookmarkStart w:id="118" w:name="__RefHeading___Toc6863474_73709187"/>
      <w:bookmarkStart w:id="119" w:name="_Toc44"/>
      <w:bookmarkEnd w:id="118"/>
      <w:r>
        <w:rPr>
          <w:rtl w:val="true"/>
        </w:rPr>
        <w:t>موقف الشيعة من العصمة</w:t>
      </w:r>
      <w:bookmarkEnd w:id="119"/>
    </w:p>
    <w:p>
      <w:pPr>
        <w:pStyle w:val="BookText"/>
        <w:rPr/>
      </w:pPr>
      <w:r>
        <w:rPr>
          <w:rFonts w:ascii="Amiri" w:hAnsi="Amiri" w:eastAsia="Amiri" w:cs="Amiri"/>
          <w:color w:val="111111"/>
          <w:sz w:val="28"/>
          <w:sz w:val="28"/>
          <w:szCs w:val="28"/>
          <w:rtl w:val="true"/>
          <w:lang w:bidi="ar-SA"/>
        </w:rPr>
        <w:t>يجد المتتبع في الأبحاث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الإمامية أشدّ الفرق التصاقاً بالعصمة، وأكثر الطوائف الإسلامية تنزيهاً للأنبياء عن وصمة النقص والذنب والخطأ، ويلاحظ ذلك من السبر في الأقاويل المنقولة حول عصمة الأنبياء من الفرق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فالمعتزلة جوّزوا الصغائر على الأنبياء، وذهبت الأشاعرة، والحشوية إلى أنّه يجوز عليهم الصغائر والكبائر إلّاالكفر والكذب</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عصمتهم عن الذنوب كلّها صغيرة كانت أو كبيرة، وهناك أقوال أُخر تظهر من ملاحظة الكتب الكلامية</w:t>
      </w:r>
      <w:r>
        <w:rPr>
          <w:rFonts w:eastAsia="Amiri" w:cs="Amiri" w:ascii="Amiri" w:hAnsi="Amiri"/>
          <w:color w:val="111111"/>
          <w:sz w:val="28"/>
          <w:szCs w:val="28"/>
          <w:rtl w:val="true"/>
          <w:lang w:bidi="ar-SA"/>
        </w:rPr>
        <w:t>.</w:t>
      </w:r>
      <w:r>
        <w:rPr>
          <w:rStyle w:val="FootnoteAnchor"/>
          <w:rtl w:val="true"/>
        </w:rPr>
        <w:footnoteReference w:id="159"/>
      </w:r>
      <w:bookmarkStart w:id="120" w:name="pg16768_165224"/>
    </w:p>
    <w:p>
      <w:pPr>
        <w:pStyle w:val="Heading4"/>
        <w:numPr>
          <w:ilvl w:val="3"/>
          <w:numId w:val="1"/>
        </w:numPr>
        <w:rPr/>
      </w:pPr>
      <w:bookmarkStart w:id="121" w:name="__RefHeading___Toc6863476_73709187"/>
      <w:bookmarkStart w:id="122" w:name="_Toc45"/>
      <w:bookmarkEnd w:id="120"/>
      <w:bookmarkEnd w:id="121"/>
      <w:r>
        <w:rPr>
          <w:rtl w:val="true"/>
        </w:rPr>
        <w:t>العصمة وآية التطهير</w:t>
      </w:r>
      <w:bookmarkEnd w:id="122"/>
    </w:p>
    <w:p>
      <w:pPr>
        <w:pStyle w:val="BookText"/>
        <w:rPr/>
      </w:pPr>
      <w:r>
        <w:rPr>
          <w:rFonts w:ascii="Amiri" w:hAnsi="Amiri" w:eastAsia="Amiri" w:cs="Amiri"/>
          <w:color w:val="111111"/>
          <w:sz w:val="28"/>
          <w:sz w:val="28"/>
          <w:szCs w:val="28"/>
          <w:rtl w:val="true"/>
          <w:lang w:bidi="ar-SA"/>
        </w:rPr>
        <w:t>قد استدلّت الشيعة عن بكرة أبيهم بآية التطهير،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على عصمة أهل البيت النبوي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أفاض المفسّرون حول الآية وأتوا ببيانات شافية في وجه دلالة الآية على عصمة أهل البيت، كما نقلوا الروايات الموضحة للمراد منها، يقف عليها كلّ من راجع تفاسير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هناك جماعة من العلماء قد اعتنوا بشرح هذه الآية عناية خاصة، وقاموا بتفسيرها بأكمل الوجوه وأفردوا لذلك تآليف ورسائل نشير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وقفنا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 المطير في تفسير 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القاضي نور اللّه بن الشريف الحسيني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الشهيد عام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العلّامة بهاء الدين محمد بن حسن الاصفهاني الشهير بالفاضل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بحث فيه عن آية التطهير وكتبه رداً على من فسرها بغير معناها ومفادها من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تطهير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العلّامة السيد عبد الباقي الحسيني شرحاً لما كتبه الفاضل الهندي الآنف الذكر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إذهاب الرجس عن حظيرة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الشيخ عبد الكريم بن محمد طاهر القمي، كتبه في رد اعتراضات أوردها بعضهم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للفاضل الهندي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أيضاً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الصور المنطبعة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بحث فيه عن إثبات العصمة للأئمة</w:t>
      </w:r>
    </w:p>
    <w:p>
      <w:pPr>
        <w:pStyle w:val="BookText"/>
        <w:rPr/>
      </w:pPr>
      <w:r>
        <w:rPr>
          <w:rFonts w:ascii="Amiri" w:hAnsi="Amiri" w:eastAsia="Amiri" w:cs="Amiri"/>
          <w:color w:val="111111"/>
          <w:sz w:val="28"/>
          <w:sz w:val="28"/>
          <w:szCs w:val="28"/>
          <w:rtl w:val="true"/>
          <w:lang w:bidi="ar-SA"/>
        </w:rPr>
        <w:t>بآية التطهير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الكتب الأربعة الأخيرة توجد في مجموعة موجودة في مكتبة آية اللّه العظمى الگلپايگاني في دار القرآن الكريم، في قم المقدسة</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آية التطهير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رسالة فارسية من تأليف الشيخ إسماعيل بن زين العابدين الملقب بمصباح قد أثبت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البيت مطهّرون من كلّ رجس دنيوي</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التنوير في ترجمة رسالة 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ألّفها القاضي نور اللّه الشهيد، ترجمها إلى اللغة الأُردوية السيد حسن عباس الموسوي النيسابوري الكنتوري منشئ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دفتر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الأصل مع تذييل في كل صفحة بالهند عام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الضمير في حل مشكلات 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علي بن محمد تقي البحراني طبع في بمبئي بالمطبعة المظفرية عام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أقطاب الدوائر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ألّفها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 بن 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علماء الإمامية في القرن الثاني عشر، ألّفه لأحد أُمراء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بهمن 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نعثر على ترجمته غير أنّه يعد من طبقة تلاميذ العلامة المجلسي قدس سره وربّما يعبر عنه بالفاضل المجلسي، وقد فرغ من الكتاب في شهر رجب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نعثر على حياته، غير أنّ له شرحاً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فيه إلى الكتاب المزبور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قمنا بطبع هذا الكتاب خدمة لأهل بيت الرسالة، ويرى الباحث عن الحقيقة فيه عمقاً في البحث وسعة اطّلاع في الموضوع، فهو بحجمه الصغير ينبئ عن مكانة المؤلّف المرموقة بحبه وولائه ونضاله في الدفاع عن حريم التشيّع، ولم</w:t>
      </w:r>
    </w:p>
    <w:p>
      <w:pPr>
        <w:pStyle w:val="BookText"/>
        <w:rPr/>
      </w:pPr>
      <w:r>
        <w:rPr>
          <w:rFonts w:ascii="Amiri" w:hAnsi="Amiri" w:eastAsia="Amiri" w:cs="Amiri"/>
          <w:color w:val="111111"/>
          <w:sz w:val="28"/>
          <w:sz w:val="28"/>
          <w:szCs w:val="28"/>
          <w:rtl w:val="true"/>
          <w:lang w:bidi="ar-SA"/>
        </w:rPr>
        <w:t>نقف على أزيد من نسخة، ولعلّها بخط المؤلف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في مكتبة آية اللّه الوالد المرحوم الشيخ محمد حسين السبحاني قدس سره الذي استوهبها من صديقه العالم التقي الشيخ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مولعاً بجمع الكتب المخطوطة ومهتماً بها، رحمهما اللّه ورحم الماضين من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وفّق اللّه سبحانه الفاضل المحقّق الشيخ علي الفاضل القائيني النجفي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مؤلفي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يكرس اهتمامه في استنساخ هذه الرسالة النفيسة وتحقيقها، وتخريج مصادرها، والتعليق عليها بما لا بد منه في فهم المراد، ومقابلة النصوص الواردة فيها مع أُصولها الحديثية والقرآنية، فجاءت الرسالة هذه رسالة كافلة لإثبات ما يتوخّاه مؤلّفها، فشكر اللّه مساعي المؤلّف والمعلّق عليها، ولهما الشكر الجزيل منّا ومن كلّ قارئ يحمل بين جنبيه الود والولاء الخالص لآل الرسول عليه وعليهم أفضل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123" w:name="pg16768_165227"/>
    </w:p>
    <w:p>
      <w:pPr>
        <w:pStyle w:val="Heading3"/>
        <w:numPr>
          <w:ilvl w:val="2"/>
          <w:numId w:val="1"/>
        </w:numPr>
        <w:rPr/>
      </w:pPr>
      <w:bookmarkStart w:id="124" w:name="__RefHeading___Toc6863478_73709187"/>
      <w:bookmarkStart w:id="125" w:name="_Toc46"/>
      <w:bookmarkEnd w:id="123"/>
      <w:bookmarkEnd w:id="124"/>
      <w:r>
        <w:rPr/>
        <w:t>7</w:t>
      </w:r>
      <w:r>
        <w:rPr>
          <w:rtl w:val="true"/>
        </w:rPr>
        <w:t xml:space="preserve"> </w:t>
      </w:r>
      <w:r>
        <w:rPr>
          <w:rtl w:val="true"/>
        </w:rPr>
        <w:t>الأحكام الشرعية،</w:t>
      </w:r>
      <w:bookmarkEnd w:id="125"/>
    </w:p>
    <w:p>
      <w:pPr>
        <w:pStyle w:val="Heading4"/>
        <w:numPr>
          <w:ilvl w:val="3"/>
          <w:numId w:val="1"/>
        </w:numPr>
        <w:rPr/>
      </w:pPr>
      <w:bookmarkStart w:id="126" w:name="__RefHeading___Toc6863480_73709187"/>
      <w:bookmarkStart w:id="127" w:name="_Toc47"/>
      <w:bookmarkEnd w:id="126"/>
      <w:r>
        <w:rPr>
          <w:rtl w:val="true"/>
        </w:rPr>
        <w:t>اشارة</w:t>
      </w:r>
      <w:bookmarkEnd w:id="127"/>
    </w:p>
    <w:p>
      <w:pPr>
        <w:pStyle w:val="BookText"/>
        <w:rPr/>
      </w:pPr>
      <w:r>
        <w:rPr>
          <w:rFonts w:ascii="Amiri" w:hAnsi="Amiri" w:eastAsia="Amiri" w:cs="Amiri"/>
          <w:color w:val="111111"/>
          <w:sz w:val="28"/>
          <w:sz w:val="28"/>
          <w:szCs w:val="28"/>
          <w:rtl w:val="true"/>
          <w:lang w:bidi="ar-SA"/>
        </w:rPr>
        <w:t>ألطاف في الأحكام العقلية</w:t>
      </w:r>
    </w:p>
    <w:p>
      <w:pPr>
        <w:pStyle w:val="BookText"/>
        <w:rPr/>
      </w:pPr>
      <w:r>
        <w:rPr>
          <w:rFonts w:ascii="Amiri" w:hAnsi="Amiri" w:eastAsia="Amiri" w:cs="Amiri"/>
          <w:color w:val="111111"/>
          <w:sz w:val="28"/>
          <w:sz w:val="28"/>
          <w:szCs w:val="28"/>
          <w:rtl w:val="true"/>
          <w:lang w:bidi="ar-SA"/>
        </w:rPr>
        <w:t xml:space="preserve">اشتهر بين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وتبعهم الأُصوليون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الشرعية ألطاف في الأحكام العقلية، وربّما يُعبر عن ذلك بتعبيرين 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الأحكام السمعية ألطاف في الأحكام العقلية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الواجبات الشرعية ألطاف في الواجبات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اختلفت كلمة القائلين في تفسير القاعدة، وبالتالي في الموارد الّتي استدل بها عليها، وإليك بعض ما عثرنا عليه في كلا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بيان التفاسير المختلفة للقاعدة نلفت نظر القارئ على نكتة، وهي أنّ اللطف عبارة عما يقرب إلى الطاعة ويبعد عن المعصية فلابدّ من حفظ هذا المعيار في تفسير القاعدة، ولو فقد التفسير ذلك الملاك لكان غير صحيح، وإليك التفاسير</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6863482_73709187"/>
      <w:bookmarkStart w:id="129" w:name="_Toc48"/>
      <w:bookmarkEnd w:id="128"/>
      <w:r>
        <w:rPr/>
        <w:t>1</w:t>
      </w:r>
      <w:r>
        <w:rPr>
          <w:rtl w:val="true"/>
        </w:rPr>
        <w:t xml:space="preserve">. </w:t>
      </w:r>
      <w:r>
        <w:rPr>
          <w:rtl w:val="true"/>
        </w:rPr>
        <w:t>صيرورة الإنسان مستعداً لامتثال الأحكام العقلية</w:t>
      </w:r>
      <w:bookmarkEnd w:id="12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العقل مستقل على إتيان أُمور كردّ الأمانة ومجازاة الإحسان بالإحسان، كما أنّه يستقل بلزوم ترك أُمور كخيانة الأمانة ومجازاة الإحسان بالإساءة، يستقل بذلك مع قطع النظر عن حكم الشرع، ويحثُّ العقلُ على تطبيق الحياة عليها بحكم أنّ‌</w:t>
      </w:r>
    </w:p>
    <w:p>
      <w:pPr>
        <w:pStyle w:val="BookText"/>
        <w:rPr/>
      </w:pPr>
      <w:r>
        <w:rPr>
          <w:rFonts w:ascii="Amiri" w:hAnsi="Amiri" w:eastAsia="Amiri" w:cs="Amiri"/>
          <w:color w:val="111111"/>
          <w:sz w:val="28"/>
          <w:sz w:val="28"/>
          <w:szCs w:val="28"/>
          <w:rtl w:val="true"/>
          <w:lang w:bidi="ar-SA"/>
        </w:rPr>
        <w:t>الحاكم بذلك هوالعقل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الاستمرار على أداء الواجبات العقلية وهكذا على ترك المناهي العقلية رهن وجود ملكة طاعة في الإنسان تحثّه على الطاعة وتمنعه عن الانهزام أمام القوى الجامحة للنفس الأمّارة، كخيانة الأمانة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جانب ومن جانب آخر أنّ بعثة الأنبياء بين الناس لا تنفك عن برنامج عملي فيه فرائض ومحرمات، فهم يحثون الناس على فعل الأُولى، وترك الثانية مقروناً بالوعد والوعيد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لا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 التكاليف الشرعية يُحدث في الإنسان ملكة الطاعة، وعندئذ يسهل له أيضاً فعل الواجبات وترك المنهيات العقلية أيضاً، وبذلك تصبح الأحكام الشرعية ألطافاً في الواجبات العقلية لكون الاستمرار على الأحكام العقلية رهن ملكة قوية تتولد في الإنسان ضمن امتثال تكاليف شرعية، وتجعل الإنسان مطيعاً للأوامر والنواهي من غير فرق بين السمعية والعقلية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المعنى فسّر القاعدة المحقّق الطوسي حيث قال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بعثة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واجبة لاشتمالها على اللطف في التكاليف العقلية، وأوضحها العلّامة الحلّي بأنّ الإنسان إذا كان مواظباً على فعل الواجبات السمعية وترك المناهي الشرعية كان من فعل الواجبات العقلية والانتهاء من المناهي العقلية أقرب</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يقول الفاضل القوشجي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الإنسان إذا كان واقفاً على التكاليف بحسب الشرع كان أقرب من فعل الواجبات العقلية وترك منهياتها</w:t>
      </w:r>
      <w:r>
        <w:rPr>
          <w:rFonts w:eastAsia="Amiri" w:cs="Amiri" w:ascii="Amiri" w:hAnsi="Amiri"/>
          <w:color w:val="111111"/>
          <w:sz w:val="28"/>
          <w:szCs w:val="28"/>
          <w:rtl w:val="true"/>
          <w:lang w:bidi="ar-SA"/>
        </w:rPr>
        <w:t>.</w:t>
      </w:r>
      <w:r>
        <w:rPr>
          <w:rStyle w:val="FootnoteAnchor"/>
          <w:rtl w:val="true"/>
        </w:rPr>
        <w:footnoteReference w:id="16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أنّ امتثال الفرائض الشرعية يُرسّخ في النفس ملكة الطاعة، وبالتالي يكون الإنسان ممتثلاً للأحكام العقلية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ومحقّقاً</w:t>
      </w:r>
      <w:bookmarkStart w:id="130" w:name="pg16768_165229"/>
    </w:p>
    <w:p>
      <w:pPr>
        <w:pStyle w:val="BookText"/>
        <w:rPr/>
      </w:pPr>
      <w:bookmarkEnd w:id="130"/>
      <w:r>
        <w:rPr>
          <w:rFonts w:ascii="Amiri" w:hAnsi="Amiri" w:eastAsia="Amiri" w:cs="Amiri"/>
          <w:color w:val="111111"/>
          <w:sz w:val="28"/>
          <w:sz w:val="28"/>
          <w:szCs w:val="28"/>
          <w:rtl w:val="true"/>
          <w:lang w:bidi="ar-SA"/>
        </w:rPr>
        <w:t>لمعنى اللطف، فيكون التكليف الشرعي مقرباً للطاعة، أي طاعة الأحكام العقلية والابتعاد عن مخالفتها، لكن الكلام في مورد آخر، وهو أنّ تعليل لزوم بعثة الأنبياء بهذا الوجه لا يخلو من بعد، لأنّ الأحكام العقلية لا تتجاوز عدد الأنامل، فلزوم بعثة الأنبياء عبر القرون مع البرامج الهائلة لهذا الغرض القليل، أمر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يكون هذا من فوائدها ولذلك قال القوشجي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هذا من البعد فالأقرب أن يحال وجه وجوب البعثة إلى ما بيّنه آنفاً من اشتمالها على فوائد</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المحقّق الطوسي فوائد تسعة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بعثة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هذه القاعدة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بعثة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الفوائد التسعة في حسن البعثة يكفي في إثبات وجوبها أيضاً من دون حاجة إلى تلك القاعدة الّتي هي شيء قليل بالنسبة إلى وجوب البعثة</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6863484_73709187"/>
      <w:bookmarkStart w:id="132" w:name="_Toc49"/>
      <w:bookmarkEnd w:id="131"/>
      <w:r>
        <w:rPr/>
        <w:t>2</w:t>
      </w:r>
      <w:r>
        <w:rPr>
          <w:rtl w:val="true"/>
        </w:rPr>
        <w:t xml:space="preserve">. </w:t>
      </w:r>
      <w:r>
        <w:rPr>
          <w:rtl w:val="true"/>
        </w:rPr>
        <w:t>باعثة على معرفة المعبود</w:t>
      </w:r>
      <w:bookmarkEnd w:id="132"/>
    </w:p>
    <w:p>
      <w:pPr>
        <w:pStyle w:val="BookText"/>
        <w:rPr/>
      </w:pPr>
      <w:r>
        <w:rPr>
          <w:rFonts w:ascii="Amiri" w:hAnsi="Amiri" w:eastAsia="Amiri" w:cs="Amiri"/>
          <w:color w:val="111111"/>
          <w:sz w:val="28"/>
          <w:sz w:val="28"/>
          <w:szCs w:val="28"/>
          <w:rtl w:val="true"/>
          <w:lang w:bidi="ar-SA"/>
        </w:rPr>
        <w:t>إنّ شكر المنعم ممّا يستقل به العقل، إذ في تركه وجود الضرر المحتمل الّذي يستقل العقل أيضاً على دفعه، و شكر المنعم رهن معرفته بما له من الصفات الجمالية والجلالية، والعمل بالتكاليف الشرعية الّتي جاء بها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الإنسان على معرفة المنعم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الوجه علّلوا وجوب البعثة، يقول الفاضل المقداد في ذلك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التكاليف السمعية ألطاف في التكاليف العقلية، أي مقربة إليها فإنّنا نعلم ضرورة أنّ الإنسان إذا واظب على فعل الصلاة والصوم دعاه ذلك إلى العلم باللّه تعالى وصفاته ويعلم أنّ العبادة هل هي لائقة به أو لا وكلّ لطف واجب</w:t>
      </w:r>
      <w:r>
        <w:rPr>
          <w:rFonts w:eastAsia="Amiri" w:cs="Amiri" w:ascii="Amiri" w:hAnsi="Amiri"/>
          <w:color w:val="111111"/>
          <w:sz w:val="28"/>
          <w:szCs w:val="28"/>
          <w:rtl w:val="true"/>
          <w:lang w:bidi="ar-SA"/>
        </w:rPr>
        <w:t>.</w:t>
      </w:r>
      <w:r>
        <w:rPr>
          <w:rStyle w:val="FootnoteAnchor"/>
          <w:rtl w:val="true"/>
        </w:rPr>
        <w:footnoteReference w:id="16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أيضاً في كتاب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العبادات متلقاة من النبيّين ولا شك أنّ‌</w:t>
      </w:r>
      <w:bookmarkStart w:id="133" w:name="pg16768_165230"/>
    </w:p>
    <w:p>
      <w:pPr>
        <w:pStyle w:val="BookText"/>
        <w:rPr/>
      </w:pPr>
      <w:bookmarkEnd w:id="133"/>
      <w:r>
        <w:rPr>
          <w:rFonts w:ascii="Amiri" w:hAnsi="Amiri" w:eastAsia="Amiri" w:cs="Amiri"/>
          <w:color w:val="111111"/>
          <w:sz w:val="28"/>
          <w:sz w:val="28"/>
          <w:szCs w:val="28"/>
          <w:rtl w:val="true"/>
          <w:lang w:bidi="ar-SA"/>
        </w:rPr>
        <w:t>المواظبة عليها باعثة على معرفة المعبود الواجبة عقلاً فيكون لطفاً فيها</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واللطف بالمعنى المصطلح موجود في هذا التفسير فإنّ معرفة المنعم من الأحكام العقلية، والعمل بالأحكام الشرعية ينتهي إلى معرفة المعبود المطلوبة عقلاً، إلّاأنّه يلاحظ على هذا التفسير بما ذكرناه في التفسير الأوّل، فإنّ تعليل وجوب بعثة الأنبياء عليهم السلام بهذا الطريق بعيد، لأنّه يرجع إلى أنّ في بعثة الأنبياء فائدة خاصّة وهي معرفة المعبود الواجبة عقلاً، ومن المعلوم أنّ هذه الغاية لوحدها لا يمكن أن تكون علّة غائية لبعثة الأنبياء عليهم السلام، نعم يمكن أن تكون من فوائدها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الغاية من التكاليف السمعية هي معرفة اللّه سبحانه،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ولا مانع من أن تكون هنا غايات طولية أُخرى لها، إلّاأنّ الغاية القصوى هو معرفته سبحانه</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6863486_73709187"/>
      <w:bookmarkStart w:id="135" w:name="_Toc50"/>
      <w:bookmarkEnd w:id="134"/>
      <w:r>
        <w:rPr/>
        <w:t>3</w:t>
      </w:r>
      <w:r>
        <w:rPr>
          <w:rtl w:val="true"/>
        </w:rPr>
        <w:t xml:space="preserve">. </w:t>
      </w:r>
      <w:r>
        <w:rPr>
          <w:rtl w:val="true"/>
        </w:rPr>
        <w:t>تأكيد العقليات</w:t>
      </w:r>
      <w:bookmarkEnd w:id="13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لاشك أنّ العقل يستقل بإتيان المحاسن من الأفعال وترك القبائح منها، فإذا ورد في الشرع ما يؤكد على ذلك فيكون سبباً لتأكيد ما يدعو إليه العقل، وهذا هو الذي يستفاد من كلام صدر الدين الشيخ محمود الحمصي الرازي يقول في مبحث حسن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فيما يتصوّر أن يكون غرضاً في البعثة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العقليات لو علم اللّه تعالى أنّ المكلّفين عند تأكيدهم ودعائهم يختارون من الطاعات ما لا يختارونه مع فقد دعائهم، أو يجتنبون عن القبائح ما لا يجتنبون عن فقد دعائهم</w:t>
      </w:r>
      <w:r>
        <w:rPr>
          <w:rFonts w:eastAsia="Amiri" w:cs="Amiri" w:ascii="Amiri" w:hAnsi="Amiri"/>
          <w:color w:val="111111"/>
          <w:sz w:val="28"/>
          <w:szCs w:val="28"/>
          <w:rtl w:val="true"/>
          <w:lang w:bidi="ar-SA"/>
        </w:rPr>
        <w:t>.</w:t>
      </w:r>
      <w:r>
        <w:rPr>
          <w:rStyle w:val="FootnoteAnchor"/>
          <w:rtl w:val="true"/>
        </w:rPr>
        <w:footnoteReference w:id="172"/>
      </w:r>
      <w:bookmarkStart w:id="136" w:name="pg16768_165231"/>
    </w:p>
    <w:p>
      <w:pPr>
        <w:pStyle w:val="BookText"/>
        <w:rPr/>
      </w:pPr>
      <w:bookmarkEnd w:id="136"/>
      <w:r>
        <w:rPr>
          <w:rFonts w:ascii="Amiri" w:hAnsi="Amiri" w:eastAsia="Amiri" w:cs="Amiri"/>
          <w:color w:val="111111"/>
          <w:sz w:val="28"/>
          <w:sz w:val="28"/>
          <w:szCs w:val="28"/>
          <w:rtl w:val="true"/>
          <w:lang w:bidi="ar-SA"/>
        </w:rPr>
        <w:t xml:space="preserve">واللطف بالمعنى المصطلح متحقّق في هذه الصورة، لأنّ السمعيات تقرب إلى الإنسان امتثال ما يحكم به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إتيان المحاسن وترك القبائح فإنّ الشرع يوعده، وإيعاده يبعث الإنسان إلى محاسن الإحسان ويصده عن قبائحها</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6863488_73709187"/>
      <w:bookmarkStart w:id="138" w:name="_Toc51"/>
      <w:bookmarkEnd w:id="137"/>
      <w:r>
        <w:rPr/>
        <w:t>4</w:t>
      </w:r>
      <w:r>
        <w:rPr>
          <w:rtl w:val="true"/>
        </w:rPr>
        <w:t xml:space="preserve">. </w:t>
      </w:r>
      <w:r>
        <w:rPr>
          <w:rtl w:val="true"/>
        </w:rPr>
        <w:t>محصلة للقرب</w:t>
      </w:r>
      <w:bookmarkEnd w:id="138"/>
    </w:p>
    <w:p>
      <w:pPr>
        <w:pStyle w:val="BookText"/>
        <w:rPr/>
      </w:pPr>
      <w:r>
        <w:rPr>
          <w:rFonts w:ascii="Amiri" w:hAnsi="Amiri" w:eastAsia="Amiri" w:cs="Amiri"/>
          <w:color w:val="111111"/>
          <w:sz w:val="28"/>
          <w:sz w:val="28"/>
          <w:szCs w:val="28"/>
          <w:rtl w:val="true"/>
          <w:lang w:bidi="ar-SA"/>
        </w:rPr>
        <w:t>القرب إلى اللّه سبحانه وتعالى من أفضل الفرائض عند العقل، إذ هو كمال للنفس ولا كمال فوقه وهذا هو الّذي يحكم به العقل، ولكنّه غير واقف على ما يحصل به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يدرك الكبرى وهي لزوم تحصيل القرب ولكن لا يعرف الصغرى أي بماذا يحصل ذلك الكمال النفساني، إلّامن طريق الشرع حيث إنّ الأحكام الشرعية واجباتها ومستحباتها، وهكذا مكروهات الشرع ومنهياته تولّد في النفس الإنسانية القرب من مركز الكمال ومعدنه، فلذلك تكون الأحكام الشرعية ألطافاً في الأحكام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أبان بن تغلب، عن أبي جعفر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جلّ جلاله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يتقرّب إليّ عبد من عبادي بشيء أحب إليّ ممّا افترضت عليه، وإنّه ليتقرب إليّ بالنافلة حتّى أُحبّه، فإذا أحببته كنتُ سمعه الّذي يسَمع به، وبَصره الّذي يبُصر به، ولسانه الّذي ينطق به، ويده الّتي يبطش بها، إن دعاني أجبته، وإن سألني أعطيته</w:t>
      </w:r>
      <w:r>
        <w:rPr>
          <w:rFonts w:eastAsia="Amiri" w:cs="Amiri" w:ascii="Amiri" w:hAnsi="Amiri"/>
          <w:color w:val="111111"/>
          <w:sz w:val="28"/>
          <w:szCs w:val="28"/>
          <w:rtl w:val="true"/>
          <w:lang w:bidi="ar-SA"/>
        </w:rPr>
        <w:t>».</w:t>
      </w:r>
      <w:r>
        <w:rPr>
          <w:rStyle w:val="FootnoteAnchor"/>
          <w:rtl w:val="true"/>
        </w:rPr>
        <w:footnoteReference w:id="17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يحكم بتحصيل ما يقرّب من اللّه سبحانه والابتعاد عما يورث البعد عنه، غير أنّه لا يعرف المقرّب والمبعد، فالأحكام الشرعية الّتي أتى بها الأنبياء توضح له الطريق وتبيّن له ما هو المقرّب وما هو المبعد</w:t>
      </w:r>
      <w:r>
        <w:rPr>
          <w:rFonts w:eastAsia="Amiri" w:cs="Amiri" w:ascii="Amiri" w:hAnsi="Amiri"/>
          <w:color w:val="111111"/>
          <w:sz w:val="28"/>
          <w:szCs w:val="28"/>
          <w:rtl w:val="true"/>
          <w:lang w:bidi="ar-SA"/>
        </w:rPr>
        <w:t>.</w:t>
      </w:r>
      <w:r>
        <w:rPr>
          <w:rStyle w:val="FootnoteAnchor"/>
          <w:rtl w:val="true"/>
        </w:rPr>
        <w:footnoteReference w:id="174"/>
      </w:r>
      <w:bookmarkStart w:id="139" w:name="pg16768_165232"/>
    </w:p>
    <w:p>
      <w:pPr>
        <w:pStyle w:val="BookText"/>
        <w:rPr/>
      </w:pPr>
      <w:bookmarkEnd w:id="139"/>
      <w:r>
        <w:rPr>
          <w:rFonts w:ascii="Amiri" w:hAnsi="Amiri" w:eastAsia="Amiri" w:cs="Amiri"/>
          <w:color w:val="111111"/>
          <w:sz w:val="28"/>
          <w:sz w:val="28"/>
          <w:szCs w:val="28"/>
          <w:rtl w:val="true"/>
          <w:lang w:bidi="ar-SA"/>
        </w:rPr>
        <w:t>إلّا أنّ تسمية ذلك لطفاً بالمعنى المصطلح مشكل، إذ ليس فيه شيء يقرب من الطاعة ويبعد من المعصية، غاية الأمر أنّ الشرع يرفع الجهل عمّا يقرّب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لطف بالمعنى العام</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6863490_73709187"/>
      <w:bookmarkStart w:id="141" w:name="_Toc52"/>
      <w:bookmarkEnd w:id="140"/>
      <w:r>
        <w:rPr/>
        <w:t>5</w:t>
      </w:r>
      <w:r>
        <w:rPr>
          <w:rtl w:val="true"/>
        </w:rPr>
        <w:t xml:space="preserve">. </w:t>
      </w:r>
      <w:r>
        <w:rPr>
          <w:rtl w:val="true"/>
        </w:rPr>
        <w:t>الكشف عن المصالح والمفاسد</w:t>
      </w:r>
      <w:bookmarkEnd w:id="141"/>
    </w:p>
    <w:p>
      <w:pPr>
        <w:pStyle w:val="BookText"/>
        <w:rPr/>
      </w:pPr>
      <w:r>
        <w:rPr>
          <w:rFonts w:ascii="Amiri" w:hAnsi="Amiri" w:eastAsia="Amiri" w:cs="Amiri"/>
          <w:color w:val="111111"/>
          <w:sz w:val="28"/>
          <w:sz w:val="28"/>
          <w:szCs w:val="28"/>
          <w:rtl w:val="true"/>
          <w:lang w:bidi="ar-SA"/>
        </w:rPr>
        <w:t xml:space="preserve">لاشك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الشرعية بأسرها مبنية على المصالح والمفاسد في نفس المأمور به، وشذ من اكتفى في المورد بوجود المصلحة في الأمر، فإنّ مواضعها قليلة جدّاً، ولكن مناطات الأحكام قد تكون معلومة، وأُخرى مجهولة، وعلى كل تقدير فلصيانة فعل الشارع عن اللغو لا محيص من القول بتبعية الأحكام للمصالح والمفاسد الكامنة في المتعلّق،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 الْمُنْكَرِ</w:t>
      </w:r>
      <w:r>
        <w:rPr>
          <w:rFonts w:eastAsia="Amiri" w:cs="Amiri" w:ascii="Amiri" w:hAnsi="Amiri"/>
          <w:color w:val="111111"/>
          <w:sz w:val="28"/>
          <w:szCs w:val="28"/>
          <w:rtl w:val="true"/>
          <w:lang w:bidi="ar-SA"/>
        </w:rPr>
        <w:t xml:space="preserve">) </w:t>
      </w:r>
      <w:r>
        <w:rPr>
          <w:rStyle w:val="FootnoteAnchor"/>
          <w:rtl w:val="true"/>
        </w:rPr>
        <w:footnoteReference w:id="175"/>
      </w: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جانب آخر إن العقل يحثّ على تحصيل المصالح والمفاسد، غير أنّه لا يمكنه أن يحدد 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حكم الشارع بوجوب شيء ونهى عن شيء آخر فقد أظهر للعقل ما يبتغيه من التعرّف على المصالح والمفاسد، فيكون حكم الشارع ألطافاً في الحكم العقلي</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لطفاً بالمعنى المصطلح، بل هو لطف بالمعنى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وحقيقة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القاعدة يمكن أن تكون صحيحة في عامة الموارد الخمسة الّتي مرّ تفصيلها، دون أن تختصّ بمورد دون غيره، بشرط أن يريد من اللطف المعنى الأعم وهو استعانة العقل بالشرع، وعندئذ يصلح أن يقال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العقل مع أنّه حجّة في باب المعارف، ولكنّه غير مستغن عن السمع حتّى في تلك المواضع، ولولا هداية الوحي الإلهي المنزّل على الأنبياء الإلهيين وخلفائهم المعصومين في ذلك المجال، لما استطاع العقل من تسلّق قمة</w:t>
      </w:r>
    </w:p>
    <w:p>
      <w:pPr>
        <w:pStyle w:val="BookText"/>
        <w:rPr/>
      </w:pP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في مجال المعارف، وأمّا دوره في مجال العبادات والعقود والإيقاعات وغيرها فهو قليل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القيم الإنسانية وإن كانت هي الغاية المنشودة للحكيم ولكن معطيات العقل في ذلك المقام ليست متوفرة حتّى يستغني بها العقل عما ورد في الشرع، والّذي يوضح ذلك هو المقارنة بين الأخلاق اليونانية الّتي سار على ضوئها أمثال ابن مسكويه، وبعده الغزالي وما جاء به الوحي الإلهي وشرحه أولياؤه المعصومون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يكشف أنّ الشرع هو العماد الأكبر للعقل في كثير من المجالات، وإن كان له دور كبير في مواضع تخصّه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صبيحة يوم الأحد السادس والعشرين</w:t>
      </w:r>
    </w:p>
    <w:p>
      <w:pPr>
        <w:pStyle w:val="BookText"/>
        <w:rPr/>
      </w:pPr>
      <w:r>
        <w:rPr>
          <w:rFonts w:ascii="Amiri" w:hAnsi="Amiri" w:eastAsia="Amiri" w:cs="Amiri"/>
          <w:color w:val="111111"/>
          <w:sz w:val="28"/>
          <w:sz w:val="28"/>
          <w:szCs w:val="28"/>
          <w:rtl w:val="true"/>
          <w:lang w:bidi="ar-SA"/>
        </w:rPr>
        <w:t>من شهر جمادى الآخرة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142" w:name="pg16768_165234"/>
    </w:p>
    <w:p>
      <w:pPr>
        <w:pStyle w:val="Heading3"/>
        <w:numPr>
          <w:ilvl w:val="2"/>
          <w:numId w:val="1"/>
        </w:numPr>
        <w:rPr/>
      </w:pPr>
      <w:bookmarkStart w:id="143" w:name="__RefHeading___Toc6863492_73709187"/>
      <w:bookmarkStart w:id="144" w:name="_Toc53"/>
      <w:bookmarkEnd w:id="142"/>
      <w:bookmarkEnd w:id="143"/>
      <w:r>
        <w:rPr/>
        <w:t>8</w:t>
      </w:r>
      <w:r>
        <w:rPr>
          <w:rtl w:val="true"/>
        </w:rPr>
        <w:t xml:space="preserve"> </w:t>
      </w:r>
      <w:r>
        <w:rPr>
          <w:rtl w:val="true"/>
        </w:rPr>
        <w:t>في الرؤية ومعنى الإله</w:t>
      </w:r>
      <w:bookmarkEnd w:id="144"/>
    </w:p>
    <w:p>
      <w:pPr>
        <w:pStyle w:val="BookText"/>
        <w:rPr/>
      </w:pPr>
      <w:r>
        <w:rPr>
          <w:rFonts w:ascii="Amiri" w:hAnsi="Amiri" w:eastAsia="Amiri" w:cs="Amiri"/>
          <w:color w:val="111111"/>
          <w:sz w:val="28"/>
          <w:sz w:val="28"/>
          <w:szCs w:val="28"/>
          <w:rtl w:val="true"/>
          <w:lang w:bidi="ar-SA"/>
        </w:rPr>
        <w:t>الأُستاذ الفاضل علي محيي الدين علي القره داغي المحترم</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 xml:space="preserve">تسلّمنا بيد التكريم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بدر الدين الزركشي، وقد لاحظنا أنّكم قد بذلتم جهوداً كبيرة لإحياء الكتاب من خلال تعاليقكم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 اللّه مساعيكم في سبيل إحياء آثار السلف ومآثر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لفت نظرنا قولكم في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حول الاستدلال على إثبات الرؤية للّه سبحانه يوم القيامة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وفسّرتم هاتين الآيتين بقولكم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تنظر هذه الوجوه الضاحكة الصافية في الجنة إلى وجه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استغربت من هذا التفسير، فإنّ ما جاء هنا عبارة عن أربع آيات على وجه اللف والنشر المرتّب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وُجُوهٌ يَوْمَئِذٍ باسِرَةٌ‌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فبالإمعان في الجزء الثاني يرتفع الإبهام عن معنى الجزء الأوّل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معنى الجملة الثانية أنّهم ينتظرون العذاب الكاسر لظهورهم، ومثل هذا</w:t>
      </w:r>
    </w:p>
    <w:p>
      <w:pPr>
        <w:pStyle w:val="BookText"/>
        <w:rPr/>
      </w:pPr>
      <w:r>
        <w:rPr>
          <w:rFonts w:ascii="Amiri" w:hAnsi="Amiri" w:eastAsia="Amiri" w:cs="Amiri"/>
          <w:color w:val="111111"/>
          <w:sz w:val="28"/>
          <w:sz w:val="28"/>
          <w:szCs w:val="28"/>
          <w:rtl w:val="true"/>
          <w:lang w:bidi="ar-SA"/>
        </w:rPr>
        <w:t>الظن لا ينفك عن الانتظار، فتكون قرينة على أنّ المراد من الجملة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 الوجوه المشرقة ينتظرون رحمته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حملت الجملة الثانية على الرؤية خرجت الجملة عن التقابل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رفع الإبهام عن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بالإمعان في قوله سبحانه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مُسْفِرَةٌ‌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ضاحِكَةٌ مُسْتَبْشِرَةٌ‌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وُجُوهٌ يَوْمَئِذٍ عَلَيْها غَبَرَةٌ‌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تَرْهَقُها قَتَرَةٌ‌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ضاحِكَةٌ مُسْتَبْشِرَةٌ‌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فالجميع يهدف إلى معنى واحد وهو أنّ مصير الكافرين إلى عذاب اللّه سبحانه ومصير المؤمنين إلى رحمته الواسعة، فالطائفة الأُولى ذات وجوه غبرة، والطائفة الثانية ذات وجوه مستبشرة، وقد فصّلنا الكلام في هذا الموضوع في الرسالة الّتي نهديها إليكم فلاحظوا الصفحة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بعثنا إليكم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رؤية اللّه سبحانه في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تكون خير وسيلة للحوار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ذكرتم الأقوال الكثيرة في معنى الإله، والاختلاف هذا في معنى الإله قائم بين اللغويين والمفسّرين على قدم وساق، ولكنّ لنا نظرية أُخرى نطرحها عليكم،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الجلالة، في المعنى، إلّاأنّ الثاني علم، والأوّل مفهوم كلّي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ذلك بعض الآيات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تَجْعَلُوا مَعَ اللّهِ إِلهاً آخَرَ إِنِّي لَكُمْ مِنْهُ نَذِيرٌ مُبِينٌ‌</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فإن مقتضى المعيّة أن يراد من لفظ الإله نفس ما أُريد من لفظ الجلالة لكن بتفاوت أنّ أحدهما علم والآخر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هذه الآية هي</w:t>
      </w:r>
    </w:p>
    <w:p>
      <w:pPr>
        <w:pStyle w:val="BookText"/>
        <w:rPr/>
      </w:pPr>
      <w:r>
        <w:rPr>
          <w:rFonts w:ascii="Amiri" w:hAnsi="Amiri" w:eastAsia="Amiri" w:cs="Amiri"/>
          <w:color w:val="111111"/>
          <w:sz w:val="28"/>
          <w:sz w:val="28"/>
          <w:szCs w:val="28"/>
          <w:rtl w:val="true"/>
          <w:lang w:bidi="ar-SA"/>
        </w:rPr>
        <w:t>الوحيدة في استظهار تلك النظرية، بل هناك آيات أُخرى يمكن استنباطها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ها هنا اسماً عامّاً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ويجمع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واسماً خاصّاً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يجمع أبداً، ويرادفه في 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التركية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الانجليزية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غير أنّ الاسم العام والخاص في اللغة الفارسية واحد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ويعلم المراد منه بالقرينة، غير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يطلق إلّاعلى الاسم الخاص،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اللغة الانجليزية فكلّما أُريد منه الاسم العام كتب على صورة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وأمّا إذا أُريد الاسم الخاص فيأتي على صورة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God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وبذلك يشخّص المراد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عندكم ما يؤيّد هذه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أرجو لكم ولمن حولكم من الأساتذة الأعزاء خير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bookmarkStart w:id="145" w:name="pg16768_165237"/>
    </w:p>
    <w:p>
      <w:pPr>
        <w:pStyle w:val="Heading3"/>
        <w:numPr>
          <w:ilvl w:val="2"/>
          <w:numId w:val="1"/>
        </w:numPr>
        <w:rPr/>
      </w:pPr>
      <w:bookmarkStart w:id="146" w:name="__RefHeading___Toc6863494_73709187"/>
      <w:bookmarkStart w:id="147" w:name="_Toc54"/>
      <w:bookmarkEnd w:id="145"/>
      <w:bookmarkEnd w:id="146"/>
      <w:r>
        <w:rPr/>
        <w:t>9</w:t>
      </w:r>
      <w:r>
        <w:rPr>
          <w:rtl w:val="true"/>
        </w:rPr>
        <w:t xml:space="preserve"> </w:t>
      </w:r>
      <w:r>
        <w:rPr>
          <w:rtl w:val="true"/>
        </w:rPr>
        <w:t>البداء في الكتاب والسنّة</w:t>
      </w:r>
      <w:bookmarkEnd w:id="147"/>
    </w:p>
    <w:p>
      <w:pPr>
        <w:pStyle w:val="Heading4"/>
        <w:numPr>
          <w:ilvl w:val="3"/>
          <w:numId w:val="1"/>
        </w:numPr>
        <w:rPr/>
      </w:pPr>
      <w:bookmarkStart w:id="148" w:name="__RefHeading___Toc6863496_73709187"/>
      <w:bookmarkStart w:id="149" w:name="_Toc55"/>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البداء من المسائل الشائكة لمن لم يتدبّر فيه، ومن المسائل الواضحة لمن تدبّر وأمعن النظر فيه، ولم تزل الشيعة منذ قرون في قفص الاتّهام لأجل الاعتقاد بالبداء، وذلك لجمود المخالف على ظاهر اللفظ الذي هو بمعنى الظهور بعد الخفاء، فإذا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يُتوهم منه أنّه ظهر له بعدما خفي، ومن المعلوم أنّ وصف الحق تعالى به على حد الكفر، لإحاطة علمه سبحانه بعامة الأُمور والحوادث قبل وجودها وحينه وبعده،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فِي الْأَرْضِ وَ لا فِي أَنْفُسِكُمْ إِلاّ فِي كِتابٍ مِنْ قَبْلِ أَنْ نَبْرَأَها إِنَّ ذلِكَ عَلَى اللّهِ يَسِيرٌ</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بعد ما قام الباحث بتفسير البداء ثبوتاً وإثباتاً، وأثبت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التعبير من باب المشاكلة على حد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يَمْكُرُونَ وَ يَمْكُرُ اللّهُ وَ اللّهُ خَيْرُ الْماكِرِينَ‌</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حتّى نقل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 للّه في الأبرص والأقرع والأكمه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فعندئذٍ يرجع المخالف عن رأيه ويؤمن بالبداء شيئاً فشيئاً على نحو</w:t>
      </w:r>
    </w:p>
    <w:p>
      <w:pPr>
        <w:pStyle w:val="BookText"/>
        <w:rPr/>
      </w:pPr>
      <w:r>
        <w:rPr>
          <w:rFonts w:ascii="Amiri" w:hAnsi="Amiri" w:eastAsia="Amiri" w:cs="Amiri"/>
          <w:color w:val="111111"/>
          <w:sz w:val="28"/>
          <w:sz w:val="28"/>
          <w:szCs w:val="28"/>
          <w:rtl w:val="true"/>
          <w:lang w:bidi="ar-SA"/>
        </w:rPr>
        <w:t>يذعن بأنّه عقيدة كلّ مسلم آمن باللّه وكتابه ورسوله وحديثه، كما اتّفق ذلك لي في مناظرة مع أحد علماء أهل السنة في طهران عند تنظيم القانون الأساسي للجمهورية الإسلامية الإيرانية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مرّ أنّ الشيعة لم تزل في قفص الاتّهام منذ قرون ويشهد على ذلك ما ذكره الشيخ الطوسي في التبيان، حيث حكى عن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في هذا 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قوم ليس ممن يُعتبرون، ولكنّهم من الأُمّة على حال أنّ الأئمة المنصوص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مفوض إليهم نسخ القرآن وتدبيره، وتجاوز بعضهم حتى خرج من الدين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النسخ قد يجوز على وجه البداء، وهو أن يأمر اللّه عز ّوجلّ عندهم بالشيء ولا يبدو له، ثمّ يبدو له فيغيّره، ولا يريد في وقت أمره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يغيّره هو ويبدله وينسخه، لأنّه عندهم لا يعلم الشيء حتّى يكون، إلّا ما يقدره فيعلمه علم تقدير، وتعجرفوا فزعموا أنّ ما نزل بالمدينة ناسخ لما نزل بمكة</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هذا كلام البلخي الذي هو من أئمّة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وكلامه يعرب عن أنّه تبع ظاهر حرفية البداء ولم يرجع فيه إلى المصادر الشيعية أو رواية مرويّة عن أئمّتهم، ولذلك قال الشيخ الطوسي بعد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وأظن أنّه عنى بهذا أصحابنا الإمامية، لأنّه ليس في الأُمّة من يقول بالنصّ على الأئمّة عليهم السلام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عناهم فجميع ما حكاه عنهم باطل وكذب عليهم، لأنّهم لا يجيزون النسخ على أحد من الأئمّة عليهم السلام، ولا أحد منهم يقول بحدوث العلم</w:t>
      </w:r>
      <w:r>
        <w:rPr>
          <w:rFonts w:eastAsia="Amiri" w:cs="Amiri" w:ascii="Amiri" w:hAnsi="Amiri"/>
          <w:color w:val="111111"/>
          <w:sz w:val="28"/>
          <w:szCs w:val="28"/>
          <w:rtl w:val="true"/>
          <w:lang w:bidi="ar-SA"/>
        </w:rPr>
        <w:t>.</w:t>
      </w:r>
      <w:r>
        <w:rPr>
          <w:rStyle w:val="FootnoteAnchor"/>
          <w:rtl w:val="true"/>
        </w:rPr>
        <w:footnoteReference w:id="18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وتبعه في ذلك أبو الحسن الأشعري في مقالات الإسلاميين</w:t>
      </w:r>
      <w:r>
        <w:rPr>
          <w:rStyle w:val="FootnoteAnchor"/>
          <w:rtl w:val="true"/>
        </w:rPr>
        <w:footnoteReference w:id="183"/>
      </w:r>
      <w:r>
        <w:rPr>
          <w:rFonts w:ascii="Amiri" w:hAnsi="Amiri" w:eastAsia="Amiri" w:cs="Amiri"/>
          <w:color w:val="111111"/>
          <w:sz w:val="28"/>
          <w:sz w:val="28"/>
          <w:szCs w:val="28"/>
          <w:rtl w:val="true"/>
          <w:lang w:bidi="ar-SA"/>
        </w:rPr>
        <w:t>، وفخر الدين</w:t>
      </w:r>
      <w:bookmarkStart w:id="150" w:name="pg16768_165239"/>
    </w:p>
    <w:p>
      <w:pPr>
        <w:pStyle w:val="BookText"/>
        <w:rPr/>
      </w:pPr>
      <w:bookmarkEnd w:id="150"/>
      <w:r>
        <w:rPr>
          <w:rFonts w:ascii="Amiri" w:hAnsi="Amiri" w:eastAsia="Amiri" w:cs="Amiri"/>
          <w:color w:val="111111"/>
          <w:sz w:val="28"/>
          <w:sz w:val="28"/>
          <w:szCs w:val="28"/>
          <w:rtl w:val="true"/>
          <w:lang w:bidi="ar-SA"/>
        </w:rPr>
        <w:t>الرازي في تفسيره</w:t>
      </w:r>
      <w:r>
        <w:rPr>
          <w:rStyle w:val="FootnoteAnchor"/>
          <w:rtl w:val="true"/>
        </w:rPr>
        <w:footnoteReference w:id="184"/>
      </w:r>
      <w:r>
        <w:rPr>
          <w:rFonts w:ascii="Amiri" w:hAnsi="Amiri" w:eastAsia="Amiri" w:cs="Amiri"/>
          <w:color w:val="111111"/>
          <w:sz w:val="28"/>
          <w:sz w:val="28"/>
          <w:szCs w:val="28"/>
          <w:rtl w:val="true"/>
          <w:lang w:bidi="ar-SA"/>
        </w:rPr>
        <w:t>، وتلخيص المحصل</w:t>
      </w:r>
      <w:r>
        <w:rPr>
          <w:rStyle w:val="FootnoteAnchor"/>
          <w:rtl w:val="true"/>
        </w:rPr>
        <w:footnoteReference w:id="185"/>
      </w:r>
      <w:r>
        <w:rPr>
          <w:rFonts w:ascii="Amiri" w:hAnsi="Amiri" w:eastAsia="Amiri" w:cs="Amiri"/>
          <w:color w:val="111111"/>
          <w:sz w:val="28"/>
          <w:sz w:val="28"/>
          <w:szCs w:val="28"/>
          <w:rtl w:val="true"/>
          <w:lang w:bidi="ar-SA"/>
        </w:rPr>
        <w:t>، ومن المعاصرين الشيخ أبو زهرة المصري</w:t>
      </w:r>
      <w:r>
        <w:rPr>
          <w:rStyle w:val="FootnoteAnchor"/>
          <w:rtl w:val="true"/>
        </w:rPr>
        <w:footnoteReference w:id="186"/>
      </w:r>
      <w:r>
        <w:rPr>
          <w:rFonts w:ascii="Amiri" w:hAnsi="Amiri" w:eastAsia="Amiri" w:cs="Amiri"/>
          <w:color w:val="111111"/>
          <w:sz w:val="28"/>
          <w:sz w:val="28"/>
          <w:szCs w:val="28"/>
          <w:rtl w:val="true"/>
          <w:lang w:bidi="ar-SA"/>
        </w:rPr>
        <w:t>، إلى غير ذلك من كُتّاب مغفّلين الذين صدّروا في تقييم عقائد الشيعة من كتب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أنّهم رجعوا إلى كتب أعلام الطائفة، لآمنوا بالبداء وندموا على ما فعلوا، ولكن ربّما لا ينفعهم 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الغشاء عن وجه الحقيقة رهن الكلام في البداء ثبوتاً وإثباتاً على وجه الإيجاز، وقد قمنا بالتفصيل في محاضراتنا الكلامية، وأفرده بالتأليف بعض الأعزة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6863498_73709187"/>
      <w:bookmarkStart w:id="152" w:name="_Toc56"/>
      <w:bookmarkEnd w:id="151"/>
      <w:r>
        <w:rPr/>
        <w:t>1</w:t>
      </w:r>
      <w:r>
        <w:rPr>
          <w:rtl w:val="true"/>
        </w:rPr>
        <w:t xml:space="preserve">. </w:t>
      </w:r>
      <w:r>
        <w:rPr>
          <w:rtl w:val="true"/>
        </w:rPr>
        <w:t>البداء ثبوتاً</w:t>
      </w:r>
      <w:bookmarkEnd w:id="152"/>
    </w:p>
    <w:p>
      <w:pPr>
        <w:pStyle w:val="BookText"/>
        <w:rPr/>
      </w:pPr>
      <w:r>
        <w:rPr>
          <w:rFonts w:ascii="Amiri" w:hAnsi="Amiri" w:eastAsia="Amiri" w:cs="Amiri"/>
          <w:color w:val="111111"/>
          <w:sz w:val="28"/>
          <w:sz w:val="28"/>
          <w:szCs w:val="28"/>
          <w:rtl w:val="true"/>
          <w:lang w:bidi="ar-SA"/>
        </w:rPr>
        <w:t xml:space="preserve">ويراد من البداء ثبوتاً، أنّ للإنسان أن يُبدّل ما كتب وقُدِّر له، بأعماله الصالحة أو الطالحة، إذ ليس ما قُدّر، تقديراً محتوماً غير قابل للتغيير والتبديل، خلافاً لليهود حيث قالت باستحالة تعلّق مشيئة اللّه بغير ما جرى به قلم التقدير، وقد تبلورت تلك العقيدة في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 حاكياً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الْيَهُودُ يَدُ اللّهِ مَغْلُولَةٌ غُلَّتْ أَيْدِيهِمْ وَ لُعِنُوا بِما قالُوا بَلْ يَداهُ مَبْسُوطَتانِ يُنْفِقُ كَيْفَ يَشاءُ وَ لَيَزِيدَنَّ كَثِيراً مِنْهُمْ ما أُنْزِلَ إِلَيْكَ مِنْ رَبِّكَ طُغْياناً وَ كُفْراً</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كثيراً من المفسّرين وإن فسّروا الآية بالعطاء والسعة في الرزق، ولكن أئمة أهل البيت عليهم السلام فسّروا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بالفراغ من الأمر</w:t>
      </w:r>
      <w:r>
        <w:rPr>
          <w:rStyle w:val="FootnoteAnchor"/>
          <w:rtl w:val="true"/>
        </w:rPr>
        <w:footnoteReference w:id="188"/>
      </w:r>
      <w:r>
        <w:rPr>
          <w:rFonts w:ascii="IRNazanin" w:hAnsi="IRNazanin" w:eastAsia="IRNazanin"/>
          <w:color w:val="111111"/>
          <w:sz w:val="28"/>
          <w:sz w:val="28"/>
          <w:szCs w:val="28"/>
          <w:rtl w:val="true"/>
          <w:lang w:bidi="fa-IR"/>
        </w:rPr>
        <w:t>، ورتّبوا على</w:t>
      </w:r>
    </w:p>
    <w:p>
      <w:pPr>
        <w:pStyle w:val="BookText"/>
        <w:rPr/>
      </w:pPr>
      <w:r>
        <w:rPr>
          <w:rFonts w:ascii="Amiri" w:hAnsi="Amiri" w:eastAsia="Amiri" w:cs="Amiri"/>
          <w:color w:val="111111"/>
          <w:sz w:val="28"/>
          <w:sz w:val="28"/>
          <w:szCs w:val="28"/>
          <w:rtl w:val="true"/>
          <w:lang w:bidi="ar-SA"/>
        </w:rPr>
        <w:t>ذلك امتناع نسخ الأحكام وتغيير المصير والمقدّر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ردّ سبحانه عليهم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فِي الْخَلْقِ ما يَشاءُ إِنَّ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 وأنّه يزيد وينقص من العمر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يُعَمَّرُ مِنْ مُعَمَّرٍ وَ لا يُنْقَصُ مِنْ عُمُرِهِ إِلاّ فِي كِتابٍ إِنَّ ذلِكَ عَلَى اللّهِ يَسِيرٌ</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دلّ غير واحد من الآيات على أنّ مصير الإنسان فيما يرجع إلى السعادة والشقاء في الحياة الدنيوية والأُخروية بيده، فالكفر بأنعم اللّه يُزيلها، والشكر لها، يزيدها،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لَمْ يَكُ مُغَيِّراً نِعْمَةً أَنْعَمَها عَلى قَوْمٍ حَتّى يُغَيِّرُوا ما بِأَنْفُسِهِمْ‌</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وقد تضافر هذا المضمون في سائر الآيات</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وبكلمة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قُدر وقُضي بين ما يكون تقديراً قطعياً، وقضاء حتمياً، فهذا لا يُبدّل بأي عمل، وهذا النوع من التقدير لا يرجع إلى سعادة الإنسان وشقائه، كتقديره سبحانه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 وأنّه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 الْعِظامَ وَ هِيَ رَمِيمٌ‌</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إلى غير ذلك من الأُمور المحتومة الّتي لا تُبدل ولا تتغيّر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ما يكون تقديراً معلّقاً قابلاً للتبديل حسب ما يقوم به الإنسان من العمل في حياته الدنيوية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والبداء بهذا المعنى مذهب كلّ مسلم آمن باللّه ورسوله وكتابه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الآيات فقد عرفت بعضها وأشرنا إلى البعض الآخر في الهامش</w:t>
      </w:r>
      <w:r>
        <w:rPr>
          <w:rFonts w:eastAsia="Amiri" w:cs="Amiri" w:ascii="Amiri" w:hAnsi="Amiri"/>
          <w:color w:val="111111"/>
          <w:sz w:val="28"/>
          <w:szCs w:val="28"/>
          <w:rtl w:val="true"/>
          <w:lang w:bidi="ar-SA"/>
        </w:rPr>
        <w:t>.</w:t>
      </w:r>
      <w:bookmarkStart w:id="153" w:name="pg16768_165241"/>
    </w:p>
    <w:p>
      <w:pPr>
        <w:pStyle w:val="BookText"/>
        <w:rPr/>
      </w:pPr>
      <w:bookmarkEnd w:id="153"/>
      <w:r>
        <w:rPr>
          <w:rFonts w:ascii="Amiri" w:hAnsi="Amiri" w:eastAsia="Amiri" w:cs="Amiri"/>
          <w:color w:val="111111"/>
          <w:sz w:val="28"/>
          <w:sz w:val="28"/>
          <w:szCs w:val="28"/>
          <w:rtl w:val="true"/>
          <w:lang w:bidi="ar-SA"/>
        </w:rPr>
        <w:t xml:space="preserve">وأمّا الروايات فيكفيك ما رواه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عن رسول اللّه صلى الله عليه و آله فقد سأله الإمام عن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لأقُرَّنَّ عينك بتفسيرها ولأقُرّنَّ أُمّتي بعدي بتفسيرها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على وجهها وبرّ الوالدين واصطناع المعروف، يحوّل الشقاء سعادة، ويزيد في العمر، ويقي مصارع السوء</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والروايات بهذا المضمون كثيرة يقف عليها من تتبّع الجوامع الحديثية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والبداء بهذا المعنى، أصل تربويّ يبعث في الإنسان روح العزيمة على إصلاح حاله في المستقبل، إذا كانت سيئة فيما مضى، وكأنّه مصباح جاء ينوّر الطريق له، ليسلك طريق الصلاح، بعدما كان سالكاً طريق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فالقائل بالبداء وانّ في مَقْدرته تبديل ما قدّر بعمله الصالح، إنسان راج يبعثه رجاؤه إلى العمل الصالح، ملبّياً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 لا تَقْنَطُوا مِنْ رَحْمَةِ اللّهِ‌</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والمنكر للبداء بهذا المعنى آيس من سعادته وغفرانه، يستمر في عصيانه وغلوائه إلى أُخريات عمره ويلقى اللّه سبحانه ضالاً خاسراً، فأي الفريقين أحق بالأمن يا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البداء ثبوتاً، وإليك الكلام في البداء إثباتاً</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6863500_73709187"/>
      <w:bookmarkStart w:id="155" w:name="_Toc57"/>
      <w:bookmarkEnd w:id="154"/>
      <w:r>
        <w:rPr/>
        <w:t>2</w:t>
      </w:r>
      <w:r>
        <w:rPr>
          <w:rtl w:val="true"/>
        </w:rPr>
        <w:t xml:space="preserve">. </w:t>
      </w:r>
      <w:r>
        <w:rPr>
          <w:rtl w:val="true"/>
        </w:rPr>
        <w:t>البداء إثباتاً</w:t>
      </w:r>
      <w:bookmarkEnd w:id="155"/>
    </w:p>
    <w:p>
      <w:pPr>
        <w:pStyle w:val="Heading5"/>
        <w:numPr>
          <w:ilvl w:val="4"/>
          <w:numId w:val="1"/>
        </w:numPr>
        <w:rPr/>
      </w:pPr>
      <w:bookmarkStart w:id="156" w:name="__RefHeading___Toc6863502_73709187"/>
      <w:bookmarkStart w:id="157" w:name="_Toc58"/>
      <w:bookmarkEnd w:id="156"/>
      <w:r>
        <w:rPr>
          <w:rtl w:val="true"/>
        </w:rPr>
        <w:t>اشارة</w:t>
      </w:r>
      <w:bookmarkEnd w:id="15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من وقوع البداء إثباتاً هو إمكان إخبار النبي أو الوليّ عن حادث في المستقبل لوجود المقتضي له ولكنّه لم يقع لأجل وجود المانع عن تأثير المقتضي، فيكون المخبر صادقاً في إخباره لوجوده في لوح المحو والإثبات، غير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واقفاً على المانع الذي يمنع عن تأثير المقتضي</w:t>
      </w:r>
      <w:r>
        <w:rPr>
          <w:rFonts w:eastAsia="Amiri" w:cs="Amiri" w:ascii="Amiri" w:hAnsi="Amiri"/>
          <w:color w:val="111111"/>
          <w:sz w:val="28"/>
          <w:szCs w:val="28"/>
          <w:rtl w:val="true"/>
          <w:lang w:bidi="ar-SA"/>
        </w:rPr>
        <w:t>.</w:t>
      </w:r>
      <w:bookmarkStart w:id="158" w:name="pg16768_165242"/>
    </w:p>
    <w:p>
      <w:pPr>
        <w:pStyle w:val="BookText"/>
        <w:rPr/>
      </w:pPr>
      <w:bookmarkEnd w:id="158"/>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سبحانه في مقام علمه الفعلي لوحين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اللوح المحفوظ الذي لا يتطرّق إليه التغير، وقد أشار إليه سبحانه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مِنْ مُصِيبَةٍ فِي الْأَرْضِ وَ لا فِي أَنْفُسِكُمْ إِلاّ فِي كِتابٍ مِنْ قَبْلِ أَنْ نَبْرَأَها إِنَّ ذلِكَ عَلَى اللّهِ يَسِيرٌ</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لوح المحو والإثبات فيكتب فيه التقدير الأوّل، وهو وإن كان بظاهره مطلقاً وظاهراً في الاستمرار إلّاأنّه مشروط بشروط فإذا تغيرت الشروط انتهى أمر التقدير الأوّل وحان وقت التقدير الثاني، وإلى هذا اللوح أشار سبحانه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هذا التغيّر في التقدير لا يمس كرامة العلم الإلهي الأزلي أبداً، ثم إنّ النبيّ ربّما يطّلع على المقتضي للشيء دون العلّة التامّة لوقوعه، فيخبر استناداً إلى المقتضي مع عدم الوقوف على العلّة التامّة التي من أجزائها عدم المانع من تأثير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فإخباره يستند إلى وجود المقتضي للشيء، وأمّا عدم وقوعه فلاستناده إلى وجود المانع من تأثير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إذا اتصل بلوح المحو والإثبات، ولما ذكرنا نظائر في الكتاب والسنّة</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6863504_73709187"/>
      <w:bookmarkStart w:id="160" w:name="_Toc59"/>
      <w:bookmarkEnd w:id="159"/>
      <w:r>
        <w:rPr/>
        <w:t>1</w:t>
      </w:r>
      <w:r>
        <w:rPr>
          <w:rtl w:val="true"/>
        </w:rPr>
        <w:t xml:space="preserve">. </w:t>
      </w:r>
      <w:r>
        <w:rPr>
          <w:rtl w:val="true"/>
        </w:rPr>
        <w:t>إخبار يونس عن نزول العذاب</w:t>
      </w:r>
      <w:bookmarkEnd w:id="16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 يونس عليه السلام قومه بنزول العذاب، ثم ترك القوم وكان في وعده هذا صادقاً، إذ رآه مكتوباً في ذلك اللوح، ولكن لم يطّلع على وجود المانع وهو إنابة القوم عن غيّهم وعصيانهم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كانَتْ قَرْيَةٌ آمَنَتْ فَنَفَعَها إِيمانُها إِلاّ قَوْمَ يُونُسَ لَمّا آمَنُوا كَشَفْنا عَنْهُمْ عَذابَ الْخِزْيِ فِي الْحَياةِ الدُّنْيا وَ مَتَّعْناهُمْ إِلى حِينٍ‌</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bookmarkStart w:id="161" w:name="pg16768_165243"/>
    </w:p>
    <w:p>
      <w:pPr>
        <w:pStyle w:val="BookText"/>
        <w:rPr/>
      </w:pPr>
      <w:bookmarkEnd w:id="161"/>
      <w:r>
        <w:rPr>
          <w:rFonts w:ascii="Amiri" w:hAnsi="Amiri" w:eastAsia="Amiri" w:cs="Amiri"/>
          <w:color w:val="111111"/>
          <w:sz w:val="28"/>
          <w:sz w:val="28"/>
          <w:szCs w:val="28"/>
          <w:rtl w:val="true"/>
          <w:lang w:bidi="ar-SA"/>
        </w:rPr>
        <w:t>وإن أردت أن تتّضح لك حقيقة البداء في مقام الإثبات، فاستظهر حاله من النسخ في الشريعة، فإنّ النسخ في التكوين نظير النسخ في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المحقّق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منزلته في التكوين منزلة النسخ في التشريع، فما في الأمر التشريعي والأحكام التكليفية فهو نسخ وفي الأمر التكويني والمكوّنات الزمانية بداء، فالنسخ كأنّه بداء تشريعي، والبداء كأنّه نسخ تكويني، ولابداء في القضاء ولا بالنسبة إلى جناب القدس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حقيقة النسخ عند التحقيق انتهاء الحكم التشريعي وانقطاع استمراره، لا رفعه وارتفاعه عن وعاء الواقع، فكذلك حقيقة البداء انبتات</w:t>
      </w:r>
      <w:r>
        <w:rPr>
          <w:rStyle w:val="FootnoteAnchor"/>
          <w:rtl w:val="true"/>
        </w:rPr>
        <w:footnoteReference w:id="202"/>
      </w:r>
      <w:r>
        <w:rPr>
          <w:rFonts w:ascii="Amiri" w:hAnsi="Amiri" w:eastAsia="Amiri" w:cs="Amiri"/>
          <w:color w:val="111111"/>
          <w:sz w:val="28"/>
          <w:sz w:val="28"/>
          <w:szCs w:val="28"/>
          <w:rtl w:val="true"/>
          <w:lang w:bidi="ar-SA"/>
        </w:rPr>
        <w:t>استمرار الأمر التكويني وانتهاء اتصال الإفاضة</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 w:name="__RefHeading___Toc6863506_73709187"/>
      <w:bookmarkStart w:id="163" w:name="_Toc60"/>
      <w:bookmarkEnd w:id="162"/>
      <w:r>
        <w:rPr/>
        <w:t>2</w:t>
      </w:r>
      <w:r>
        <w:rPr>
          <w:rtl w:val="true"/>
        </w:rPr>
        <w:t xml:space="preserve">. </w:t>
      </w:r>
      <w:r>
        <w:rPr>
          <w:rtl w:val="true"/>
        </w:rPr>
        <w:t>إخبار موسى بثلاثين ليلة في الميقات</w:t>
      </w:r>
      <w:bookmarkEnd w:id="163"/>
    </w:p>
    <w:p>
      <w:pPr>
        <w:pStyle w:val="BookText"/>
        <w:rPr/>
      </w:pPr>
      <w:r>
        <w:rPr>
          <w:rFonts w:ascii="Amiri" w:hAnsi="Amiri" w:eastAsia="Amiri" w:cs="Amiri"/>
          <w:color w:val="111111"/>
          <w:sz w:val="28"/>
          <w:sz w:val="28"/>
          <w:szCs w:val="28"/>
          <w:rtl w:val="true"/>
          <w:lang w:bidi="ar-SA"/>
        </w:rPr>
        <w:t>ذكر المفسّرون أنّه سبحانه واعد موسى ثلاثين ليلة فقضاها موسى عليه السلام، فلمّا تمّ الميقات استاك بلحاء شجرة، فأمره اللّه تعالى أن يكمل بعشر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واعَدْنا مُوسى ثَلاثِينَ لَيْلَةً وَ أَتْمَمْناها بِعَشْرٍ فَتَمَّ مِيقاتُ رَبِّهِ أَرْبَعِينَ لَيْلَةً وَ قالَ مُوسى لِأَخِيهِ هارُونَ اخْلُفْنِي فِي قَوْمِي وَ أَصْلِحْ وَ لا تَتَّبِعْ سَبِيلَ الْمُفْسِدِينَ‌</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ابن المنذر وابن أبي حاتم عن ابن عباس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وعدني ثلاثين ليلة أن ألقاه واخلف هارون فيكم، فلمّا فصل موسى إلى ربّه زاده اللّه عشراً، فكانت فتنتهم في العشر التي زاده اللّه</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إنّ هنا إخبارين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إخبار بالمكث في الميقات ثلاثين ليلة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إخبار بأنّه يمكث أربعين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موسى صادقاً في كلا الإخبارين حيث كان الخبر الأوّل مستنداً إلى جهات تقتضي إقامة ثلاثين ليلة، وكان هذا الإخبار مقيّداً في الواقع بقيد لم يكن موسى مطّلعاً عليه وكان اللّه سبحانه عالماً به، وهو أنّ مكث ثلاثين ليلة مشروط بعدم طروء ملاك آخر يقتضي أن يكون الوقوف أزيد من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ما وقع فيه البداء الذي أخبر عنه سبحانه في كتابه، وأمّا الروايات فحدّث عنها ولا حرج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يهوديّ بالنبي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 عليك، فقال النبي صلى الله عليه و آله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سلّم عليك بالموت،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عليك‌؟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رددت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النبي صلى الله عليه و آله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اليهودي يعضّه أسود في قفاه فيقتله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اليهودي فاحتطب حطباً كثيراً فاحتمله، ثمّ لم يلبث أن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فوضع الحطب فإذا أسود في جوف الحطب عاض على عود،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يهوديّ ما عملت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 عملاً إلّا حطبي هذا حملته فجئت به، وكان معي كعكتان فأكلت واحدة وتصدّقت بواحدة على مسكين،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بها دفع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الصدقة تدفع ميتة السوء عن الإنسان</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المسيح مرّ بقوم مجلبين،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لهؤلاء؟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فلانة بنت فلانة تُهدى إلى فلان في ليلته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يُجلَبُون اليوم ويَبكوُن غداً، 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صاحبتهم ميتة في ليلتها هذه، فلما أصبحوا وجدوها على حالها، ليس بها شيء،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إنّ التي أخبرتَنا أمس أنّها ميتة لم تمت، فدخل المسيح دارها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ليلتك هذه‌؟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أصنع شيئاً إلّاوكنت أصنعه فيما مضى، إنّه كان يعترينا سائل في كلّ ليلة جمعة فننيله ما نقوته إلى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عن مجلسك، فإذا تحت ثيابها أفعى مثل</w:t>
      </w:r>
      <w:bookmarkStart w:id="164" w:name="pg16768_165245"/>
    </w:p>
    <w:p>
      <w:pPr>
        <w:pStyle w:val="BookText"/>
        <w:rPr/>
      </w:pPr>
      <w:bookmarkEnd w:id="164"/>
      <w:r>
        <w:rPr>
          <w:rFonts w:ascii="Amiri" w:hAnsi="Amiri" w:eastAsia="Amiri" w:cs="Amiri"/>
          <w:color w:val="111111"/>
          <w:sz w:val="28"/>
          <w:sz w:val="28"/>
          <w:szCs w:val="28"/>
          <w:rtl w:val="true"/>
          <w:lang w:bidi="ar-SA"/>
        </w:rPr>
        <w:t>جذعة، عاضّ على ذنبه،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صنعت، صرف عنك هذا</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الإخبارات الصادرة من الأنبياء لأجل اتّصالهم باللوح الثاني الذي في معرض التغيّر والتبدّل كثيرة مبثوثة في الكتب، فيخبرون لمصالح حسب ما يقتضي المقتضي مع احتمال تغيّرها حسب توفّر الشروط وعدمها أو الموانع وعدمها</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6863508_73709187"/>
      <w:bookmarkStart w:id="166" w:name="_Toc61"/>
      <w:bookmarkEnd w:id="165"/>
      <w:r>
        <w:rPr>
          <w:rtl w:val="true"/>
        </w:rPr>
        <w:t>إطلاق البداء على اللّه سبحانه</w:t>
      </w:r>
      <w:bookmarkEnd w:id="166"/>
    </w:p>
    <w:p>
      <w:pPr>
        <w:pStyle w:val="BookText"/>
        <w:rPr/>
      </w:pPr>
      <w:r>
        <w:rPr>
          <w:rFonts w:ascii="Amiri" w:hAnsi="Amiri" w:eastAsia="Amiri" w:cs="Amiri"/>
          <w:color w:val="111111"/>
          <w:sz w:val="28"/>
          <w:sz w:val="28"/>
          <w:szCs w:val="28"/>
          <w:rtl w:val="true"/>
          <w:lang w:bidi="ar-SA"/>
        </w:rPr>
        <w:t>لاشك أنّ إطلاق البداء على اللّه سبحانه بالمعنى اللغوي غير صحيح، لكن وصفه سبحانه به من باب المشاكلة، وهو باب واسع في كلام العرب، فإنّه سبحانه يعبّر عن فعل نفسه في بعض الموارد بما يعبّر به الناس عن فعلهم، وما ذلك إلّا لأجل المشاكلة الظاهرية بين الفعلين، وإليك نماذج من هذا النوع من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الْمُنافِقِينَ يُخادِعُونَ اللّهَ وَ هُوَ خادِعُهُمْ‌</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مَكَرُوا وَ مَكَرَ اللّهُ وَ اللّهُ خَيْرُ الْماكِرِينَ‌</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يَمْكُرُونَ وَ يَمْكُرُ اللّهُ وَ اللّهُ خَيْرُ الْماكِرِينَ‌</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 الْيَوْمَ نَنْساكُمْ كَما نَسِيتُمْ لِقاءَ يَوْمِكُمْ هذا</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لا شك أنّه سبحانه لا يخدع ولا يمكر ولا ينسى، لأنّها من صفات الإنسان الضعيف، ولكنّه سبحانه وصف أفعاله بما وصف به أفعال الإنسان من باب المشاكلة، والجميع كناية عن إبطال خدعهم ومكرهم وحرمانهم من مغفرة اللّه سبحانه وبالتالي عن جنته ونعيمها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ضوء ذلك فلا غرو في أن نعبّر عن فعله بما نعبّر عن أفعالنا، إذا كان</w:t>
      </w:r>
    </w:p>
    <w:p>
      <w:pPr>
        <w:pStyle w:val="BookText"/>
        <w:rPr/>
      </w:pPr>
      <w:r>
        <w:rPr>
          <w:rFonts w:ascii="Amiri" w:hAnsi="Amiri" w:eastAsia="Amiri" w:cs="Amiri"/>
          <w:color w:val="111111"/>
          <w:sz w:val="28"/>
          <w:sz w:val="28"/>
          <w:szCs w:val="28"/>
          <w:rtl w:val="true"/>
          <w:lang w:bidi="ar-SA"/>
        </w:rPr>
        <w:t>التعبير مقروناً بالقرينة الدالة على المراد، فإذا ظهر الشيء بعد الخفاء فبما أنّه بداء بالنسبة إلينا، فوصف فعله سبحانه به أيضاً من باب المشاكلة، وإلّا فهو في الحقيقة بداء من اللّه للناس ولكنّه يتوسّع كما يتوسّع في غيره من الألفاظ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للّه تمشياً مع ما في حسبان الناس وأذهانهم وقياس أمره سبحانه بأمرهم، ولا غرو في ذلك إذا كانت هناك قرينة على المجاز والمشاكلة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يرشدك إلى صحّة هذا النوع من الاستعمال وروده في كلام النبي الأعظم صلى الله عليه و آله الذي رواه البخاري في صحيحه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 للّه سبحانه في الأبرص والأقرع والأعمى أن يبتليهم فبعث إليهم ملكاً فأتى الأبرص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حسن، وجلد حسن، قد قذّرني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فمسحه فذهب عنه، فأُعطي لوناً حسناً وجلداً حسناً،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المال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شك في ذلك أنّ الأبرص والأقرع،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وقال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 ناقة عُشراء،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يبارك اللّه 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وأتى الأقرع،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حسن ويذهب عنّي هذا، قد قذرني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فمسحه، فذهب، وأُعطي شعراً حسناً،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المال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بقرة حاملاً،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يبارك 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وأتى الأعمى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اللّه إليّ بصري، فأبصر به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فمسحه فردّ اللّه إليه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المال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فأعطاه شاة والداً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فأُنتج هذان وولّد هذا، فكان لهذا وادٍ من إبل، ولهذا وادٍ من بقر، ولهذا واد من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أتى الأبرص في صورته وهيئته،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مسكين تقطّعت بي الحبال في سفري، فلابلاغ اليوم إلّاباللّه ثمّ بك، أسألك بالذي أعطاك اللون الحسن والجلد الحسن والمال، بعيراً أتبلّغ عليه في سفري؛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الحقوق كثيرة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أعرفك ألم تكن أبرص يقذّرك الناس، فقيراً فأعطاك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وَرِثت لكابر عن كابر؟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فصيّرك اللّه إلى ما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وأتى الأقرع في صورته وهيئته فقال له مثل ما قال لهذا، فردّ عليه مثلما رد عليه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فصيّرك اللّه إلى ما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وأتى الأعمى في صورته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مسكين وابن سبيل وتقطّعت بي الحبال في سفري، فلابلاغ اليوم إلّاباللّه، ثمّ بك، أسألك بالذي ردّ عليك بصرَك، شاةً أتبلّغ بها في سفري؛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أعمى فرد اللّه بصري، وفقيراً فقد أغناني، فخذ ما شئت، فواللّه لاأجْحَدك اليوم بشيء أخذتَه 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مالك فإنّما ابتليتم فقد رضي اللّه عنك وسخط على صاحبيك</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هذا هو كلام الرسول الأعظم صلى الله عليه و آله وقد استعمل لفظ البداء في حقّه سبحانه، ومن الطبيعي أنّ النبيّ صلى الله عليه و آله لم يستعمل هذا اللفظ في معناه اللغوي لاستلزامه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على اللّه سبحانه، بل استعمله في معنى آخر لمناسبة بينه وبين المعنى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ذلك فلا غرو في أن نعبّر عن فعله بما نعبّر به عن أفعالنا، إذا كان التعبير مقروناً بالقرينة الدالة على المراد، فإذا ظهر الشيء بعد الخفاء، فبما أنّه بداء بالنسبة إلينا نوصف فعله سبحانه به أيضاً وفقاً للمشاكلة، وإلّا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بداء من اللّه للناس، ولكنّه يتوسع كما يتوسّع في غيره من الألفاظ،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للّه تمشّياً مع ما في حسبان الناس وأذهانهم وقياس أمره سبحانه بأمرهم، ولا غرو في ذلك إذا كانت هناك قرينة على المجاز والمشاكلة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يعلم أنّ النزاع في البداء أمر لفظي لامعنوي، وأنّ الفريقين متّفقان على البداء ثبوتاً وإثباتاً، والذي صار سبباً لإنكار البداء وطعن الشيعة به هو تصوّر أنّ المراد منه هو الظهور بعد الخفاء، وقد عرفت أنّ المراد هو الإظهار بعد الإخفاء، وأنّ إطلاق البداء في المقام من باب المشاكلة</w:t>
      </w:r>
      <w:r>
        <w:rPr>
          <w:rFonts w:eastAsia="Amiri" w:cs="Amiri" w:ascii="Amiri" w:hAnsi="Amiri"/>
          <w:color w:val="111111"/>
          <w:sz w:val="28"/>
          <w:szCs w:val="28"/>
          <w:rtl w:val="true"/>
          <w:lang w:bidi="ar-SA"/>
        </w:rPr>
        <w:t>.</w:t>
      </w:r>
      <w:bookmarkStart w:id="167" w:name="pg16768_165248"/>
    </w:p>
    <w:p>
      <w:pPr>
        <w:pStyle w:val="Heading3"/>
        <w:numPr>
          <w:ilvl w:val="2"/>
          <w:numId w:val="1"/>
        </w:numPr>
        <w:rPr/>
      </w:pPr>
      <w:bookmarkStart w:id="168" w:name="__RefHeading___Toc6863510_73709187"/>
      <w:bookmarkStart w:id="169" w:name="_Toc62"/>
      <w:bookmarkEnd w:id="167"/>
      <w:bookmarkEnd w:id="168"/>
      <w:r>
        <w:rPr/>
        <w:t>10</w:t>
      </w:r>
      <w:r>
        <w:rPr>
          <w:rtl w:val="true"/>
        </w:rPr>
        <w:t xml:space="preserve"> </w:t>
      </w:r>
      <w:r>
        <w:rPr>
          <w:rtl w:val="true"/>
        </w:rPr>
        <w:t>التبرك في الكتاب والسنّة</w:t>
      </w:r>
      <w:bookmarkEnd w:id="169"/>
    </w:p>
    <w:p>
      <w:pPr>
        <w:pStyle w:val="Heading4"/>
        <w:numPr>
          <w:ilvl w:val="3"/>
          <w:numId w:val="1"/>
        </w:numPr>
        <w:rPr/>
      </w:pPr>
      <w:bookmarkStart w:id="170" w:name="__RefHeading___Toc6863512_73709187"/>
      <w:bookmarkStart w:id="171" w:name="_Toc63"/>
      <w:bookmarkEnd w:id="170"/>
      <w:r>
        <w:rPr>
          <w:rtl w:val="true"/>
        </w:rPr>
        <w:t>اشارة</w:t>
      </w:r>
      <w:bookmarkEnd w:id="171"/>
    </w:p>
    <w:p>
      <w:pPr>
        <w:pStyle w:val="BookText"/>
        <w:rPr/>
      </w:pPr>
      <w:r>
        <w:rPr>
          <w:rFonts w:ascii="Amiri" w:hAnsi="Amiri" w:eastAsia="Amiri" w:cs="Amiri"/>
          <w:color w:val="111111"/>
          <w:sz w:val="28"/>
          <w:sz w:val="28"/>
          <w:szCs w:val="28"/>
          <w:rtl w:val="true"/>
          <w:lang w:bidi="ar-SA"/>
        </w:rPr>
        <w:t>لا يشك ذو مسكة في أنّ التقريب بين المذاهب الإسلامية وقادتها وأتباعها، هو بغية كلّ مسلم عارف بما يسودهم من الظن السيِّئ والتباعد بينهم، وأنّ أعداء الإسلام على سعي حثيث، في زرع العداء والتباغض بين أبناء الأُمّة الواحدة، وإغراء طائفة على طائفة أُخرى بصور مختلفة، وبين ظهرانيهم آذان صاغية للنعرات الجاهلية، كما أنّ بينهم أقلاماً مستأجرة تلعب بحبل الأعداء لإشعال نار الفتنة بين الإخوة، الذين تجمعهم وتربطهم أُمور شتّى من الإيمان باللّه ورسله وكتبه وخاتم أنبيائه وسنّته وشريعته إلى غير ذلك من أواصر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والطريق الوحيد لتقريب الخُطى بين الإخوة هو الدعوة إلى الأخذ بالمشتركات، وتبيين أنّ ما يوحِّد المسلمين على اختلاف فرقهم أكثر ممّا يفرقهم ويشتّتهم، فاللازم هو التأكيد على أواصر الوحدة، والإغماض عما يسبِّب الفُرقة، خصوصاً إذا كانت المفرّقات مسائل كلامية أو فروعاً فقهية ممّا لا تمتّ إلى الإيمان والكفر بصلة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أن نجسّد كيفية الدعوة إلى الوحدة الإسلامية نضع أمام القارئ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سنّياً كان أم شيعياً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التبرّك بآثار النبي صلى الله عليه و آله الّذي هو من الأُصول</w:t>
      </w:r>
      <w:bookmarkStart w:id="172" w:name="pg16768_165249"/>
    </w:p>
    <w:p>
      <w:pPr>
        <w:pStyle w:val="BookText"/>
        <w:rPr/>
      </w:pPr>
      <w:bookmarkEnd w:id="172"/>
      <w:r>
        <w:rPr>
          <w:rFonts w:ascii="Amiri" w:hAnsi="Amiri" w:eastAsia="Amiri" w:cs="Amiri"/>
          <w:color w:val="111111"/>
          <w:sz w:val="28"/>
          <w:sz w:val="28"/>
          <w:szCs w:val="28"/>
          <w:rtl w:val="true"/>
          <w:lang w:bidi="ar-SA"/>
        </w:rPr>
        <w:t>المشتركة بين عامّة المذاهب الإسلامية، عسى أن نُسكت الصوت المخالف لهذا الأمر الّذي دعا إليه الكتاب والسنّة، ونساهم في تعزيز الروابط بين المسلمين، حتّى يصبح الجميع في كلّ موطن وموقف إخوة متحابّين متمسّكين بحبل الوحدة، الّذي أرشد إليه سبحانه بقوله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ينطلق من الكتاب والسنّة وأحاديث أئمة أهل البيت عليهم السلام والسيرة الرائجة بين المسلمين لا يخالف في أمر التبرّك قدر شعرة، وإنّما يخالف فيه ويناقش في مشروعيته، مَن يأبى التحرّر من أسر تقليد بعض مَن لم يُمعن النظر في هذه المصادر، ولم يُرزَق التوفيق في التبرّك بآثار النبي، الّذي يعبّر عن غاية مودّته وتوقيره وتعظيمه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6863514_73709187"/>
      <w:bookmarkStart w:id="174" w:name="_Toc64"/>
      <w:bookmarkEnd w:id="173"/>
      <w:r>
        <w:rPr>
          <w:rtl w:val="true"/>
        </w:rPr>
        <w:t>التبرّك لغةً‌</w:t>
      </w:r>
      <w:bookmarkEnd w:id="174"/>
    </w:p>
    <w:p>
      <w:pPr>
        <w:pStyle w:val="BookText"/>
        <w:rPr/>
      </w:pPr>
      <w:r>
        <w:rPr>
          <w:rFonts w:ascii="Amiri" w:hAnsi="Amiri" w:eastAsia="Amiri" w:cs="Amiri"/>
          <w:color w:val="111111"/>
          <w:sz w:val="28"/>
          <w:sz w:val="28"/>
          <w:szCs w:val="28"/>
          <w:rtl w:val="true"/>
          <w:lang w:bidi="ar-SA"/>
        </w:rPr>
        <w:t xml:space="preserve">التبرّك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معنيان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الثبات والدوام،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وبارك على محمد وعلى آل محمد، أي أثبت وأدم ما آتيتهم من التشريف والكرامة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الزيادة والنمو</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ويناسب المعنى الثاني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كِتابٌ أَنْزَلْناهُ مُبارَكٌ‌</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بارَكْنا حَوْلَهُ‌</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 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الشيء وبارك فيه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الموارد المشار إليها، خير مكنون يزيد وينمو على مرّ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ويقصده المتبرِّك</w:t>
      </w:r>
      <w:r>
        <w:rPr>
          <w:rFonts w:eastAsia="Amiri" w:cs="Amiri" w:ascii="Amiri" w:hAnsi="Amiri"/>
          <w:color w:val="111111"/>
          <w:sz w:val="28"/>
          <w:szCs w:val="28"/>
          <w:rtl w:val="true"/>
          <w:lang w:bidi="ar-SA"/>
        </w:rPr>
        <w:t>.</w:t>
      </w:r>
      <w:bookmarkStart w:id="175" w:name="pg16768_165250"/>
    </w:p>
    <w:p>
      <w:pPr>
        <w:pStyle w:val="Heading4"/>
        <w:numPr>
          <w:ilvl w:val="3"/>
          <w:numId w:val="1"/>
        </w:numPr>
        <w:rPr/>
      </w:pPr>
      <w:bookmarkStart w:id="176" w:name="__RefHeading___Toc6863516_73709187"/>
      <w:bookmarkStart w:id="177" w:name="_Toc65"/>
      <w:bookmarkEnd w:id="175"/>
      <w:bookmarkEnd w:id="176"/>
      <w:r>
        <w:rPr>
          <w:rtl w:val="true"/>
        </w:rPr>
        <w:t>التبرّك اصطلاحاً</w:t>
      </w:r>
      <w:bookmarkEnd w:id="177"/>
    </w:p>
    <w:p>
      <w:pPr>
        <w:pStyle w:val="Heading5"/>
        <w:numPr>
          <w:ilvl w:val="4"/>
          <w:numId w:val="1"/>
        </w:numPr>
        <w:rPr/>
      </w:pPr>
      <w:bookmarkStart w:id="178" w:name="__RefHeading___Toc6863518_73709187"/>
      <w:bookmarkStart w:id="179" w:name="_Toc66"/>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التبرّك اصطلاحاً هو طلب ثبوت الخير الإلهي في الشيء</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فالمتبرِّك بالقرآن وبالآثار المتبقية عن الأنبياء والأئمة، يطلب الخير الإلهي، لا بمعنى أنّها تحمل خيراً في ذاتها وإنّما يتوسّل بها لطلب الخير من اللّه سبحانه وتعالى، وعلى هذا فالأحرى أن يعدّ التبرّك من فروع التوسّل، فكلّ خير من الأثر المتبرّك به فإنّما هو من اللّه سبحانه وهو الّذي أعطاه هذا الأثر، فطلب الخير منه طلب خير من اللّه وهو كعملة ذات وجهين، فهو يطلب الخير من الأثر ظاهراً ولكن يطلبه من اللّه حقيقة، لأنّ ما للسبب من الأثر هو من اللّه سبحانه وليس منه بالذات، وهنا كلمة قيمة لبعض الأعلام نأتي بنصّها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التبرّك ليس إلّاتوسّلاً إلى اللّه تعالى بذلك المتبرّك به، سواء أكان أثراً أو مكاناً أو شخصاً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الأعيان فلاعتقاد فضلها وقربها من اللّه سبحانه وتعالى مع اعتقاد عجزها عن جلب خير أو دفع شر إلّابإذن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الآثار فلأنّها منسوبة إلى تلك الأعيان فهي مشرّفة بشرفها ومكرّمة ومعظّمة ومحبوبة لأجلها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الأمكنة فلا فضل لها لذاتها من حيث هي أمكنة، وإنّما لما يحلّ فيها ويقع من خير وبرّ، كالصلاة والصيام وجميع أنواع العبادات ممّا يقوم به عباد اللّه الصالحون، إذ تتنزّل فيها الرحمات وتحضرها الملائكة وتُغشِّيها السكينة، وهذه هي البركة الّتي تطلب من اللّه في الأماكن المقصودة لذلك</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البركة تطلب بالتعرض لها في أماكنها، بالتوجّه إلى اللّه تعالى ودعائه واستغفاره، وتذكر ما وقع في تلك الأماكن من حوادث عظيمة ومناسبات كريمة</w:t>
      </w:r>
      <w:bookmarkStart w:id="180" w:name="pg16768_165251"/>
    </w:p>
    <w:p>
      <w:pPr>
        <w:pStyle w:val="BookText"/>
        <w:rPr/>
      </w:pPr>
      <w:bookmarkEnd w:id="180"/>
      <w:r>
        <w:rPr>
          <w:rFonts w:ascii="Amiri" w:hAnsi="Amiri" w:eastAsia="Amiri" w:cs="Amiri"/>
          <w:color w:val="111111"/>
          <w:sz w:val="28"/>
          <w:sz w:val="28"/>
          <w:szCs w:val="28"/>
          <w:rtl w:val="true"/>
          <w:lang w:bidi="ar-SA"/>
        </w:rPr>
        <w:t>تحرّك النفوس وتبعث فيها الهمّة والنشاط للتشبّه بأهلها أهل الفلاح والصلاح</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إذا عرفت ذلك فلنذكر النصوص الدالّة على جواز التبرّك بين الأُمم السالفة، والأُمّة الإسلاميّة</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6863520_73709187"/>
      <w:bookmarkStart w:id="182" w:name="_Toc67"/>
      <w:bookmarkEnd w:id="181"/>
      <w:r>
        <w:rPr/>
        <w:t>1</w:t>
      </w:r>
      <w:r>
        <w:rPr>
          <w:rtl w:val="true"/>
        </w:rPr>
        <w:t xml:space="preserve">. </w:t>
      </w:r>
      <w:r>
        <w:rPr>
          <w:rtl w:val="true"/>
        </w:rPr>
        <w:t>التبرّك في الأُمم السالفة</w:t>
      </w:r>
      <w:bookmarkEnd w:id="182"/>
    </w:p>
    <w:p>
      <w:pPr>
        <w:pStyle w:val="BookText"/>
        <w:rPr/>
      </w:pPr>
      <w:r>
        <w:rPr>
          <w:rFonts w:ascii="Amiri" w:hAnsi="Amiri" w:eastAsia="Amiri" w:cs="Amiri"/>
          <w:color w:val="111111"/>
          <w:sz w:val="28"/>
          <w:sz w:val="28"/>
          <w:szCs w:val="28"/>
          <w:rtl w:val="true"/>
          <w:lang w:bidi="ar-SA"/>
        </w:rPr>
        <w:t>يظهر من الآيات والروايات أنّ التبرّك بآثار الأنبياء كان رسماً شائعاً عند الأُممّ السالفة، فكانوا يطلبون الخير تارة من الأسباب الطبيعية، وأُخرى من الأسباب غير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الخير في كلا الموردين بيد اللّه تعالى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بِيَدِكَ الْخَيْرُ</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ولكنّه ينزل ضمن أسباب خاصّة، تارة عادية طبيعية، وأُخرى على خلاف العادة، وطالب الخير تارة يقصده من القسم الأوّل وأُخرى من الثاني والسيرة جارية على هذا في أكثر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صاحب تاريخ الخميس في 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إحدى وثلاثين وثلاثمائة أرسل ملك الروم يطلب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منديلاً زعم أنّ المسيح مسح به وجهه، فصارت صورة وجهه فيه، وكان هذا المنديل في كنيسة الرهبان، وأرسل ملك الروم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أرسلت هذا المنديل أطلقت لك عشرة آلاف أسير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فأحضر المتقي للّه الفقهاء واستفتاهم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إليهم هذا المنديل، ففعل وأطلق الأسراء</w:t>
      </w:r>
      <w:r>
        <w:rPr>
          <w:rFonts w:eastAsia="Amiri" w:cs="Amiri" w:ascii="Amiri" w:hAnsi="Amiri"/>
          <w:color w:val="111111"/>
          <w:sz w:val="28"/>
          <w:szCs w:val="28"/>
          <w:rtl w:val="true"/>
          <w:lang w:bidi="ar-SA"/>
        </w:rPr>
        <w:t>.</w:t>
      </w:r>
      <w:r>
        <w:rPr>
          <w:rStyle w:val="FootnoteAnchor"/>
          <w:rtl w:val="true"/>
        </w:rPr>
        <w:footnoteReference w:id="22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نقله الدياربكري يكشف عن وجود التبرّك عند المسيحيّين وقد ورثوا الفكرة عن آبائهم وأجدادهم</w:t>
      </w:r>
      <w:r>
        <w:rPr>
          <w:rFonts w:eastAsia="Amiri" w:cs="Amiri" w:ascii="Amiri" w:hAnsi="Amiri"/>
          <w:color w:val="111111"/>
          <w:sz w:val="28"/>
          <w:szCs w:val="28"/>
          <w:rtl w:val="true"/>
          <w:lang w:bidi="ar-SA"/>
        </w:rPr>
        <w:t>.</w:t>
      </w:r>
      <w:bookmarkStart w:id="183" w:name="pg16768_165252"/>
    </w:p>
    <w:p>
      <w:pPr>
        <w:pStyle w:val="BookText"/>
        <w:rPr/>
      </w:pPr>
      <w:bookmarkEnd w:id="183"/>
      <w:r>
        <w:rPr>
          <w:rFonts w:ascii="Amiri" w:hAnsi="Amiri" w:eastAsia="Amiri" w:cs="Amiri"/>
          <w:color w:val="111111"/>
          <w:sz w:val="28"/>
          <w:sz w:val="28"/>
          <w:szCs w:val="28"/>
          <w:rtl w:val="true"/>
          <w:lang w:bidi="ar-SA"/>
        </w:rPr>
        <w:t xml:space="preserve">وقد ورد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ومشتقاتها كثيراً في الكتاب المقدس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بركة هارون وبنيه لبني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بارك المسيح تلاميذه قبل أن يصعد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انجيل لوقا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Style w:val="FootnoteAnchor"/>
          <w:rtl w:val="true"/>
        </w:rPr>
        <w:footnoteReference w:id="221"/>
      </w:r>
    </w:p>
    <w:p>
      <w:pPr>
        <w:pStyle w:val="Heading5"/>
        <w:numPr>
          <w:ilvl w:val="4"/>
          <w:numId w:val="1"/>
        </w:numPr>
        <w:rPr/>
      </w:pPr>
      <w:bookmarkStart w:id="184" w:name="__RefHeading___Toc6863522_73709187"/>
      <w:bookmarkStart w:id="185" w:name="_Toc68"/>
      <w:bookmarkEnd w:id="184"/>
      <w:r>
        <w:rPr/>
        <w:t>2</w:t>
      </w:r>
      <w:r>
        <w:rPr>
          <w:rtl w:val="true"/>
        </w:rPr>
        <w:t xml:space="preserve">. </w:t>
      </w:r>
      <w:r>
        <w:rPr>
          <w:rtl w:val="true"/>
        </w:rPr>
        <w:t>التبرّك في القرآن الكريم</w:t>
      </w:r>
      <w:bookmarkEnd w:id="185"/>
    </w:p>
    <w:p>
      <w:pPr>
        <w:pStyle w:val="BookText"/>
        <w:rPr/>
      </w:pPr>
      <w:r>
        <w:rPr>
          <w:rFonts w:ascii="Amiri" w:hAnsi="Amiri" w:eastAsia="Amiri" w:cs="Amiri"/>
          <w:color w:val="111111"/>
          <w:sz w:val="28"/>
          <w:sz w:val="28"/>
          <w:szCs w:val="28"/>
          <w:rtl w:val="true"/>
          <w:lang w:bidi="ar-SA"/>
        </w:rPr>
        <w:t>وقد ذكر القرآن الكريم التبرّك في العديد من الآيات نذكرها تباعاً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نبي اللّه يعقوب الّذي تبرّك بقميص يوسف، قال تعالى حاكياً عن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بِقَمِيصِي هذا فَأَلْقُوهُ عَلى وَجْهِ أَبِي يَأْتِ بَصِيراً وَ أْتُونِي بِأَهْلِكُمْ أَجْمَعِينَ‌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أَنْ جاءَ الْبَشِيرُ أَلْقاهُ عَلى وَجْهِهِ فَارْتَدَّ بَصِيراً قالَ أَ لَمْ أَقُلْ لَكُمْ إِنِّي أَعْلَمُ مِنَ اللّهِ ما لا تَعْلَمُونَ‌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فاللّه سبحانه هو الّذي جدّد بصر يعقوب بعدما كُفَّ‌، لكن بسبب خاص وهو قميص ولده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هي الصلة بين القميص المنسوج من القطن وإعادة البصر إلى يعقوب فغير معلومة لنا، وعلى كل تقدير فللقميص وإرادة يوسف مدخلية في إعادة البصر بإذن من اللّه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تبرّك بني إسرائيل بصندوق العهد، أي التابوت، والتابوت هو الصندوق الّذي صنعه موسى عليه السلام بأمر اللّه تعالى وقد وصفه في قاموس الكتاب المقدس بأنّ طوله كان ذراعين ونصفاً وعرضه ذراعاً ونصفاً وارتفاعه ذراعاً ونصفاً، وكان في التابوت، الوعاء الّذي يحتوي على المنّ‌، وعصا هارون الّتي أفرخت، ولوحا العهد وكان عليهما وصايا اللّه العشر المكتوبة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ويصفه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سَكِينَةٌ مِنْ رَبِّكُمْ وَ بَقِيَّةٌ مِمّا تَرَكَ آلُ مُوسى وَ آلُ هارُونَ تَحْمِلُهُ الْمَلائِكَةُ‌</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التابوت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أنزله اللّه على أُم موسى فوضعت فيه ابنها وألقته في البحر وكان في بني إسرائيل معظّماً يتبرّكون به، فلمّا حضر موسى الوفاة، وضع فيه الألواح ودرعه وما كان عنده من آثار النبوة، وأودعه عند وصيه يوشع بن نون فلم يزل التابوت بينهم، وبنو إسرائيل في عزّ وشرف ما دام فيهم</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التابوت عصا موسى وعصا هارون وثياب موسى وثياب هارون ولوحان من التوراة والمنّ وكلمة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آله إلّااللّه الحليم الكريم، وسبحان اللّه رب السماوات السبع ورب العرش العظيم، والحمدللّه رب العالمين</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تقدير فقد كان بنو إسرائيل يتبرّكون به ويحملونه عند مواجهة الأعداء فينتصرون، وكفى في قداسة التابوت أنّه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تَحْمِلُهُ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وقصة التابوت وكيفية غلبة العمالقة على بني إسرائيل وأخذ التابوت منهم، مذكورة في التفاسير، واللّه سبحانه وعدهم بأنّهم لو قاتلوا مع ملكهم طالوت، يسترجع إليهم التابوت وتحمله الملائكة إليهم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آيَةَ مُلْكِهِ أَنْ يَأْتِيَكُمُ التّابُوتُ فِيهِ سَكِينَةٌ مِنْ رَبِّكُمْ وَ بَقِيَّةٌ مِمّا تَرَكَ آلُ مُوسى وَ آلُ هارُونَ تَحْمِلُهُ الْمَلائِكَةُ‌</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 أي أنّ آية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يحارب الأعداء ويسترجع التابوت الّذي تحمله الملائكة فيرونه بنو إسرائيل عياناً</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التبرّك بأصحاب الكهف، فعندما يذكر اللّه سبحانه وتعالى أصحاب الكهف والرقيم في سورة الكهف يبتدئ ببيان قصتهم بالآية التاسعة ويختمها بالآية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نزلت هذه الآيات لتشدّ قلوب المؤمنين وتثبت الإيمان فيها، وذلك بالوقوف على مصير أصحاب الكهف الذين تركوا متاع الحياة الدنيا وزينتها وهجروا مجتمعهم الغارق في الوثنية والتجأوا إلى كهف ضيّق موحش من أجل أن تبقى قلوبهم عامرة بالعقيدة الصحيحة، متوهّجة بحرارة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علم سبحانه صدقهم وثباتهم في طريق التوحيد شملتهم عناية اللّه تبارك وتعالى فالتجأوا إلى الكهف، فأطبق اللّه سبحانه على آذانهم فناموا سنين طويلة، وبذلك خلصوا من مكائد الملك وأعوانه الذين كانوا يروّجون الوثنية ويحاربون الموحّدين، فلمّا بعثهم اللّه سبحانه بعد مضي ثلاثة قرون وانكشف أمرهم للناس، وثبت أنّ وعد اللّه حق حيث إنّ إيقاظهم الّذي يشبه البعث والإحياء بعد إنامتهم الّتي تُشبه الموت، أقوى دليل على قدرته سبحانه على أن يبعث الناس يوم القيامة ثم إنّه بعدما تبيّن ما هو الغرض من إنامتهم وإيقاظهم أماتهم اللّه سبحانه واختلف الناس في حقّهم وفي شأنهم، فذهب فريق منهم إلى إغلاق باب الكهف وسترهم عن أعين الناس وجعلهم وراء البنيان وإلى هذا يشير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ابْنُوا عَلَيْهِمْ بُنْياناً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والقائلون بذلك هم الأقلية الوثنية، أرادوا بذلك أن يخفوا أمرهم لكي ينساه الناس ولا يتحدّثون به،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تحقيراً بشأنهم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رَبُّهُمْ أَعْلَمُ 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وقال الفريق الآخر،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غَلَبُوا عَلى أَمْرِهِمْ‌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أي على أمر القائلين بالاقتراح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لَنَتَّخِذَنَّ عَلَيْهِمْ مَسْجِداً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تتعبّدون فيه للّه سبحانه تبركاً بتربتهم، وهذا يدل على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جواز بناء المساجد على قبور الأولياء</w:t>
      </w:r>
      <w:r>
        <w:rPr>
          <w:rFonts w:eastAsia="Amiri" w:cs="Amiri" w:ascii="Amiri" w:hAnsi="Amiri"/>
          <w:color w:val="111111"/>
          <w:sz w:val="28"/>
          <w:szCs w:val="28"/>
          <w:rtl w:val="true"/>
          <w:lang w:bidi="ar-SA"/>
        </w:rPr>
        <w:t>.</w:t>
      </w:r>
      <w:bookmarkStart w:id="186" w:name="pg16768_165255"/>
    </w:p>
    <w:p>
      <w:pPr>
        <w:pStyle w:val="BookText"/>
        <w:rPr/>
      </w:pPr>
      <w:bookmarkEnd w:id="18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 التبرّك بتربة القبور، لأنّ القرآن يذكر ذلك من دون ردّ واعتراض، بل يظهر منه التأييد والموافقة</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6863524_73709187"/>
      <w:bookmarkStart w:id="188" w:name="_Toc69"/>
      <w:bookmarkEnd w:id="187"/>
      <w:r>
        <w:rPr>
          <w:rtl w:val="true"/>
        </w:rPr>
        <w:t>تبرّك الصحابة بآثار النبي صلى الله عليه و آله</w:t>
      </w:r>
      <w:bookmarkEnd w:id="188"/>
    </w:p>
    <w:p>
      <w:pPr>
        <w:pStyle w:val="Heading5"/>
        <w:numPr>
          <w:ilvl w:val="4"/>
          <w:numId w:val="1"/>
        </w:numPr>
        <w:rPr/>
      </w:pPr>
      <w:bookmarkStart w:id="189" w:name="__RefHeading___Toc6863526_73709187"/>
      <w:bookmarkStart w:id="190" w:name="_Toc70"/>
      <w:bookmarkEnd w:id="189"/>
      <w:r>
        <w:rPr>
          <w:rtl w:val="true"/>
        </w:rPr>
        <w:t>اشارة</w:t>
      </w:r>
      <w:bookmarkEnd w:id="190"/>
    </w:p>
    <w:p>
      <w:pPr>
        <w:pStyle w:val="BookText"/>
        <w:rPr/>
      </w:pPr>
      <w:r>
        <w:rPr>
          <w:rFonts w:ascii="Amiri" w:hAnsi="Amiri" w:eastAsia="Amiri" w:cs="Amiri"/>
          <w:color w:val="111111"/>
          <w:sz w:val="28"/>
          <w:sz w:val="28"/>
          <w:szCs w:val="28"/>
          <w:rtl w:val="true"/>
          <w:lang w:bidi="ar-SA"/>
        </w:rPr>
        <w:t>ذكر أصحاب السير والتاريخ تبرّك الصحابة بأنواع متعددة من آثار النبي صلى الله عليه و آله نظير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التبرّك بماء وضوئه، وبريقه، وبنخامته، وبدمه، وبشعره، وبسؤره، وبطعامه، وبأظافره، وبلباسه، وبأوانيه، وبما لمسه، وبمصلاه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ما جاء في الموسوعة الفقهية الكويتية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ولكن الموارد أوسع ممّا ذكر هناك، ولأجل الإشارة إلى شيء منها، نذكر بعض النصوص</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6863528_73709187"/>
      <w:bookmarkStart w:id="192" w:name="_Toc71"/>
      <w:bookmarkEnd w:id="191"/>
      <w:r>
        <w:rPr/>
        <w:t>1</w:t>
      </w:r>
      <w:r>
        <w:rPr>
          <w:rtl w:val="true"/>
        </w:rPr>
        <w:t xml:space="preserve">. </w:t>
      </w:r>
      <w:r>
        <w:rPr>
          <w:rtl w:val="true"/>
        </w:rPr>
        <w:t>التبرّك بماء وضوئه صلى الله عليه و آله</w:t>
      </w:r>
      <w:bookmarkEnd w:id="19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أرسلت قريش عروة بن مسعود الثقفي ليمثّلها في صلح الحديبية مع رسول اللّه صلى الله عليه و آله، وكلّمه رسول اللّه بنحو ما كلّم به أصحابه وأخبره أنّه لم يأت يريد حرباً وبعدما تمت المذاكرة بين الطرفين قام عروة من عند رسول اللّه صلى الله عليه و آله وقد رأى ما يصنع به أصحابه، لا يتوضّأ، إلّاابتدروا وضوءه، ولا يَبْصق بُصاقاً إلّاابتدروه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يسقط من شعره شيء إلّاأخذوه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إنّي قد جئت كِسْرى في مُلكه، وقيصر في مُلكه، والنجاشيِّ في مُلكه، وإني واللّه ما رأيت مَلِكاً في قوم قط مثلَ محمد في أصحابه، ولقد رأيت قوماً لا يُسلمونه لشيء أبداً، فَرَوا رأيكم</w:t>
      </w:r>
      <w:r>
        <w:rPr>
          <w:rFonts w:eastAsia="Amiri" w:cs="Amiri" w:ascii="Amiri" w:hAnsi="Amiri"/>
          <w:color w:val="111111"/>
          <w:sz w:val="28"/>
          <w:szCs w:val="28"/>
          <w:rtl w:val="true"/>
          <w:lang w:bidi="ar-SA"/>
        </w:rPr>
        <w:t>.</w:t>
      </w:r>
      <w:r>
        <w:rPr>
          <w:rStyle w:val="FootnoteAnchor"/>
          <w:rtl w:val="true"/>
        </w:rPr>
        <w:footnoteReference w:id="227"/>
      </w:r>
      <w:bookmarkStart w:id="193" w:name="pg16768_165256"/>
    </w:p>
    <w:p>
      <w:pPr>
        <w:pStyle w:val="Heading5"/>
        <w:numPr>
          <w:ilvl w:val="4"/>
          <w:numId w:val="1"/>
        </w:numPr>
        <w:rPr/>
      </w:pPr>
      <w:bookmarkStart w:id="194" w:name="__RefHeading___Toc6863530_73709187"/>
      <w:bookmarkStart w:id="195" w:name="_Toc72"/>
      <w:bookmarkEnd w:id="193"/>
      <w:bookmarkEnd w:id="194"/>
      <w:r>
        <w:rPr/>
        <w:t>2</w:t>
      </w:r>
      <w:r>
        <w:rPr>
          <w:rtl w:val="true"/>
        </w:rPr>
        <w:t xml:space="preserve">. </w:t>
      </w:r>
      <w:r>
        <w:rPr>
          <w:rtl w:val="true"/>
        </w:rPr>
        <w:t>التبرّك بقدحه</w:t>
      </w:r>
      <w:bookmarkEnd w:id="195"/>
    </w:p>
    <w:p>
      <w:pPr>
        <w:pStyle w:val="BookText"/>
        <w:rPr/>
      </w:pPr>
      <w:r>
        <w:rPr>
          <w:rFonts w:ascii="Amiri" w:hAnsi="Amiri" w:eastAsia="Amiri" w:cs="Amiri"/>
          <w:color w:val="111111"/>
          <w:sz w:val="28"/>
          <w:sz w:val="28"/>
          <w:szCs w:val="28"/>
          <w:rtl w:val="true"/>
          <w:lang w:bidi="ar-SA"/>
        </w:rPr>
        <w:t>أخرج البخاري في صحيحه عن أبي حازم، عن سهل بن سعد،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النبي صلى الله عليه و آله يومئذٍ حتّى جلس في سقيفة بني ساعدة هو وأصحابه،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اسقنا يا سهل، فأخرجت لهم هذا القدح فأسقيتهم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لنا سهل ذلك القدح فشربنا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استوهبه عمر بن عبدالعزيز بعد ذلك فوهبه له</w:t>
      </w:r>
      <w:r>
        <w:rPr>
          <w:rFonts w:eastAsia="Amiri" w:cs="Amiri" w:ascii="Amiri" w:hAnsi="Amiri"/>
          <w:color w:val="111111"/>
          <w:sz w:val="28"/>
          <w:szCs w:val="28"/>
          <w:rtl w:val="true"/>
          <w:lang w:bidi="ar-SA"/>
        </w:rPr>
        <w:t>.</w:t>
      </w:r>
      <w:r>
        <w:rPr>
          <w:rStyle w:val="FootnoteAnchor"/>
          <w:rtl w:val="true"/>
        </w:rPr>
        <w:footnoteReference w:id="228"/>
      </w:r>
    </w:p>
    <w:p>
      <w:pPr>
        <w:pStyle w:val="Heading5"/>
        <w:numPr>
          <w:ilvl w:val="4"/>
          <w:numId w:val="1"/>
        </w:numPr>
        <w:rPr/>
      </w:pPr>
      <w:bookmarkStart w:id="196" w:name="__RefHeading___Toc6863532_73709187"/>
      <w:bookmarkStart w:id="197" w:name="_Toc73"/>
      <w:bookmarkEnd w:id="196"/>
      <w:r>
        <w:rPr/>
        <w:t>3</w:t>
      </w:r>
      <w:r>
        <w:rPr>
          <w:rtl w:val="true"/>
        </w:rPr>
        <w:t xml:space="preserve">. </w:t>
      </w:r>
      <w:r>
        <w:rPr>
          <w:rtl w:val="true"/>
        </w:rPr>
        <w:t>التبرّك بسؤره</w:t>
      </w:r>
      <w:bookmarkEnd w:id="197"/>
    </w:p>
    <w:p>
      <w:pPr>
        <w:pStyle w:val="BookText"/>
        <w:rPr/>
      </w:pPr>
      <w:r>
        <w:rPr>
          <w:rFonts w:ascii="Amiri" w:hAnsi="Amiri" w:eastAsia="Amiri" w:cs="Amiri"/>
          <w:color w:val="111111"/>
          <w:sz w:val="28"/>
          <w:sz w:val="28"/>
          <w:szCs w:val="28"/>
          <w:rtl w:val="true"/>
          <w:lang w:bidi="ar-SA"/>
        </w:rPr>
        <w:t>روى أحمد بن حنبل عن أبي صالح، عن أُم هاني أنّ‌النبي صلى الله عليه و آله دخل عليها يوم الفتح، فأتته بشراب، فشرب منه، ثم فضلت منه فضلة، فناولها فشربته،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فعلت شيئاً ما أدري يوافقك أم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ذاك يا أُمّ 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صائمة فكرهت أن أرد فضلك فشربته،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تطوعاً أو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تطوُّعاً،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الصائم المتطوع بالخيار إن شاء صام، وإن شاء أفطر</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 w:name="__RefHeading___Toc6863534_73709187"/>
      <w:bookmarkStart w:id="199" w:name="_Toc74"/>
      <w:bookmarkEnd w:id="198"/>
      <w:r>
        <w:rPr/>
        <w:t>4</w:t>
      </w:r>
      <w:r>
        <w:rPr>
          <w:rtl w:val="true"/>
        </w:rPr>
        <w:t xml:space="preserve">. </w:t>
      </w:r>
      <w:r>
        <w:rPr>
          <w:rtl w:val="true"/>
        </w:rPr>
        <w:t>التبرّك بمنبره</w:t>
      </w:r>
      <w:bookmarkEnd w:id="199"/>
    </w:p>
    <w:p>
      <w:pPr>
        <w:pStyle w:val="BookText"/>
        <w:rPr/>
      </w:pPr>
      <w:r>
        <w:rPr>
          <w:rFonts w:ascii="Amiri" w:hAnsi="Amiri" w:eastAsia="Amiri" w:cs="Amiri"/>
          <w:color w:val="111111"/>
          <w:sz w:val="28"/>
          <w:sz w:val="28"/>
          <w:szCs w:val="28"/>
          <w:rtl w:val="true"/>
          <w:lang w:bidi="ar-SA"/>
        </w:rPr>
        <w:t>سأل عبداللّه بن أحمد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يمسّ منبر النبي صلى الله عليه و آله ويتبرّك بمسّه، ويقبّله، ويفعل بالقبر مثل ذلك، أو نحو ذلك، يريد بذلك التقرب إلى اللّه جلّ وعزّ،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Style w:val="FootnoteAnchor"/>
          <w:rtl w:val="true"/>
        </w:rPr>
        <w:footnoteReference w:id="23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محقّق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ومعرفة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الحديث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مسّ منبر النبي صلى الله عليه و آله فقد أثبت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الباهر لزوّار المقابر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 عن ابن عُمر، دون غيره من الصحابة، وروى أبو بكر بن أبي شيبة في 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زيد بن الحباب قال حدّثني أبو مودود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بن عبدالملك بن قسيط،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نفراً من أصحاب النبي صلى الله عليه و آله إذا خلا لهم المسجد قاموا إلى رُمّانة المنبر القرعاء فمسحوها ودعوا،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يزيد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الكرماني حول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جاء إلى الحجر الأسود فقبّله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أنّك حجر لا تضرّ ولا تنفع ولولا أنّي رأيت النبي يقبلك ما قبلتك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تقبيل الأماكن الشريفة على قصد التبرّك وكذلك تقبيل أيدي الصالحين وأرجلهم فهو حسن محمود باعتبار القصد والنية، وقد سأل أبو هريرة الحسن رضى الله عنه أن يكشف له المكان الّذي قبّله رسول اللّه صلى الله عليه و آله وهو سرته فقبّله تبرّكاً بآثاره وذريته صلى الله عليه و آله، وقد كان ثابت البناني لا يدع يد أنس رضى الله عنه حتّى يقبّلها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مسّت يد رسول اللّه،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الحافظ أبو سعيد ابن العلائي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كلام أحمد بن حنبل في جزه قديم عليه خط ابن ناصر وغيره من الحفاظ ان الإمام أحمد سئل عن تقبيل قبر النبي صلى الله عليه و آله وتقبيل منبره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فأريناه للشيخ تقي الدين بن تيمية، فصار يتعجّب من ذلك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أحمد عندي جليل يقوله هذا كلامه أو معنى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عجب في ذلك وقد روينا عن الإمام أحمد انّه غسل قميصاً للشافعي وشرب الماء الّذي غسله به، وإذا كان هذا تعظيمه لأهل العلم فكيف بمقادير الصحابة وكيف بآثار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أحسن مجنون ليلى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على الديار ديار ليلى أُقبّل ذا الجدار وذا الجدارا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حبّ الديار شغفن قلبي ولكن حب من سكن الديارا</w:t>
      </w:r>
      <w:r>
        <w:rPr>
          <w:rStyle w:val="FootnoteAnchor"/>
          <w:rtl w:val="true"/>
        </w:rPr>
        <w:footnoteReference w:id="231"/>
      </w:r>
      <w:bookmarkStart w:id="200" w:name="pg16768_165258"/>
    </w:p>
    <w:p>
      <w:pPr>
        <w:pStyle w:val="Heading5"/>
        <w:numPr>
          <w:ilvl w:val="4"/>
          <w:numId w:val="1"/>
        </w:numPr>
        <w:rPr/>
      </w:pPr>
      <w:bookmarkStart w:id="201" w:name="__RefHeading___Toc6863536_73709187"/>
      <w:bookmarkStart w:id="202" w:name="_Toc75"/>
      <w:bookmarkEnd w:id="200"/>
      <w:bookmarkEnd w:id="201"/>
      <w:r>
        <w:rPr/>
        <w:t>5</w:t>
      </w:r>
      <w:r>
        <w:rPr>
          <w:rtl w:val="true"/>
        </w:rPr>
        <w:t xml:space="preserve">. </w:t>
      </w:r>
      <w:r>
        <w:rPr>
          <w:rtl w:val="true"/>
        </w:rPr>
        <w:t>التبرّك بالدنيانير الّتي لمسها النبي صلى الله عليه و آله</w:t>
      </w:r>
      <w:bookmarkEnd w:id="202"/>
    </w:p>
    <w:p>
      <w:pPr>
        <w:pStyle w:val="BookText"/>
        <w:rPr/>
      </w:pPr>
      <w:r>
        <w:rPr>
          <w:rFonts w:ascii="Amiri" w:hAnsi="Amiri" w:eastAsia="Amiri" w:cs="Amiri"/>
          <w:color w:val="111111"/>
          <w:sz w:val="28"/>
          <w:sz w:val="28"/>
          <w:szCs w:val="28"/>
          <w:rtl w:val="true"/>
          <w:lang w:bidi="ar-SA"/>
        </w:rPr>
        <w:t>أخرج أحمد في مسنده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النبي في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وكنت على جمل فاعتلّ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فلحقني رسول اللّه صلى الله عليه و آله وأنا في آخر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اعتلّ بعيري،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بذنبه ثم زجره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زلت إنّما أنا في أوّل الناس يهمني رأسه فلمّا دنونا من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هو 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قد أخذته بأُوقيةٍ‌، اركبه فإذا قدمتَ فائتنا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المدينة جئت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بلال زن أوقيةً وزده قيراطاً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قيراط زادنيه رسول اللّه صلى الله عليه و آله لا يفارقني أبداً حتّى أموت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فجعلته في كيس فلم يزل عني حتّى جاء أهل الشام يوم الحرة فأخذوه فيما أخذوا</w:t>
      </w:r>
      <w:r>
        <w:rPr>
          <w:rFonts w:eastAsia="Amiri" w:cs="Amiri" w:ascii="Amiri" w:hAnsi="Amiri"/>
          <w:color w:val="111111"/>
          <w:sz w:val="28"/>
          <w:szCs w:val="28"/>
          <w:rtl w:val="true"/>
          <w:lang w:bidi="ar-SA"/>
        </w:rPr>
        <w:t>.</w:t>
      </w:r>
      <w:r>
        <w:rPr>
          <w:rStyle w:val="FootnoteAnchor"/>
          <w:rtl w:val="true"/>
        </w:rPr>
        <w:footnoteReference w:id="232"/>
      </w:r>
    </w:p>
    <w:p>
      <w:pPr>
        <w:pStyle w:val="Heading5"/>
        <w:numPr>
          <w:ilvl w:val="4"/>
          <w:numId w:val="1"/>
        </w:numPr>
        <w:rPr/>
      </w:pPr>
      <w:bookmarkStart w:id="203" w:name="__RefHeading___Toc6863538_73709187"/>
      <w:bookmarkStart w:id="204" w:name="_Toc76"/>
      <w:bookmarkEnd w:id="203"/>
      <w:r>
        <w:rPr/>
        <w:t>6</w:t>
      </w:r>
      <w:r>
        <w:rPr>
          <w:rtl w:val="true"/>
        </w:rPr>
        <w:t xml:space="preserve">. </w:t>
      </w:r>
      <w:r>
        <w:rPr>
          <w:rtl w:val="true"/>
        </w:rPr>
        <w:t>التبرّك بالعصا الّتي أعطاها النبي صلى الله عليه و آله</w:t>
      </w:r>
      <w:bookmarkEnd w:id="204"/>
    </w:p>
    <w:p>
      <w:pPr>
        <w:pStyle w:val="BookText"/>
        <w:rPr/>
      </w:pPr>
      <w:r>
        <w:rPr>
          <w:rFonts w:ascii="Amiri" w:hAnsi="Amiri" w:eastAsia="Amiri" w:cs="Amiri"/>
          <w:color w:val="111111"/>
          <w:sz w:val="28"/>
          <w:sz w:val="28"/>
          <w:szCs w:val="28"/>
          <w:rtl w:val="true"/>
          <w:lang w:bidi="ar-SA"/>
        </w:rPr>
        <w:t>روى أحمد في مسنده عن عبداللّه بن أنيس في حديث فلمّا قدمت على رسول اللّه صلى الله عليه و آله فرآني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أفلح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يا رسول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معي رسول اللّه صلى الله عليه و آله فدخل في بيته فأعطاني عصاً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 هذه عندك، يا عبداللّه بن أنيس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بها على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العصا؟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أعطانيها رسول اللّه صلى الله عليه و آله وأمرني أن أمسكها،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ترجع إلى رسول اللّه صلى الله عليه و آله فتسأله عن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رسول اللّه صلى الله عليه و آله فقلت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لم أعطيتني هذه العصا؟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بيني وبينك يوم القيامة، إنّ أقل الناس المتخصّرون يومئذٍ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فقرنها عبداللّه بسيفه فلم تزل معه حتّى إذا مات أمر بها فصبت معه في كفنه ثم دفنا جميعاً</w:t>
      </w:r>
      <w:r>
        <w:rPr>
          <w:rFonts w:eastAsia="Amiri" w:cs="Amiri" w:ascii="Amiri" w:hAnsi="Amiri"/>
          <w:color w:val="111111"/>
          <w:sz w:val="28"/>
          <w:szCs w:val="28"/>
          <w:rtl w:val="true"/>
          <w:lang w:bidi="ar-SA"/>
        </w:rPr>
        <w:t>.</w:t>
      </w:r>
      <w:r>
        <w:rPr>
          <w:rStyle w:val="FootnoteAnchor"/>
          <w:rtl w:val="true"/>
        </w:rPr>
        <w:footnoteReference w:id="233"/>
      </w:r>
      <w:bookmarkStart w:id="205" w:name="pg16768_165259"/>
    </w:p>
    <w:p>
      <w:pPr>
        <w:pStyle w:val="Heading5"/>
        <w:numPr>
          <w:ilvl w:val="4"/>
          <w:numId w:val="1"/>
        </w:numPr>
        <w:rPr/>
      </w:pPr>
      <w:bookmarkStart w:id="206" w:name="__RefHeading___Toc6863540_73709187"/>
      <w:bookmarkStart w:id="207" w:name="_Toc77"/>
      <w:bookmarkEnd w:id="205"/>
      <w:bookmarkEnd w:id="206"/>
      <w:r>
        <w:rPr/>
        <w:t>7</w:t>
      </w:r>
      <w:r>
        <w:rPr>
          <w:rtl w:val="true"/>
        </w:rPr>
        <w:t xml:space="preserve">. </w:t>
      </w:r>
      <w:r>
        <w:rPr>
          <w:rtl w:val="true"/>
        </w:rPr>
        <w:t>التبرّك بقميص النبي صلى الله عليه و آله</w:t>
      </w:r>
      <w:bookmarkEnd w:id="207"/>
    </w:p>
    <w:p>
      <w:pPr>
        <w:pStyle w:val="BookText"/>
        <w:rPr/>
      </w:pPr>
      <w:r>
        <w:rPr>
          <w:rFonts w:ascii="Amiri" w:hAnsi="Amiri" w:eastAsia="Amiri" w:cs="Amiri"/>
          <w:color w:val="111111"/>
          <w:sz w:val="28"/>
          <w:sz w:val="28"/>
          <w:szCs w:val="28"/>
          <w:rtl w:val="true"/>
          <w:lang w:bidi="ar-SA"/>
        </w:rPr>
        <w:t>روى ابن عبد البر في ترجمة فاطمة بنت أسد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وهاجرتْ إلى المدينة وتوفيت بها، وقال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أوّل هاشمية ولدت 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أسلمت وهاجرت إلى اللّه ورسوله وماتت بالمدينة في حياة النبي صلى الله عليه و آله وشهدها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سعدان بن الوليد السابري، عن عطاء ابن أبي رباح،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ماتت فاطمة أُم علي بن أبي طالب ألبسها رسول اللّه صلى الله عليه و آله قميصه واضطجع معها في قبرها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رأيناك صنعت ما صنعت بهذه،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يكن أحد بعد أبي طالب أبرّ بي منها، إنّما ألبستها قميصي لتكسي من حلل الجنة واضطجعت معها ليهون عليها</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 w:name="__RefHeading___Toc6863542_73709187"/>
      <w:bookmarkStart w:id="209" w:name="_Toc78"/>
      <w:bookmarkEnd w:id="208"/>
      <w:r>
        <w:rPr/>
        <w:t>8</w:t>
      </w:r>
      <w:r>
        <w:rPr>
          <w:rtl w:val="true"/>
        </w:rPr>
        <w:t xml:space="preserve">. </w:t>
      </w:r>
      <w:r>
        <w:rPr>
          <w:rtl w:val="true"/>
        </w:rPr>
        <w:t>التبرّك بالبردة المهداة</w:t>
      </w:r>
      <w:bookmarkEnd w:id="209"/>
    </w:p>
    <w:p>
      <w:pPr>
        <w:pStyle w:val="Heading6"/>
        <w:numPr>
          <w:ilvl w:val="5"/>
          <w:numId w:val="1"/>
        </w:numPr>
        <w:rPr/>
      </w:pPr>
      <w:bookmarkStart w:id="210" w:name="__RefHeading___Toc6863544_73709187"/>
      <w:bookmarkStart w:id="211" w:name="_Toc79"/>
      <w:bookmarkEnd w:id="210"/>
      <w:r>
        <w:rPr>
          <w:rtl w:val="true"/>
        </w:rPr>
        <w:t>اشارة</w:t>
      </w:r>
      <w:bookmarkEnd w:id="211"/>
    </w:p>
    <w:p>
      <w:pPr>
        <w:pStyle w:val="BookText"/>
        <w:rPr/>
      </w:pPr>
      <w:r>
        <w:rPr>
          <w:rFonts w:ascii="Amiri" w:hAnsi="Amiri" w:eastAsia="Amiri" w:cs="Amiri"/>
          <w:color w:val="111111"/>
          <w:sz w:val="28"/>
          <w:sz w:val="28"/>
          <w:szCs w:val="28"/>
          <w:rtl w:val="true"/>
          <w:lang w:bidi="ar-SA"/>
        </w:rPr>
        <w:t>قدم كعب بن زهير على الرسول صلى الله عليه و آله وأنشد قصيدته اللامية المعروفة الّتي مستهلها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بانت سعاد فقلبي اليوم مبتول متيّم إثرها لم يُفد مكبول</w:t>
      </w:r>
    </w:p>
    <w:p>
      <w:pPr>
        <w:pStyle w:val="BookText"/>
        <w:rPr/>
      </w:pPr>
      <w:r>
        <w:rPr>
          <w:rFonts w:ascii="Amiri" w:hAnsi="Amiri" w:eastAsia="Amiri" w:cs="Amiri"/>
          <w:color w:val="111111"/>
          <w:sz w:val="28"/>
          <w:sz w:val="28"/>
          <w:szCs w:val="28"/>
          <w:rtl w:val="true"/>
          <w:lang w:bidi="ar-SA"/>
        </w:rPr>
        <w:t>وجاء فيها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ابن أُنثى وإن طالت سلامته يوماً على آلةٍ حدباء محمول</w:t>
      </w:r>
    </w:p>
    <w:p>
      <w:pPr>
        <w:pStyle w:val="BookText"/>
        <w:rPr/>
      </w:pPr>
      <w:r>
        <w:rPr>
          <w:rFonts w:ascii="Amiri" w:hAnsi="Amiri" w:eastAsia="Amiri" w:cs="Amiri"/>
          <w:color w:val="111111"/>
          <w:sz w:val="28"/>
          <w:sz w:val="28"/>
          <w:szCs w:val="28"/>
          <w:rtl w:val="true"/>
          <w:lang w:bidi="ar-SA"/>
        </w:rPr>
        <w:t>أُنبئت أنّ رسول اللّه أوعدني والعفو عند رسول اللّه مأمول</w:t>
      </w:r>
    </w:p>
    <w:p>
      <w:pPr>
        <w:pStyle w:val="BookText"/>
        <w:rPr/>
      </w:pPr>
      <w:r>
        <w:rPr>
          <w:rFonts w:ascii="Amiri" w:hAnsi="Amiri" w:eastAsia="Amiri" w:cs="Amiri"/>
          <w:color w:val="111111"/>
          <w:sz w:val="28"/>
          <w:sz w:val="28"/>
          <w:szCs w:val="28"/>
          <w:rtl w:val="true"/>
          <w:lang w:bidi="ar-SA"/>
        </w:rPr>
        <w:t>إنّ الرسول لنور يستضاء به مهنّد من سيوف اللّه مسلول</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الدياربكري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عليه رسول اللّه صلى الله عليه و آله بردة كانت عليه، وأنّ معاوية بذل له فيها عشرة آلاف مثقال،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لأُوثر بثوب رسول اللّه صلى الله عليه و آله أحداً، فلمّا مات كعب بعث معاوية إلى ورثته بعشرين ألفاً فأخذها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البردة الّتي عند السلاطين إلى اليوم</w:t>
      </w:r>
      <w:r>
        <w:rPr>
          <w:rFonts w:eastAsia="Amiri" w:cs="Amiri" w:ascii="Amiri" w:hAnsi="Amiri"/>
          <w:color w:val="111111"/>
          <w:sz w:val="28"/>
          <w:szCs w:val="28"/>
          <w:rtl w:val="true"/>
          <w:lang w:bidi="ar-SA"/>
        </w:rPr>
        <w:t>.</w:t>
      </w:r>
      <w:r>
        <w:rPr>
          <w:rStyle w:val="FootnoteAnchor"/>
          <w:rtl w:val="true"/>
        </w:rPr>
        <w:footnoteReference w:id="235"/>
      </w:r>
      <w:bookmarkStart w:id="212" w:name="pg16768_165260"/>
    </w:p>
    <w:p>
      <w:pPr>
        <w:pStyle w:val="Heading6"/>
        <w:numPr>
          <w:ilvl w:val="5"/>
          <w:numId w:val="1"/>
        </w:numPr>
        <w:rPr/>
      </w:pPr>
      <w:bookmarkStart w:id="213" w:name="__RefHeading___Toc6863546_73709187"/>
      <w:bookmarkStart w:id="214" w:name="_Toc80"/>
      <w:bookmarkEnd w:id="212"/>
      <w:bookmarkEnd w:id="213"/>
      <w:r>
        <w:rPr>
          <w:rtl w:val="true"/>
        </w:rPr>
        <w:t>التبرّك بجبّته صلى الله عليه و آله</w:t>
      </w:r>
      <w:bookmarkEnd w:id="214"/>
    </w:p>
    <w:p>
      <w:pPr>
        <w:pStyle w:val="BookText"/>
        <w:rPr/>
      </w:pPr>
      <w:r>
        <w:rPr>
          <w:rFonts w:ascii="Amiri" w:hAnsi="Amiri" w:eastAsia="Amiri" w:cs="Amiri"/>
          <w:color w:val="111111"/>
          <w:sz w:val="28"/>
          <w:sz w:val="28"/>
          <w:szCs w:val="28"/>
          <w:rtl w:val="true"/>
          <w:lang w:bidi="ar-SA"/>
        </w:rPr>
        <w:t>روى مسلم عن أسماء بنت أبي بكر أنّها أخرجت جبّة رسول اللّه صلى الله عليه و آله كانت عند عائشة، فلمّا قبضت قبضتها، وكان النبي صلى الله عليه و آله يلبسها، فنحن نغسلها للمرضى ونستشفي بها</w:t>
      </w:r>
      <w:r>
        <w:rPr>
          <w:rFonts w:eastAsia="Amiri" w:cs="Amiri" w:ascii="Amiri" w:hAnsi="Amiri"/>
          <w:color w:val="111111"/>
          <w:sz w:val="28"/>
          <w:szCs w:val="28"/>
          <w:rtl w:val="true"/>
          <w:lang w:bidi="ar-SA"/>
        </w:rPr>
        <w:t>.</w:t>
      </w:r>
      <w:r>
        <w:rPr>
          <w:rStyle w:val="FootnoteAnchor"/>
          <w:rtl w:val="true"/>
        </w:rPr>
        <w:footnoteReference w:id="236"/>
      </w:r>
    </w:p>
    <w:p>
      <w:pPr>
        <w:pStyle w:val="Heading5"/>
        <w:numPr>
          <w:ilvl w:val="4"/>
          <w:numId w:val="1"/>
        </w:numPr>
        <w:rPr/>
      </w:pPr>
      <w:bookmarkStart w:id="215" w:name="__RefHeading___Toc6863548_73709187"/>
      <w:bookmarkStart w:id="216" w:name="_Toc81"/>
      <w:bookmarkEnd w:id="215"/>
      <w:r>
        <w:rPr/>
        <w:t>9</w:t>
      </w:r>
      <w:r>
        <w:rPr>
          <w:rtl w:val="true"/>
        </w:rPr>
        <w:t xml:space="preserve">. </w:t>
      </w:r>
      <w:r>
        <w:rPr>
          <w:rtl w:val="true"/>
        </w:rPr>
        <w:t>التبرّك بالقبر الشريف</w:t>
      </w:r>
      <w:bookmarkEnd w:id="216"/>
    </w:p>
    <w:p>
      <w:pPr>
        <w:pStyle w:val="BookText"/>
        <w:rPr/>
      </w:pPr>
      <w:r>
        <w:rPr>
          <w:rFonts w:ascii="Amiri" w:hAnsi="Amiri" w:eastAsia="Amiri" w:cs="Amiri"/>
          <w:color w:val="111111"/>
          <w:sz w:val="28"/>
          <w:sz w:val="28"/>
          <w:szCs w:val="28"/>
          <w:rtl w:val="true"/>
          <w:lang w:bidi="ar-SA"/>
        </w:rPr>
        <w:t>أخرج الحاكم في مستدركه عن داود بن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مروان يوماً فوجد رجلاً واضعاً وجهه على القبر، فأخذ برقبته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تصنع‌؟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فأقبل عليه فإذا هو أبو أيوب الأنصاري رضى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رسول اللّه صلى الله عليه و آله ولم آت الحجر،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تبكوا على الدين إذا وليه أهله ولكن ابكوا عليه إذا وليه غير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الاسناد ولم يخرجاه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البخاري ومسلم</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السمهودي عن أبي الجوزاء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قُحِطَ أهلُ المدينة قحطاً شديداً، فشكوا إلى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قبر النبي صلى الله عليه و آله فاجعلوا منه كُوَّةً إلى السماء حتّى لا يكون بينه وبين السماء سقف، ففعلوا، فمطروا حتّى نَبَتَ العُشْبُ وسمنت الإبلُ حتّى تفتقت من الشحم، فسمى عام الفتق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الزين المراغي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فتح الكُوَّة عند الجَدْب سُنَّةُ أهل المدينة حتّى الآن، يفتحون كوة في سفل قبة 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القبة الزرقاء المقدسة من جهة القبلة، وإن كان السقف حائلاً بين القبر الشريف وبين السماء</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وسنّتُهم اليوم فتحُ الباب المواجهِ للوجه الشريف من المقصورة</w:t>
      </w:r>
      <w:bookmarkStart w:id="217" w:name="pg16768_165261"/>
    </w:p>
    <w:p>
      <w:pPr>
        <w:pStyle w:val="BookText"/>
        <w:rPr/>
      </w:pPr>
      <w:bookmarkEnd w:id="217"/>
      <w:r>
        <w:rPr>
          <w:rFonts w:ascii="Amiri" w:hAnsi="Amiri" w:eastAsia="Amiri" w:cs="Amiri"/>
          <w:color w:val="111111"/>
          <w:sz w:val="28"/>
          <w:sz w:val="28"/>
          <w:szCs w:val="28"/>
          <w:rtl w:val="true"/>
          <w:lang w:bidi="ar-SA"/>
        </w:rPr>
        <w:t>المحيطة بالحجرة، والاجتماع هناك، واللّه أعلم</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وروى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الوفاة عمر بن الخطاب، قال لابنه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أُم المؤمنين عائشة،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عليك عمر السلام ويستأذن أن يدفن مع صاحبيه،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وسلم، ثم دخل عليها وهي تبكي،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عليك عمر السلام ويستأذن أن يدفن مع صاحبيه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أُريده لنفسي ولأُوثرنّه اليوم على نفسي، فلمّا أقبل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أذنت لك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شيء أهم من ذلك المضجع فإذا قبضت فاحملوني ثم سلّموا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يستأذن عمر بن الخطاب فإن أذنت لي فادفنوني، وإلّا فردّوني إلى مقابر المسلمين</w:t>
      </w:r>
      <w:r>
        <w:rPr>
          <w:rFonts w:eastAsia="Amiri" w:cs="Amiri" w:ascii="Amiri" w:hAnsi="Amiri"/>
          <w:color w:val="111111"/>
          <w:sz w:val="28"/>
          <w:szCs w:val="28"/>
          <w:rtl w:val="true"/>
          <w:lang w:bidi="ar-SA"/>
        </w:rPr>
        <w:t>.</w:t>
      </w:r>
      <w:r>
        <w:rPr>
          <w:rStyle w:val="FootnoteAnchor"/>
          <w:rtl w:val="true"/>
        </w:rPr>
        <w:footnoteReference w:id="239"/>
      </w:r>
    </w:p>
    <w:p>
      <w:pPr>
        <w:pStyle w:val="Heading5"/>
        <w:numPr>
          <w:ilvl w:val="4"/>
          <w:numId w:val="1"/>
        </w:numPr>
        <w:rPr/>
      </w:pPr>
      <w:bookmarkStart w:id="218" w:name="__RefHeading___Toc6863550_73709187"/>
      <w:bookmarkStart w:id="219" w:name="_Toc82"/>
      <w:bookmarkEnd w:id="218"/>
      <w:r>
        <w:rPr/>
        <w:t>10</w:t>
      </w:r>
      <w:r>
        <w:rPr>
          <w:rtl w:val="true"/>
        </w:rPr>
        <w:t xml:space="preserve">. </w:t>
      </w:r>
      <w:r>
        <w:rPr>
          <w:rtl w:val="true"/>
        </w:rPr>
        <w:t>التبرّك بالمواضع الّتي صلّى فيها الرسول صلى الله عليه و آله</w:t>
      </w:r>
      <w:bookmarkEnd w:id="219"/>
    </w:p>
    <w:p>
      <w:pPr>
        <w:pStyle w:val="BookText"/>
        <w:rPr/>
      </w:pPr>
      <w:r>
        <w:rPr>
          <w:rFonts w:ascii="Amiri" w:hAnsi="Amiri" w:eastAsia="Amiri" w:cs="Amiri"/>
          <w:color w:val="111111"/>
          <w:sz w:val="28"/>
          <w:sz w:val="28"/>
          <w:szCs w:val="28"/>
          <w:rtl w:val="true"/>
          <w:lang w:bidi="ar-SA"/>
        </w:rPr>
        <w:t>أخرج البخاري عن مولى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سالم بن عبداللّه يتحرّى أماكن من الطريق فيصلّي فيها ويحدّث أنّ أباه كان يصلّي فيها، وأنّه رأى النبي صلى الله عليه و آله يصلّي في تلك الأمكنة، وحدثني نافع عن ابن عمر أنّه كان يصلي في تلك الأمكنة، وسألت سالماً فلا أعلمه إلّاوافق نافعاً في الأمكنة كلها إلّاأنّهما اختلفا في مسجد بشرف الروحاء</w:t>
      </w:r>
      <w:r>
        <w:rPr>
          <w:rFonts w:eastAsia="Amiri" w:cs="Amiri" w:ascii="Amiri" w:hAnsi="Amiri"/>
          <w:color w:val="111111"/>
          <w:sz w:val="28"/>
          <w:szCs w:val="28"/>
          <w:rtl w:val="true"/>
          <w:lang w:bidi="ar-SA"/>
        </w:rPr>
        <w:t>.</w:t>
      </w:r>
      <w:r>
        <w:rPr>
          <w:rStyle w:val="FootnoteAnchor"/>
          <w:rtl w:val="true"/>
        </w:rPr>
        <w:footnoteReference w:id="240"/>
      </w:r>
    </w:p>
    <w:p>
      <w:pPr>
        <w:pStyle w:val="Heading5"/>
        <w:numPr>
          <w:ilvl w:val="4"/>
          <w:numId w:val="1"/>
        </w:numPr>
        <w:rPr/>
      </w:pPr>
      <w:bookmarkStart w:id="220" w:name="__RefHeading___Toc6863552_73709187"/>
      <w:bookmarkStart w:id="221" w:name="_Toc83"/>
      <w:bookmarkEnd w:id="220"/>
      <w:r>
        <w:rPr/>
        <w:t>11</w:t>
      </w:r>
      <w:r>
        <w:rPr>
          <w:rtl w:val="true"/>
        </w:rPr>
        <w:t xml:space="preserve">. </w:t>
      </w:r>
      <w:r>
        <w:rPr>
          <w:rtl w:val="true"/>
        </w:rPr>
        <w:t>التبرّك بخاتم النبي صلى الله عليه و آله</w:t>
      </w:r>
      <w:bookmarkEnd w:id="22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عبدالرزاق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إلينا عبداللّه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خاتماً نقشه تمثال، وأخبرنا أنّ النبي صلى الله عليه و آله لبسه مرّة أو مرّتين،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فغسله بعض من</w:t>
      </w:r>
      <w:bookmarkStart w:id="222" w:name="pg16768_165262"/>
    </w:p>
    <w:p>
      <w:pPr>
        <w:pStyle w:val="BookText"/>
        <w:rPr/>
      </w:pPr>
      <w:bookmarkEnd w:id="222"/>
      <w:r>
        <w:rPr>
          <w:rFonts w:ascii="Amiri" w:hAnsi="Amiri" w:eastAsia="Amiri" w:cs="Amiri"/>
          <w:color w:val="111111"/>
          <w:sz w:val="28"/>
          <w:sz w:val="28"/>
          <w:szCs w:val="28"/>
          <w:rtl w:val="true"/>
          <w:lang w:bidi="ar-SA"/>
        </w:rPr>
        <w:t>كان معنا فشربه</w:t>
      </w:r>
      <w:r>
        <w:rPr>
          <w:rFonts w:eastAsia="Amiri" w:cs="Amiri" w:ascii="Amiri" w:hAnsi="Amiri"/>
          <w:color w:val="111111"/>
          <w:sz w:val="28"/>
          <w:szCs w:val="28"/>
          <w:rtl w:val="true"/>
          <w:lang w:bidi="ar-SA"/>
        </w:rPr>
        <w:t>.</w:t>
      </w:r>
      <w:r>
        <w:rPr>
          <w:rStyle w:val="FootnoteAnchor"/>
          <w:rtl w:val="true"/>
        </w:rPr>
        <w:footnoteReference w:id="241"/>
      </w:r>
    </w:p>
    <w:p>
      <w:pPr>
        <w:pStyle w:val="Heading5"/>
        <w:numPr>
          <w:ilvl w:val="4"/>
          <w:numId w:val="1"/>
        </w:numPr>
        <w:rPr/>
      </w:pPr>
      <w:bookmarkStart w:id="223" w:name="__RefHeading___Toc6863554_73709187"/>
      <w:bookmarkStart w:id="224" w:name="_Toc84"/>
      <w:bookmarkEnd w:id="223"/>
      <w:r>
        <w:rPr/>
        <w:t>12</w:t>
      </w:r>
      <w:r>
        <w:rPr>
          <w:rtl w:val="true"/>
        </w:rPr>
        <w:t xml:space="preserve">. </w:t>
      </w:r>
      <w:r>
        <w:rPr>
          <w:rtl w:val="true"/>
        </w:rPr>
        <w:t>التبرّك بالمسح واللمس</w:t>
      </w:r>
      <w:bookmarkEnd w:id="224"/>
    </w:p>
    <w:p>
      <w:pPr>
        <w:pStyle w:val="BookText"/>
        <w:rPr/>
      </w:pPr>
      <w:r>
        <w:rPr>
          <w:rFonts w:ascii="Amiri" w:hAnsi="Amiri" w:eastAsia="Amiri" w:cs="Amiri"/>
          <w:color w:val="111111"/>
          <w:sz w:val="28"/>
          <w:sz w:val="28"/>
          <w:szCs w:val="28"/>
          <w:rtl w:val="true"/>
          <w:lang w:bidi="ar-SA"/>
        </w:rPr>
        <w:t>كانت الصحابة يطلبون من النبي صلى الله عليه و آله أن يمسح على رؤوسهم ويبارك لهم، ومن هؤلاء زياد بن عبد اللّه بن مالك الهلالي،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زياد منزل ميمونة أُمّ المؤمنين وكانت خالته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إنّه ابن أُختي، فدعاه فوضع يده على رأسه ثمّ حدرها على طرف أنفه، فكان بنو هلال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زلنا نعرف البركة في وجه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سعد القصة مطولة عن هشام 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الشاعر لعلي بن زياد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الذي مسح الرسول برأسه ودعا له بالخير عند المسجد</w:t>
      </w:r>
    </w:p>
    <w:p>
      <w:pPr>
        <w:pStyle w:val="BookText"/>
        <w:rPr/>
      </w:pPr>
      <w:r>
        <w:rPr>
          <w:rFonts w:ascii="Amiri" w:hAnsi="Amiri" w:eastAsia="Amiri" w:cs="Amiri"/>
          <w:color w:val="111111"/>
          <w:sz w:val="28"/>
          <w:sz w:val="28"/>
          <w:szCs w:val="28"/>
          <w:rtl w:val="true"/>
          <w:lang w:bidi="ar-SA"/>
        </w:rPr>
        <w:t>مازال ذاك النور في عرنينه حتى تبّوأ بيته في ملحد</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هذه اثنا عشر مورداً تبرّك فيها الصحابة ولم يعترض عليه أحد وكانوا يتلقون التبرّك بأنّه غير مناف للتوحيد الّذي بعث لأجله النبي صلى الله عليه و آله والموارد كثيرة نكتفي بهذا المقدار، ومن أراد التفصيل فليرجع إلى الكتابين التاليين فقد بلغا الغاية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تبرّك الصحابة بآثار النبي والصالحين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المحقّق والمؤرّخ الخبير محمد طاهر بن عبد القادر بن محمود المكي، طبع الكتاب في القاهرة، مطبعة المدني، عام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المحقّق الخبير آية اللّه علي الأحمدي الميانجي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تتبّع قدس سره في كتابه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وبنحو يثير الإعجاب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من جميع أبعادها التاريخية والحديثية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وأثبت بما لا مزيد عليه وبنحو لا يدع للترديد أو الشكّ مجالاً في أنّ سيرة المسلمين عامّة والصحابة والتابعين خاصة</w:t>
      </w:r>
      <w:bookmarkStart w:id="225" w:name="pg16768_165263"/>
    </w:p>
    <w:p>
      <w:pPr>
        <w:pStyle w:val="BookText"/>
        <w:rPr/>
      </w:pPr>
      <w:bookmarkEnd w:id="225"/>
      <w:r>
        <w:rPr>
          <w:rFonts w:ascii="Amiri" w:hAnsi="Amiri" w:eastAsia="Amiri" w:cs="Amiri"/>
          <w:color w:val="111111"/>
          <w:sz w:val="28"/>
          <w:sz w:val="28"/>
          <w:szCs w:val="28"/>
          <w:rtl w:val="true"/>
          <w:lang w:bidi="ar-SA"/>
        </w:rPr>
        <w:t>كانت قائمة على التبرّك بآثار النبي والصالحين</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6863556_73709187"/>
      <w:bookmarkStart w:id="227" w:name="_Toc85"/>
      <w:bookmarkEnd w:id="226"/>
      <w:r>
        <w:rPr>
          <w:rtl w:val="true"/>
        </w:rPr>
        <w:t>التبرّك في روايات أهل البيت عليهم السلام</w:t>
      </w:r>
      <w:bookmarkEnd w:id="227"/>
    </w:p>
    <w:p>
      <w:pPr>
        <w:pStyle w:val="Heading5"/>
        <w:numPr>
          <w:ilvl w:val="4"/>
          <w:numId w:val="1"/>
        </w:numPr>
        <w:rPr/>
      </w:pPr>
      <w:bookmarkStart w:id="228" w:name="__RefHeading___Toc6863558_73709187"/>
      <w:bookmarkStart w:id="229" w:name="_Toc86"/>
      <w:bookmarkEnd w:id="228"/>
      <w:r>
        <w:rPr>
          <w:rtl w:val="true"/>
        </w:rPr>
        <w:t>اشارة</w:t>
      </w:r>
      <w:bookmarkEnd w:id="229"/>
    </w:p>
    <w:p>
      <w:pPr>
        <w:pStyle w:val="BookText"/>
        <w:rPr/>
      </w:pPr>
      <w:r>
        <w:rPr>
          <w:rFonts w:ascii="Amiri" w:hAnsi="Amiri" w:eastAsia="Amiri" w:cs="Amiri"/>
          <w:color w:val="111111"/>
          <w:sz w:val="28"/>
          <w:sz w:val="28"/>
          <w:szCs w:val="28"/>
          <w:rtl w:val="true"/>
          <w:lang w:bidi="ar-SA"/>
        </w:rPr>
        <w:t>قد ذكرنا فيما مضى التبرّك في السنة النبوية ومصادر التاريخ، والآن نذكر ما ورد عن أئمة أهل بيت رسول اللّه صلى الله عليه و آله، وهم أعلم بما فيه</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6863560_73709187"/>
      <w:bookmarkStart w:id="231" w:name="_Toc87"/>
      <w:bookmarkEnd w:id="230"/>
      <w:r>
        <w:rPr/>
        <w:t>1</w:t>
      </w:r>
      <w:r>
        <w:rPr>
          <w:rtl w:val="true"/>
        </w:rPr>
        <w:t xml:space="preserve">. </w:t>
      </w:r>
      <w:r>
        <w:rPr>
          <w:rtl w:val="true"/>
        </w:rPr>
        <w:t>التبرّك باسم اللّه جل وعلا</w:t>
      </w:r>
      <w:bookmarkEnd w:id="231"/>
    </w:p>
    <w:p>
      <w:pPr>
        <w:pStyle w:val="BookText"/>
        <w:rPr/>
      </w:pPr>
      <w:r>
        <w:rPr>
          <w:rFonts w:ascii="Amiri" w:hAnsi="Amiri" w:eastAsia="Amiri" w:cs="Amiri"/>
          <w:color w:val="111111"/>
          <w:sz w:val="28"/>
          <w:sz w:val="28"/>
          <w:szCs w:val="28"/>
          <w:rtl w:val="true"/>
          <w:lang w:bidi="ar-SA"/>
        </w:rPr>
        <w:t xml:space="preserve">روى الإمام الحسن بن علي العسكري، عن آبائه، عن علي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تعرّفني ذنبي الّذي امتحنت به في هذا المجلس،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تركك حين جلست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إنّ رسول اللّه صلى الله عليه و آله حدّثني عن اللّه عزّوجلّ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أمر ذي بال لا يذكر بسم اللّه فيه فهو أبتر</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 w:name="__RefHeading___Toc6863562_73709187"/>
      <w:bookmarkStart w:id="233" w:name="_Toc88"/>
      <w:bookmarkEnd w:id="232"/>
      <w:r>
        <w:rPr/>
        <w:t>2</w:t>
      </w:r>
      <w:r>
        <w:rPr>
          <w:rtl w:val="true"/>
        </w:rPr>
        <w:t xml:space="preserve">. </w:t>
      </w:r>
      <w:r>
        <w:rPr>
          <w:rtl w:val="true"/>
        </w:rPr>
        <w:t>التبرّك بالقرآن الكريم</w:t>
      </w:r>
      <w:bookmarkEnd w:id="23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الكليني بسنده عن ابن القدّاح،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الّذي يقرأ فيه القرآن ويذكر اللّه عزوجل فيه تكثر بركته وتحضره الملائكة وتهجره الشياطين، ويضيء لأهل السماء كما تضيء الكواكب لأهل الأرض، وإنّ البيت الّذي لا يقرأ فيه القرآن ولا يذكر اللّه عزوجل فيه تقلّ بركته وتهجره الملائكة وتحضره الشياطين</w:t>
      </w:r>
      <w:r>
        <w:rPr>
          <w:rFonts w:eastAsia="Amiri" w:cs="Amiri" w:ascii="Amiri" w:hAnsi="Amiri"/>
          <w:color w:val="111111"/>
          <w:sz w:val="28"/>
          <w:szCs w:val="28"/>
          <w:rtl w:val="true"/>
          <w:lang w:bidi="ar-SA"/>
        </w:rPr>
        <w:t>».</w:t>
      </w:r>
      <w:r>
        <w:rPr>
          <w:rStyle w:val="FootnoteAnchor"/>
          <w:rtl w:val="true"/>
        </w:rPr>
        <w:footnoteReference w:id="244"/>
      </w:r>
      <w:bookmarkStart w:id="234" w:name="pg16768_165264"/>
    </w:p>
    <w:p>
      <w:pPr>
        <w:pStyle w:val="Heading5"/>
        <w:numPr>
          <w:ilvl w:val="4"/>
          <w:numId w:val="1"/>
        </w:numPr>
        <w:rPr/>
      </w:pPr>
      <w:bookmarkStart w:id="235" w:name="__RefHeading___Toc6863564_73709187"/>
      <w:bookmarkStart w:id="236" w:name="_Toc89"/>
      <w:bookmarkEnd w:id="234"/>
      <w:bookmarkEnd w:id="235"/>
      <w:r>
        <w:rPr/>
        <w:t>3</w:t>
      </w:r>
      <w:r>
        <w:rPr>
          <w:rtl w:val="true"/>
        </w:rPr>
        <w:t xml:space="preserve">. </w:t>
      </w:r>
      <w:r>
        <w:rPr>
          <w:rtl w:val="true"/>
        </w:rPr>
        <w:t>التبرّك بماء وضوء النبي صلى الله عليه و آله</w:t>
      </w:r>
      <w:bookmarkEnd w:id="236"/>
    </w:p>
    <w:p>
      <w:pPr>
        <w:pStyle w:val="BookText"/>
        <w:rPr/>
      </w:pPr>
      <w:r>
        <w:rPr>
          <w:rFonts w:ascii="Amiri" w:hAnsi="Amiri" w:eastAsia="Amiri" w:cs="Amiri"/>
          <w:color w:val="111111"/>
          <w:sz w:val="28"/>
          <w:sz w:val="28"/>
          <w:szCs w:val="28"/>
          <w:rtl w:val="true"/>
          <w:lang w:bidi="ar-SA"/>
        </w:rPr>
        <w:t xml:space="preserve">روى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الإمام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يحدّث عن أبيه، عن جدّه عليهم السلام،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في قبّة من أدم وقد رأيت بلالاً الحبشيّ وقد خرج من عنده ومعه فضل وضوء رسول اللّه صلى الله عليه و آله فابتدره الناس، فمن أصاب منه شيئاً تمسّح به وجهه، ومن لم يُصب منه شيئاً أخذ من يدي صاحبه فمسح به وجهه، وكذلك فعل بفضل وضوء أمير المؤمنين عليه السلام</w:t>
      </w:r>
      <w:r>
        <w:rPr>
          <w:rFonts w:eastAsia="Amiri" w:cs="Amiri" w:ascii="Amiri" w:hAnsi="Amiri"/>
          <w:color w:val="111111"/>
          <w:sz w:val="28"/>
          <w:szCs w:val="28"/>
          <w:rtl w:val="true"/>
          <w:lang w:bidi="ar-SA"/>
        </w:rPr>
        <w:t>».</w:t>
      </w:r>
      <w:r>
        <w:rPr>
          <w:rStyle w:val="FootnoteAnchor"/>
          <w:rtl w:val="true"/>
        </w:rPr>
        <w:footnoteReference w:id="245"/>
      </w:r>
    </w:p>
    <w:p>
      <w:pPr>
        <w:pStyle w:val="Heading5"/>
        <w:numPr>
          <w:ilvl w:val="4"/>
          <w:numId w:val="1"/>
        </w:numPr>
        <w:rPr/>
      </w:pPr>
      <w:bookmarkStart w:id="237" w:name="__RefHeading___Toc6863566_73709187"/>
      <w:bookmarkStart w:id="238" w:name="_Toc90"/>
      <w:bookmarkEnd w:id="237"/>
      <w:r>
        <w:rPr/>
        <w:t>4</w:t>
      </w:r>
      <w:r>
        <w:rPr>
          <w:rtl w:val="true"/>
        </w:rPr>
        <w:t xml:space="preserve">. </w:t>
      </w:r>
      <w:r>
        <w:rPr>
          <w:rtl w:val="true"/>
        </w:rPr>
        <w:t>التبرّك بقبر النبي صلى الله عليه و آله</w:t>
      </w:r>
      <w:bookmarkEnd w:id="238"/>
    </w:p>
    <w:p>
      <w:pPr>
        <w:pStyle w:val="BookText"/>
        <w:rPr/>
      </w:pPr>
      <w:r>
        <w:rPr>
          <w:rFonts w:ascii="Amiri" w:hAnsi="Amiri" w:eastAsia="Amiri" w:cs="Amiri"/>
          <w:color w:val="111111"/>
          <w:sz w:val="28"/>
          <w:sz w:val="28"/>
          <w:szCs w:val="28"/>
          <w:rtl w:val="true"/>
          <w:lang w:bidi="ar-SA"/>
        </w:rPr>
        <w:t>روى الكليني بسنده عن علي بن جعفر، عن أخيه أبي الحسن موسى، عن أبيه، عن جدّه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عليه السلام يقف على قبر النبي صلى الله عليه و آله فيسلم عليه ويشهد له بالبلاغ، ويدعو بما حضره، ثمّ يسند ظهره إلى العروة الخضراء الدقيقة العرض ممّا يلي القبر، ويلتزق بالقبر ويسند ظهره إلى القبر، ويستقبل القبلة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إليك ألجأت ظهري، وإلى قبر نبيّك محمّد صلى الله عليه و آله عبدك ورسولك أسندت ظهري، والقبلة الّتي رضيت لمحمّد صلى الله عليه و آله استقبلت، اللّهم إنّي أصبحت لا أملك لنفسي خير ما أرجوه، ولا أدفع عنها شرّ ما أحذر عليها، وأصبحت الأُمور بيدك فلا فقير أفقر منّي، ربّ إنّي لما أنزلت إليّ من خير فقير، اللّهمّ ارددني منك بخير فإنّه لا رادّ لفضلك، اللّهم إنّي أعوذ بك من أن تبدّل اسمى، أو تغيّر جسمي، أو تزيل نعمتك عندي، اللّهمّ كرّمني بالتقوى، وجمّلني بالنعم، وأعمرني بالعافية، وارزقني شكر العافية</w:t>
      </w:r>
      <w:r>
        <w:rPr>
          <w:rFonts w:eastAsia="Amiri" w:cs="Amiri" w:ascii="Amiri" w:hAnsi="Amiri"/>
          <w:color w:val="111111"/>
          <w:sz w:val="28"/>
          <w:szCs w:val="28"/>
          <w:rtl w:val="true"/>
          <w:lang w:bidi="ar-SA"/>
        </w:rPr>
        <w:t>».</w:t>
      </w:r>
      <w:r>
        <w:rPr>
          <w:rStyle w:val="FootnoteAnchor"/>
          <w:rtl w:val="true"/>
        </w:rPr>
        <w:footnoteReference w:id="24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وهو يريد أن يودّع للخروج إلى العمرة فأتى القبر من موضع رأس رسول اللّه صلى الله عليه و آله بعد</w:t>
      </w:r>
      <w:bookmarkStart w:id="239" w:name="pg16768_165265"/>
    </w:p>
    <w:p>
      <w:pPr>
        <w:pStyle w:val="BookText"/>
        <w:rPr/>
      </w:pPr>
      <w:bookmarkEnd w:id="239"/>
      <w:r>
        <w:rPr>
          <w:rFonts w:ascii="Amiri" w:hAnsi="Amiri" w:eastAsia="Amiri" w:cs="Amiri"/>
          <w:color w:val="111111"/>
          <w:sz w:val="28"/>
          <w:sz w:val="28"/>
          <w:szCs w:val="28"/>
          <w:rtl w:val="true"/>
          <w:lang w:bidi="ar-SA"/>
        </w:rPr>
        <w:t xml:space="preserve">المغرب فسلّم على النبي صلى الله عليه و آله ولزق بالقبر، ثمّ أتى المنبر، وانصرف حتّى أتى القبر فقام إلى جانبه يصلّي، وألصق منكبه الأيسر بالقبر قريباً من الأسطوانة الّتي دون الأسطوانة المخلقة الّتي عند رأس النبي صلى الله عليه و آله فصلّى ستّ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ثماني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نعليه</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وروى الكليني بسنده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من الدعاء عند قبر النبي صلى الله عليه و آله فائت المنبر فامسحه بيدك وخذ برمانتيه، وهما السفلاوان، وامسح عينيك ووجهك به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شفاء للعين، وقم عنده فاحمد اللّه وأثن عليه وسل حاجتك فإنّ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قبري ومنبري روضة من رياض الجنّة، ومنبري على ترعة من ترع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والترعة هي الباب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تأتي مقام النبي صلى الله عليه و آله فتصلّي فيه ما بدا لك</w:t>
      </w:r>
      <w:r>
        <w:rPr>
          <w:rFonts w:eastAsia="Amiri" w:cs="Amiri" w:ascii="Amiri" w:hAnsi="Amiri"/>
          <w:color w:val="111111"/>
          <w:sz w:val="28"/>
          <w:szCs w:val="28"/>
          <w:rtl w:val="true"/>
          <w:lang w:bidi="ar-SA"/>
        </w:rPr>
        <w:t>».</w:t>
      </w:r>
      <w:r>
        <w:rPr>
          <w:rStyle w:val="FootnoteAnchor"/>
          <w:rtl w:val="true"/>
        </w:rPr>
        <w:footnoteReference w:id="248"/>
      </w:r>
    </w:p>
    <w:p>
      <w:pPr>
        <w:pStyle w:val="Heading4"/>
        <w:numPr>
          <w:ilvl w:val="3"/>
          <w:numId w:val="1"/>
        </w:numPr>
        <w:rPr/>
      </w:pPr>
      <w:bookmarkStart w:id="240" w:name="__RefHeading___Toc6863568_73709187"/>
      <w:bookmarkStart w:id="241" w:name="_Toc91"/>
      <w:bookmarkEnd w:id="240"/>
      <w:r>
        <w:rPr>
          <w:rtl w:val="true"/>
        </w:rPr>
        <w:t>شبهة القائلين بحرمة التبرّك</w:t>
      </w:r>
      <w:bookmarkEnd w:id="241"/>
    </w:p>
    <w:p>
      <w:pPr>
        <w:pStyle w:val="BookText"/>
        <w:rPr/>
      </w:pPr>
      <w:r>
        <w:rPr>
          <w:rFonts w:ascii="Amiri" w:hAnsi="Amiri" w:eastAsia="Amiri" w:cs="Amiri"/>
          <w:color w:val="111111"/>
          <w:sz w:val="28"/>
          <w:sz w:val="28"/>
          <w:szCs w:val="28"/>
          <w:rtl w:val="true"/>
          <w:lang w:bidi="ar-SA"/>
        </w:rPr>
        <w:t>لما وقف القائل بمنع التبرّك على هذه الروايات الهائلة الحاكية عن تبرّك الصحابة بآثار النبي صلى الله عليه و آله، حاول أن يتخلّص من ذلك بالوجهين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التبرّك مخصوص بآثار النبي صلى الله عليه و آله في حال حياته لا بعد رحيله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ولسائل أن يسأل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التبرّك بآثار النبي صلى الله عليه و آله في حال حياته أمراً عباديّاً يتقرّب به إلى اللّه سبحانه أو كان عملاً عادّياً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عبادّياً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w:t>
      </w:r>
    </w:p>
    <w:p>
      <w:pPr>
        <w:pStyle w:val="BookText"/>
        <w:rPr/>
      </w:pPr>
      <w:r>
        <w:rPr>
          <w:rFonts w:ascii="Amiri" w:hAnsi="Amiri" w:eastAsia="Amiri" w:cs="Amiri"/>
          <w:color w:val="111111"/>
          <w:sz w:val="28"/>
          <w:sz w:val="28"/>
          <w:szCs w:val="28"/>
          <w:rtl w:val="true"/>
          <w:lang w:bidi="ar-SA"/>
        </w:rPr>
        <w:t>الأعمال الّتي يقوم بها الناس حسب فطرتهم‌؟ فعلى الأوّل يكون التبرّك عندئذٍ شركاً يعدّ نوع عبادة للغير فلا يجوز للنبي أن يقرّه فيسكت عنه أو أن يدعمه بدفع العصا وغيرها، كيف وقد وصف سبحانه الشرك بأنّه ظّلم عظيم‌؟ قال سبحانه مخاطباً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وعلى هذا فلا محيص من ردّ 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أي كون التبرّك أمراً عادّياً يطلب المتبرك الخير من مورده كما يطلب الخير من سائر الأُمور فلا يصحّ تخصيص الجواز بآثار النبي، لأنّ المفروض أنّه خارج عن إطار العبادة وداخل تحت الأُمور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التبرّك بآثار الأولياء والعلماء والأخيار أمر فطري للناس، ولذلك تبرّكت بنو إسرائيل بتابوت موسى، كما تبرّك الموحدون بأصحاب الكهف ببناء المسجد على قبورهم والعبادة فيه، وقد مرّ أن إمام الحنابلة أحمد بن حنبل تبرّك بماء غسل فيه قميص الشافعي</w:t>
      </w:r>
      <w:r>
        <w:rPr>
          <w:rStyle w:val="FootnoteAnchor"/>
          <w:rtl w:val="true"/>
        </w:rPr>
        <w:footnoteReference w:id="251"/>
      </w:r>
      <w:r>
        <w:rPr>
          <w:rFonts w:ascii="Amiri" w:hAnsi="Amiri" w:eastAsia="Amiri" w:cs="Amiri"/>
          <w:color w:val="111111"/>
          <w:sz w:val="28"/>
          <w:sz w:val="28"/>
          <w:szCs w:val="28"/>
          <w:rtl w:val="true"/>
          <w:lang w:bidi="ar-SA"/>
        </w:rPr>
        <w:t>وقد جاء في بعض الروايات أنّ في سؤر المؤمن شفاء</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ونقل بعض الثقات أنّه شارك في ضيافة أقامها الشيخ عبدالعزيز بن باز لجماعة من العلماء وهو منهم ورأى بأُم عينيه أنّ أصحاب المفتي في نهاية الأمر تسابقوا إلى سؤر طعامه، أفيصحّ بعد ذلك تخصيص التبرّك بآثار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التبرّك يختصّ بما مسّ جسده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التبرّك بما مسّ جسده عليه السلام من ماء وضوء أو عَرَق أو شعر، فهذا معروف وجائز عند ا لصحابة لما في ذلك من الخير والبركة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قد أقرّه النبي دون ما لم يمسّ جسده</w:t>
      </w:r>
      <w:r>
        <w:rPr>
          <w:rFonts w:eastAsia="Amiri" w:cs="Amiri" w:ascii="Amiri" w:hAnsi="Amiri"/>
          <w:color w:val="111111"/>
          <w:sz w:val="28"/>
          <w:szCs w:val="28"/>
          <w:rtl w:val="true"/>
          <w:lang w:bidi="ar-SA"/>
        </w:rPr>
        <w:t>.</w:t>
      </w:r>
      <w:r>
        <w:rPr>
          <w:rStyle w:val="FootnoteAnchor"/>
          <w:rtl w:val="true"/>
        </w:rPr>
        <w:footnoteReference w:id="25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محقّق كتاب الإمام أحمد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ومعرفة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w:t>
      </w:r>
    </w:p>
    <w:p>
      <w:pPr>
        <w:pStyle w:val="BookText"/>
        <w:rPr/>
      </w:pPr>
      <w:r>
        <w:rPr>
          <w:rFonts w:ascii="Amiri" w:hAnsi="Amiri" w:eastAsia="Amiri" w:cs="Amiri"/>
          <w:color w:val="111111"/>
          <w:sz w:val="28"/>
          <w:sz w:val="28"/>
          <w:szCs w:val="28"/>
          <w:rtl w:val="true"/>
          <w:lang w:bidi="ar-SA"/>
        </w:rPr>
        <w:t>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كان لمّا كان منبره الّذي لامس جسده الشريف، أمّا الآن فقد تغيّر، لا يقال بمشروعيّة مسه تبركاً به</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تخصيص التبرّك بالآثار مسّها جسد النبي المطهّر لا يخلو من 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لجسده المطهّر تأثيراً في نشوء الخير وزيادة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مرفوض بما عليه علماء السنّة وبالأخص فقهاء الحنابلة، لأنّهم ينكرون أيّ مؤثر في العالم سوى اللّه تبارك وتعالى وشعارهم في هذا الموضع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يقل بالطبع أو بالعلّة فذاك كفر عند أهل الملّة</w:t>
      </w:r>
    </w:p>
    <w:p>
      <w:pPr>
        <w:pStyle w:val="BookText"/>
        <w:rPr/>
      </w:pPr>
      <w:r>
        <w:rPr>
          <w:rFonts w:ascii="Amiri" w:hAnsi="Amiri" w:eastAsia="Amiri" w:cs="Amiri"/>
          <w:color w:val="111111"/>
          <w:sz w:val="28"/>
          <w:sz w:val="28"/>
          <w:szCs w:val="28"/>
          <w:rtl w:val="true"/>
          <w:lang w:bidi="ar-SA"/>
        </w:rPr>
        <w:t>فعلى هذا الأصل فليس لجسده المطهر أي تأثير في وجود الخير وزيادة النعمة، وإلّا يلزم الاعتقاد بمؤثر سوى اللّه سبحانه، ولو كان التأثير ظلّياً وتابعاً لمشيئته سبحانه فإنّهم ينفون ذلك كلّه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نفي القول بالتأثير لكن تبرّك الصحابة كان في خصوص ما مسّ جسده الشريف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الوجه مردود بنصّ التاريخ،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الزهراء بنت النبي الأكرم صلى الله عليه و آله الّتي طهرها اللّه سبحانه في كتابه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وأناط سبحانه رضاه وغضبه برضا فاطمة وغضبها فقال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فمن أغضبها فقد أغضبني</w:t>
      </w:r>
      <w:r>
        <w:rPr>
          <w:rFonts w:eastAsia="Amiri" w:cs="Amiri" w:ascii="Amiri" w:hAnsi="Amiri"/>
          <w:color w:val="111111"/>
          <w:sz w:val="28"/>
          <w:szCs w:val="28"/>
          <w:rtl w:val="true"/>
          <w:lang w:bidi="ar-SA"/>
        </w:rPr>
        <w:t>».</w:t>
      </w:r>
      <w:r>
        <w:rPr>
          <w:rStyle w:val="FootnoteAnchor"/>
          <w:rtl w:val="true"/>
        </w:rPr>
        <w:footnoteReference w:id="25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 أنّ غضب الزهراء عليها السلام ورضاها يوجب غضب اللّه سبحانه ورضاه،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إنّ اللّه يغضب لغضبك ويرضى لرضاك</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عليها السلام تبركت بتراب قبر أبيها ووضعت شيئاً منه على عينها 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على مَنْ شمَ تربة أحمد ألّا يشم مدى الزمان غواليا</w:t>
      </w:r>
    </w:p>
    <w:p>
      <w:pPr>
        <w:pStyle w:val="BookText"/>
        <w:rPr/>
      </w:pPr>
      <w:r>
        <w:rPr>
          <w:rFonts w:ascii="Amiri" w:hAnsi="Amiri" w:eastAsia="Amiri" w:cs="Amiri"/>
          <w:color w:val="111111"/>
          <w:sz w:val="28"/>
          <w:sz w:val="28"/>
          <w:szCs w:val="28"/>
          <w:rtl w:val="true"/>
          <w:lang w:bidi="ar-SA"/>
        </w:rPr>
        <w:t>صُبّت علي مصائب لو أنّها صُبّت على الأيام صرن لياليا</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والتراب الّذي أخذته بنت النبي لم يمسَّ جسد النبي صلى الله عليه و آله، إذ لم تأخذه من تراب داخل القبر الّذي مسّ جسده، بل أخذته من تراب ظاهر القبر الّذي يوارى به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مضيّف النبي أبو أيوب الأنصاري حيث جعل خدّه على تراب قبر النبي صلى الله عليه و آله متبرّكاً به أيّام كانت الحكومة بيد الأمويين وعلى رأسهم مروان بن الحكم</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وهؤلاء هم صحابة النبي صلى الله عليه و آله كانوا يتبرّكون بالصلاة في أماكن صلّى فيها النبي، ومن المعلوم أنّ تلك الأماكن لم تكن مسقّفة أو مفروشة بالحُصُر والبواري، بل كانت أراضٍ مكشوفة صلّى فيها النبي صلى الله عليه و آله، فمن المعلوم أنّ الأمطار والرياح والعواصف تفرّق ترابها إلى نقاط بعيدة وترسل غبار الأماكن الأُخرى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سبحانه أمر حجّاج بيته الحرام بالصلاة في مقام إبراهيم عليه السلام فقال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مَقامِ إِبْراهِيمَ مُصَلًّى</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وليس المقام إلّاجزءاً من المسجد الحرام، ولكنّه سبحانه أمر بالصلاة فيه وما هذا إلّاللتبرّك به، والمقام الموجود حاليّاً وحتّى الموجود في القرون السابقة لم يكن ممّا مسّه جسد بطل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قرأ تبرّك الصحابة بآثار النبي يقف على أنّ تلك المحاولة ليست إلّالرأي مسبق ودعماً للمذهب ولم تكن هذه المحاولة وما تقدّمها في خلد أي صحابي يتبرّك بآثار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الأعمال الّتي يمارسها المسلمون في الحرمين الشريفين من تقبيل الضريح والجدران والأبواب وأركان البيت وغير ذلك كله تجسيد منهم لحبّ اللّه وحبّ رسوله الّذي أمر سبحانه به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آباؤُكُمْ وَ أَبْناؤُكُمْ وَ إِخْوانُكُمْ وَ أَزْواجُكُمْ وَ عَشِيرَتُكُمْ وَ أَمْوالٌ اقْتَرَفْتُمُوها وَ تِجارَةٌ تَخْشَوْنَ كَسادَها وَ مَساكِنُ تَرْضَوْنَها أَحَبَّ إِلَيْكُمْ مِنَ اللّهِ وَ رَسُولِهِ وَ جِهادٍ فِي سَبِيلِهِ فَتَرَبَّصُوا حَتّى يَأْتِيَ اللّهُ بِأَمْرِهِ وَ اللّهُ لا يَهْدِي الْقَوْمَ الْفاسِقِينَ‌</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وأمر في آية أُخرى بتوقير النبي صلى الله عليه و آله إلى جانب الإيمان به ونصرته واتّباعه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آمَنُوا بِهِ وَ عَزَّرُوهُ وَ نَصَرُوهُ وَ اتَّبَعُوا النُّورَ الَّذِي أُنْزِلَ مَعَهُ 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والمراد من التعزير هو تكريمه وتوقيره، وبما أنّ يد المحبين لا تصل إلى يد النبي صلى الله عليه و آله حتّى يقبّلونها، يقبّلون ما له، به صلة، وهذه هي العادة السائدة بين العقلاء فيقبّل الولد ما ورثه من الآباء من ألبسة وكتب وأقلام وتصاوير، وكأنّ منطق الجميع منطق مجنون ليلى العامرية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على الديار ديار ليلى أُقبّل ذا الجدار وذا الجدارا</w:t>
      </w:r>
    </w:p>
    <w:p>
      <w:pPr>
        <w:pStyle w:val="BookText"/>
        <w:rPr/>
      </w:pPr>
      <w:r>
        <w:rPr>
          <w:rFonts w:ascii="Amiri" w:hAnsi="Amiri" w:eastAsia="Amiri" w:cs="Amiri"/>
          <w:color w:val="111111"/>
          <w:sz w:val="28"/>
          <w:sz w:val="28"/>
          <w:szCs w:val="28"/>
          <w:rtl w:val="true"/>
          <w:lang w:bidi="ar-SA"/>
        </w:rPr>
        <w:t>وماحب الديار شغفن قلبي ولكن حب من سكن الديارا</w:t>
      </w:r>
      <w:r>
        <w:rPr>
          <w:rStyle w:val="FootnoteAnchor"/>
          <w:rtl w:val="true"/>
        </w:rPr>
        <w:footnoteReference w:id="26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عدّ البيهقي محبة النبي من شعب الإيمان</w:t>
      </w:r>
      <w:r>
        <w:rPr>
          <w:rStyle w:val="FootnoteAnchor"/>
          <w:rtl w:val="true"/>
        </w:rPr>
        <w:footnoteReference w:id="264"/>
      </w:r>
      <w:r>
        <w:rPr>
          <w:rFonts w:ascii="Amiri" w:hAnsi="Amiri" w:eastAsia="Amiri" w:cs="Amiri"/>
          <w:color w:val="111111"/>
          <w:sz w:val="28"/>
          <w:sz w:val="28"/>
          <w:szCs w:val="28"/>
          <w:rtl w:val="true"/>
          <w:lang w:bidi="ar-SA"/>
        </w:rPr>
        <w:t>، كما عقد مسلم في صحيحه باباً باسم توقيره صلى الله عليه و آله وترك إكثار سؤاله عمّا لا ضرورة إليه</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والعجب أنّ أتباع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 التبرّك بآثار النبي صلى الله عليه و آله بعد رحيله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يتبرّكون بالماء الّذي فضل من غسله، يقول تلميذه ابن كثير في حوادث سنة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جماعة الماء الّذي فضل من غسله، واقتسم جماعة بقية السدر الّذي غُسّل به، ودفع في الخيط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فيه الزئبق الّذي كان في عنقه بسبب القمل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وخمسون درهماً،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الطاقية الّتي كانت على رأسه دفع فيها خمسمائة درهماً، وحصل في الجنازة ضجيج وبكاء كثير وتضرع، وختمت له ختمات كثيرة بالصالحية وبالبلد، وتردد الناس إلى قبره أياماً كثيرة ليلاً ونهاراً يبيتون عنده ويصبحون، ورويت له منامات صالحة ورثاه جماعة بقصائد جمّة</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الحمد للّه الّذي بنعمته تتمّ الصالحات</w:t>
      </w:r>
    </w:p>
    <w:p>
      <w:pPr>
        <w:pStyle w:val="BookText"/>
        <w:rPr/>
      </w:pPr>
      <w:r>
        <w:rPr>
          <w:rFonts w:ascii="Amiri" w:hAnsi="Amiri" w:eastAsia="Amiri" w:cs="Amiri"/>
          <w:color w:val="111111"/>
          <w:sz w:val="28"/>
          <w:sz w:val="28"/>
          <w:szCs w:val="28"/>
          <w:rtl w:val="true"/>
          <w:lang w:bidi="ar-SA"/>
        </w:rPr>
        <w:t>تمّت الرسالة بيد العبد الفقير</w:t>
      </w:r>
    </w:p>
    <w:p>
      <w:pPr>
        <w:pStyle w:val="BookText"/>
        <w:rPr/>
      </w:pPr>
      <w:r>
        <w:rPr>
          <w:rFonts w:ascii="Amiri" w:hAnsi="Amiri" w:eastAsia="Amiri" w:cs="Amiri"/>
          <w:color w:val="111111"/>
          <w:sz w:val="28"/>
          <w:sz w:val="28"/>
          <w:szCs w:val="28"/>
          <w:rtl w:val="true"/>
          <w:lang w:bidi="ar-SA"/>
        </w:rPr>
        <w:t>إلى اللّه الغني، عشية يوم السبت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 شهر محرم الحرام من شهور عام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242" w:name="pg16768_165271"/>
    </w:p>
    <w:p>
      <w:pPr>
        <w:pStyle w:val="Heading3"/>
        <w:numPr>
          <w:ilvl w:val="2"/>
          <w:numId w:val="1"/>
        </w:numPr>
        <w:rPr/>
      </w:pPr>
      <w:bookmarkStart w:id="243" w:name="__RefHeading___Toc6863570_73709187"/>
      <w:bookmarkStart w:id="244" w:name="_Toc92"/>
      <w:bookmarkEnd w:id="242"/>
      <w:bookmarkEnd w:id="243"/>
      <w:r>
        <w:rPr/>
        <w:t>11</w:t>
      </w:r>
      <w:r>
        <w:rPr>
          <w:rtl w:val="true"/>
        </w:rPr>
        <w:t xml:space="preserve"> </w:t>
      </w:r>
      <w:r>
        <w:rPr>
          <w:rtl w:val="true"/>
        </w:rPr>
        <w:t>التوسّل في الكتاب والسنّة</w:t>
      </w:r>
      <w:bookmarkEnd w:id="244"/>
    </w:p>
    <w:p>
      <w:pPr>
        <w:pStyle w:val="Heading4"/>
        <w:numPr>
          <w:ilvl w:val="3"/>
          <w:numId w:val="1"/>
        </w:numPr>
        <w:rPr/>
      </w:pPr>
      <w:bookmarkStart w:id="245" w:name="__RefHeading___Toc6863572_73709187"/>
      <w:bookmarkStart w:id="246" w:name="_Toc93"/>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التقرّب من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يتقرّب به إلى الغير، والجمع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آت محمداً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الشفاعة يوم القيامة،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منزلة من منازل الجنة</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وقد أمر اللّه سبحانه وتعالى المؤمنين أن يبتغوا إليه الوسيلة،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ابْتَغُوا إِلَيْهِ الْوَسِيلَةَ وَ جاهِدُوا فِي سَبِيلِهِ لَعَلَّكُمْ تُفْلِحُونَ‌</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والآية تدلّ بوضوح على أنّ تقرّب المؤمن إلى اللّه سبحانه رهن تحصيل الوسيلة أو الوسائل حتّى يتقرّب بها إليه سبحانه، ويكون في النهاية من المفلحين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هي الوسيلة‌؟ فالآية ساكتة عن ذلك، نعم ذكر الإمام علي بن أبي طالب عليه السلام ما يتمكن أن يُتقرّب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مَا تَوَسَّلَ بِهِ الْمُتَوَسِّلُونَ إِلَى اللّهِ سُبْحانَهُ وَتَعَالى‌، الْإِيمَانُ بِهِ وَبِرَسُولِهِ‌، وَالْجِهَادُ فِي سَبِيلِهِ‌، فَإِنَّهُ ذِرْوَةُ الْإِسْلَامِ‌؛ وَكَلِمَةُ الْإِخْلَاصِ فَإِنَّهَا الْفِطْرَةُ‌؛ وَإِقَامُ الصَّلَاةِ فَإِنَّهَا الْمِلَّةُ‌؛ وَإِيتَاءُ الزَّكَاةِ فَإِنَّهَا فَرِيضَةٌ وَاجِبَةٌ‌؛ وَصَوْمُ شَهْرِ رَمَضَانَ فَإِنَّهُ جُنَّةٌ مِنَ الْعِقَابِ‌؛ وَحَجُّ الْبَيْتِ وَاعْتَِمارُهُ فَإِنَّهُمَا</w:t>
      </w:r>
      <w:bookmarkStart w:id="247" w:name="pg16768_165272"/>
    </w:p>
    <w:p>
      <w:pPr>
        <w:pStyle w:val="BookText"/>
        <w:rPr/>
      </w:pPr>
      <w:bookmarkEnd w:id="247"/>
      <w:r>
        <w:rPr>
          <w:rFonts w:ascii="Amiri" w:hAnsi="Amiri" w:eastAsia="Amiri" w:cs="Amiri"/>
          <w:color w:val="111111"/>
          <w:sz w:val="28"/>
          <w:sz w:val="28"/>
          <w:szCs w:val="28"/>
          <w:rtl w:val="true"/>
          <w:lang w:bidi="ar-SA"/>
        </w:rPr>
        <w:t>يَنْفِيَانِ الْفَقْرَ، وَيَرْحَضَان الذَّنْبَ‌؛ وَصِلَةُ الرَّحِمِ فَإِنَّهَا مَثْرَاةٌ فِي الْمَالِ‌، وَمَنْسَأَةٌ فِي الْأَجَلِ‌؛ وَصَدَقَةُ السِّرِّ فَإِنَّهَا تُكَفِّرُ الْخَطِيئَةَ‌؛ وَصَدَقَةُ الْعَلَانِيَةِ فَإِنَّهَا تَدْفَعُ مِيتَةَ السُّوءِ‌؛ وَصَنَائِعُ الْمَعْرُوفِ فَإِنَّهَا تَقِي مَصَارِعَ الْهَوَانِ‌</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وفي خطبة أُخرى يقول عليه السلام في ذكر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أَمِينُكَ الْمَأْمُونُ‌، وَشَهِيدُكَ يَوْمَ الدِّينِ‌، وَبَعِيثُكَ نِعْمَةً‌، وَرَسُولُكَ بِالْحَقِّ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اقْسِمْ لَهُ مَقْسَماً مِنْ عَدْلِكَ‌، وَاجْزِهِ مُضَعَّفَاتِ الْخَيْرِ مِنْ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أَعْلِ عَلَى بِنَاءِ الْبَانِينَ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بِنَاءَهُ‌، وَأَكْرِمْ لَدَيْكَ نُزُلَهُ‌، وَشَرِّفْ عِنْدَكَ مَنْزِلَهُ‌، وَآتِهِ الْوَسِيلَةَ‌، وَأَعْطِهِ السَّنَاءَ وَالْفَضِيلَةَ‌</w:t>
      </w:r>
      <w:r>
        <w:rPr>
          <w:rFonts w:eastAsia="Amiri" w:cs="Amiri" w:ascii="Amiri" w:hAnsi="Amiri"/>
          <w:color w:val="111111"/>
          <w:sz w:val="28"/>
          <w:szCs w:val="28"/>
          <w:rtl w:val="true"/>
          <w:lang w:bidi="ar-SA"/>
        </w:rPr>
        <w:t>».</w:t>
      </w:r>
      <w:r>
        <w:rPr>
          <w:rStyle w:val="FootnoteAnchor"/>
          <w:rtl w:val="true"/>
        </w:rPr>
        <w:footnoteReference w:id="270"/>
      </w:r>
    </w:p>
    <w:p>
      <w:pPr>
        <w:pStyle w:val="Heading4"/>
        <w:numPr>
          <w:ilvl w:val="3"/>
          <w:numId w:val="1"/>
        </w:numPr>
        <w:rPr/>
      </w:pPr>
      <w:bookmarkStart w:id="248" w:name="__RefHeading___Toc6863574_73709187"/>
      <w:bookmarkStart w:id="249" w:name="_Toc94"/>
      <w:bookmarkEnd w:id="248"/>
      <w:r>
        <w:rPr>
          <w:rtl w:val="true"/>
        </w:rPr>
        <w:t>أنواع الوسائل</w:t>
      </w:r>
      <w:bookmarkEnd w:id="249"/>
    </w:p>
    <w:p>
      <w:pPr>
        <w:pStyle w:val="Heading5"/>
        <w:numPr>
          <w:ilvl w:val="4"/>
          <w:numId w:val="1"/>
        </w:numPr>
        <w:rPr/>
      </w:pPr>
      <w:bookmarkStart w:id="250" w:name="__RefHeading___Toc6863576_73709187"/>
      <w:bookmarkStart w:id="251" w:name="_Toc95"/>
      <w:bookmarkEnd w:id="250"/>
      <w:r>
        <w:rPr>
          <w:rtl w:val="true"/>
        </w:rPr>
        <w:t>اشارة</w:t>
      </w:r>
      <w:bookmarkEnd w:id="251"/>
    </w:p>
    <w:p>
      <w:pPr>
        <w:pStyle w:val="BookText"/>
        <w:rPr/>
      </w:pPr>
      <w:r>
        <w:rPr>
          <w:rFonts w:ascii="Amiri" w:hAnsi="Amiri" w:eastAsia="Amiri" w:cs="Amiri"/>
          <w:color w:val="111111"/>
          <w:sz w:val="28"/>
          <w:sz w:val="28"/>
          <w:szCs w:val="28"/>
          <w:rtl w:val="true"/>
          <w:lang w:bidi="ar-SA"/>
        </w:rPr>
        <w:t>قد أشار الإمام علي عليه السلام في كلامه إلى بعض الوسائل، ومن أنواع الوسائل الاهتمام بالنوافل، قال الإمام محمد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جل جلاله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يُتقرب إليّ عبد من عبادي بشيء أحبُ إليّ ممّا افترضتُ عليه، وإنّه ليتقرب إليّ بالنافلة حتّى أُحبَّه فإذا أحببتُه كنتُ سمَعه الّذي يَسمع به، وبصرَه الّذي يُبصر به، ولسانَه الّذي يَنطق به، ويده الّتي يُبطش بها، إن دعاني أجبته، وإن سألني أعطيته</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ومن الواضح أنّه لا يصلح كل عمل أن يتقرّب به الإنسان إلى اللّه سبحانه، وإنّما يصلح بعملٍ قد ورد في الشريعة الأمر بالتوسّل به والتقرّب به إلى اللّه، وهذا ما نبحثه تالياً</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6863578_73709187"/>
      <w:bookmarkStart w:id="253" w:name="_Toc96"/>
      <w:bookmarkEnd w:id="252"/>
      <w:r>
        <w:rPr>
          <w:rtl w:val="true"/>
        </w:rPr>
        <w:t>الأوّل</w:t>
      </w:r>
      <w:r>
        <w:rPr>
          <w:rtl w:val="true"/>
        </w:rPr>
        <w:t xml:space="preserve">: </w:t>
      </w:r>
      <w:r>
        <w:rPr>
          <w:rtl w:val="true"/>
        </w:rPr>
        <w:t>التوسّل بأسماء اللّه وصفاته</w:t>
      </w:r>
      <w:bookmarkEnd w:id="25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سبحانه وتعالى يأمرنا أن ندعوه بأسمائه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الْأَسْماءُ الْحُسْنى‌</w:t>
      </w:r>
      <w:bookmarkStart w:id="254" w:name="pg16768_165273"/>
    </w:p>
    <w:p>
      <w:pPr>
        <w:pStyle w:val="BookText"/>
        <w:rPr/>
      </w:pPr>
      <w:bookmarkEnd w:id="254"/>
      <w:r>
        <w:rPr>
          <w:rFonts w:ascii="Amiri" w:hAnsi="Amiri" w:eastAsia="Amiri" w:cs="Amiri"/>
          <w:color w:val="111111"/>
          <w:sz w:val="28"/>
          <w:sz w:val="28"/>
          <w:szCs w:val="28"/>
          <w:rtl w:val="true"/>
          <w:lang w:bidi="ar-SA"/>
        </w:rPr>
        <w:t>فَادْعُوهُ بِها</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أسماؤه الحسنى في الذكر الحكيم والسنّة النبوية، وهي بين ما هو وصف للذات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وقادر، أو وصف للفعل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ورازق، وبين ما هي أوصاف الجمال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سميع بصير، أو أوصاف الجلال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قدوس، فيصحُ لِمن يريد التقرّب إلى اللّه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يااللّه، يا رحمن، يا رحيم، يا خالق السماوات والأرض، يا غافر الذنوب، ويا رازق الطفل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أنّ دعاءه سبحانه بهذه الأوصاف يبعث رحمته ومغفرته إلى الداعين ويوجب قضاء حوائجهم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الترمذي عن عبداللّه بن بريدة الأسلمي،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النبي صلى الله عليه و آله رجلاً يدعو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بأنّي أشهد أنّك أنت اللّه لا إله إلّا أنت الأحد الصمد الّذي لم يلد ولم يولد ولم يكن له كفواً أحد، قال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نفسي بيده لقد سأل اللّه باسمه الأعظم الّذي إذا دُعي به أجاب، وإذا سُئل أعطى‌</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وقد كان الإمامان الباقر والصادق عليهما السلام يفتتحان دعاءهما باسمه العظيم الأعظم، على النحو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باسمك العظيم الأعظم الأعزّ الأجل الأكرم الّذي إذا دُعيتَ به على مغالق السماء للفتح بالرحمة انفتحت، وإذا دُعيتَ به على مضايق أبواب الأرض للفرج انفرجت، وإذا دُعيت به على العسر لليُسر تيسّرت</w:t>
      </w:r>
      <w:r>
        <w:rPr>
          <w:rFonts w:eastAsia="Amiri" w:cs="Amiri" w:ascii="Amiri" w:hAnsi="Amiri"/>
          <w:color w:val="111111"/>
          <w:sz w:val="28"/>
          <w:szCs w:val="28"/>
          <w:rtl w:val="true"/>
          <w:lang w:bidi="ar-SA"/>
        </w:rPr>
        <w:t>».</w:t>
      </w:r>
      <w:r>
        <w:rPr>
          <w:rStyle w:val="FootnoteAnchor"/>
          <w:rtl w:val="true"/>
        </w:rPr>
        <w:footnoteReference w:id="274"/>
      </w:r>
    </w:p>
    <w:p>
      <w:pPr>
        <w:pStyle w:val="Heading5"/>
        <w:numPr>
          <w:ilvl w:val="4"/>
          <w:numId w:val="1"/>
        </w:numPr>
        <w:rPr/>
      </w:pPr>
      <w:bookmarkStart w:id="255" w:name="__RefHeading___Toc6863580_73709187"/>
      <w:bookmarkStart w:id="256" w:name="_Toc97"/>
      <w:bookmarkEnd w:id="255"/>
      <w:r>
        <w:rPr>
          <w:rtl w:val="true"/>
        </w:rPr>
        <w:t>الثاني</w:t>
      </w:r>
      <w:r>
        <w:rPr>
          <w:rtl w:val="true"/>
        </w:rPr>
        <w:t xml:space="preserve">: </w:t>
      </w:r>
      <w:r>
        <w:rPr>
          <w:rtl w:val="true"/>
        </w:rPr>
        <w:t>التوسّل بالقرآن الكريم</w:t>
      </w:r>
      <w:bookmarkEnd w:id="25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للقرآن الكريم منزلة رفيعة عند اللّه سبحانه، وهو من الوسائل الّتي يمكن</w:t>
      </w:r>
      <w:bookmarkStart w:id="257" w:name="pg16768_165274"/>
    </w:p>
    <w:p>
      <w:pPr>
        <w:pStyle w:val="BookText"/>
        <w:rPr/>
      </w:pPr>
      <w:bookmarkEnd w:id="257"/>
      <w:r>
        <w:rPr>
          <w:rFonts w:ascii="Amiri" w:hAnsi="Amiri" w:eastAsia="Amiri" w:cs="Amiri"/>
          <w:color w:val="111111"/>
          <w:sz w:val="28"/>
          <w:sz w:val="28"/>
          <w:szCs w:val="28"/>
          <w:rtl w:val="true"/>
          <w:lang w:bidi="ar-SA"/>
        </w:rPr>
        <w:t>للعبد أن يتقرّب بها إليه سبحانه من خلال تلاوته، روى أحمد بن حنبل بسنده عن عمران بن حصين أنّه سمع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اقرأوا القرآن واسألوا اللّه تبارك وتعالى به، قبل أن يجيء قوم يسألون به الناس</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حريز بن عبداللّه السجستاني عن الإمام الباقر عليه السلام أنّ من أعمال ليلة القدر أن تأخذ المصحف في ثلاث ليال من شهر رمضان وتنشره وتضعه بين يديك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بكتابك المنزل وما فيه، وفيه اسمك الأكبر وأسماؤك الحسنى وما يخاف ويرجى أن تجعلني من عتقائك من النار</w:t>
      </w:r>
      <w:r>
        <w:rPr>
          <w:rFonts w:eastAsia="Amiri" w:cs="Amiri" w:ascii="Amiri" w:hAnsi="Amiri"/>
          <w:color w:val="111111"/>
          <w:sz w:val="28"/>
          <w:szCs w:val="28"/>
          <w:rtl w:val="true"/>
          <w:lang w:bidi="ar-SA"/>
        </w:rPr>
        <w:t>.</w:t>
      </w:r>
      <w:r>
        <w:rPr>
          <w:rStyle w:val="FootnoteAnchor"/>
          <w:rtl w:val="true"/>
        </w:rPr>
        <w:footnoteReference w:id="276"/>
      </w:r>
    </w:p>
    <w:p>
      <w:pPr>
        <w:pStyle w:val="Heading5"/>
        <w:numPr>
          <w:ilvl w:val="4"/>
          <w:numId w:val="1"/>
        </w:numPr>
        <w:rPr/>
      </w:pPr>
      <w:bookmarkStart w:id="258" w:name="__RefHeading___Toc6863582_73709187"/>
      <w:bookmarkStart w:id="259" w:name="_Toc98"/>
      <w:bookmarkEnd w:id="258"/>
      <w:r>
        <w:rPr>
          <w:rtl w:val="true"/>
        </w:rPr>
        <w:t>الثالث</w:t>
      </w:r>
      <w:r>
        <w:rPr>
          <w:rtl w:val="true"/>
        </w:rPr>
        <w:t xml:space="preserve">: </w:t>
      </w:r>
      <w:r>
        <w:rPr>
          <w:rtl w:val="true"/>
        </w:rPr>
        <w:t>التوسّل بالأعمال الصالحة</w:t>
      </w:r>
      <w:bookmarkEnd w:id="259"/>
    </w:p>
    <w:p>
      <w:pPr>
        <w:pStyle w:val="BookText"/>
        <w:rPr/>
      </w:pPr>
      <w:r>
        <w:rPr>
          <w:rFonts w:ascii="Amiri" w:hAnsi="Amiri" w:eastAsia="Amiri" w:cs="Amiri"/>
          <w:color w:val="111111"/>
          <w:sz w:val="28"/>
          <w:sz w:val="28"/>
          <w:szCs w:val="28"/>
          <w:rtl w:val="true"/>
          <w:lang w:bidi="ar-SA"/>
        </w:rPr>
        <w:t>قلّما يتفق لمؤمن أن لا يقوم بعمل صالح بعيد عن الرياء والسمعة عبْر حياته فيمكن أن يتوسّل بعمله الصالح ثم يدعو اللّه تعالى أن يقضي حاجته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نرى أنّ نبي اللّه إبراهيم عليه السلام يدعو اللّه سبحانه حينما يشتغل بعمل صالح كرفع قواعد البيت الحرام كما يحكي عنه سبحانه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يَرْفَعُ إِبْراهِيمُ الْقَواعِدَ مِنَ الْبَيْتِ وَ إِسْماعِيلُ رَبَّنا تَقَبَّلْ مِنّا إِنَّكَ أَنْتَ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اجْعَلْنا مُسْلِمَيْنِ لَكَ وَ مِنْ ذُرِّيَّتِنا أُمَّةً مُسْلِمَةً لَكَ وَ أَرِنا مَناسِكَنا وَ تُبْ عَلَيْنا إِنَّكَ أَنْتَ التَّوّابُ الرَّحِيمُ‌</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طلب عليه السلام من اللّه سبحانه أُموراً أربعة حينما كان يرفع قواعد البيت كما هو ظاهر لمن تأمل في تلك الآية الكريمة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عزّوجلّ يذكر دعاءً آخر للمؤمنين فيقول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يَقُولُونَ رَبَّنا</w:t>
      </w:r>
    </w:p>
    <w:p>
      <w:pPr>
        <w:pStyle w:val="BookText"/>
        <w:rPr/>
      </w:pPr>
      <w:r>
        <w:rPr>
          <w:rFonts w:ascii="Amiri" w:hAnsi="Amiri" w:eastAsia="Amiri" w:cs="Amiri"/>
          <w:color w:val="111111"/>
          <w:sz w:val="28"/>
          <w:sz w:val="28"/>
          <w:szCs w:val="28"/>
          <w:rtl w:val="true"/>
          <w:lang w:bidi="ar-SA"/>
        </w:rPr>
        <w:t>إِنَّنا آمَنّا فَاغْفِرْ لَنا ذُنُوبَنا وَ قِنا عَذابَ النّارِ</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فهاهم قد طلبوا من اللّه سبحانه غفرانَ ذنوبهم وصيانتهم من العذاب بعدما أظهروا الإيمان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إِنَّنا آمَنّا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ورد هذا النوع من التوسل في الأحاديث الشريفة نذكر نموذجاً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البخاري عن نافع عن ابن عمر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ثلاثة نفر ممّن كان قبلكم يمشون إذ أصابهم مطر فأووا إلى غار فانطبق عليهم،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واللّه يا هؤلاء لا ينجيكم إلّاالصدق، فليدع كل رجل منكم بما يعلم أنّه قد صدق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تعلم أنّه كان لي أجير يعمل لي على فرق من أرز فذهب وتركه وأنّي عمدت إلى ذلك الفرق فزرعته فصار من أمره أنّي اشتريت منه بقراً وأنّه أتاني يطلب أجره،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اعمد إلى تلك البقر فسقها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لي عندك فرق من أرز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اعمد إلى تلك البقر فإنّها من ذلك الفرق، فساقها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تعلم أنّي فعلت ذلك من خشيتك ففرج عنا، فانساخت عنهم الصخرة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تعلم أنّه كان لي أبوان شيخان كبيران فكنت آتيهما كل ليلة بلبن غنم لي، فأبطأت عليهما ليلة فجئت وقد رقدا، وأهلي وعيالي يتضاغون من الجوع، فكنت لا أسقيهم حتّى يشرب أبواي فكرهت أن أوقظهما وكرهت أن أدعهما فيستكنّا بشربتهما، فلم أزل انتظر حتّى طلع الفجر، فإن كنت تعلم أنّي فعلت ذلك من خشيتك ففرج عنا، فانساخت عنهم الصخرة حتّى نظروا إلى السماء</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تعلم أنّه كان لي ابنة عم من أحب الناس إلي وإنّي راودتها عن نفسها فأبت إلّاأن آتيها بمائة دينار، فطلبتها حتّى قدرت فأتيتها بها</w:t>
      </w:r>
      <w:bookmarkStart w:id="260" w:name="pg16768_165276"/>
    </w:p>
    <w:p>
      <w:pPr>
        <w:pStyle w:val="BookText"/>
        <w:rPr/>
      </w:pPr>
      <w:bookmarkEnd w:id="260"/>
      <w:r>
        <w:rPr>
          <w:rFonts w:ascii="Amiri" w:hAnsi="Amiri" w:eastAsia="Amiri" w:cs="Amiri"/>
          <w:color w:val="111111"/>
          <w:sz w:val="28"/>
          <w:sz w:val="28"/>
          <w:szCs w:val="28"/>
          <w:rtl w:val="true"/>
          <w:lang w:bidi="ar-SA"/>
        </w:rPr>
        <w:t>فدفعتها إليها فأمكنتني من نفسها، فلما قعدت بين رجليها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ولا تفض الخاتم إلّابحقه، فقمت وتركت المائة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تعلم أنّي فعلت ذلك من خشيتك ففرج عنّا، ففرج اللّه عنهم فخرجوا</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 w:name="__RefHeading___Toc6863584_73709187"/>
      <w:bookmarkStart w:id="262" w:name="_Toc99"/>
      <w:bookmarkEnd w:id="261"/>
      <w:r>
        <w:rPr>
          <w:rtl w:val="true"/>
        </w:rPr>
        <w:t>الرابع</w:t>
      </w:r>
      <w:r>
        <w:rPr>
          <w:rtl w:val="true"/>
        </w:rPr>
        <w:t xml:space="preserve">: </w:t>
      </w:r>
      <w:r>
        <w:rPr>
          <w:rtl w:val="true"/>
        </w:rPr>
        <w:t>التوسل بدعاء الأخ المؤمن</w:t>
      </w:r>
      <w:bookmarkEnd w:id="262"/>
    </w:p>
    <w:p>
      <w:pPr>
        <w:pStyle w:val="BookText"/>
        <w:rPr/>
      </w:pPr>
      <w:r>
        <w:rPr>
          <w:rFonts w:ascii="Amiri" w:hAnsi="Amiri" w:eastAsia="Amiri" w:cs="Amiri"/>
          <w:color w:val="111111"/>
          <w:sz w:val="28"/>
          <w:sz w:val="28"/>
          <w:szCs w:val="28"/>
          <w:rtl w:val="true"/>
          <w:lang w:bidi="ar-SA"/>
        </w:rPr>
        <w:t>إنّ التوسّل بدعاء الأخ المؤمن من الوسائل الّتي أمر بها الكتاب والسنّة، ويمكن استظهار ذلك من خلال أنّ حملة العرش يستغفرون للمؤمنين،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 وَ مَنْ حَوْلَهُ يُسَبِّحُونَ بِحَمْدِ رَبِّهِمْ وَ يُؤْمِنُونَ بِهِ وَ يَسْتَغْفِرُونَ لِلَّذِينَ آمَنُوا رَبَّنا وَسِعْتَ كُلَّ شَيْ‌ءٍ رَحْمَةً وَ عِلْماً فَاغْفِرْ لِلَّذِينَ تابُوا وَ اتَّبَعُوا سَبِيلَكَ وَ قِهِمْ عَذابَ الْجَحِيمِ‌</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فلولا أنّ دعاء الغير مقرون بالاستجابة لما قام حملة العرش بالاستغفار لمن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هذا فقد روي أنّ النبي صلى الله عليه و آله طلب من الأُمّة أن يسألوا اللّه سبحانه أن يرزقه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مسلم في صحيحه عن عبداللّه بن عمرو بن العاص أنّه سمع النبي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سمعتم المؤذن فقولوا مثل ما يقول، ثم صلوا عليَّ‌، فإنّه من صلّى عليّ صلاة صلّى اللّه عليه بها عشراً، ثم سلوا اللّه لي الوسيلة، فإنّها منزلة في الجنة لا تنبغي إلّالعبد من عباد اللّه، وأرجو أن أكون أنا هو، فمن سأل لي الوسيلة حلّت له الشفاعة</w:t>
      </w:r>
      <w:r>
        <w:rPr>
          <w:rFonts w:eastAsia="Amiri" w:cs="Amiri" w:ascii="Amiri" w:hAnsi="Amiri"/>
          <w:color w:val="111111"/>
          <w:sz w:val="28"/>
          <w:szCs w:val="28"/>
          <w:rtl w:val="true"/>
          <w:lang w:bidi="ar-SA"/>
        </w:rPr>
        <w:t>».</w:t>
      </w:r>
      <w:r>
        <w:rPr>
          <w:rStyle w:val="FootnoteAnchor"/>
          <w:rtl w:val="true"/>
        </w:rPr>
        <w:footnoteReference w:id="28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روايات أئمة أهل البيت عليهم السلام إشارات إلى ذلك، روى الحسين بن سعيد الأهوازي بسنده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أبو جعفر عليه السلام غلاماً 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إذهب</w:t>
      </w:r>
      <w:bookmarkStart w:id="263" w:name="pg16768_165277"/>
    </w:p>
    <w:p>
      <w:pPr>
        <w:pStyle w:val="BookText"/>
        <w:rPr/>
      </w:pPr>
      <w:bookmarkEnd w:id="263"/>
      <w:r>
        <w:rPr>
          <w:rFonts w:ascii="Amiri" w:hAnsi="Amiri" w:eastAsia="Amiri" w:cs="Amiri"/>
          <w:color w:val="111111"/>
          <w:sz w:val="28"/>
          <w:sz w:val="28"/>
          <w:szCs w:val="28"/>
          <w:rtl w:val="true"/>
          <w:lang w:bidi="ar-SA"/>
        </w:rPr>
        <w:t>إلى قبر رسول اللّه صلى الله عليه و آله فصلّ ركعتين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لعلي بن الحسين خطيئته يوم الدين، ثم 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فأنت حر لوجه اللّه</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الإربلي عن علي بن محمد الحجّال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خدمتك وأصابني علة في رجلي ولا أقدر على النهوض والقيام بما يجب، فإن رأيت أن تدعو اللّه أن يكشف علتي ويعينني على القيام بما يجب عليّ وأداء الأمانة في ذلك ويجعلني من تقصيري من غير تعمد مني، وتضييع ما لا أتعمده من نسيان يصيبني في حلّ ويوسّع عليّ وتدعو لي بالثبات على دينه الّذي ارتضاه لنبيه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اللّه عنك وعن 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بأبي علّة ولم أكتب فيها فدعا له ابتداء</w:t>
      </w:r>
      <w:r>
        <w:rPr>
          <w:rFonts w:eastAsia="Amiri" w:cs="Amiri" w:ascii="Amiri" w:hAnsi="Amiri"/>
          <w:color w:val="111111"/>
          <w:sz w:val="28"/>
          <w:szCs w:val="28"/>
          <w:rtl w:val="true"/>
          <w:lang w:bidi="ar-SA"/>
        </w:rPr>
        <w:t>».</w:t>
      </w:r>
      <w:r>
        <w:rPr>
          <w:rStyle w:val="FootnoteAnchor"/>
          <w:rtl w:val="true"/>
        </w:rPr>
        <w:footnoteReference w:id="283"/>
      </w:r>
    </w:p>
    <w:p>
      <w:pPr>
        <w:pStyle w:val="Heading5"/>
        <w:numPr>
          <w:ilvl w:val="4"/>
          <w:numId w:val="1"/>
        </w:numPr>
        <w:rPr/>
      </w:pPr>
      <w:bookmarkStart w:id="264" w:name="__RefHeading___Toc6863586_73709187"/>
      <w:bookmarkStart w:id="265" w:name="_Toc100"/>
      <w:bookmarkEnd w:id="264"/>
      <w:r>
        <w:rPr>
          <w:rtl w:val="true"/>
        </w:rPr>
        <w:t>الخامس</w:t>
      </w:r>
      <w:r>
        <w:rPr>
          <w:rtl w:val="true"/>
        </w:rPr>
        <w:t xml:space="preserve">: </w:t>
      </w:r>
      <w:r>
        <w:rPr>
          <w:rtl w:val="true"/>
        </w:rPr>
        <w:t>التوسّل بدعاء النبي صلى الله عليه و آله في حياته</w:t>
      </w:r>
      <w:bookmarkEnd w:id="265"/>
    </w:p>
    <w:p>
      <w:pPr>
        <w:pStyle w:val="BookText"/>
        <w:rPr/>
      </w:pPr>
      <w:r>
        <w:rPr>
          <w:rFonts w:ascii="Amiri" w:hAnsi="Amiri" w:eastAsia="Amiri" w:cs="Amiri"/>
          <w:color w:val="111111"/>
          <w:sz w:val="28"/>
          <w:sz w:val="28"/>
          <w:szCs w:val="28"/>
          <w:rtl w:val="true"/>
          <w:lang w:bidi="ar-SA"/>
        </w:rPr>
        <w:t>التوسل بدعاء النبي الأعظم صلى الله عليه و آله في حال حياته ممّا اتّفقت عليه كلمات العلماء ولم يختلف فيه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القرآن الكريم وجود هذا النوع من التوسل في الأُممّ السالفة بشهادة أنّ إخوة يوسف بعدما تبيّن خطأهم طلبوا من أبيهم الاستغفار لهم،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أَبانَا اسْتَغْفِرْ لَنا ذُنُوبَنا إِنّا كُنّا خاطِئِينَ‌</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وقد استجاب لهم أبوهم يعقوب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أَسْتَغْفِرُ لَكُمْ رَبِّي إِنَّهُ هُوَ الْغَفُورُ الرَّحِيمُ‌</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التوسّل بدعاء الأخ المؤمن أمراً راجحاً مرجو الاستجابة فالتوسل بدعاء النبي الطاهر أولى بذلك</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نرى أنّه سبحانه يحثّ الذين ظلموا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w:t>
      </w:r>
      <w:bookmarkStart w:id="266" w:name="pg16768_165278"/>
    </w:p>
    <w:p>
      <w:pPr>
        <w:pStyle w:val="BookText"/>
        <w:rPr/>
      </w:pPr>
      <w:bookmarkEnd w:id="266"/>
      <w:r>
        <w:rPr>
          <w:rFonts w:ascii="Amiri" w:hAnsi="Amiri" w:eastAsia="Amiri" w:cs="Amiri"/>
          <w:color w:val="111111"/>
          <w:sz w:val="28"/>
          <w:sz w:val="28"/>
          <w:szCs w:val="28"/>
          <w:rtl w:val="true"/>
          <w:lang w:bidi="ar-SA"/>
        </w:rPr>
        <w:t>يتوسلوا بدعاء النبي صلى الله عليه و آله واستغفاره، ويقول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آية أُخرى يندد بالمنافقين بأنّهم إذا خوطبوا بالذهاب إلى النبي الأكرم صلى الله عليه و آله ليستغفر لهم أعرضوا عن ذلك وصدّوا تكبّراً،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قِيلَ لَهُمْ تَعالَوْا يَسْتَغْفِرْ لَكُمْ رَسُولُ اللّهِ لَوَّوْا رُؤُسَهُمْ وَ رَأَيْتَهُمْ يَصُدُّونَ وَ هُمْ مُسْتَكْبِرُونَ‌</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هنا تم بيان أنواع التوسلات الّتي لم يظهر فيها خلاف، وأمّا الأنواع الأُخرى الّتي ظهر فيها الاختلاف من زمان ابن تيمية، فإليك بيانها</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6863588_73709187"/>
      <w:bookmarkStart w:id="268" w:name="_Toc101"/>
      <w:bookmarkEnd w:id="267"/>
      <w:r>
        <w:rPr>
          <w:rtl w:val="true"/>
        </w:rPr>
        <w:t>السادس</w:t>
      </w:r>
      <w:r>
        <w:rPr>
          <w:rtl w:val="true"/>
        </w:rPr>
        <w:t xml:space="preserve">: </w:t>
      </w:r>
      <w:r>
        <w:rPr>
          <w:rtl w:val="true"/>
        </w:rPr>
        <w:t>التوسّل بدعاء النبي صلى الله عليه و آله بعد رحيله</w:t>
      </w:r>
      <w:bookmarkEnd w:id="268"/>
    </w:p>
    <w:p>
      <w:pPr>
        <w:pStyle w:val="BookText"/>
        <w:rPr/>
      </w:pPr>
      <w:r>
        <w:rPr>
          <w:rFonts w:ascii="Amiri" w:hAnsi="Amiri" w:eastAsia="Amiri" w:cs="Amiri"/>
          <w:color w:val="111111"/>
          <w:sz w:val="28"/>
          <w:sz w:val="28"/>
          <w:szCs w:val="28"/>
          <w:rtl w:val="true"/>
          <w:lang w:bidi="ar-SA"/>
        </w:rPr>
        <w:t>التوسّل بدعاء النبي الأكرم صلى الله عليه و آله رهن ثبوت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 حيّاً يُرزق عند 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الصلة بينه وبين المتوسل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في ثبوت الحياة البرزخية ما دل على حياة الشهداء بعد رحيلهم من الدنيا، فإذا كان الشهداء أحياء عند ربهم يرزقون فنبي الشهداء أولى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حياة الشهداء فالذكر الحكيم صريح في ذلك الأمر،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آتاهُمُ اللّهُ مِنْ فَضْلِهِ وَ يَسْتَبْشِرُونَ بِالَّذِينَ لَمْ يَلْحَقُوا بِهِمْ مِنْ خَلْفِهِمْ أَلاّ خَوْفٌ عَلَيْهِمْ وَ لا هُمْ يَحْزَنُونَ‌</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وليست هذه هي الآية وحيدة في الموضوع، بل يدل على ذلك غير واحدة</w:t>
      </w:r>
    </w:p>
    <w:p>
      <w:pPr>
        <w:pStyle w:val="BookText"/>
        <w:rPr/>
      </w:pPr>
      <w:r>
        <w:rPr>
          <w:rFonts w:ascii="Amiri" w:hAnsi="Amiri" w:eastAsia="Amiri" w:cs="Amiri"/>
          <w:color w:val="111111"/>
          <w:sz w:val="28"/>
          <w:sz w:val="28"/>
          <w:szCs w:val="28"/>
          <w:rtl w:val="true"/>
          <w:lang w:bidi="ar-SA"/>
        </w:rPr>
        <w:t>من الآيات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ادْخُلِ الْجَنَّةَ قالَ يا لَيْتَ قَوْمِي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غَفَرَ لِي رَبِّي وَ جَعَلَنِي مِنَ الْمُكْرَمِينَ‌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والخطاب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 لمن جاء من أقصى المدينة وخاطب قومه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اتَّبِعُوا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مَنْ لا يَسْئَلُكُمْ أَجْراً وَ هُمْ مُهْتَدُونَ‌</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وبعدما أتم كلامه ودعا الناس إلى الإيمان برسل المسيح، قام قومه بضربه ورجمه حتّى مات فعند ذلك خاطبه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لَيْتَ قَوْمِي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غَفَرَ لِي رَبِّي وَ جَعَلَنِي مِنَ الْمُكْرَمِينَ‌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فالاستدلال مركّز على تبيين المراد من الجنة‌؟ هل هي جنة المأوى الّتي يدخل فيها الإنسان المؤمن بعد الحشر والنشر؟ أو المراد منها الجنة البرزخيّة الّتي يتنعم فيها العباد الصالحون بعد موتهم إلى يوم القيامة، فتكون الآية شاهداً لاستمرار الحياة بعد الرحيل عن هذه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نلفت إليه نظر القارئ هو أنّ الحياة البرزخية تعمّ المؤمن والكافر، غاية الأمر المؤمن منعّم فيها والكافر معذّب، يقول سبحانه في حق الفراعنة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يُعْرَضُونَ عَلَيْها غُدُوًّا وَ عَشِيًّا وَ يَوْمَ تَقُومُ السّاعَةُ أَدْخِلُوا آلَ فِرْعَوْنَ أَشَدَّ الْعَذابِ‌</w:t>
      </w:r>
      <w:r>
        <w:rPr>
          <w:rFonts w:eastAsia="Amiri" w:cs="Amiri" w:ascii="Amiri" w:hAnsi="Amiri"/>
          <w:color w:val="111111"/>
          <w:sz w:val="28"/>
          <w:szCs w:val="28"/>
          <w:rtl w:val="true"/>
          <w:lang w:bidi="ar-SA"/>
        </w:rPr>
        <w:t>) .</w:t>
      </w:r>
      <w:r>
        <w:rPr>
          <w:rStyle w:val="FootnoteAnchor"/>
          <w:rtl w:val="true"/>
        </w:rPr>
        <w:footnoteReference w:id="29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القول بأنّ الموت إبطال للإنسان ولا يبقى بعد الموت منه شيء عقيدة مادّية يصرّ عليها حماة المادة في عصرنا هذا، حيث يعتقدون بأنّ الموت نهاية وجود الإنسان ولا يبقى بعد الموت منه شيء، والقرآن الكريم يرفض تلك العقيدة قائلاً بأنّ الموت فناء للجسم الّذي هو بمنزلة الثوب للروح، وأمّا الروح فهي الّتي يأخذها ملك الموت وتبقى عند اللّه تبارك وتعالى، وهذه الحقيقة قد أشار إليها سبحانه في جواب نفاة المعاد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إِذا ضَلَلْنا فِي الْأَرْضِ أَ إِنّا لَفِي</w:t>
      </w:r>
    </w:p>
    <w:p>
      <w:pPr>
        <w:pStyle w:val="BookText"/>
        <w:rPr/>
      </w:pPr>
      <w:r>
        <w:rPr>
          <w:rFonts w:ascii="Amiri" w:hAnsi="Amiri" w:eastAsia="Amiri" w:cs="Amiri"/>
          <w:color w:val="111111"/>
          <w:sz w:val="28"/>
          <w:sz w:val="28"/>
          <w:szCs w:val="28"/>
          <w:rtl w:val="true"/>
          <w:lang w:bidi="ar-SA"/>
        </w:rPr>
        <w:t>خَلْقٍ جَدِيدٍ</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فأجابهم سبحانه بأمرين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بِلِقاءِ رَبِّهِمْ كافِرُونَ‌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يَتَوَفّاكُمْ مَلَكُ الْمَوْتِ الَّذِي وُكِّلَ بِكُمْ ثُمَّ إِلى رَبِّكُمْ تُرْجَعُونَ‌</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يَتَوَفّاكُمْ‌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الثانية تدلّ على أنّ الباقي في الأرض الّذي اعتمد عليه نفاة المعاد وزعموا امتناعه بحجة تفرقه وتبعثر أجزاء بدنه، غير واقع الإنسان وأنّ هنا واقعاً ثابتاً لا يضل ولا يُنسى بل يأخذه ملك الموت ويبقى عند اللّه سبحانه وهو روحه الّتي أشار إليها سبحانه بعد إتمام خلق الإنسان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لا تصلح جواباً لشبهة المنكرين إلّابالقول بأنّ الضالّ في الأرض، غير الباقي عند اللّه، وأنّ الرميم فيها شيءٌ منفصل عن حقيقة الإنسان، إذ أنّ حقيقته هي الّتي يأخذها ملك الموت الموكل بقبض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باقية عند اللّه إلى رجوعه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والسنّة النبوية تؤيد ذلك حيث عقد البخاري باباً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الميّت يسمع خفق النعال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فيه عن أنس،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إذا وضع في قبره وتولّى وذهب أصحابه، حتّى إنّه ليسمع قرع نعالهم، أتاه ملكان فأقعداه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29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بحوثنا تدور حول دلالة القرآن الكريم والأحاديث المتضافرة، اقتصرنا في إثبات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بقاء الإنسان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المقدار، وقد أقام المحقّقون على تجرّد روح الإنسان وبقائها، براهين علمية متقنة، ومن أراد التفصيل فليرجع إليها</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وأمّا الأمر الثاني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الصلة بين من يعيش على وجه البسيطة وبين الأرواح، فإنّ من أنكر التوسّل بدعاء النبي صلى الله عليه و آله بعد رحيله ربّما يسلّم بالأمر الأوّل وأنّ النبي صلى الله عليه و آله حيّ بحياة برزخية بعد رحيله، ولكن ربّما ينكر الصلة بيننا وبين عالم الأرواح، ويصرّ على الانقطاع، بينما القرآن الكريم يدلّ بوضوح على وجود الصلة بيننا وبينهم بشهادة أنّ نبيين كريمين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صالحاً وشعيباً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خاطبا قومهما بعد هلاكهم، فلو كانت الصلة منتفية فما معنى تكلّمهما مع قومهما بعد هلاكهم‌؟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نبي اللّه صالح عليه السلام فقد حكى القرآن تكلّمه مع قومه بعد هلاكهم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فَأَخَذَتْهُمُ الرَّجْفَةُ فَأَصْبَحُوا فِي دارِهِمْ جاثِمِينَ‌</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فالآية صريحة في هلاك قومه، وموتهم عن آخرهم، وبعد ذلك يحكي تكلّم النبي صالح عليه السلام معهم،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فَتَوَلّى عَنْهُمْ وَ قالَ يا قَوْمِ لَقَدْ أَبْلَغْتُكُمْ رِسالَةَ رَبِّي وَ نَصَحْتُ لَكُمْ وَ لكِنْ لا تُحِبُّونَ النّاصِحِينَ‌</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وجود الترتيب بين هلاكهم وتكلّم نبيهم معهم، فلولا وجود الصلة فما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لَقَدْ أَبْلَغْتُكُمْ‌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لا تُحِبُّونَ النّاصِحِينَ‌</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حاكٍ عن أنّ أرواحهم قد بلغت من الخبث حتّى أنّهم لا يحبون النبي عليه السلام بعد هلاكهم أيضاً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نظير ذلك الخطاب في قصة شعيب عليه السلام،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فَأَخَذَتْهُمُ الرَّجْفَةُ فَأَصْبَحُوا فِي دارِهِمْ جاثِمِينَ‌</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ثم يحكي فعل شعيب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فَتَوَلّى عَنْهُمْ‌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تولّى شعيب عن قومه، ومع ذلك خاطبهم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لَقَدْ أَبْلَغْتُكُمْ رِسالَةَ رَبِّي</w:t>
      </w:r>
      <w:bookmarkStart w:id="269" w:name="pg16768_165282"/>
    </w:p>
    <w:p>
      <w:pPr>
        <w:pStyle w:val="BookText"/>
        <w:rPr/>
      </w:pPr>
      <w:bookmarkEnd w:id="269"/>
      <w:r>
        <w:rPr>
          <w:rFonts w:ascii="Amiri" w:hAnsi="Amiri" w:eastAsia="Amiri" w:cs="Amiri"/>
          <w:color w:val="111111"/>
          <w:sz w:val="28"/>
          <w:sz w:val="28"/>
          <w:szCs w:val="28"/>
          <w:rtl w:val="true"/>
          <w:lang w:bidi="ar-SA"/>
        </w:rPr>
        <w:t>وَ نَصَحْتُ لَكُمْ فَكَيْفَ آسى عَلى قَوْمٍ كافِرِينَ‌</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0" w:name="__RefHeading___Toc6863590_73709187"/>
      <w:bookmarkStart w:id="271" w:name="_Toc102"/>
      <w:bookmarkEnd w:id="270"/>
      <w:r>
        <w:rPr>
          <w:rtl w:val="true"/>
        </w:rPr>
        <w:t>تكلّم النبي صلى الله عليه و آله مع الهالكين من قريش</w:t>
      </w:r>
      <w:bookmarkEnd w:id="271"/>
    </w:p>
    <w:p>
      <w:pPr>
        <w:pStyle w:val="BookText"/>
        <w:rPr/>
      </w:pPr>
      <w:r>
        <w:rPr>
          <w:rFonts w:ascii="Amiri" w:hAnsi="Amiri" w:eastAsia="Amiri" w:cs="Amiri"/>
          <w:color w:val="111111"/>
          <w:sz w:val="28"/>
          <w:sz w:val="28"/>
          <w:szCs w:val="28"/>
          <w:rtl w:val="true"/>
          <w:lang w:bidi="ar-SA"/>
        </w:rPr>
        <w:t xml:space="preserve">لمّا قتل صناديد قريش ورؤساؤهم أمر النبي صلى الله عليه و آله برميهم في القليب ويبلغ عددهم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فقذفوا في طوي من أطواء بدر خبيث مخبث، ثم قام النبي صلى الله عليه و آله على شفة الركي، فجعل يناديهم بأسمائهم وأسماء آبائهم يا فلان بن فلان، ويا فلان بن فلان، أيسرّكم أنّكم أطعتم اللّه ورسوله‌؟ فإنّا قد وجدنا ما وعدنا ربنا حقّاً، فهل وجدتم ما وعدكم ربكم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تُكلم من أجساد لا أرواح لها،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 محمد بيده، ما أنتم بأسمع لما أقول منهم</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والعجب أنّ الوصي عليه السلام أيضاً خاطب الناكثين بعدما قتلوا في الجمل، حيث لمّا انجلت الحرب في البصرة وقتل طلحة والزبير وحملت عائشة إلى قصر بني خلف ركب أمير المؤمنين عليه السلام وتبعه أصحابه، وعمّار رحمه الله يمشي مع ركابه حتّى خرج إلى القتلى يطوف عليهم ثم سار حتّى وقف على كعب بن سور القاضي وهو مجدل بين القتلى وفي عنقه المصحف فقال نحّو المصحف وضعوه في مواضع الطهارة ثم قال أجلسوا إليّ كعباً فأُجلس ورأسه ينخفض إلى الأرض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كعب بن سور قد وجدتُ ما وعدني ربي حقّاً، فهل وجدت ما وعدك ربك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أضجعوا كعباً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فتجاوزه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 فرأى طلحة صريعاً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أجلسوا طلحة فأُجلس فخاطبه بمثل ما خاطب به كعباً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ذلك قال رجل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كلامك، هذه الهام قد صديت لا تسمع لك كلاماً ولا ترد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إنهما ليسمعان كلامي كما تسمع</w:t>
      </w:r>
      <w:bookmarkStart w:id="272" w:name="pg16768_165283"/>
    </w:p>
    <w:p>
      <w:pPr>
        <w:pStyle w:val="BookText"/>
        <w:rPr/>
      </w:pPr>
      <w:bookmarkEnd w:id="272"/>
      <w:r>
        <w:rPr>
          <w:rFonts w:ascii="Amiri" w:hAnsi="Amiri" w:eastAsia="Amiri" w:cs="Amiri"/>
          <w:color w:val="111111"/>
          <w:sz w:val="28"/>
          <w:sz w:val="28"/>
          <w:szCs w:val="28"/>
          <w:rtl w:val="true"/>
          <w:lang w:bidi="ar-SA"/>
        </w:rPr>
        <w:t>أصحاب القليب كلام رسول اللّه صلى الله عليه و آله ولو أُذن لهما في الجواب لرأيت عجباً</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كيف يمكن لنا إنكار الصلة بيننا وبين النبي صلى الله عليه و آله والمسلمون ليلاً ونهاراً يسلّمون عليه مخاطبين له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 النبي الأكرم صلى الله عليه و آله عندما زار بقيع الغرقد خاطب أهل القبور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دار قوم مؤمنين، وأتاكم ما توعدون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مؤجلون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إن شاء اللّه بكم لاحقون، اللهم أغفر لأهل بقيع الغرقد</w:t>
      </w:r>
      <w:r>
        <w:rPr>
          <w:rFonts w:eastAsia="Amiri" w:cs="Amiri" w:ascii="Amiri" w:hAnsi="Amiri"/>
          <w:color w:val="111111"/>
          <w:sz w:val="28"/>
          <w:szCs w:val="28"/>
          <w:rtl w:val="true"/>
          <w:lang w:bidi="ar-SA"/>
        </w:rPr>
        <w:t>».</w:t>
      </w:r>
      <w:r>
        <w:rPr>
          <w:rStyle w:val="FootnoteAnchor"/>
          <w:rtl w:val="true"/>
        </w:rPr>
        <w:footnoteReference w:id="303"/>
      </w:r>
    </w:p>
    <w:p>
      <w:pPr>
        <w:pStyle w:val="Heading4"/>
        <w:numPr>
          <w:ilvl w:val="3"/>
          <w:numId w:val="1"/>
        </w:numPr>
        <w:rPr/>
      </w:pPr>
      <w:bookmarkStart w:id="273" w:name="__RefHeading___Toc6863592_73709187"/>
      <w:bookmarkStart w:id="274" w:name="_Toc103"/>
      <w:bookmarkEnd w:id="273"/>
      <w:r>
        <w:rPr>
          <w:rtl w:val="true"/>
        </w:rPr>
        <w:t>سيرة المسلمين بعد رحيل النبي صلى الله عليه و آله</w:t>
      </w:r>
      <w:bookmarkEnd w:id="274"/>
    </w:p>
    <w:p>
      <w:pPr>
        <w:pStyle w:val="BookText"/>
        <w:rPr/>
      </w:pPr>
      <w:r>
        <w:rPr>
          <w:rFonts w:ascii="Amiri" w:hAnsi="Amiri" w:eastAsia="Amiri" w:cs="Amiri"/>
          <w:color w:val="111111"/>
          <w:sz w:val="28"/>
          <w:sz w:val="28"/>
          <w:szCs w:val="28"/>
          <w:rtl w:val="true"/>
          <w:lang w:bidi="ar-SA"/>
        </w:rPr>
        <w:t>من أمعن النظر في ما نُقل عن سيرة المسلمين بعد رحيل النبي صلى الله عليه و آله يقف على أنّ التوسّل بدعاء النبي الأعظم صلى الله عليه و آله كانت سيرتهم المستمرة، وإليك نماذج من سيرة الصحابة الكرام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أبوبكر على فرسه من مسكنه بالسنح، حتّى نزل ودخل المسجد فلم يكلّم الناس حتّى دخل على عائشة، فتيمم النبي صلى الله عليه و آله وهو مسجّى ببرد حبرة فكشف عن وجهه، ثم أكبّ عليه، فقبّله ثم 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يانبي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 اللّه عليك موتتين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الموتة الّتي كتب اللّه عليك فقد متّها</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سيرة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أبو بكر حتّى نزل على باب المسجد حين بلغه الخبر، وعمر يكلِّم الناس، فلم يلتفت إلى شيء حتّى دخل على رسول اللّه صلى الله عليه و آله في بيت عائشة، فأقبل حتّى كشف عن وجه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عليه فقبَّله،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أمّا الموتة الّتي كتب اللّه عليك فقد ذقتها، ثم لن تصيبك بعدها موتة أبداً</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الحلبي في سيرته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وتكلّم كلاماً بليغاً، سكّن به نفوس المسلمين وثبّت جأشهم</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سيرة زيني دحلان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بكر على النبي صلى الله عليه و آله فأكبّ عليه وكشف الثوب عن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 حيّاً وميتاً، وانقطع لموتك ما لم ينقطع للأنبياء قبلك، فعظمتَ عن الصفة وجللت عن البكاء، ولو أنّ موتك كان اختيارياً لجدنا لموتك بالنفوس، اذكرنا يا محمد عند ربك، ولنكن على بالك</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الصلة بين النبي صلى الله عليه و آله والأحياء كانت مقطوعة، فما معنى مخاطبة أبي بكر للنبي صلى الله عليه و آله بالعبارات الّتي مرّت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التوسّل بدعاء النبي صلى الله عليه و آله بعد رحيله فما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اذكرني يا محمد عند ربك، ولنكن على بالك‌؟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أمير المؤمنين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ولي غسل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بِأَبِي أَنْتَ وَأُمِّي يَا رَسُولَ اللّهِ‌، لَقَدِ انْقَطَعَ بِمَوْتِكَ مَا لَمْ يَنْقَطِعْ بِمَوْتِ غَيْرِكَ مِنَ النُّبُوَّةِ وَالْإِنْبَاءِ وَأَخْبَارِ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بِأَبِي أَنْتَ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اذْكُرْنَا عِنْدَ رَبِّكَ‌، وَاجْعَلْنَا مِنْ بَالِكَ‌</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غير واحد من المؤرخين بأسانيدهم إلى محمد بن حرب الهلالي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المدينة، فأتيت قبر النبي صلى الله عليه و آله فزرته وجلست بحذائه، فجاء أعرابي فزاره،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الرسل إنّ اللّه أنزل عليك كتاباً صادقاً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وإنّي جئتك مستغفراً ربك من ذنوبي، مستشفعاً بك،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جئتك مستغفراً من ذنبي مستشفعاً بك إلى ربي، ثم بكى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خير من دفنت بالقاع أعظمه فطاب من طيبهن القاع والأكم</w:t>
      </w:r>
    </w:p>
    <w:p>
      <w:pPr>
        <w:pStyle w:val="BookText"/>
        <w:rPr/>
      </w:pPr>
      <w:r>
        <w:rPr>
          <w:rFonts w:ascii="Amiri" w:hAnsi="Amiri" w:eastAsia="Amiri" w:cs="Amiri"/>
          <w:color w:val="111111"/>
          <w:sz w:val="28"/>
          <w:sz w:val="28"/>
          <w:szCs w:val="28"/>
          <w:rtl w:val="true"/>
          <w:lang w:bidi="ar-SA"/>
        </w:rPr>
        <w:t>نفسي الفداء لقبر أنت ساكنه فيه العفاف وفيه الجودُ والكرمُ‌</w:t>
      </w:r>
    </w:p>
    <w:p>
      <w:pPr>
        <w:pStyle w:val="BookText"/>
        <w:rPr/>
      </w:pPr>
      <w:r>
        <w:rPr>
          <w:rFonts w:ascii="IRNazanin" w:hAnsi="IRNazanin" w:eastAsia="IRNazanin"/>
          <w:color w:val="111111"/>
          <w:sz w:val="28"/>
          <w:sz w:val="28"/>
          <w:szCs w:val="28"/>
          <w:rtl w:val="true"/>
          <w:lang w:bidi="fa-IR"/>
        </w:rPr>
        <w:t>ثم استغفر وانصرف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فرقدت فرأيت النبي صلى الله عليه و آله في نومي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الرجل فبشّره بأنّ اللّه قد غفر له بشفاعتي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فاستيقظت فخرجت أطلبه، فلم أجده</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الأعرابي أدرك بسلامة فطرته أنّ الآية الكريمة الّتي تدعو المسلمين إلى المجيء إلى النبي صلى الله عليه و آله حتّى يطلبوا منه الاستغفار لهم، ليست خاصّة بحياة النبي صلى الله عليه و آله بل تعمّ الحياة الأُخروية، فلأجل ذلك قام يطلب من النبي صلى الله عليه و آله أن يستغفر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المؤرخون قضايا كثيرة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الصحابة والتابعين إلى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يتوسّلون بدعاء النبي صلى الله عليه و آله بعد رحيله، وقد ذكر السمهودي شيئاً كثيراً من هذه القصص والآثار، فمن أراد التفصيل فليرجع إلى كتابه وفاء الوفا</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ولعل هؤلاء فهموا جواز التوسّل بدعاء النبي صلى الله عليه و آله بعد رحيله من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أوضح السبكي دلالة الآية على جواز التوسّل بدعاء النبي صلى الله عليه و آله في حالتي حياته وبعد رحيله؛ فقال في 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تقرير كون الزيارة قربة، وذلك بالكتاب، والسنّة، والإجماع، والقياس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الكتاب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ثبت على كل تقدير أنّ الأُمور الثلاثة المذكورة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المجيء، واستغفار المؤمنين، واستغفار الرسول صلى الله عليه و آله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حاصلة لمن</w:t>
      </w:r>
    </w:p>
    <w:p>
      <w:pPr>
        <w:pStyle w:val="BookText"/>
        <w:rPr/>
      </w:pPr>
      <w:r>
        <w:rPr>
          <w:rFonts w:ascii="Amiri" w:hAnsi="Amiri" w:eastAsia="Amiri" w:cs="Amiri"/>
          <w:color w:val="111111"/>
          <w:sz w:val="28"/>
          <w:sz w:val="28"/>
          <w:szCs w:val="28"/>
          <w:rtl w:val="true"/>
          <w:lang w:bidi="ar-SA"/>
        </w:rPr>
        <w:t>يجيء إليه صلى الله عليه و آله مستغفراً في حياته وبعد مماته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وإن وردت في أقوام معيّنين في حالة الحياة، فتعمّ بعموم العلّة كلّ من وجِدَ فيه ذلك الوصف في الحياة وبعد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فهم العلماء من الآية العموم في الحالتين، واستحبّوا لمن أتى إلى قبره صلى الله عليه و آله أن يتلوا هذه الآية، ويستغفر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وحكاية العتبي في ذلك مشهورة، وقد حكاها المصنّفون في المناسك من جميع المذاهب، والمؤرّخون، وكلهم استحسنوها ورأوها من آداب الزائر، وما ينبغي أن يفعله، وقد ذكرناها في آخر الباب الثالث</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ونقل السمهودي عن الحافظ أبي عبداللّه محمد بن موسى بن النعمان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الحافظ أبا نصير السمعاني ذكر فيما روينا عنه عن علي بن أبي طالب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أعرابي بعدما دفنا رسول اللّه صلى الله عليه و آله بثلاثة أيام فرمى بنفسه على قبر النبي صلى الله عليه و آله وحثا من ترابه على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قلتَ فسمعنا قولك، ووعيتَ عن اللّه سبحانه، وما وعينا عنك، وكان فيما أُنزل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ظلمتُ وجئتُك تستغفرْ لي، فنودي من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غُفر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ونقله السمهودي أيضاً بسند آخر عن الإمام علي عليه السلام</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ولا منافاة بين النقلين لإمكان التعدد، وعلى فرض الوحدة فأحد النقلين اقتصر والآخر أسهب، فنقل القصة كاملة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القاضي عياض بن موسى الأندلسي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الشفا بتعريف حقوق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مناظرة أبي جعفر المنصور مع إمام دار الهجرة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w:t>
      </w:r>
    </w:p>
    <w:p>
      <w:pPr>
        <w:pStyle w:val="BookText"/>
        <w:rPr/>
      </w:pP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مالكاً في مسجد رسول اللّه صلى الله عليه و آله 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ترفع صوتك في هذا المسجد فإنّ اللّه تعالى أدّب قوماً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تَرْفَعُوا أَصْواتَكُمْ فَوْقَ صَوْتِ النَّبِيِّ‌</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وذمّ قوماً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يُنادُونَكَ مِنْ وَراءِ الْحُجُراتِ‌</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حرمته ميتاً كحرمته حيّاً، فاستكان لها أبو جعفر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أستقبلُ القبلةَ وأدعو أم أستقبلُ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تصرف وجهك عنه وهو وسيلتك ووسيلة أبيك آدم عليه السلام إلى اللّه تعالى إلى يوم القيامة، بل استقبله واستشفع به، فيشفّعه اللّه،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نجد في هذه المناظرة الّتي نقلت بسند صحيح</w:t>
      </w:r>
      <w:r>
        <w:rPr>
          <w:rStyle w:val="FootnoteAnchor"/>
          <w:rtl w:val="true"/>
        </w:rPr>
        <w:footnoteReference w:id="317"/>
      </w:r>
      <w:r>
        <w:rPr>
          <w:rFonts w:ascii="Amiri" w:hAnsi="Amiri" w:eastAsia="Amiri" w:cs="Amiri"/>
          <w:color w:val="111111"/>
          <w:sz w:val="28"/>
          <w:sz w:val="28"/>
          <w:szCs w:val="28"/>
          <w:rtl w:val="true"/>
          <w:lang w:bidi="ar-SA"/>
        </w:rPr>
        <w:t>، دلالة واضحة على حياة النبي صلى الله عليه و آله ووجود الصلة بينه وبين الزائر له، وأنّ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برسول اللّه صلى الله عليه و آله في حياته وبعد رحلته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قصص الصحابة والتابعين والّتي تثبت شمول الآية لكلتا الحالتين</w:t>
      </w:r>
      <w:r>
        <w:rPr>
          <w:rFonts w:eastAsia="Amiri" w:cs="Amiri" w:ascii="Amiri" w:hAnsi="Amiri"/>
          <w:color w:val="111111"/>
          <w:sz w:val="28"/>
          <w:szCs w:val="28"/>
          <w:rtl w:val="true"/>
          <w:lang w:bidi="ar-SA"/>
        </w:rPr>
        <w:t>.</w:t>
      </w:r>
      <w:bookmarkStart w:id="275" w:name="pg16768_165288"/>
    </w:p>
    <w:p>
      <w:pPr>
        <w:pStyle w:val="Heading4"/>
        <w:numPr>
          <w:ilvl w:val="3"/>
          <w:numId w:val="1"/>
        </w:numPr>
        <w:rPr/>
      </w:pPr>
      <w:bookmarkStart w:id="276" w:name="__RefHeading___Toc6863594_73709187"/>
      <w:bookmarkStart w:id="277" w:name="_Toc104"/>
      <w:bookmarkEnd w:id="275"/>
      <w:bookmarkEnd w:id="276"/>
      <w:r>
        <w:rPr>
          <w:rtl w:val="true"/>
        </w:rPr>
        <w:t>شبهات المخالفين</w:t>
      </w:r>
      <w:bookmarkEnd w:id="277"/>
    </w:p>
    <w:p>
      <w:pPr>
        <w:pStyle w:val="Heading5"/>
        <w:numPr>
          <w:ilvl w:val="4"/>
          <w:numId w:val="1"/>
        </w:numPr>
        <w:rPr/>
      </w:pPr>
      <w:bookmarkStart w:id="278" w:name="__RefHeading___Toc6863596_73709187"/>
      <w:bookmarkStart w:id="279" w:name="_Toc105"/>
      <w:bookmarkEnd w:id="278"/>
      <w:r>
        <w:rPr>
          <w:rtl w:val="true"/>
        </w:rPr>
        <w:t>اشارة</w:t>
      </w:r>
      <w:bookmarkEnd w:id="279"/>
    </w:p>
    <w:p>
      <w:pPr>
        <w:pStyle w:val="BookText"/>
        <w:rPr/>
      </w:pPr>
      <w:r>
        <w:rPr>
          <w:rFonts w:ascii="Amiri" w:hAnsi="Amiri" w:eastAsia="Amiri" w:cs="Amiri"/>
          <w:color w:val="111111"/>
          <w:sz w:val="28"/>
          <w:sz w:val="28"/>
          <w:szCs w:val="28"/>
          <w:rtl w:val="true"/>
          <w:lang w:bidi="ar-SA"/>
        </w:rPr>
        <w:t xml:space="preserve">قد ورث المتأخّرون عن ابن تيمية ووارث منهجه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 يطرحونها لإغواء السذّج من الناس، وهي شبهات واهية لا تعتمد على دليل رصين، وإليك تحليلها</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6863598_73709187"/>
      <w:bookmarkStart w:id="281" w:name="_Toc106"/>
      <w:bookmarkEnd w:id="280"/>
      <w:r>
        <w:rPr>
          <w:rtl w:val="true"/>
        </w:rPr>
        <w:t>الأُولى</w:t>
      </w:r>
      <w:r>
        <w:rPr>
          <w:rtl w:val="true"/>
        </w:rPr>
        <w:t xml:space="preserve">: </w:t>
      </w:r>
      <w:r>
        <w:rPr>
          <w:rtl w:val="true"/>
        </w:rPr>
        <w:t>البرزخ مانع من الاتصال</w:t>
      </w:r>
      <w:bookmarkEnd w:id="281"/>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الحياة البرزخية حياة لا يعلمها إلّااللّه تعالى، فهي حياة مستقلة نؤمن بها ولا نعلم ماهيتها، وإنّ بين الأحياء والأموات حاجزاً يمنع الاتصال فيما بينهم قطعياً، وعلى هذا يستحيل الاتصال لا ذاتاً ولا صفاتاً وأنّه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وَرائِهِمْ بَرْزَخٌ إِلى يَوْمِ يُبْعَثُونَ‌</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 والبرزخ معناه الحاجز الّذي يحول دون اتصال هؤلاء بهؤلاء</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البرزخ في اللغة هو الحاجز بين الشيئين، لا بمعنى انقطاع الصلة بين أهل الدنيا وأهل الآخرة، ومن فسّره بهذا المعنى فإنّما قام بذلك لدعم مذهبه، فالمراد من البرزخ هو المانع من رجوع الناس إلى حياتهم الدنيوية، ويدل على ذلك أنّه سبحانه ذكر وجود البرزخ بعد ما ذكر تمنّي العصاة الرجوع إلى الدنيا،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 فِيما تَرَكْتُ كَلاّ إِنَّها كَلِمَةٌ هُوَ قائِلُها</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ردع لتمنّي رجوعهم، يعني لا يستجاب دعاؤهم، ثم عاد سبحانه يؤكده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وَرائِهِمْ بَرْزَخٌ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حائل مانع من الرجوع إلى الدنيا إلى يوم يبعثون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المانع من أنّ الحياة البرزخية حياة لا يعلمها إلّااللّه، فهو لا صلة له</w:t>
      </w:r>
      <w:bookmarkStart w:id="282" w:name="pg16768_165289"/>
    </w:p>
    <w:p>
      <w:pPr>
        <w:pStyle w:val="BookText"/>
        <w:rPr/>
      </w:pPr>
      <w:bookmarkEnd w:id="282"/>
      <w:r>
        <w:rPr>
          <w:rFonts w:ascii="Amiri" w:hAnsi="Amiri" w:eastAsia="Amiri" w:cs="Amiri"/>
          <w:color w:val="111111"/>
          <w:sz w:val="28"/>
          <w:sz w:val="28"/>
          <w:szCs w:val="28"/>
          <w:rtl w:val="true"/>
          <w:lang w:bidi="ar-SA"/>
        </w:rPr>
        <w:t>بموضوع البحث، ولكنّه لو أمعن النظر في الآيات الناظرة إلى الحياة البرزخية لوقف على بعض خصوصياتها</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6863600_73709187"/>
      <w:bookmarkStart w:id="284" w:name="_Toc107"/>
      <w:bookmarkEnd w:id="283"/>
      <w:r>
        <w:rPr>
          <w:rtl w:val="true"/>
        </w:rPr>
        <w:t>الشبهة الثانية</w:t>
      </w:r>
      <w:r>
        <w:rPr>
          <w:rtl w:val="true"/>
        </w:rPr>
        <w:t xml:space="preserve">: </w:t>
      </w:r>
      <w:r>
        <w:rPr>
          <w:rtl w:val="true"/>
        </w:rPr>
        <w:t>امتناع إسماع الموتى</w:t>
      </w:r>
      <w:bookmarkEnd w:id="284"/>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لا تُسْمِعُ الْمَوْتى‌</w:t>
      </w:r>
      <w:r>
        <w:rPr>
          <w:rFonts w:eastAsia="Amiri" w:cs="Amiri" w:ascii="Amiri" w:hAnsi="Amiri"/>
          <w:color w:val="111111"/>
          <w:sz w:val="28"/>
          <w:szCs w:val="28"/>
          <w:rtl w:val="true"/>
          <w:lang w:bidi="ar-SA"/>
        </w:rPr>
        <w:t xml:space="preserve">) </w:t>
      </w:r>
      <w:r>
        <w:rPr>
          <w:rStyle w:val="FootnoteAnchor"/>
          <w:rtl w:val="true"/>
        </w:rPr>
        <w:footnoteReference w:id="321"/>
      </w:r>
      <w:r>
        <w:rPr>
          <w:rFonts w:ascii="IRNazanin" w:hAnsi="IRNazanin" w:eastAsia="IRNazanin"/>
          <w:color w:val="111111"/>
          <w:sz w:val="28"/>
          <w:sz w:val="28"/>
          <w:szCs w:val="28"/>
          <w:rtl w:val="true"/>
          <w:lang w:bidi="fa-IR"/>
        </w:rPr>
        <w:t>، وقال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تُسْمِعُ الْمَوْتى‌</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أَنْتَ بِمُسْمِعٍ مَنْ فِي الْقُبُورِ </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والرسول صلى الله عليه و آله بعد أن توفّاه اللّه هو من الموتى ومن أهل القبور، فثبت أنّه لا يسمع دعاء أحد من أهل الدنيا وإن كان هو والأنبياء، لا يُبْلُون لأن اللّه قد حرّم على الأرض أن تأكل أجساد الأنبياء، ولكنّهم أجساد بلا أرواح وهم أموات</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أمعن النظر في هذه الآيات وما جاء بعدها وقبلها من الآيات الكريمة يقف على أنّ المراد نفي الانتفاع لا نفي الاستماع، بشهادة أنّ المشرك يسمع ولا ينتفع، فالموتى أيضاً يسمعون ولا ينتفعون، وإلّا لاختل التشبيه، فإنّ أحد طرفيه يسمع ولا ينتفع فيجب أن يكون الطرف الآخر كذلك بمعنى أنّ المشركين والموتى سيّان يسمعون ولاينتفعون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بلغ مفاد الآية أعلى حدّ من الظهور فقد فسّر ابن قيّم الجوزية تلميذ ابن تيمية الآيات على نحو ما ذكرنا، وإليك نص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أَنْتَ بِمُسْمِعٍ مَنْ 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فسياق الآية يدلّ على أنّ المراد منها أنّ الكافر الميّت القلب لا تقدر على إسماعه إسماعاً ينتفع به، كما أن مَنْ في القبور لا تقدر على إسماعهم إسماعاً ينتفعون به، ولم يرد سبحانه أنّ أصحابَ القبور لا يسمعون شيئاً البتة، كيف وقد أخبر النبي صلى الله عليه و آله أنّهم يسمعون خفق نعال المشيعين وأخبر أنّ قتلى</w:t>
      </w:r>
      <w:bookmarkStart w:id="285" w:name="pg16768_165290"/>
    </w:p>
    <w:p>
      <w:pPr>
        <w:pStyle w:val="BookText"/>
        <w:rPr/>
      </w:pPr>
      <w:bookmarkEnd w:id="285"/>
      <w:r>
        <w:rPr>
          <w:rFonts w:ascii="Amiri" w:hAnsi="Amiri" w:eastAsia="Amiri" w:cs="Amiri"/>
          <w:color w:val="111111"/>
          <w:sz w:val="28"/>
          <w:sz w:val="28"/>
          <w:szCs w:val="28"/>
          <w:rtl w:val="true"/>
          <w:lang w:bidi="ar-SA"/>
        </w:rPr>
        <w:t>بدر سمعوا كلامه وخطابه، وشرّع السلام عليهم بصيغة الخطاب للحاضر الّذي يسمع، وأخبر أنّ من سلم على أخيه المؤمن رد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الآية 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تُسْمِعُ الْمَوْتى وَ لا تُسْمِعُ الصُّمَّ الدُّعاءَ إِذا وَلَّوْا مُدْبِرِينَ‌</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إسماع الصم مع نفي إسماع الموتى يدل على أنّ المراد عدم أهلية كل منهما للسماع وأنّ قلوب هؤلاء لمّا كانت ميتة صمّاء كان إسماعها ممتنعاً بمنزلة خطاب الميت والأصم وهذا حق ولكن لا ينفي إسماع الأرواح بعد الموت إسماع توبيخ وتقريع بواسطة تعلّقها بالأبدان في وقتٍ ما، فهذا غير الإسماع المنفي، واللّه أعلم</w:t>
      </w:r>
      <w:r>
        <w:rPr>
          <w:rFonts w:eastAsia="Amiri" w:cs="Amiri" w:ascii="Amiri" w:hAnsi="Amiri"/>
          <w:color w:val="111111"/>
          <w:sz w:val="28"/>
          <w:szCs w:val="28"/>
          <w:rtl w:val="true"/>
          <w:lang w:bidi="ar-SA"/>
        </w:rPr>
        <w:t>.</w:t>
      </w:r>
      <w:r>
        <w:rPr>
          <w:rStyle w:val="FootnoteAnchor"/>
          <w:rtl w:val="true"/>
        </w:rPr>
        <w:footnoteReference w:id="326"/>
      </w:r>
    </w:p>
    <w:p>
      <w:pPr>
        <w:pStyle w:val="Heading5"/>
        <w:numPr>
          <w:ilvl w:val="4"/>
          <w:numId w:val="1"/>
        </w:numPr>
        <w:rPr/>
      </w:pPr>
      <w:bookmarkStart w:id="286" w:name="__RefHeading___Toc6863602_73709187"/>
      <w:bookmarkStart w:id="287" w:name="_Toc108"/>
      <w:bookmarkEnd w:id="286"/>
      <w:r>
        <w:rPr>
          <w:rtl w:val="true"/>
        </w:rPr>
        <w:t>الشبهة الثالثة</w:t>
      </w:r>
      <w:r>
        <w:rPr>
          <w:rtl w:val="true"/>
        </w:rPr>
        <w:t xml:space="preserve">: </w:t>
      </w:r>
      <w:r>
        <w:rPr>
          <w:rtl w:val="true"/>
        </w:rPr>
        <w:t>انقطاع عمل الإنسان</w:t>
      </w:r>
      <w:bookmarkEnd w:id="287"/>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 صلى الله عليه و آله قد انقطع عمله بوفاته، فلم يعد يتحرك أبداً فضلاً عن أن يحرك لسانه بالاستغفار أو غيره فهو على ضجعته من يوم أن دفن إلى يومنا هذا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يسمع أو يتكلم أو يصدر عنه أي عمل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انقطع عمله نهائياً كما قال هو عليه أفضل الصلوات وأزكى التسليمات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ابن آدم انقطع عمله إلّا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جارية وعلم ينتفع به، وولد صالح يدعو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رسول اللّه صلى الله عليه و آله يشمله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بني آدم، وقد قضى اللّه عليه بالموت والتحق بالرفيق الأعلى</w:t>
      </w:r>
      <w:r>
        <w:rPr>
          <w:rFonts w:eastAsia="Amiri" w:cs="Amiri" w:ascii="Amiri" w:hAnsi="Amiri"/>
          <w:color w:val="111111"/>
          <w:sz w:val="28"/>
          <w:szCs w:val="28"/>
          <w:rtl w:val="true"/>
          <w:lang w:bidi="ar-SA"/>
        </w:rPr>
        <w:t>.</w:t>
      </w:r>
      <w:r>
        <w:rPr>
          <w:rStyle w:val="FootnoteAnchor"/>
          <w:rtl w:val="true"/>
        </w:rPr>
        <w:footnoteReference w:id="32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هامش هذه الشبهة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وطّن نفسه على إثبات ما يتبنّاه، سواء أكان حقاً أم باطلاً فهو يتمسّك بكل شيء، سواء أكانت له دلالة على رأيه أم لا</w:t>
      </w:r>
      <w:r>
        <w:rPr>
          <w:rFonts w:eastAsia="Amiri" w:cs="Amiri" w:ascii="Amiri" w:hAnsi="Amiri"/>
          <w:color w:val="111111"/>
          <w:sz w:val="28"/>
          <w:szCs w:val="28"/>
          <w:rtl w:val="true"/>
          <w:lang w:bidi="ar-SA"/>
        </w:rPr>
        <w:t>.</w:t>
      </w:r>
      <w:bookmarkStart w:id="288" w:name="pg16768_165291"/>
    </w:p>
    <w:p>
      <w:pPr>
        <w:pStyle w:val="BookText"/>
        <w:rPr/>
      </w:pPr>
      <w:bookmarkEnd w:id="288"/>
      <w:r>
        <w:rPr>
          <w:rFonts w:ascii="Amiri" w:hAnsi="Amiri" w:eastAsia="Amiri" w:cs="Amiri"/>
          <w:color w:val="111111"/>
          <w:sz w:val="28"/>
          <w:sz w:val="28"/>
          <w:szCs w:val="28"/>
          <w:rtl w:val="true"/>
          <w:lang w:bidi="ar-SA"/>
        </w:rPr>
        <w:t>فأي دلالة لهذا الحديث على انقطاع الصلة، إذ غاية ما يدل عليه أنّ الإنسان لا ينتفع بعمله شخصياً بعد ما انتقل إلى البرزخ إلّاعن ثلاث، فليس له عمل مباشر ينتفع به إلّاهذه الثلاث، وأمّا أنّه لايتمكّن من التكلّم والجواب والاستغفار في حق الغير فلا دلالة للحديث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كيف يقول إنّ الأموات في الحياة البرزخية غير قادرين على التكلم مع أنّه سبحانه ينقل عن الشهداء أنّهم يتكلّمون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يَسْتَبْشِرُونَ بِالَّذِينَ لَمْ يَلْحَقُوا بِهِمْ مِنْ خَلْفِهِمْ أَلاّ خَوْفٌ عَلَيْهِمْ وَ 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يَسْتَبْشِرُونَ بِنِعْمَةٍ مِنَ اللّهِ وَ فَضْلٍ وَ أَنَّ اللّهَ لا يُضِيعُ أَجْرَ الْمُؤْمِنِينَ‌</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ناصر رسل عيسى عليه السلام فعندما قتل ودخل الجنة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لَيْتَ قَوْمِي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غَفَرَ لِي رَبِّي وَ جَعَلَنِي مِنَ الْمُكْرَمِينَ‌</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 w:name="__RefHeading___Toc6863604_73709187"/>
      <w:bookmarkStart w:id="290" w:name="_Toc109"/>
      <w:bookmarkEnd w:id="289"/>
      <w:r>
        <w:rPr>
          <w:rtl w:val="true"/>
        </w:rPr>
        <w:t>الشبهة الرابعة</w:t>
      </w:r>
      <w:r>
        <w:rPr>
          <w:rtl w:val="true"/>
        </w:rPr>
        <w:t xml:space="preserve">: </w:t>
      </w:r>
      <w:r>
        <w:rPr>
          <w:rtl w:val="true"/>
        </w:rPr>
        <w:t>التوسّل بدعاء الأنبياء شرك</w:t>
      </w:r>
      <w:bookmarkEnd w:id="29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الشبهة قرّرها مفتي السعودية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قال في رسالة له إلى أحد علماء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دعاء الأنبياء والأولياء والاستغاثة بهم والنذر لهم ونحو ذلك فهو الشرك الأكبر، وهو الّذي كان يفعله كفّار قريش مع أصنامهم وأوثانهم، وهكذا بقية المشركين يقصدون بذلك أنّها تشفع لهم عند اللّه، وتقرّبهم إليه زلفى، ولم يعتقدوا أنّها هي الّتي تقضي حاجاتهم وتشفي مرضاهم وتنصرهم على عدوهم، كما بيّن سبحانه ذلك عنهم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يَعْبُدُونَ مِنْ دُونِ اللّهِ ما لا يَضُرُّهُمْ وَ لا يَنْفَعُهُمْ وَ يَقُولُونَ هؤُلاءِ شُفَعاؤُنا عِنْدَ اللّهِ‌</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فردّ عليهم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تُنَبِّئُونَ اللّهَ بِما لا يَعْلَمُ فِي السَّماواتِ وَ لا فِي الْأَرْضِ سُبْحانَهُ وَ تَعالى عَمّا</w:t>
      </w:r>
    </w:p>
    <w:p>
      <w:pPr>
        <w:pStyle w:val="BookText"/>
        <w:rPr/>
      </w:pPr>
      <w:r>
        <w:rPr>
          <w:rFonts w:ascii="Amiri" w:hAnsi="Amiri" w:eastAsia="Amiri" w:cs="Amiri"/>
          <w:color w:val="111111"/>
          <w:sz w:val="28"/>
          <w:sz w:val="28"/>
          <w:szCs w:val="28"/>
          <w:rtl w:val="true"/>
          <w:lang w:bidi="ar-SA"/>
        </w:rPr>
        <w:t>يُشْرِكُونَ‌</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ونظير ذلك ما ذكره ابن تيمية في الفتاوى‌</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وجوابنا عن هذه الشبهة يأتي ضمن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يمكن أن يكون عملاً واحداً في حال حياة المدعوّ نفس التوحيد، وبعد رحلته يكون الشرك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طلب الدعاء من النبي صلى الله عليه و آله بعد رحلته هو نفس طلب الدعاء منه حال حياته، فكيف يمكن أن يكون الثاني موصوفاً بالتوحيد ويكون الأوّل موصوفاً بالشرك، مع أنّ ماهية الطلب في كلتا الحالتين لم تتغير، واعتقاد الطالب بحق النبي في كلا الموضعين سيّان، غاية الأمر لو لم نقل بحياة المدعو أو عدم وجود الصلة يكون الطلب أمراً لغواً لا شركاً وحراماً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النكتة لو وقف عليها المستدل ومَنْ يقتفي أثره لرجع عن دليله إذا كان إنساناً واعياً ومنصفاً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عطف عمل المسلمين بعد رحيل الرسول صلى الله عليه و آله على عمل المشركين في دعاء الأصنام والأوثان قياس باطل، وذلك أنّ المشركين كانوا يعتقدون بإلوهية الأصنام وأنّها تضرّ وتنفع في غير واحد من المقامات بشهادة قوله سبحانه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دُونِ اللّهِ آلِهَةً لِيَكُونُوا لَهُمْ عِزًّا</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دُونِ اللّهِ آلِهَةً لَعَلَّهُمْ يُنْصَرُونَ‌</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وقوله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يَتَّخِذُ مِنْ دُونِ اللّهِ أَنْداداً يُحِبُّونَهُمْ كَحُبِّ اللّهِ‌</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فالعز والنصر في الحروب بيد الأصنام حسب اعتقادهم، وأنّها أنداد للّه سبحانه في قضاء الحوائج ورفع الملمّات، إلى غير ذلك من صفات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هذا من دعاء المسلمين فإنّهم يطلبون من النبي صلى الله عليه و آله الدعاء والشفاعة من دون أن يعتقدوا بأنّ النصر والعزّة بيده صلى الله عليه و آله أو أنّه ند 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فتشبيه عمل المسلمين بعمل المشركين تعسّف واضح، لا يصدر إلّاعن المتعصب لما تربى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حاول التقريب بين عمل المشركين والمسلمين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الكفّار لم يقصدوا من آلهتهم أنّهم يشفون مرضاهم أو يقضون حوائجهم وإنّما أرادوا منهم أن يقربونهم من اللّه زلفى كما في الآية المباركة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يقول أنّهم لم يقصدوا من آلهتهم شفاء المرضى وقضاء الحوائج، مع أنّه سبحانه ينقل عنهم قولهم بأنّ العز والنصر بيد الآلهة، بل كانوا يتجاوزون هذا الحد ويعتقدون بالأنداد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المشركون في عصر الرسول صلى الله عليه و آله ربّما يخفون عقيدتهم ويتظاهرون بأنّ عبادتهم للأصنام ليست إلّاوسيلة ليقربونهم إلى اللّه زلفى فقط، ولكن ما تظاهروا به كان كذباً وفرية فضحها الذكر الحكيم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يَحْكُمُ بَيْنَهُمْ فِي ما هُمْ فِيهِ يَخْتَلِفُونَ إِنَّ اللّهَ لا يَهْدِي مَنْ هُوَ كاذِبٌ كَفّارٌ</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كانوا كاذبين في حصر وجه عبادتهم للأصنام على تقريبهم إلى اللّه زلفى، بل هم كانوا يعبدونها لأجل أنّ مصيرهم في الحياة وفي الحروب بيد هذه الأصنام والآلهة، ومن أمعن النظر في الآيات النازلة في حق المشركين يقف على أنّهم كانوا يعتقدون فيهم نفس ما يعتقده المسلمون في اللّه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أفيصح أن نجعل الجميع في صف واحد؛ من يسوّي بين الأصنام ورب العالمين،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نُسَوِّيكُمْ بِرَبِّ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ويصورها نداً للّه سبحانه، ومَنْ يعبد اللّه سبحانه ولا يرى له ندّاً ولا مثلاً ويتلوا كل يوم وليلة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bookmarkStart w:id="291" w:name="pg16768_165294"/>
    </w:p>
    <w:p>
      <w:pPr>
        <w:pStyle w:val="BookText"/>
        <w:rPr/>
      </w:pPr>
      <w:bookmarkEnd w:id="291"/>
      <w:r>
        <w:rPr>
          <w:rFonts w:ascii="Amiri" w:hAnsi="Amiri" w:eastAsia="Amiri" w:cs="Amiri"/>
          <w:color w:val="111111"/>
          <w:sz w:val="28"/>
          <w:sz w:val="28"/>
          <w:szCs w:val="28"/>
          <w:rtl w:val="true"/>
          <w:lang w:bidi="ar-SA"/>
        </w:rPr>
        <w:t>اَللّهُمَّ مالِكَ الْمُلْكِ تُؤْتِي الْمُلْكَ مَنْ تَشاءُ وَ تَنْزِعُ الْمُلْكَ مِمَّنْ تَشاءُ وَ تُعِزُّ مَنْ تَشاءُ وَ تُذِلُّ مَنْ تَشاءُ بِيَدِكَ الْخَيْرُ إِنَّكَ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ابن هشام في سيرته أنّ عمرو بن لُحيّ كان أوّل من أدخل الوثنية إلى مكة ونواحيها، فقد رأى في سفره إلى البلقاء من أراضي الشام أُناساً يعبدون الأوثان، وعندما سألهم عمّا يفعلون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الأصنام الّتي أراكم تعبدون‌؟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أصنام نعبدها، فنستمطرها فتمطرنا، ونستنصرها فتنصرنا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أفلاتعطوني منها صنماً، فأسير به إلى أرض العرب فيعبدوه‌؟ فأعطوه صنماً يقال له هُبَل، فقدم به مكَّة، فنصبه وأمرَ الناس بعبادته وتعظيمه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هذه القصة والآيات الّتي تلوناها عليك كيف يقول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لم يعتقدوا بأنّ آلهتهم هي الّتي تقضي حاجاتهم وتشفي مرضاهم وتنصرهم على عدوهم‌؟</w:t>
      </w:r>
      <w:r>
        <w:rPr>
          <w:rFonts w:eastAsia="Amiri" w:cs="Amiri" w:ascii="Amiri" w:hAnsi="Amiri"/>
          <w:color w:val="111111"/>
          <w:sz w:val="28"/>
          <w:szCs w:val="28"/>
          <w:rtl w:val="true"/>
          <w:lang w:bidi="ar-SA"/>
        </w:rPr>
        <w:t>!</w:t>
      </w:r>
      <w:r>
        <w:rPr>
          <w:rStyle w:val="FootnoteAnchor"/>
          <w:rtl w:val="true"/>
        </w:rPr>
        <w:footnoteReference w:id="338"/>
      </w:r>
    </w:p>
    <w:p>
      <w:pPr>
        <w:pStyle w:val="Heading5"/>
        <w:numPr>
          <w:ilvl w:val="4"/>
          <w:numId w:val="1"/>
        </w:numPr>
        <w:rPr/>
      </w:pPr>
      <w:bookmarkStart w:id="292" w:name="__RefHeading___Toc6863606_73709187"/>
      <w:bookmarkStart w:id="293" w:name="_Toc110"/>
      <w:bookmarkEnd w:id="292"/>
      <w:r>
        <w:rPr>
          <w:rtl w:val="true"/>
        </w:rPr>
        <w:t>الشبهة الخامسة</w:t>
      </w:r>
      <w:r>
        <w:rPr>
          <w:rtl w:val="true"/>
        </w:rPr>
        <w:t xml:space="preserve">: </w:t>
      </w:r>
      <w:r>
        <w:rPr>
          <w:rtl w:val="true"/>
        </w:rPr>
        <w:t>أنّ دعاء النبي صلى الله عليه و آله بعد رحيله بدعة</w:t>
      </w:r>
      <w:bookmarkEnd w:id="293"/>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طلب الدعاء من النبي صلى الله عليه و آله أمراً جائزاً لسبق إليه الصحابة لأنّهم أعلم بحلاله وحرامه</w:t>
      </w:r>
      <w:r>
        <w:rPr>
          <w:rFonts w:eastAsia="Amiri" w:cs="Amiri" w:ascii="Amiri" w:hAnsi="Amiri"/>
          <w:color w:val="111111"/>
          <w:sz w:val="28"/>
          <w:szCs w:val="28"/>
          <w:rtl w:val="true"/>
          <w:lang w:bidi="ar-SA"/>
        </w:rPr>
        <w:t>.</w:t>
      </w:r>
      <w:r>
        <w:rPr>
          <w:rStyle w:val="FootnoteAnchor"/>
          <w:rtl w:val="true"/>
        </w:rPr>
        <w:footnoteReference w:id="33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البدعة عبارة عمّا لم يكن له أصل في الكتاب والسنّة، وقد عرفت دلالته فيها، وقد مرّت سيرة الصحابة والتابعين في ذلك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يوصف هذا العمل بكونه بدعة</w:t>
      </w:r>
      <w:r>
        <w:rPr>
          <w:rFonts w:eastAsia="Amiri" w:cs="Amiri" w:ascii="Amiri" w:hAnsi="Amiri"/>
          <w:color w:val="111111"/>
          <w:sz w:val="28"/>
          <w:szCs w:val="28"/>
          <w:rtl w:val="true"/>
          <w:lang w:bidi="ar-SA"/>
        </w:rPr>
        <w:t>.</w:t>
      </w:r>
      <w:bookmarkStart w:id="294" w:name="pg16768_165295"/>
    </w:p>
    <w:p>
      <w:pPr>
        <w:pStyle w:val="Heading5"/>
        <w:numPr>
          <w:ilvl w:val="4"/>
          <w:numId w:val="1"/>
        </w:numPr>
        <w:rPr/>
      </w:pPr>
      <w:bookmarkStart w:id="295" w:name="__RefHeading___Toc6863608_73709187"/>
      <w:bookmarkStart w:id="296" w:name="_Toc111"/>
      <w:bookmarkEnd w:id="294"/>
      <w:bookmarkEnd w:id="295"/>
      <w:r>
        <w:rPr>
          <w:rtl w:val="true"/>
        </w:rPr>
        <w:t>السابع</w:t>
      </w:r>
      <w:r>
        <w:rPr>
          <w:rtl w:val="true"/>
        </w:rPr>
        <w:t xml:space="preserve">: </w:t>
      </w:r>
      <w:r>
        <w:rPr>
          <w:rtl w:val="true"/>
        </w:rPr>
        <w:t>التوسّل بذات النبيّ حال حياته</w:t>
      </w:r>
      <w:bookmarkEnd w:id="296"/>
    </w:p>
    <w:p>
      <w:pPr>
        <w:pStyle w:val="Heading6"/>
        <w:numPr>
          <w:ilvl w:val="5"/>
          <w:numId w:val="1"/>
        </w:numPr>
        <w:rPr/>
      </w:pPr>
      <w:bookmarkStart w:id="297" w:name="__RefHeading___Toc6863610_73709187"/>
      <w:bookmarkStart w:id="298" w:name="_Toc112"/>
      <w:bookmarkEnd w:id="297"/>
      <w:r>
        <w:rPr>
          <w:rtl w:val="true"/>
        </w:rPr>
        <w:t>اشارة</w:t>
      </w:r>
      <w:bookmarkEnd w:id="298"/>
    </w:p>
    <w:p>
      <w:pPr>
        <w:pStyle w:val="BookText"/>
        <w:rPr/>
      </w:pPr>
      <w:r>
        <w:rPr>
          <w:rFonts w:ascii="Amiri" w:hAnsi="Amiri" w:eastAsia="Amiri" w:cs="Amiri"/>
          <w:color w:val="111111"/>
          <w:sz w:val="28"/>
          <w:sz w:val="28"/>
          <w:szCs w:val="28"/>
          <w:rtl w:val="true"/>
          <w:lang w:bidi="ar-SA"/>
        </w:rPr>
        <w:t>كان القسم السابق هو التوسّل بدعاء النبي صلى الله عليه و آله ومن المعلوم أنّ التوسّل بدعاء النبي صلى الله عليه و آله في حياته أو بعد رحيله ليس إلّالأجل أنّه دعاء روح طاهرة ونفس كريمة وشخصية مثالية وهو أفضل الخلائق ففي الحقيقة ليس الدعاء بما هو دعاء، وسيلة، وإنّما الوسيلة هي الدعاء النابع عن تلك الشخصية الإلهية الّتي كرمها اللّه وعظّمها ورفع مقامها وقال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رَفَعْنا لَكَ 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وأمر المسلمين بتكريمه وتعزيزه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آمَنُوا بِهِ وَ عَزَّرُوهُ وَ نَصَرُوهُ وَ اتَّبَعُوا النُّورَ الَّذِي أُنْزِلَ مَعَهُ 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رصيد استجابة الدعاء، هو الشخصية الفذة المثالية للداعي، ومنزلته عند اللّه فأولى أن يتوسّل بها كما يتوسّل بدعائها، فمن اعترف بجواز الثاني ومنع الأُولى فقد فرّق بين أمرين متلازمين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نغض النظر عمّا ذكرنا من الدليل، ونذكر ما ورد في السنّة النبوية من التوسل بذاته وشخصه بطريق صحيح وقد أقرّ بصحّته الأقطاب من أهل الحديث</w:t>
      </w:r>
      <w:r>
        <w:rPr>
          <w:rFonts w:eastAsia="Amiri" w:cs="Amiri" w:ascii="Amiri" w:hAnsi="Amiri"/>
          <w:color w:val="111111"/>
          <w:sz w:val="28"/>
          <w:szCs w:val="28"/>
          <w:rtl w:val="true"/>
          <w:lang w:bidi="ar-SA"/>
        </w:rPr>
        <w:t>:</w:t>
      </w:r>
    </w:p>
    <w:p>
      <w:pPr>
        <w:pStyle w:val="Heading6"/>
        <w:numPr>
          <w:ilvl w:val="5"/>
          <w:numId w:val="1"/>
        </w:numPr>
        <w:rPr/>
      </w:pPr>
      <w:bookmarkStart w:id="299" w:name="__RefHeading___Toc6863612_73709187"/>
      <w:bookmarkStart w:id="300" w:name="_Toc113"/>
      <w:bookmarkEnd w:id="299"/>
      <w:r>
        <w:rPr>
          <w:rtl w:val="true"/>
        </w:rPr>
        <w:t>توسّل الضرير بشخص النبي صلى الله عليه و آله</w:t>
      </w:r>
      <w:bookmarkEnd w:id="300"/>
    </w:p>
    <w:p>
      <w:pPr>
        <w:pStyle w:val="BookText"/>
        <w:rPr/>
      </w:pPr>
      <w:r>
        <w:rPr>
          <w:rFonts w:ascii="Amiri" w:hAnsi="Amiri" w:eastAsia="Amiri" w:cs="Amiri"/>
          <w:color w:val="111111"/>
          <w:sz w:val="28"/>
          <w:sz w:val="28"/>
          <w:szCs w:val="28"/>
          <w:rtl w:val="true"/>
          <w:lang w:bidi="ar-SA"/>
        </w:rPr>
        <w:t>أخرج الترمذي، وابن ماجة، وأحمد بأسانيد صحيحة عن عثمان بن حنيف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ضريراً أتى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اللّه أنْ يعافيني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دعوتُ وإن شئتَ صبرت وهو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فإدعه،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أن يتوضأ فيحسن وضؤه ويصلّي ركعتين ويدعو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وأتوجُه إليك بنبيك محمد نبي الرحمة، يا محمد إنّي أتوجه بك إلى ربّي في حاجتي لتقضى، اللّهم شفّعه فيّ‌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تفرقنا وطال بنا الحديث حتّى دخل علينا كأن لم</w:t>
      </w:r>
    </w:p>
    <w:p>
      <w:pPr>
        <w:pStyle w:val="BookText"/>
        <w:rPr/>
      </w:pPr>
      <w:r>
        <w:rPr>
          <w:rFonts w:ascii="Amiri" w:hAnsi="Amiri" w:eastAsia="Amiri" w:cs="Amiri"/>
          <w:color w:val="111111"/>
          <w:sz w:val="28"/>
          <w:sz w:val="28"/>
          <w:szCs w:val="28"/>
          <w:rtl w:val="true"/>
          <w:lang w:bidi="ar-SA"/>
        </w:rPr>
        <w:t>يكن به ضَر</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والاستدلال بالحديث رهن صحة السند أوّلاً، وتمامية الدلالة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صحة السند فقد اعترف الأقطاب بصحته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حق، حسن،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الترمذي حديثاً صحيحاً عن النبي صلى الله عليه و آله أنّه علم رجلاً أن يدعو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وأتوجّه إليك بنبيك، وروى النسائي نحو هذا الدعاء</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الحاكم في المستدرك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على شرط الشيخين</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الرفاعي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هذا الحديث صحيح مشهور</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وأبو جعفر الوارد في السند هو أبو جعفر الخطمي، كما في بعض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تبيّنت صحة سند الحديث فلم يبق لمشكّك شك ولا لمريب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الدلالة فإليك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الحديث يدل بوضوح على أنّ الأعمى توسّل بذات النبي بتعليم منه صلى الله عليه و آله، والأعمى وإن طلب الدعاء من النبي الأكرم في بدء الأمر إلّاأنّ النبي علّمه دعاء تضمّن التوسّل بذات النبي، وهذا هو المهم في تبيين معنى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لا ينكر عند الإمعان في الحديث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طلب من النبي صلى الله عليه و آله الدعاء ولم يظهر منه توسّل بذات النبي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الدعاء الذي علّمه النبي، تضمّن التوسّل بذات النبي بالصراحة</w:t>
      </w:r>
      <w:bookmarkStart w:id="301" w:name="pg16768_165297"/>
    </w:p>
    <w:p>
      <w:pPr>
        <w:pStyle w:val="BookText"/>
        <w:rPr/>
      </w:pPr>
      <w:bookmarkEnd w:id="301"/>
      <w:r>
        <w:rPr>
          <w:rFonts w:ascii="Amiri" w:hAnsi="Amiri" w:eastAsia="Amiri" w:cs="Amiri"/>
          <w:color w:val="111111"/>
          <w:sz w:val="28"/>
          <w:sz w:val="28"/>
          <w:szCs w:val="28"/>
          <w:rtl w:val="true"/>
          <w:lang w:bidi="ar-SA"/>
        </w:rPr>
        <w:t>التامّة، فيكون ذلك دليلاً على جواز التوسّل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الجمل والعبارات الصريحة في بيان المقصود</w:t>
      </w:r>
      <w:r>
        <w:rPr>
          <w:rFonts w:eastAsia="Amiri" w:cs="Amiri" w:ascii="Amiri" w:hAnsi="Amiri"/>
          <w:color w:val="111111"/>
          <w:sz w:val="28"/>
          <w:szCs w:val="28"/>
          <w:rtl w:val="true"/>
          <w:lang w:bidi="ar-SA"/>
        </w:rPr>
        <w:t>:</w:t>
      </w:r>
    </w:p>
    <w:p>
      <w:pPr>
        <w:pStyle w:val="Heading6"/>
        <w:numPr>
          <w:ilvl w:val="5"/>
          <w:numId w:val="1"/>
        </w:numPr>
        <w:rPr/>
      </w:pPr>
      <w:bookmarkStart w:id="302" w:name="__RefHeading___Toc6863614_73709187"/>
      <w:bookmarkStart w:id="303" w:name="_Toc114"/>
      <w:bookmarkEnd w:id="302"/>
      <w:r>
        <w:rPr/>
        <w:t>1</w:t>
      </w:r>
      <w:r>
        <w:rPr>
          <w:rtl w:val="true"/>
        </w:rPr>
        <w:t xml:space="preserve">. </w:t>
      </w:r>
      <w:r>
        <w:rPr>
          <w:rtl w:val="true"/>
        </w:rPr>
        <w:t>اللّهمّ إنّي أسألك وأتوجّه إليك بنبيّك</w:t>
      </w:r>
      <w:bookmarkEnd w:id="303"/>
    </w:p>
    <w:p>
      <w:pPr>
        <w:pStyle w:val="BookText"/>
        <w:rPr/>
      </w:pP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بفعلين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أتوجّه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من النبي صلى الله عليه و آله نفسه القدسية وشخصيته الكريمة لا دعاؤه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المراد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بدعاء نبيّك أو أتوجّه إليك بدعاء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 وتقدير بلا دليل، وتأويل بدون مبرّر، ولو أنّ محدثاً ارتكب مثله في غير هذا الحديث لرموه بالجَهْمية والقدريّة</w:t>
      </w:r>
      <w:r>
        <w:rPr>
          <w:rFonts w:eastAsia="Amiri" w:cs="Amiri" w:ascii="Amiri" w:hAnsi="Amiri"/>
          <w:color w:val="111111"/>
          <w:sz w:val="28"/>
          <w:szCs w:val="28"/>
          <w:rtl w:val="true"/>
          <w:lang w:bidi="ar-SA"/>
        </w:rPr>
        <w:t>.</w:t>
      </w:r>
    </w:p>
    <w:p>
      <w:pPr>
        <w:pStyle w:val="Heading6"/>
        <w:numPr>
          <w:ilvl w:val="5"/>
          <w:numId w:val="1"/>
        </w:numPr>
        <w:rPr/>
      </w:pPr>
      <w:bookmarkStart w:id="304" w:name="__RefHeading___Toc6863616_73709187"/>
      <w:bookmarkStart w:id="305" w:name="_Toc115"/>
      <w:bookmarkEnd w:id="304"/>
      <w:r>
        <w:rPr/>
        <w:t>2</w:t>
      </w:r>
      <w:r>
        <w:rPr>
          <w:rtl w:val="true"/>
        </w:rPr>
        <w:t xml:space="preserve">. </w:t>
      </w:r>
      <w:r>
        <w:rPr>
          <w:rtl w:val="true"/>
        </w:rPr>
        <w:t>محمد نبي الرحمة</w:t>
      </w:r>
      <w:bookmarkEnd w:id="305"/>
    </w:p>
    <w:p>
      <w:pPr>
        <w:pStyle w:val="BookText"/>
        <w:rPr/>
      </w:pPr>
      <w:r>
        <w:rPr>
          <w:rFonts w:ascii="Amiri" w:hAnsi="Amiri" w:eastAsia="Amiri" w:cs="Amiri"/>
          <w:color w:val="111111"/>
          <w:sz w:val="28"/>
          <w:sz w:val="28"/>
          <w:szCs w:val="28"/>
          <w:rtl w:val="true"/>
          <w:lang w:bidi="ar-SA"/>
        </w:rPr>
        <w:t xml:space="preserve">لكي يتّضح أنّ المقصود هو السؤال من اللّه بواسطة النبي صلى الله عليه و آله وشخصيته فقد جاءت بعد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نبي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يتّضح نوع التوسّل والمتوسّل به بأكثر ما يمكن</w:t>
      </w:r>
      <w:r>
        <w:rPr>
          <w:rFonts w:eastAsia="Amiri" w:cs="Amiri" w:ascii="Amiri" w:hAnsi="Amiri"/>
          <w:color w:val="111111"/>
          <w:sz w:val="28"/>
          <w:szCs w:val="28"/>
          <w:rtl w:val="true"/>
          <w:lang w:bidi="ar-SA"/>
        </w:rPr>
        <w:t>.</w:t>
      </w:r>
    </w:p>
    <w:p>
      <w:pPr>
        <w:pStyle w:val="Heading6"/>
        <w:numPr>
          <w:ilvl w:val="5"/>
          <w:numId w:val="1"/>
        </w:numPr>
        <w:rPr/>
      </w:pPr>
      <w:bookmarkStart w:id="306" w:name="__RefHeading___Toc6863618_73709187"/>
      <w:bookmarkStart w:id="307" w:name="_Toc116"/>
      <w:bookmarkEnd w:id="306"/>
      <w:r>
        <w:rPr/>
        <w:t>3</w:t>
      </w:r>
      <w:r>
        <w:rPr>
          <w:rtl w:val="true"/>
        </w:rPr>
        <w:t xml:space="preserve">. </w:t>
      </w:r>
      <w:r>
        <w:rPr>
          <w:rtl w:val="true"/>
        </w:rPr>
        <w:t>يا محمد إنّي أتوجّه بك إلى ربّي</w:t>
      </w:r>
      <w:bookmarkEnd w:id="307"/>
    </w:p>
    <w:p>
      <w:pPr>
        <w:pStyle w:val="BookText"/>
        <w:rPr/>
      </w:pPr>
      <w:r>
        <w:rPr>
          <w:rFonts w:ascii="Amiri" w:hAnsi="Amiri" w:eastAsia="Amiri" w:cs="Amiri"/>
          <w:color w:val="111111"/>
          <w:sz w:val="28"/>
          <w:sz w:val="28"/>
          <w:szCs w:val="28"/>
          <w:rtl w:val="true"/>
          <w:lang w:bidi="ar-SA"/>
        </w:rPr>
        <w:t xml:space="preserve">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أتوجّه بك إلى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أنّ الرجل الضرير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تعليم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النبي نفسَه، وسيلة في دعائه، أي أنّه توسّل بذات النبي لا بدعائه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6863620_73709187"/>
      <w:bookmarkStart w:id="309" w:name="_Toc117"/>
      <w:bookmarkEnd w:id="308"/>
      <w:r>
        <w:rPr/>
        <w:t>4</w:t>
      </w:r>
      <w:r>
        <w:rPr>
          <w:rtl w:val="true"/>
        </w:rPr>
        <w:t xml:space="preserve">. </w:t>
      </w:r>
      <w:r>
        <w:rPr>
          <w:rtl w:val="true"/>
        </w:rPr>
        <w:t>وشفّعه فيّ‌</w:t>
      </w:r>
      <w:bookmarkEnd w:id="30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وشفّعه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اجعل النبي شفيعي، وتقبّل شفاعته في حقّي، وليس معناه تقبّل دعاءه في حقّي؛ فإنّه لم يرد في الحديث أنّ النبي دعا بنفسه حتى يكون معنى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استجب دعاءه في حقّي</w:t>
      </w:r>
      <w:r>
        <w:rPr>
          <w:rFonts w:eastAsia="Amiri" w:cs="Amiri" w:ascii="Amiri" w:hAnsi="Amiri"/>
          <w:color w:val="111111"/>
          <w:sz w:val="28"/>
          <w:szCs w:val="28"/>
          <w:rtl w:val="true"/>
          <w:lang w:bidi="ar-SA"/>
        </w:rPr>
        <w:t>.</w:t>
      </w:r>
      <w:bookmarkStart w:id="310" w:name="pg16768_165298"/>
    </w:p>
    <w:p>
      <w:pPr>
        <w:pStyle w:val="BookText"/>
        <w:rPr/>
      </w:pPr>
      <w:bookmarkEnd w:id="310"/>
      <w:r>
        <w:rPr>
          <w:rFonts w:ascii="Amiri" w:hAnsi="Amiri" w:eastAsia="Amiri" w:cs="Amiri"/>
          <w:color w:val="111111"/>
          <w:sz w:val="28"/>
          <w:sz w:val="28"/>
          <w:szCs w:val="28"/>
          <w:rtl w:val="true"/>
          <w:lang w:bidi="ar-SA"/>
        </w:rPr>
        <w:t>ولو كان هناك دعاء من النبي لذكره الراوي؛ إذ ليس دعاؤه صلى الله عليه و آله من الأُمور غير المهمّة حتى يتسامح الراوي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لو فرضنا أنّ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دعاءه في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يضر ذلك بالمقصود أيضاً؛ إذ يكون على هذا الفرض هناك دعاءان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الرسول ولم يُنْقَل لفظه، والدعاء الذي علّمه الرسول للضرير، وقد جاء فيه التصريح بالتوسّل بذات النبي وشخصه وصفاته، وليس لنا التصرّف في الدعاء الذي علّمه الرسول للضرير، بحجّة أنّه كان هناك للرسول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أورد هذا الحديث النسائي والبيهقي والطبراني والترمذي والحاكم في مستدركه، ولكن الترمذي والحاكم ذكرا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شفّعه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وشفّعه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كلمة للدكتور عبدالملك السعدي نأتي بنصها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في الآونة الأخيرة أُناس ينكرون التوسل بالذات مطلقاً، سواء كان صاحبها حيّاً أو ميتاً، وقد أوّلوا حديث الأعمى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الأعمى لم يتوسّل، ولم يأمره النبي صلى الله عليه و آله به بل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ركعتين ثم اطلب منّي أن أدعو لك،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يا أخي عليك أن تقرأ نص الحديث هل يحتمل هذا التأويل، وهل فيه هذا المدّعى؟ أم أنّه أخذ يطلب من اللّه مستشفعاً بالنبي صلى الله عليه و آله ولم يدع 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منه ذلك لاستجاب له أوّل مرة حيث طلب منه الدعاء بالكشف عن بصره فأبى إلّاأن يصلّي ويتولّى الأعمى بنفسه الدعاء</w:t>
      </w:r>
      <w:r>
        <w:rPr>
          <w:rFonts w:eastAsia="Amiri" w:cs="Amiri" w:ascii="Amiri" w:hAnsi="Amiri"/>
          <w:color w:val="111111"/>
          <w:sz w:val="28"/>
          <w:szCs w:val="28"/>
          <w:rtl w:val="true"/>
          <w:lang w:bidi="ar-SA"/>
        </w:rPr>
        <w:t>.</w:t>
      </w:r>
      <w:r>
        <w:rPr>
          <w:rStyle w:val="FootnoteAnchor"/>
          <w:rtl w:val="true"/>
        </w:rPr>
        <w:footnoteReference w:id="346"/>
      </w:r>
    </w:p>
    <w:p>
      <w:pPr>
        <w:pStyle w:val="Heading5"/>
        <w:numPr>
          <w:ilvl w:val="4"/>
          <w:numId w:val="1"/>
        </w:numPr>
        <w:rPr/>
      </w:pPr>
      <w:bookmarkStart w:id="311" w:name="__RefHeading___Toc6863622_73709187"/>
      <w:bookmarkStart w:id="312" w:name="_Toc118"/>
      <w:bookmarkEnd w:id="311"/>
      <w:r>
        <w:rPr>
          <w:rtl w:val="true"/>
        </w:rPr>
        <w:t>الثامن</w:t>
      </w:r>
      <w:r>
        <w:rPr>
          <w:rtl w:val="true"/>
        </w:rPr>
        <w:t xml:space="preserve">: </w:t>
      </w:r>
      <w:r>
        <w:rPr>
          <w:rtl w:val="true"/>
        </w:rPr>
        <w:t>التوسل بذات النبيّ صلى الله عليه و آله بعد رحيله</w:t>
      </w:r>
      <w:bookmarkEnd w:id="31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الصحابي الجليل عثمان بن حنيف فهمَ من الحديث السابق أنّ التوسّل</w:t>
      </w:r>
    </w:p>
    <w:p>
      <w:pPr>
        <w:pStyle w:val="BookText"/>
        <w:rPr/>
      </w:pPr>
      <w:r>
        <w:rPr>
          <w:rFonts w:ascii="Amiri" w:hAnsi="Amiri" w:eastAsia="Amiri" w:cs="Amiri"/>
          <w:color w:val="111111"/>
          <w:sz w:val="28"/>
          <w:sz w:val="28"/>
          <w:szCs w:val="28"/>
          <w:rtl w:val="true"/>
          <w:lang w:bidi="ar-SA"/>
        </w:rPr>
        <w:t>بذات النبي وشخصه يعم حياته ومماته، ولذلك علّمه لبعض أصحاب الحاجة، وقد عمل به من تعلّم وكان ناجحاً في قضاء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الحافظ سليمان بن أحمد بن أيوب اللخمي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أُمامة بن سهل بن حنيف عن عمّه عثمان بن حنيف، أنّ رجلاً كان يختلف إلى عثمان بن عفان رضى الله عنه في حاجة له، فكان عثمان لا يلتفت إليه ولا ينظر في حاجته، فلقى ابن حنيف فشكا ذلك إليه فقال له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الميضأة فتوضّأ، ثمّ ائت المسجد فصلّ فيه ركعتين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وأتوجّه إليك بنبيّنا محمد صلى الله عليه و آله نبي الرحمة، يا محمد إنّي أتوجّه بك إلى ربّي فتقضي لي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فتذكر حاجتك ورح إليَّ حتى أروح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الرجل فصنع ما قال له، ثمّ أتى باب عثمان بن عفان رضى الله عنه، فجاء البوّاب حتى أخذ بيده، فأدخله على عثمان بن عفان رضى الله عنه، فأجلسه معه على الطنفسة،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فذكر حاجته، فقضاها 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حاجتك حتى كانت الساعة،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لك من حاجة فاذكرها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الرجل خرج من عنده فلقي عثمان بن حنيف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ما كان ينظر في حاجتي ولا يلتفت إليّ حتى كلّمته فيّ‌، فقال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كلّمته، ولكنّي شهدت رسول اللّه صلى الله عليه و آله وقد أتاه ضرير فشكا إليه ذهاب بصره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أفتصبر؟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لي قائد وقد شقّ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الميضأة فتوضّأ ثمّ صلّ ركعتين، ثمّ ادع بهذه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تفرّقنا وطال بنا الحديث حتى دخل علينا الرجل كأنّه لم يكن به ضرّ قط</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الاستدلال بالحديث رهن صحة السند وصحة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الثانية فقد تبيّن ممّا ذكرناه في الرواية السابقة، فإن المتن والمضمون في كليهما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السند فقد ناقش فيه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التوصل إلى حقيقة 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سند هذا الحديث رجلاً اسمه روح بن صلاح وقد ضعّفه الجمهور، وابن عدي وقال ابن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أحاديث منكرة</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المناقش لم يرجع إلى مصدر الحديث، وإنّما نقله عن مصدر ثانوي وفيه روح بن صلاح، وإليك نص الطبراني في معجمه الكبير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طاهر بن عيسى بن قريش المصري المقري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أصبغ بن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وهب عن أبي سعيد المكي، عن روح بن القاسم، عن أبي جعفر الخطمي المدني، عن أبي أُمامة بن سهل بن حنيف عن عمه عثمان بن حنيف</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البيهقي بالسند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سعيد عبدالملك بن أبي عثمان الزاهد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الإمام أبو بكر محمد بن علي بن الشاشي القفّال،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إسماعيل 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روح بن القاسم، عن أبي جعفر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السند</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وأنت ترى أنّه ليس في طريق الرواية روح بن صلاح بل هو روح بن القاسم، والكاتب صرح بأن الرواية رواها الطبراني والبيهقي، وهذا يعرب عن أن الكاتب لم يرجع إلى المصدرين، وإنّما اعتمد على نقول الآخرين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نفترض أنّه ورد في سند الرواية روح بن صلاح، ولكن ما ذكره من أنّ الجمهور ضعّفوه أمر لا تصدّقه المعاجم فيما بين أيدينا، وإنّما ضعفه ابن عدي، وفي الوقت نفسه وثّقه ابن حِبّان والحاكم 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بن صلاح المصري</w:t>
      </w:r>
      <w:bookmarkStart w:id="313" w:name="pg16768_165301"/>
    </w:p>
    <w:p>
      <w:pPr>
        <w:pStyle w:val="BookText"/>
        <w:rPr/>
      </w:pPr>
      <w:bookmarkEnd w:id="313"/>
      <w:r>
        <w:rPr>
          <w:rFonts w:ascii="Amiri" w:hAnsi="Amiri" w:eastAsia="Amiri" w:cs="Amiri"/>
          <w:color w:val="111111"/>
          <w:sz w:val="28"/>
          <w:sz w:val="28"/>
          <w:szCs w:val="28"/>
          <w:rtl w:val="true"/>
          <w:lang w:bidi="ar-SA"/>
        </w:rPr>
        <w:t>يقال له ابن سيّابة ضعفه ابن عدي، يكنّى أبا الحارث، وقد ذكره ابن حبّان في الثقات، 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w:t>
      </w:r>
      <w:r>
        <w:rPr>
          <w:rFonts w:eastAsia="Amiri" w:cs="Amiri" w:ascii="Amiri" w:hAnsi="Amiri"/>
          <w:color w:val="111111"/>
          <w:sz w:val="28"/>
          <w:szCs w:val="28"/>
          <w:rtl w:val="true"/>
          <w:lang w:bidi="ar-SA"/>
        </w:rPr>
        <w:t>.</w:t>
      </w:r>
      <w:r>
        <w:rPr>
          <w:rStyle w:val="FootnoteAnchor"/>
          <w:rtl w:val="true"/>
        </w:rPr>
        <w:footnoteReference w:id="351"/>
      </w:r>
    </w:p>
    <w:p>
      <w:pPr>
        <w:pStyle w:val="Heading5"/>
        <w:numPr>
          <w:ilvl w:val="4"/>
          <w:numId w:val="1"/>
        </w:numPr>
        <w:rPr/>
      </w:pPr>
      <w:bookmarkStart w:id="314" w:name="__RefHeading___Toc6863624_73709187"/>
      <w:bookmarkStart w:id="315" w:name="_Toc119"/>
      <w:bookmarkEnd w:id="314"/>
      <w:r>
        <w:rPr>
          <w:rtl w:val="true"/>
        </w:rPr>
        <w:t>التاسع</w:t>
      </w:r>
      <w:r>
        <w:rPr>
          <w:rtl w:val="true"/>
        </w:rPr>
        <w:t xml:space="preserve">: </w:t>
      </w:r>
      <w:r>
        <w:rPr>
          <w:rtl w:val="true"/>
        </w:rPr>
        <w:t>التوسّل بحق الصالحين وحرمتهم ومنزلتهم</w:t>
      </w:r>
      <w:bookmarkEnd w:id="315"/>
    </w:p>
    <w:p>
      <w:pPr>
        <w:pStyle w:val="BookText"/>
        <w:rPr/>
      </w:pPr>
      <w:r>
        <w:rPr>
          <w:rFonts w:ascii="Amiri" w:hAnsi="Amiri" w:eastAsia="Amiri" w:cs="Amiri"/>
          <w:color w:val="111111"/>
          <w:sz w:val="28"/>
          <w:sz w:val="28"/>
          <w:szCs w:val="28"/>
          <w:rtl w:val="true"/>
          <w:lang w:bidi="ar-SA"/>
        </w:rPr>
        <w:t>إنّ من التوسّلات الرائجة بين المسلمين، التوسّل بحق النبي ومن سبقه من الأنبياء، ومن المعلوم أنّه ليس لأحد على اللّه حق إلّاما جعله اللّه سبحانه حقّاً على ذمته لهم تفضّلاً وتكريماً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حَقًّا عَلَيْنا نَصْرُ الْمُؤْمِنِينَ‌</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الطبراني بسنده عن أنس بن مالك رضى الله عنه أنّه لمّا ماتت فاطمة بنت أسد أُمّ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عليها رسول اللّه فجلس عند رأسها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 يا أُمّي، كنتِ أُمِّي بعد أُمِّي تجوعين وتشبعيني، وتعرين وتكسينني، وتمنعين نفسك طيب الطعام وتطعمينني، تريدين بذلك وجه اللّه والدار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أن تغسّل ثلاثاً ثلاثاً فلمّا بلغ الماء الذي فيه الكافور سكبه رسول اللّه بيده، ثم خلع رسول اللّه قميصه فألبسها إيّاه وكفّنها ببرد فوقها، ثم دعا رسول اللّه أُسامة بن زيد وأبا أيوب الأنصاري وعمر بن الخطاب وغلاماً أسود يحفرون فحفروا قبرها، فلمّا بلغوا اللحد حفره رسول اللّه بيده وأخرج ترابه بيده، فلمّا فرغ دخل رسول اللّه فاضطجع فيه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يحيي ويميت وهو حي لا يموت، اغفر لأُمّي فاطمة بنت أسد ولقّنها حجتها، ووسّع عليها مدخلها بحقّ نبيّك والأنبياء الذين من قبلي، فإنّك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وكبّر عليها أربعاً وأدخلها اللحد والعباس وأبوبكر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بالرواية يتوقف على تمامية الرواية سنداً ومضموناً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المضمون فلا مجال للخدشة فيه، وأمّا السند فصحيح، رجاله كلّهم ثقات؛ لا يغمز في حقّ أحد منهم، نعم فيه روح بن صلاح وثّقه ابن حبّان والحاكم؛ وقد</w:t>
      </w:r>
    </w:p>
    <w:p>
      <w:pPr>
        <w:pStyle w:val="BookText"/>
        <w:rPr/>
      </w:pPr>
      <w:r>
        <w:rPr>
          <w:rFonts w:ascii="Amiri" w:hAnsi="Amiri" w:eastAsia="Amiri" w:cs="Amiri"/>
          <w:color w:val="111111"/>
          <w:sz w:val="28"/>
          <w:sz w:val="28"/>
          <w:szCs w:val="28"/>
          <w:rtl w:val="true"/>
          <w:lang w:bidi="ar-SA"/>
        </w:rPr>
        <w:t>عرفت كلام الذهبي فيه</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رواه أئمة الحديث وأساتذته، وإليك أسماء من وقفنا على روايتهم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الحافظ أبو القاسم سليمان بن أحمد الطبراني في المعجم الأوسط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أبو نعيم عن طريق الطبراني في 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الحاكم في مستدركه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يروي في هذا الكتاب إلّا الصحيح على شرط الشيخين البخاري ومسلم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ابن عبد البرّ في الاستيعاب على هامش 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نقله الذهبي في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الحافظ نور الدين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معجم الزوائد ومنبع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الطبراني في الكبير والأوسط وفيه روح بن صلاح وثّقه ابن حبّان والحاكم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المتّقي الهندي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37608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التوسّل بحقّ الأولياء والشخصيّات الإلهيّة ففي أدعية أئمة أهل البيت عليهم السلام نماذج من أدعية التوسّل، وهي كثيرة وموزعة في الصحيفة العلوية</w:t>
      </w:r>
      <w:r>
        <w:rPr>
          <w:rStyle w:val="FootnoteAnchor"/>
          <w:rtl w:val="true"/>
        </w:rPr>
        <w:footnoteReference w:id="354"/>
      </w:r>
      <w:r>
        <w:rPr>
          <w:rFonts w:ascii="Amiri" w:hAnsi="Amiri" w:eastAsia="Amiri" w:cs="Amiri"/>
          <w:color w:val="111111"/>
          <w:sz w:val="28"/>
          <w:sz w:val="28"/>
          <w:szCs w:val="28"/>
          <w:rtl w:val="true"/>
          <w:lang w:bidi="ar-SA"/>
        </w:rPr>
        <w:t>ودعاء عرفة</w:t>
      </w:r>
      <w:r>
        <w:rPr>
          <w:rStyle w:val="FootnoteAnchor"/>
          <w:rtl w:val="true"/>
        </w:rPr>
        <w:footnoteReference w:id="355"/>
      </w:r>
      <w:r>
        <w:rPr>
          <w:rFonts w:ascii="Amiri" w:hAnsi="Amiri" w:eastAsia="Amiri" w:cs="Amiri"/>
          <w:color w:val="111111"/>
          <w:sz w:val="28"/>
          <w:sz w:val="28"/>
          <w:szCs w:val="28"/>
          <w:rtl w:val="true"/>
          <w:lang w:bidi="ar-SA"/>
        </w:rPr>
        <w:t>والصحيفة السجادية</w:t>
      </w:r>
      <w:r>
        <w:rPr>
          <w:rStyle w:val="FootnoteAnchor"/>
          <w:rtl w:val="true"/>
        </w:rPr>
        <w:footnoteReference w:id="356"/>
      </w:r>
      <w:r>
        <w:rPr>
          <w:rFonts w:ascii="Amiri" w:hAnsi="Amiri" w:eastAsia="Amiri" w:cs="Amiri"/>
          <w:color w:val="111111"/>
          <w:sz w:val="28"/>
          <w:sz w:val="28"/>
          <w:szCs w:val="28"/>
          <w:rtl w:val="true"/>
          <w:lang w:bidi="ar-SA"/>
        </w:rPr>
        <w:t>وغيرها من كتب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نذكر نماذج من تلك الأدعية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الإمام عليّ أمير المؤمنين عليه السلام في دعاء له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محمّد وآل محمّد عليك، وبحقّك العظيم عليهم أن تصلّي عليهم</w:t>
      </w:r>
      <w:bookmarkStart w:id="316" w:name="pg16768_165303"/>
    </w:p>
    <w:p>
      <w:pPr>
        <w:pStyle w:val="BookText"/>
        <w:rPr/>
      </w:pPr>
      <w:bookmarkEnd w:id="316"/>
      <w:r>
        <w:rPr>
          <w:rFonts w:ascii="Amiri" w:hAnsi="Amiri" w:eastAsia="Amiri" w:cs="Amiri"/>
          <w:color w:val="111111"/>
          <w:sz w:val="28"/>
          <w:sz w:val="28"/>
          <w:szCs w:val="28"/>
          <w:rtl w:val="true"/>
          <w:lang w:bidi="ar-SA"/>
        </w:rPr>
        <w:t>كما أنت أهله، وأن تعطيني أفضل ما أعطيت السائلين من عبادك الماضين من المؤمنين وأفضل ما تعطي الباقين من المؤمنين</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ويقول الإمام سيد الشهداء الحسين عليه السلام في دعاء 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نتوجّه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العشية التي فرضتها وعظّمتها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نبيّك ورسولك وخيرتك من خلقك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ويقول الإمام زين العابدين عليه السلام في دعائه بمناسبة حلول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هذا الشهر وبحقّ من تعبّد فيه</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هنا تمّت بعض الأدلّة على جواز التوسّل بالشخصيات الطاهرة التي لها منزلة ومكانة، وهناك روايات أُخرى في هذا الصدد نتركها لئلّا يطول بنا الكلام؛ فإنّ الغرض الإيجاز لا الإطناب</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6863626_73709187"/>
      <w:bookmarkStart w:id="318" w:name="_Toc120"/>
      <w:bookmarkEnd w:id="317"/>
      <w:r>
        <w:rPr>
          <w:rtl w:val="true"/>
        </w:rPr>
        <w:t>العاشر</w:t>
      </w:r>
      <w:r>
        <w:rPr>
          <w:rtl w:val="true"/>
        </w:rPr>
        <w:t xml:space="preserve">: </w:t>
      </w:r>
      <w:r>
        <w:rPr>
          <w:rtl w:val="true"/>
        </w:rPr>
        <w:t>التوسّل بحقّ السائلين</w:t>
      </w:r>
      <w:bookmarkEnd w:id="318"/>
    </w:p>
    <w:p>
      <w:pPr>
        <w:pStyle w:val="BookText"/>
        <w:rPr/>
      </w:pPr>
      <w:r>
        <w:rPr>
          <w:rFonts w:ascii="Amiri" w:hAnsi="Amiri" w:eastAsia="Amiri" w:cs="Amiri"/>
          <w:color w:val="111111"/>
          <w:sz w:val="28"/>
          <w:sz w:val="28"/>
          <w:szCs w:val="28"/>
          <w:rtl w:val="true"/>
          <w:lang w:bidi="ar-SA"/>
        </w:rPr>
        <w:t>روى عطية العوفي عن أبي سعيد الخدري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من بيته إلى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بحقّ السائلين عليك، وأسألك بحق ممشاي هذا، فإنّي لم أخرج أشراً ولا بطراً ولا رياءً ولا سُمعة إنّما خرجت اتّقاء سخطك وابتغاء مرضاتك أن تعيذني من النار وأن تغفر ذنوبي إنّه لا يغفر الذنوب إلّا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إلّاأقبل اللّه عليه بوجهه واستغفر له سبعون ألف ملك</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دلالة الحديث واضحة لا يمكن لأحدٍ التشكيك فيها، وسند الحديث صحيح ورجاله كلّهم ثقات، نعم اشتمل السند على عطية العوفي وقد وثّقه لفيف من أهل الجرح والتعديل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w:t>
      </w:r>
      <w:bookmarkStart w:id="319" w:name="pg16768_165304"/>
    </w:p>
    <w:p>
      <w:pPr>
        <w:pStyle w:val="BookText"/>
        <w:rPr/>
      </w:pPr>
      <w:bookmarkEnd w:id="319"/>
      <w:r>
        <w:rPr>
          <w:rFonts w:ascii="Amiri" w:hAnsi="Amiri" w:eastAsia="Amiri" w:cs="Amiri"/>
          <w:color w:val="111111"/>
          <w:sz w:val="28"/>
          <w:sz w:val="28"/>
          <w:szCs w:val="28"/>
          <w:rtl w:val="true"/>
          <w:lang w:bidi="ar-SA"/>
        </w:rPr>
        <w:t>بن سعيد بن جنادة العوفي الجدلي الكوفي أبو الحسن صدوق،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عن جماعة من الثقات، توفّي سنة إحدى عشرة ومائة،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عطية مع ابن الأشعث فكتب الحجّاج إلى محمد بن القاسم أن يعرض عليه سبَّ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ثقة، وله أحاديث صالحة، وكان أبوبكر البزّاز يعدّه في التشيّع، روى عن جلّة الناس</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هناك من ضعّفه لا لأنّه غير صدوق، بل لأنّه كان يتشيّع، وليس تشيّعه إلّا ولاؤه لعلي وأهل بيته، وهل هذا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لوضع الحديث دوافع خاصّة توجد أكثرها في أبواب المناقب والمثالب وخصائص البلدان والقبائل، أو فيما يرجع إلى مجال العقائد، كالبدع الموروثة من اليهود والنصارى في أبواب التجسيم والجهة وصفات الجنة والنار، وأمّا مثل هذا الحديث الذي يعرب بوضوح عن أنّه كلام إنسان خائف من اللّه سبحانه ترتعد فرائصه من سماع عذابه فبعيد عن الوضع</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6863628_73709187"/>
      <w:bookmarkStart w:id="321" w:name="_Toc121"/>
      <w:bookmarkEnd w:id="320"/>
      <w:r>
        <w:rPr>
          <w:rtl w:val="true"/>
        </w:rPr>
        <w:t>توسّل الأنبياء عليهم السلام بالنبي الأكرم صلى الله عليه و آله</w:t>
      </w:r>
      <w:bookmarkEnd w:id="321"/>
    </w:p>
    <w:p>
      <w:pPr>
        <w:pStyle w:val="BookText"/>
        <w:rPr/>
      </w:pPr>
      <w:r>
        <w:rPr>
          <w:rFonts w:ascii="Amiri" w:hAnsi="Amiri" w:eastAsia="Amiri" w:cs="Amiri"/>
          <w:color w:val="111111"/>
          <w:sz w:val="28"/>
          <w:sz w:val="28"/>
          <w:szCs w:val="28"/>
          <w:rtl w:val="true"/>
          <w:lang w:bidi="ar-SA"/>
        </w:rPr>
        <w:t>يظهر ممّا رواه البخاري ومسلم عن أبي هريرة أنّ الأنبياء العظام يتوسّلون يوم القيامة بالنبي الأكرم صلى الله عليه و آله عندما يجمع اللّه تعالى الأولين والآخرين في صعيد واحد، وتدنو الشمس ويبلغ الناس من الغم والكرب ما لا يطيقون ولايحتملون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الأنبياء محمداً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أنت رسول اللّه وخاتم الأنبياء وقد غفر اللّه لك ما تقدّم من ذنبك وما تأخّر اشفع لنا إلى ربّك، ألا ترى إلى ما نحن فيه‌؟ فأنطلق فآتي تحت العرش فأقَعُ ساجداً لربّي عزّ وجلّ ثم يفتح اللّه عليَّ من محامده وحسن الثناء عليه شيئاً لم يفتحه على أحد قبلي 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ارفع رأسك سل تعطه واشفع تشفّع، فأرفَعُ رأسي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يا ربّ أُمّتي يا ربّ‌،</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أدخل من أُمّتك من لا حساب عليهم من الباب الأيمن من أبواب الجنة، وهم شركاء الناس فيما سوى ذلك من الأبواب،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إنّ ما بين المصراعين من مصاريع الجنّة كما بين مكة وحميراً وكما بين مكّة وبصرى</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فالحديث يدلّ على جواز التوسّل بالمقام والمنزلة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أنت رسول اللّه وخاتم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فيه دلالة على طلب الشفاعة منه لقولهم اشفع لنا إلى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التوسّل بالأنبياء والأولياء ليس بملاك جسمانيتهم فإنّهم وغيرهم في ذلك المجال سواسية، وإنّما يتوسّل بهم بروحانيتهم العالية؛ وهي محفوظة في حال الحياة وبعد الارتحال إلى البرزخ وإلى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فالتفريق في التوسّل بين الحياة والممات ينشأ من نظرة مادية تعطي الأصالة للجسم والمادّة ولا تقيم للمعنى والروحانية وزناً ولا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فالنبي الأكرم صلى الله عليه و آله مدار الفضائل والكمالات وهو يتمتع بأروع الكرامات وكلّها ترجع إلى روحانيته ومعنويته القائمة المحفوظة في جميع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هذا التفريق بين الحياة المادّية والبرزخية والأُخروية‌؟</w:t>
      </w:r>
    </w:p>
    <w:p>
      <w:pPr>
        <w:pStyle w:val="BookText"/>
        <w:rPr/>
      </w:pPr>
      <w:r>
        <w:rPr>
          <w:rFonts w:ascii="Amiri" w:hAnsi="Amiri" w:eastAsia="Amiri" w:cs="Amiri"/>
          <w:color w:val="111111"/>
          <w:sz w:val="28"/>
          <w:sz w:val="28"/>
          <w:szCs w:val="28"/>
          <w:rtl w:val="true"/>
          <w:lang w:bidi="ar-SA"/>
        </w:rPr>
        <w:t>فمن اتّخذ الأنبياء والأولياء وغيرهم ممّن باتوا لربّهم سجّداً وقياماً، أسباباً حال حياتهم أو بعد مماتهم، ووسائل لقضاء حوائجهم ووسائط لجلب الخير ودفع الشر، لم يحيدوا عمّا تهدف إليه الشريعة، ولم يتجاوزوا الخط المشروع، ولم يتعدّوا مقصود الرسالة النبوية وغاياتها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فالأسباب لا يمكن إنكارها، ولا يعقل تجاهلها، ولا يتأتّى جحودها؛ لأنّه تعالى هو الذي خلق الأسباب والمسبّبات ورتّب النتائج على المقدّمات فمن تمسّك بالأسباب فقد تمسّك بما أمر اللّه سبحانه</w:t>
      </w:r>
      <w:r>
        <w:rPr>
          <w:rFonts w:eastAsia="Amiri" w:cs="Amiri" w:ascii="Amiri" w:hAnsi="Amiri"/>
          <w:color w:val="111111"/>
          <w:sz w:val="28"/>
          <w:szCs w:val="28"/>
          <w:rtl w:val="true"/>
          <w:lang w:bidi="ar-SA"/>
        </w:rPr>
        <w:t>.</w:t>
      </w:r>
      <w:bookmarkStart w:id="322" w:name="pg16768_165306"/>
    </w:p>
    <w:p>
      <w:pPr>
        <w:pStyle w:val="Heading5"/>
        <w:numPr>
          <w:ilvl w:val="4"/>
          <w:numId w:val="1"/>
        </w:numPr>
        <w:rPr/>
      </w:pPr>
      <w:bookmarkStart w:id="323" w:name="__RefHeading___Toc6863630_73709187"/>
      <w:bookmarkStart w:id="324" w:name="_Toc122"/>
      <w:bookmarkEnd w:id="322"/>
      <w:bookmarkEnd w:id="323"/>
      <w:r>
        <w:rPr>
          <w:rtl w:val="true"/>
        </w:rPr>
        <w:t>خاتمة المطاف سيرة الموحدين في توسّلهم</w:t>
      </w:r>
      <w:bookmarkEnd w:id="324"/>
    </w:p>
    <w:p>
      <w:pPr>
        <w:pStyle w:val="Heading6"/>
        <w:numPr>
          <w:ilvl w:val="5"/>
          <w:numId w:val="1"/>
        </w:numPr>
        <w:rPr/>
      </w:pPr>
      <w:bookmarkStart w:id="325" w:name="__RefHeading___Toc6863632_73709187"/>
      <w:bookmarkStart w:id="326" w:name="_Toc123"/>
      <w:bookmarkEnd w:id="325"/>
      <w:r>
        <w:rPr>
          <w:rtl w:val="true"/>
        </w:rPr>
        <w:t>اشارة</w:t>
      </w:r>
      <w:bookmarkEnd w:id="326"/>
    </w:p>
    <w:p>
      <w:pPr>
        <w:pStyle w:val="BookText"/>
        <w:rPr/>
      </w:pPr>
      <w:r>
        <w:rPr>
          <w:rFonts w:ascii="Amiri" w:hAnsi="Amiri" w:eastAsia="Amiri" w:cs="Amiri"/>
          <w:color w:val="111111"/>
          <w:sz w:val="28"/>
          <w:sz w:val="28"/>
          <w:szCs w:val="28"/>
          <w:rtl w:val="true"/>
          <w:lang w:bidi="ar-SA"/>
        </w:rPr>
        <w:t>بالطيبين والطاهرين</w:t>
      </w:r>
    </w:p>
    <w:p>
      <w:pPr>
        <w:pStyle w:val="BookText"/>
        <w:rPr/>
      </w:pPr>
      <w:r>
        <w:rPr>
          <w:rFonts w:ascii="Amiri" w:hAnsi="Amiri" w:eastAsia="Amiri" w:cs="Amiri"/>
          <w:color w:val="111111"/>
          <w:sz w:val="28"/>
          <w:sz w:val="28"/>
          <w:szCs w:val="28"/>
          <w:rtl w:val="true"/>
          <w:lang w:bidi="ar-SA"/>
        </w:rPr>
        <w:t>التاريخ الصحيح يشهد على أنّه جرت سيرة الموحدين على التوسّل بالطيبين والطاهرين عند الشدائد والأزمات، عند الجفاف وقلة الأمطار، وسنوات القحط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وهانحن نذكر هنا نماذج من هذه التوسّلات الّتي أمضاها النبي صلى الله عليه و آله وأظهر رضاه على هذا النوع من التوسّل</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6863634_73709187"/>
      <w:bookmarkStart w:id="328" w:name="_Toc124"/>
      <w:bookmarkEnd w:id="327"/>
      <w:r>
        <w:rPr/>
        <w:t>1</w:t>
      </w:r>
      <w:r>
        <w:rPr>
          <w:rtl w:val="true"/>
        </w:rPr>
        <w:t xml:space="preserve">. </w:t>
      </w:r>
      <w:r>
        <w:rPr>
          <w:rtl w:val="true"/>
        </w:rPr>
        <w:t>استسقاء عبدالمطلب بالنبي صلى الله عليه و آله وهو صغير</w:t>
      </w:r>
      <w:bookmarkEnd w:id="328"/>
    </w:p>
    <w:p>
      <w:pPr>
        <w:pStyle w:val="BookText"/>
        <w:rPr/>
      </w:pPr>
      <w:r>
        <w:rPr>
          <w:rFonts w:ascii="Amiri" w:hAnsi="Amiri" w:eastAsia="Amiri" w:cs="Amiri"/>
          <w:color w:val="111111"/>
          <w:sz w:val="28"/>
          <w:sz w:val="28"/>
          <w:szCs w:val="28"/>
          <w:rtl w:val="true"/>
          <w:lang w:bidi="ar-SA"/>
        </w:rPr>
        <w:t>استسقى عبدالمطلب بالنبي الأكرم صلى الله عليه و آله وهو طفل رضيع حتّى أنّ ابن 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طالب يشير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وأبيض يستسقى الغمام بوجهه ثمال اليتامى عصمة للأرامل</w:t>
      </w:r>
    </w:p>
    <w:p>
      <w:pPr>
        <w:pStyle w:val="BookText"/>
        <w:rPr/>
      </w:pPr>
      <w:r>
        <w:rPr>
          <w:rFonts w:ascii="Amiri" w:hAnsi="Amiri" w:eastAsia="Amiri" w:cs="Amiri"/>
          <w:color w:val="111111"/>
          <w:sz w:val="28"/>
          <w:sz w:val="28"/>
          <w:szCs w:val="28"/>
          <w:rtl w:val="true"/>
          <w:lang w:bidi="ar-SA"/>
        </w:rPr>
        <w:t>إلى ما وقع في زمن عبدالمطلب حيث استسقى لقريش والنبي صلى الله عليه و آله معه غلام</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6863636_73709187"/>
      <w:bookmarkStart w:id="330" w:name="_Toc125"/>
      <w:bookmarkEnd w:id="329"/>
      <w:r>
        <w:rPr/>
        <w:t>2</w:t>
      </w:r>
      <w:r>
        <w:rPr>
          <w:rtl w:val="true"/>
        </w:rPr>
        <w:t xml:space="preserve">. </w:t>
      </w:r>
      <w:r>
        <w:rPr>
          <w:rtl w:val="true"/>
        </w:rPr>
        <w:t>استسقاء أبي طالب بالنبي صلى الله عليه و آله وهو غلام</w:t>
      </w:r>
      <w:bookmarkEnd w:id="33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ابن عساكر عن أبي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مكة وهم في قحط،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طالب أقحط الوادي، وأجدب العيال، فهلم فاستسق، فخرج أبو طالب ومعه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شمس دجى تجلّت عن سحابة قتماء،</w:t>
      </w:r>
    </w:p>
    <w:p>
      <w:pPr>
        <w:pStyle w:val="BookText"/>
        <w:rPr/>
      </w:pPr>
      <w:r>
        <w:rPr>
          <w:rFonts w:ascii="Amiri" w:hAnsi="Amiri" w:eastAsia="Amiri" w:cs="Amiri"/>
          <w:color w:val="111111"/>
          <w:sz w:val="28"/>
          <w:sz w:val="28"/>
          <w:szCs w:val="28"/>
          <w:rtl w:val="true"/>
          <w:lang w:bidi="ar-SA"/>
        </w:rPr>
        <w:t>وحوله أُغيلمه، فأخذ النبيَّ أبو طالب فألصق ظهره بالكعبة، ولاذَ إلى الغلام وما في السماء قزعة، فأقبل السحاب من هاهنا وهاهنا وأغدق واغدودق، وانفجر له الوادي، وأخصب النادي والبادي، وفي ذلك يقول أبو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وأبيض يستسقى الغمام بوجهه ثمال اليتامى عصمةٌ للأرامل</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وقد كان استسقاء أبي طالب بالنبي وهو غلام، بل استسقاء عبد المطلب به وهو صبي أمراً معروفاً بين العرب، وكان شعر أبي طالب في هذه الواقعة ممّا يحفظه أكثر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الروايات أنّ استسقاء أبي طالب بالنبي صلى الله عليه و آله كان موضع رضاً منه صلى الله عليه و آله فإنّه بعدما بعث للرسالة استسقى للناس فجاء المطر وأخصب الوادي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أبو طالب حيّاً لقرّت عيناه، ومن ينشدنا قوله‌؟ فقام علي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كأنّك أردت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وأبيض يستسقى الغمام بوجهه ثمال اليتامى عصمةٌ للأرامل</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إنّ التوسّل بالأطفال في الاستسقاء أمر ندب إليه الشارع، قال الدكتور عبد الملك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أن نُخرج معنا إلى الصحراء الشيوخ والصبيان والبهائم لعلَّ اللّه يسقينا بسببهم</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الإمام الشافعي يقول في آداب صلاة الاستسقاء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وأُحب أن يخرج الصبيان، ويتنظفوا للاستسقاء، وكبار النساء، ومن لا هيبة منهنّ‌، ولا أُحبّ خروج ذات الهيبة، ولا آمر بإخراج البهائم</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الهدف من إخراج الصبيان والنساء الطاعنات في السن، إلّااستنزال الرحمة بهم وبقداستهم وطهارتهم‌؟ كل ذلك يعرب عن أنّ التوسّل بالأبرياء</w:t>
      </w:r>
      <w:bookmarkStart w:id="331" w:name="pg16768_165308"/>
    </w:p>
    <w:p>
      <w:pPr>
        <w:pStyle w:val="BookText"/>
        <w:rPr/>
      </w:pPr>
      <w:bookmarkEnd w:id="331"/>
      <w:r>
        <w:rPr>
          <w:rFonts w:ascii="Amiri" w:hAnsi="Amiri" w:eastAsia="Amiri" w:cs="Amiri"/>
          <w:color w:val="111111"/>
          <w:sz w:val="28"/>
          <w:sz w:val="28"/>
          <w:szCs w:val="28"/>
          <w:rtl w:val="true"/>
          <w:lang w:bidi="ar-SA"/>
        </w:rPr>
        <w:t>والصلحاء والمعصومين مفتاح استنزال الرحمة وكأنّ المتوسّل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وسيّدي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معصوم من الذنب، والكبير الطاعن في السن أسيرك في أرضك، وكلتا الطائفتين أحقّ بالرحمة والمرحمة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فلأجلهم أنزل رحمتك علينا، حتى تعمّنا في ظلّهم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الساقي ربّما يسقي مساحة كبيرة لأجل شجرة واحدة، وفي ظلّها تُسقى الأعشاب وسائر الحشائش غير المفيدة</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6863638_73709187"/>
      <w:bookmarkStart w:id="333" w:name="_Toc126"/>
      <w:bookmarkEnd w:id="332"/>
      <w:r>
        <w:rPr/>
        <w:t>3</w:t>
      </w:r>
      <w:r>
        <w:rPr>
          <w:rtl w:val="true"/>
        </w:rPr>
        <w:t xml:space="preserve"> - </w:t>
      </w:r>
      <w:r>
        <w:rPr>
          <w:rtl w:val="true"/>
        </w:rPr>
        <w:t>توسّل الخليفة بعمّ النبي</w:t>
      </w:r>
      <w:r>
        <w:rPr>
          <w:rtl w:val="true"/>
        </w:rPr>
        <w:t xml:space="preserve">: </w:t>
      </w:r>
      <w:r>
        <w:rPr>
          <w:rtl w:val="true"/>
        </w:rPr>
        <w:t>العباس</w:t>
      </w:r>
      <w:bookmarkEnd w:id="333"/>
    </w:p>
    <w:p>
      <w:pPr>
        <w:pStyle w:val="BookText"/>
        <w:rPr/>
      </w:pPr>
      <w:r>
        <w:rPr>
          <w:rFonts w:ascii="Amiri" w:hAnsi="Amiri" w:eastAsia="Amiri" w:cs="Amiri"/>
          <w:color w:val="111111"/>
          <w:sz w:val="28"/>
          <w:sz w:val="28"/>
          <w:szCs w:val="28"/>
          <w:rtl w:val="true"/>
          <w:lang w:bidi="ar-SA"/>
        </w:rPr>
        <w:t>روى البخاري في صحيحه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الخطاب إذا قحطوا استسقى بالعباس بن عبد المطلب رضى الله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كنّا نتوسّل إليك بنبيّنا فتسقينا، وإنّا نتوسّل إليك بعمّ نبيّنا فاسقنا،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فيُسقون</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صريح في أنّ عمر بن الخطاب توسّل بنفس العباس بما أنّ له من وشيجة بالنبي صلى الله عليه و آله، وتشهد على ذلك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عمر عند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كنّا نتوسّل إليك بنبينا فتسقينا، وإنّا نتوسّل إليك بعم نبينا فاسقنا، ومعنى ذلك أنّ الخليفة قام بالدعاء وتوسّل في أثناء الدعاء بعم الرسول صلى الله عليه و آله لا بدعاء عمّه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ابن الأثير كيفية الاستسقاء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استسقى عمر بن الخطاب بالعباس عام الرمادة لمّا اشتدّ القحط، فسقاهم اللّه تعالى به، وأخصبت الأرض، 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واللّه الوسيلة إليّ والمكان منه، وقال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الإمام وقد تتابع جدبنا فسقى الغمام بغُرّة العباس</w:t>
      </w:r>
    </w:p>
    <w:p>
      <w:pPr>
        <w:pStyle w:val="BookText"/>
        <w:rPr/>
      </w:pPr>
      <w:r>
        <w:rPr>
          <w:rFonts w:ascii="Amiri" w:hAnsi="Amiri" w:eastAsia="Amiri" w:cs="Amiri"/>
          <w:color w:val="111111"/>
          <w:sz w:val="28"/>
          <w:sz w:val="28"/>
          <w:szCs w:val="28"/>
          <w:rtl w:val="true"/>
          <w:lang w:bidi="ar-SA"/>
        </w:rPr>
        <w:t>عمِّ النبي وصنو والده الذي ورث النبي بذاك دون الناس</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أحيى الإله به البلاد فأصبحت مخضرّة الأجناب بعد الياسِ‌</w:t>
      </w:r>
    </w:p>
    <w:p>
      <w:pPr>
        <w:pStyle w:val="BookText"/>
        <w:rPr/>
      </w:pPr>
      <w:r>
        <w:rPr>
          <w:rFonts w:ascii="Amiri" w:hAnsi="Amiri" w:eastAsia="Amiri" w:cs="Amiri"/>
          <w:color w:val="111111"/>
          <w:sz w:val="28"/>
          <w:sz w:val="28"/>
          <w:szCs w:val="28"/>
          <w:rtl w:val="true"/>
          <w:lang w:bidi="ar-SA"/>
        </w:rPr>
        <w:t>ولمّا سَقوا طفقوا يتمسحون بالعباس ويقولون هنيئاً لك يا ساقي الحرمين</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أمعن في قول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واللّه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قول 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المستسقي كان هو عمر، وهو الداعي وكان العباس وسيلته لإجابة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المقصود التوسل بذات العباس لكان النبي صلى الله عليه و آله أفضل وأعلم، فلماذا لم يتوسل بذات النبي صلى الله عليه و آله‌؟</w:t>
      </w:r>
    </w:p>
    <w:p>
      <w:pPr>
        <w:pStyle w:val="BookText"/>
        <w:rPr/>
      </w:pPr>
      <w:r>
        <w:rPr>
          <w:rFonts w:ascii="Amiri" w:hAnsi="Amiri" w:eastAsia="Amiri" w:cs="Amiri"/>
          <w:color w:val="111111"/>
          <w:sz w:val="28"/>
          <w:sz w:val="28"/>
          <w:szCs w:val="28"/>
          <w:rtl w:val="true"/>
          <w:lang w:bidi="ar-SA"/>
        </w:rPr>
        <w:t>ولكن الإجابة عنه واضحة، وذلك لأن الهدف من إخراج عم النبي صلى الله عليه و آله إلى المصلّى وضمّه إلى الناس هو استنزال الرحمة، فكأن المصلّين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إذا لم نكن مستحقّين لنزول الرحمة، فإنّ عمّ النبي مستحق لها، فأنزل رحمتك إليه لتريحه من أزمة القحط والغلاء، وعندئذٍ تعمّ الرحمة غير العباس، ومن المعلوم أنّ هذا لا يتحقق إلّابالتوسّل بإنسان حيّ يكون شريكاً مع الجماعة في الصبر وفي هناء العيش ورغده لا مثل النبيّ الراحل الخارج عن الدنيا والنازل في الآخرة، نعم يجوز التوسل بشخصه أيضاً ولكن لا بهذا الملاك بل بملاك آخر لم يكن مطروحاً لعمر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نجزت بحمد اللّه رسالتنا في التوسّل وقد أسفرت الحقيقة عن وجهها وعُلم أنّ التوسّل بأنواعه العشرة أمر مندوب إليه، دعا إليه الكتاب والسنّة، وعمل به النبي صلى الله عليه و آله وأصحابه والتابعون لهم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واستمرت السيرة على التوسّل بأصنافه الماضية، عند عامّة المسلمين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يجد المنصف فيها أي رائحة للشرك، بل روح الجميع خضوع لرب الأرباب خالق السماوات والأرض، والمتوسّلون يطلبون استجابة حوائجهم من خالقهم وربّهم ومعبودهم ولكن من خلال التوسّل بوسائل تنزل مغفرته وتثير</w:t>
      </w:r>
    </w:p>
    <w:p>
      <w:pPr>
        <w:pStyle w:val="BookText"/>
        <w:rPr/>
      </w:pPr>
      <w:r>
        <w:rPr>
          <w:rFonts w:ascii="IRNazanin" w:hAnsi="IRNazanin" w:eastAsia="IRNazanin"/>
          <w:color w:val="111111"/>
          <w:sz w:val="28"/>
          <w:sz w:val="28"/>
          <w:szCs w:val="28"/>
          <w:rtl w:val="true"/>
          <w:lang w:bidi="fa-IR"/>
        </w:rPr>
        <w:t>رحمته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فعلى الغيارى من علماء الإسلام التصدي للدعايات الفارغة عن الدليل، والمفرّقة لوحدة المسلمين، بالنقد والرد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 يَحْيى مَنْ حَيَّ عَنْ بَيِّنَةٍ‌</w:t>
      </w:r>
      <w:r>
        <w:rPr>
          <w:rFonts w:eastAsia="Amiri" w:cs="Amiri" w:ascii="Amiri" w:hAnsi="Amiri"/>
          <w:color w:val="111111"/>
          <w:sz w:val="28"/>
          <w:szCs w:val="28"/>
          <w:rtl w:val="true"/>
          <w:lang w:bidi="ar-SA"/>
        </w:rPr>
        <w:t xml:space="preserve">) </w:t>
      </w:r>
      <w:r>
        <w:rPr>
          <w:rStyle w:val="FootnoteAnchor"/>
          <w:rtl w:val="true"/>
        </w:rPr>
        <w:footnoteReference w:id="368"/>
      </w:r>
      <w:r>
        <w:rPr>
          <w:rFonts w:ascii="IRNazanin" w:hAnsi="IRNazanin" w:eastAsia="IRNazanin"/>
          <w:color w:val="111111"/>
          <w:sz w:val="28"/>
          <w:sz w:val="28"/>
          <w:szCs w:val="28"/>
          <w:rtl w:val="true"/>
          <w:lang w:bidi="fa-IR"/>
        </w:rPr>
        <w:t>، بإذن من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نسأل اللّه تعالى أن ينير أبصارنا ويصلح قلوبنا ويخلص نوايانا، ويجعلنا من أنصار كتابه وسنة نبيّه، والحمد للّه رب العالمين</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 الحرام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شهور عام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334" w:name="pg16768_165311"/>
    </w:p>
    <w:p>
      <w:pPr>
        <w:pStyle w:val="Heading3"/>
        <w:numPr>
          <w:ilvl w:val="2"/>
          <w:numId w:val="1"/>
        </w:numPr>
        <w:rPr/>
      </w:pPr>
      <w:bookmarkStart w:id="335" w:name="__RefHeading___Toc6863640_73709187"/>
      <w:bookmarkStart w:id="336" w:name="_Toc127"/>
      <w:bookmarkEnd w:id="334"/>
      <w:bookmarkEnd w:id="335"/>
      <w:r>
        <w:rPr/>
        <w:t>12</w:t>
      </w:r>
      <w:r>
        <w:rPr>
          <w:rtl w:val="true"/>
        </w:rPr>
        <w:t xml:space="preserve"> </w:t>
      </w:r>
      <w:r>
        <w:rPr>
          <w:rtl w:val="true"/>
        </w:rPr>
        <w:t>الاحتفال بيوم الغدير</w:t>
      </w:r>
      <w:bookmarkEnd w:id="336"/>
    </w:p>
    <w:p>
      <w:pPr>
        <w:pStyle w:val="BookText"/>
        <w:rPr/>
      </w:pPr>
      <w:r>
        <w:rPr>
          <w:rFonts w:ascii="IRNazanin" w:hAnsi="IRNazanin" w:eastAsia="IRNazanin"/>
          <w:color w:val="111111"/>
          <w:sz w:val="28"/>
          <w:sz w:val="28"/>
          <w:szCs w:val="28"/>
          <w:rtl w:val="true"/>
          <w:lang w:bidi="fa-IR"/>
        </w:rPr>
        <w:t>أو</w:t>
      </w:r>
    </w:p>
    <w:p>
      <w:pPr>
        <w:pStyle w:val="BookText"/>
        <w:rPr/>
      </w:pPr>
      <w:r>
        <w:rPr>
          <w:rFonts w:ascii="Amiri" w:hAnsi="Amiri" w:eastAsia="Amiri" w:cs="Amiri"/>
          <w:color w:val="111111"/>
          <w:sz w:val="28"/>
          <w:sz w:val="28"/>
          <w:szCs w:val="28"/>
          <w:rtl w:val="true"/>
          <w:lang w:bidi="ar-SA"/>
        </w:rPr>
        <w:t>سلمان العودة توّاب عوّاد</w:t>
      </w:r>
    </w:p>
    <w:p>
      <w:pPr>
        <w:pStyle w:val="BookText"/>
        <w:rPr/>
      </w:pPr>
      <w:r>
        <w:rPr>
          <w:rFonts w:ascii="Amiri" w:hAnsi="Amiri" w:eastAsia="Amiri" w:cs="Amiri"/>
          <w:color w:val="111111"/>
          <w:sz w:val="28"/>
          <w:sz w:val="28"/>
          <w:szCs w:val="28"/>
          <w:rtl w:val="true"/>
          <w:lang w:bidi="ar-SA"/>
        </w:rPr>
        <w:t>إنّ سلمان العودة من رجال الوهابية المتعصّبين، وقد سار على هذا المنهج أعواماً، غير أنّه عَدَلَ عن مواقفه القاسية وأصبح أحد المعتدلين وندد بالمتطرفين والتكفيريين في خطبه وكلماته، كما أظهر أنّه يدعم موقف التقريب بين المذاهب والدعوة إلى الأُلفة والوحدة الإسلامية، لغاية تكاتف أبناء الأُمّة الإسلامية وتضامنهم أمام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أنّه عندما نشرت بعض وسائل الإعلام خطاباً له ربّما يُشمّ منه العنف والتطرّف، اعتذر بأنّه خطاب قديم سجّل على الشريط وأُذيع مؤخّراً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كلّه فقد عاد سلمان بن فهد العودة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رجع عنه، ونقض ما فتل 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كَالَّتِي نَقَضَتْ غَزْلَها مِنْ بَعْدِ قُوَّةٍ أَنْكاثاً</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 وصار عمله هذا مجسّداً لاسمه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العودة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نراه في مقاله الّذي نشرته جريدة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وإليك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وأعياد الأُممّ الكافرة ترتبط بأُمور دنيوية مثل قيام دولة أو سقوطها، أو تنصيب حاكم أو تتويجه، أو زواجه، أو لحلول مناسبة زمانية كفصل الربيع أو غير ذلك، ولليهود أعيادهم، وللنصارى أعيادهم الخاصّة بهم، فمن أعياد النصارى العيد الّذي يكون في الخميس الّذي يزعمون أنّ المائدة أُنزلت فيه على عيسى عليه السلام، وكذلك عيد ميلاد عيسى، وعيد رأس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الكريسميس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وعيد الشكر، وعيد العطاء، ويحتفلون بها الآن في جميع البلاد الأُوربية والإمريكية وغيرها من البلاد الّتي للنصرانية فيها ظهور، وإن لم تكن نصرانية، وللمجوس كذلك أعيادهم الخاصة بهم، مثل عيد المهرجان، وعيد النوروز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وللرافضة أيضاً أعيادهم، مثل عيد الغدير الّذي يزعمون أنّ النبي صلى الله عليه و آله بايع فيه علياً رضى الله عنه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نحن نلفت نظر الشيخ إلى النقاط التالية، ولعلّه يجد لها أجوبة أو يرجّح العودة الثانية إلى صف المعتدلين، والاعتذار عمّا أبداه في هذا المقال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عنّا 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الاحتفال بتأسيس الدولة أو سقوطها في يوم من أيام السنة شأن الأُممّ الكافرة، ولكن الشيخ لم ينس ولن ينسى أنّ الدولة السعودية شعباً وحكومة احتفلت بمرور مائة عام على تأسيس المملكة العربية السعودية عام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وكان لهذا الاحتفال صدى في المملكة وحضوراً واسعاً من الطبقات المختلفة، فهل الشيخ يعدّ الاحتفال بهذه المناسبة من أعياد الأُممّ الكافرة، أو يعدّ المشايخ والعلماء الذين حضروا فيه من الكفّار؟ ياترى‌؟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الشيخ عدّ اتّخاذ النصارى خميس آخر السنة عيداً من أعياد الأُممّ الكافرة مع أنّ الأساس لهذا العيد هو دعاء نبي اللّه عيسى بن مريم كما حكى عنه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عِيسَى ابْنُ مَرْيَمَ اللّهُمَّ رَبَّنا أَنْزِلْ عَلَيْنا مائِدَةً مِنَ السَّماءِ تَكُونُ لَنا</w:t>
      </w:r>
    </w:p>
    <w:p>
      <w:pPr>
        <w:pStyle w:val="BookText"/>
        <w:rPr/>
      </w:pPr>
      <w:r>
        <w:rPr>
          <w:rFonts w:ascii="Amiri" w:hAnsi="Amiri" w:eastAsia="Amiri" w:cs="Amiri"/>
          <w:color w:val="111111"/>
          <w:sz w:val="28"/>
          <w:sz w:val="28"/>
          <w:szCs w:val="28"/>
          <w:rtl w:val="true"/>
          <w:lang w:bidi="ar-SA"/>
        </w:rPr>
        <w:t>عِيداً لِأَوَّلِنا وَ آخِرِنا وَ آيَةً مِنْكَ وَ ارْزُقْنا وَ أَنْتَ خَيْرُ الرّازِقِينَ‌</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وكون النصرانية من الأُممّ الكافرة لا يكون مبرراً لإنكار عملهم هذا الّذي نرى أنّ له جذوراً في الكتاب العزيز كما عرفت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عدّ عيد الغدير الّذي يحتفل به الشيعة احتفالاً باهراً، من أعياد الأُمم الكافرة وبذلك عطف ربع المسلمين أو ثلثهم إلى معسكر الأُممّ الكافرة، وهذا يدل على أن الرجل باق على مواقفه السابقة القاسية، ولو تكلّم بشيء من اللين والتسامح فإنّما هو لمصلحة جرّته إلى ذلك، وإلّا فالرجل من حملة التكفير ودعاة العنف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أرخص التهم بين هؤلاء هو رمي الآخرين بالكفر تارة، والشرك أُخرى، والبدعة ثالثةً‌، وكأنّ معايير الشرك والكفر فُوّضت إليهم، يكفّرون مَن شاءوا ويصفون مَن شاءوا بالشرك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الشيعة يحتفلون باليوم الثامن عشر من ذي الحجة الحرام ويجتمعون في المساجد والمعاهد ويذكرون في هذا اليوم فضائل الإمام علي عليه السلام شكراً للّه على عظيم النعمة الّتي أعطيت لهذه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المائدة السماوية الّتي تشبع البطن عدة ساعات سبباً لاتّخاذ ذلك اليوم عيداً لأوّلهم وآخرهم فلم لا يكون تنصيب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الأُمّة وأتقاهم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للإمامة والولاية موجباً للمسرة والفرح‌؟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الشيعة لم يصدروا في عملهم هذا عن هوى وإنّما صدروا عن السنة النبوية الّتي أمرت باتّخاذ هذا اليوم عيداً، وأمر النبي صلى الله عليه و آله أصحابه بالتهنئة لصاحب الولاية علي أمير المؤمنين عليه السلام في ذلك اليوم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ولاية علي يوم الغدير، نزل بها كتاب اللّه المبين، وتواترت بها السنّة النبوية وتواصلت حلقات أسانيدها منذ عهد الصحابة والتابعين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والثابت الصحيح من السيرة النبوية أن رسول اللّه صلى الله عليه و آله أجمع الخروج إلى الحج العام العاشر من الهجرة وأذّن للناس بذلك، فقدم المدينة خلق كثير يأتمون به في حجّته الّتي يقال لها حجّة الوداع، وحجّة الإسلام، وحجّة البلاغ، ولم يحجّ غيرها منذ هاجر إلى أن توفّاه اللّه، فلمّا قضى مناسكه وانصرف راجعاً إلى المدينة وصل إلى غدير خم من الجهة الّتي تتشعب فيها طرق المدنيين والمصريين والعراقيين، وذلك يوم الخميس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الحجة، نزل إليه جبرئيل الأمين عن اللّه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وأمره أن ينصب علياً علماً للناس ويبلغهم ما نزل فيه من الولاية وفرض الطاعة على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صلى الله عليه و آله خطيباً وسط القوم على أقتاب الإبل وأسمع الجميع رافعاً صوته، فحمداللّه وشهد له بالتوحيد ولنفسه بالرسالة،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تشهدون أنّ لا إله إلّا اللّه وأنّ محمد عبده ورسوله، وأنّ الموت حق والساعة آتية لا ريب فيها، وأنّ اللّه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أولى الناس بالمؤمنين من أنفسهم‌؟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مولاي وأنا مولى المؤمنين وأنا أولى بهم من أنفسهم، فمن كنت مولاه فعليّ مولاه، يقولها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حديث الغدير أُمّة كبيرة من الصحابة والتابعين والعلماء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الصحابة يربو عدد الرواة إلى مائة وعشرين صحابياً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التابعين إلى أربع وثمانين تابعياً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العلماء ثلاثمائة وستين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الجمع الغفير من الصحابة والتابعين لهم بإحسان والعلماء وفيهم المحدّثون واللغويون والأُدباء والمؤرّخون، يمتنع تواطؤهم على الكذب، فلو لم يوصف حديث الغدير بالتواتر، كما يدّعي البعض زوراً وبهتاناً، فلن تجد مثيله في الأحاديث الإسلامية من خلال تعدّد طرقه، وكثرة رواته، ووفرة المصادر التي نقلته 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نزلت في هذا اليوم آية التبيلغ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فاجتماع المسلمين في ذلك اليوم هو تجسيد لآية التبليغ وتجسيد لطلب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فليبلغ 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التهنئة في ذلك اليوم فقد صدرت الأُمة الإسلامية عن حديث النبي صلى الله عليه و آله فقد أمر النبي أصحابه بعد ما نزل من على المنبر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على علي بإمرة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الْحَمْدُ لِلّهِ الَّذِي هَدانا لِهذا وَ ما كُنّا لِنَهْتَدِيَ لَوْ لا أَنْ هَدانَا اللّهُ‌</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روى المؤرخ ابن خاوندشاه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الثاني من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حديث الغدير ما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رسول اللّه صلى الله عليه و آله في خيمة تخصّه وأمر أمير المؤمنين علياً عليه السلام أن يجلس في خيمة أُخرى وأمر إطباق الناس بأن يهنّئوا علياً في خيمته، ولمّا فرغ الناس من تقديم التهنئة له عليه السلام، أمر رسول اللّه أُمّهات المؤمنين بأن يَسرن إليه ويهنّئنه ففعلن، وممّن هنّأه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مولاي ومولى جميع المؤمنين والمؤمنات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المحقّق العلّامة الأميني حديث التهنئة يوم الغدير عن ستين شخصاً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أئمة أهل البيت عليهم السلام كالصادق والكاظم والرضا عليهم السلام يحتفلون في ذلك اليوم، فمن أراد الاطلاع فليرجع إلى الكافي للكليني، وقد ذكر نصوص الروايات العلّامة الاميني في الغدير</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 ذلك اليوم في القرون السابقة معروفاً بعيد غدير خم، فهذا هو ابن خلكان يقول في ترجمة المستعلي الفاطمي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ولادة المستعلي لعشر ليال بقين من المحرم سنة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بالقاهرة وبويع في يوم عيد غدير خم وهو الثامن عشر من ذي الحجة سنة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المستنصر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ولادة المستنصر صبيحة يوم الثلاثاء لثلاث عشرة ليلة بقيت من جمادى الآخرة سنة عشرين وأربعمائة، وتوفّي ليلة الخميس لاثنتي عشرة ليلة بقيت من ذي الحجة سنة سبع وثمانين وأربعمائة،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الليلة هي ليلة عيد الغدير، أعني ليلة الثامن عشر من ذي الحجة، وهو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وتشديد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جماعة كثيرة يسألون عن هذه الليلة متى كانت من ذي الحجة‌؟ وهذا المكان بين مكة والمدينة، وفيه غدير ماء، ويُقال إنّه غيْضَة هناك ولما رجع النبي صلى الله عليه و آله من مكة، شرفها اللّه تعالى، عام حجة الوداع، ووصل إلى هذا المكان وآخى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كهارون من موسى، اللهم وال من والاه وعاد من عاداه، وانصر من نصره، واخذل من خذله</w:t>
      </w:r>
      <w:r>
        <w:rPr>
          <w:rFonts w:eastAsia="Amiri" w:cs="Amiri" w:ascii="Amiri" w:hAnsi="Amiri"/>
          <w:color w:val="111111"/>
          <w:sz w:val="28"/>
          <w:szCs w:val="28"/>
          <w:rtl w:val="true"/>
          <w:lang w:bidi="ar-SA"/>
        </w:rPr>
        <w:t>.</w:t>
      </w:r>
      <w:r>
        <w:rPr>
          <w:rStyle w:val="FootnoteAnchor"/>
          <w:rtl w:val="true"/>
        </w:rPr>
        <w:footnoteReference w:id="377"/>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المسعودي بعد ذكر 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 علي رضى الله عنه وشيعتهُ يعظّمون هذا اليوم</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وقال الثعالبي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عدّ ليلة الغدير من الليالي المشهورة عند الأُمّة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خطب رسول اللّه في غدير خم على أقتاب الإبل فقال في خطبته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فالشيعة يعظّمون هذه الليلة ويحيونها قياماً</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إلى غير ذلك من النصوص الدالّة على اشتهار ذلك اليوم بعيد الغدير، وذكره الحفاظ والمؤرخون بهذا الوصف من دون غمز ولمز</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الختام نرجو من الخطيب سلمان العودة أن يعود إلى ما رجع عنه ويعتذر عن وصف أُمّة كبيرة بالكفر ويتّخذ موقفاً علمياً صحيحاً تابعاً للكتاب والسنّة والتاريخ الصحيح</w:t>
      </w:r>
      <w:r>
        <w:rPr>
          <w:rFonts w:eastAsia="Amiri" w:cs="Amiri" w:ascii="Amiri" w:hAnsi="Amiri"/>
          <w:color w:val="111111"/>
          <w:sz w:val="28"/>
          <w:szCs w:val="28"/>
          <w:rtl w:val="true"/>
          <w:lang w:bidi="ar-SA"/>
        </w:rPr>
        <w:t>.</w:t>
      </w:r>
      <w:bookmarkStart w:id="337" w:name="pg16768_165318"/>
    </w:p>
    <w:p>
      <w:pPr>
        <w:pStyle w:val="Heading3"/>
        <w:numPr>
          <w:ilvl w:val="2"/>
          <w:numId w:val="1"/>
        </w:numPr>
        <w:rPr/>
      </w:pPr>
      <w:bookmarkStart w:id="338" w:name="__RefHeading___Toc6863642_73709187"/>
      <w:bookmarkStart w:id="339" w:name="_Toc128"/>
      <w:bookmarkEnd w:id="337"/>
      <w:bookmarkEnd w:id="338"/>
      <w:r>
        <w:rPr/>
        <w:t>13</w:t>
      </w:r>
      <w:r>
        <w:rPr>
          <w:rtl w:val="true"/>
        </w:rPr>
        <w:t xml:space="preserve"> </w:t>
      </w:r>
      <w:r>
        <w:rPr>
          <w:rtl w:val="true"/>
        </w:rPr>
        <w:t>في تسمية الولد بعبد المسيح</w:t>
      </w:r>
      <w:bookmarkEnd w:id="339"/>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الولد بعبد المسيح</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قرأنا في قسم الفتاوى في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الأردنية أسئلة مختلفة أجاب عنها عددٌ من الشيوخ والأساتذة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حفظهم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تلك الأسئلة سؤال يتعلق بجواز تسمية الولد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أجاب عنه الشيخ يوسف القرضاوي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التسمية حرام، حرام، حرام،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حرمتها مضاعفة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اسم معبد لغير اللّه تحرم التسمية به بإجماع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على الشق الأوّل من هذه الإجابة تعليق ينبغي التنبيه عليه ينفع في إبعاد شبهة تثار حول جواز التسمية بأسماء شاعت بين المسلمين كعبد النبي أو عبد الرسول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الشيخ وضّح معنى العبد في مثل هذه الأسماء لما ادّعى الإجماع على حرمته، لأنّ العبودية تطلق ويراد بها معان مختلفة ويختلف حكمها حسب اختلاف الموارد وهذا بيانه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العبودية التكوينية، وهي بهذا المعنى ناشئة من المملوكية التكوينية التي تعمّ جميع العباد، ومنشأ المملوكية كونه سبحانه خالقاً، والإنسان مخلوقاً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فالعبودية إذا كانت رمزاً للمملوكية الناشئة من الخالقية، فهي لا تضاف إلّاإلى اللّه سبحانه كما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مَنْ فِي السَّماواتِ وَ الْأَرْضِ إِلاّ آتِي الرَّحْمنِ عَبْداً</w:t>
      </w:r>
      <w:r>
        <w:rPr>
          <w:rFonts w:eastAsia="Amiri" w:cs="Amiri" w:ascii="Amiri" w:hAnsi="Amiri"/>
          <w:color w:val="111111"/>
          <w:sz w:val="28"/>
          <w:szCs w:val="28"/>
          <w:rtl w:val="true"/>
          <w:lang w:bidi="ar-SA"/>
        </w:rPr>
        <w:t>)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وقال سبحانه حاكياً عن المسيح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عَبْدُ اللّهِ آتانِيَ الْكِتابَ وَ جَعَلَنِي نَبِيًّا</w:t>
      </w:r>
      <w:r>
        <w:rPr>
          <w:rFonts w:eastAsia="Amiri" w:cs="Amiri" w:ascii="Amiri" w:hAnsi="Amiri"/>
          <w:color w:val="111111"/>
          <w:sz w:val="28"/>
          <w:szCs w:val="28"/>
          <w:rtl w:val="true"/>
          <w:lang w:bidi="ar-SA"/>
        </w:rPr>
        <w:t>) .</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العبودية الوضعية الناشئة من غلبة إنسان على إنسان في الحروب، وقد أمضاها الشارع تحت شرائط معينة مذكورة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الأُسارى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يقعون في الأسر بيد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إلى الحاكم الشرعي فهو مخيّر بين إطلاق سراحهم بلا عوض، أو بأخذ مال منهم، أو استرقاقهم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اختار الثالث فيكون الأسير عبداً للمسلم، ولذلك ترى أنّ الفقهاء عقدوا باباً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العبيد والإماء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أَنْكِحُوا الْأَيامى مِنْكُمْ وَ الصّالِحِينَ مِنْ عِبادِكُمْ وَ إِمائِكُمْ إِنْ يَكُونُوا فُقَراءَ يُغْنِهِمُ اللّهُ مِنْ فَضْلِهِ وَ اللّهُ واسِعٌ عَلِيمٌ‌</w:t>
      </w:r>
      <w:r>
        <w:rPr>
          <w:rFonts w:eastAsia="Amiri" w:cs="Amiri" w:ascii="Amiri" w:hAnsi="Amiri"/>
          <w:color w:val="111111"/>
          <w:sz w:val="28"/>
          <w:szCs w:val="28"/>
          <w:rtl w:val="true"/>
          <w:lang w:bidi="ar-SA"/>
        </w:rPr>
        <w:t>)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تجد أنّه سبحانه ينسب العبودية والإمائية إلى الذين يتملكونهم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عِبادِكُمْ وَ إِمائِكُمْ‌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فيضيف العبد إلى غير اسمه جلّ ذكره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العبودية بمعنى الطاعة وبها فسرها أصحاب المعاجم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 الثالث هو المقصود من تلك الأسماء فيسمُّون أولادهم باسم عبد الرسول أي مطيع الرسول، وعبد الحسين أي مطيعه، وكلّ مسلم مطيع للرسول والأئمّة من بعده، ولا شكّ أنّه يجب إطاعة النبي صلى الله عليه و آله وأُولي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فعرّف القرآنُ النبيَ بأنّه مطاع والمسلمين بأنّهم مطيعون، ولا عتب على الإنسان أن يبرز هذه المعاني من خلال تسمية أولاده وفلذات كبده بهذه الأسماء المقدّسة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المسمّى بعبد الرسول هو عبد للرسول وفي الوقت نفسه عبد للّه أيضاً، ولا منافاة بين النسبتين لما عرفت من أنّ العبودية في الصورة الأُولى هي العبودية التكوينية النابعة من الخالقية، ولكنّها في الصورة الثانية والثالثة ناجمة عن تشريعه سبحانه حيث جعل الغالب مولى والأسير عبداً، كما جعل النبي مطاعاً وغيره عبداً أي مطيعاً، وشتّان ما بينهما وبين المعنى الأوّل، ولا أجد مسلماً على أديم الأرض يسمّي اسمَ ولده بعبد الرسول ويقصد به العبودية التكوينية للرسول، وانّما يقصد المعنى الثالث وهو كونه مطيعاً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يمكن أن يقال يقصد العبودية التشريفية والتنزيلية بضرب من المجاز وتشبيهاً بالعبودية الرائجة بين الموالي العرفيين وعبيدهم</w:t>
      </w:r>
      <w:r>
        <w:rPr>
          <w:rFonts w:eastAsia="Amiri" w:cs="Amiri" w:ascii="Amiri" w:hAnsi="Amiri"/>
          <w:color w:val="111111"/>
          <w:sz w:val="28"/>
          <w:szCs w:val="28"/>
          <w:rtl w:val="true"/>
          <w:lang w:bidi="ar-SA"/>
        </w:rPr>
        <w:t>.</w:t>
      </w:r>
      <w:bookmarkStart w:id="340" w:name="pg16768_165321"/>
    </w:p>
    <w:p>
      <w:pPr>
        <w:pStyle w:val="Heading3"/>
        <w:numPr>
          <w:ilvl w:val="2"/>
          <w:numId w:val="1"/>
        </w:numPr>
        <w:rPr/>
      </w:pPr>
      <w:bookmarkStart w:id="341" w:name="__RefHeading___Toc6863644_73709187"/>
      <w:bookmarkStart w:id="342" w:name="_Toc129"/>
      <w:bookmarkEnd w:id="340"/>
      <w:bookmarkEnd w:id="341"/>
      <w:r>
        <w:rPr/>
        <w:t>14</w:t>
      </w:r>
      <w:r>
        <w:rPr>
          <w:rtl w:val="true"/>
        </w:rPr>
        <w:t xml:space="preserve"> </w:t>
      </w:r>
      <w:r>
        <w:rPr>
          <w:rtl w:val="true"/>
        </w:rPr>
        <w:t>محسن بن علي بين الحقيقة والخيال</w:t>
      </w:r>
      <w:bookmarkEnd w:id="342"/>
    </w:p>
    <w:p>
      <w:pPr>
        <w:pStyle w:val="BookText"/>
        <w:rPr/>
      </w:pPr>
      <w:r>
        <w:rPr>
          <w:rFonts w:ascii="Amiri" w:hAnsi="Amiri" w:eastAsia="Amiri" w:cs="Amiri"/>
          <w:color w:val="111111"/>
          <w:sz w:val="28"/>
          <w:sz w:val="28"/>
          <w:szCs w:val="28"/>
          <w:rtl w:val="true"/>
          <w:lang w:bidi="ar-SA"/>
        </w:rPr>
        <w:t>رسالة إلى الناطق</w:t>
      </w:r>
    </w:p>
    <w:p>
      <w:pPr>
        <w:pStyle w:val="BookText"/>
        <w:rPr/>
      </w:pPr>
      <w:r>
        <w:rPr>
          <w:rFonts w:ascii="Amiri" w:hAnsi="Amiri" w:eastAsia="Amiri" w:cs="Amiri"/>
          <w:color w:val="111111"/>
          <w:sz w:val="28"/>
          <w:sz w:val="28"/>
          <w:szCs w:val="28"/>
          <w:rtl w:val="true"/>
          <w:lang w:bidi="ar-SA"/>
        </w:rPr>
        <w:t>باسم مبرّة الآل والأصحاب الشيخ محمد العوضي المحترم</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أمّا بعد؛</w:t>
      </w:r>
    </w:p>
    <w:p>
      <w:pPr>
        <w:pStyle w:val="BookText"/>
        <w:rPr/>
      </w:pPr>
      <w:r>
        <w:rPr>
          <w:rFonts w:ascii="Amiri" w:hAnsi="Amiri" w:eastAsia="Amiri" w:cs="Amiri"/>
          <w:color w:val="111111"/>
          <w:sz w:val="28"/>
          <w:sz w:val="28"/>
          <w:szCs w:val="28"/>
          <w:rtl w:val="true"/>
          <w:lang w:bidi="ar-SA"/>
        </w:rPr>
        <w:t xml:space="preserve">فقد بلغنا أنّ جنابكم تكلّمتم حول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القصة أُسطورة اختلقتها الشيعة، مستدلّين بأنّ الرسول صلى الله عليه و آله قد أسرّ حديثاً قبل وفاته إلى بضعته فاطمة عليها السلام بحيث بكت في أوّله ثم ضحكت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وقلتم إنّ هذا الحديث مروي عن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وأضفتم بأنّ المحسن هو من أهل البيت وسقوطه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الحديث المتفق عليه من أنّ فاطمة هي أوّل أهل البيت لحوقاً بالنبي صلى الله عليه و آله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الذي ألفت نظركم إليه هو أنّ الموضوع الذي نفيتم قد أكده أكثر من عشرين مؤرخاً ومحدّثاً من أهل السنّة، وقد قام المؤرّخون المحقّقون بتنقيب الموضوع وتحقيقه، غير أنّ جنابكم لم تقفوا على جهود هؤلاء، وها نحن نذكر عصارة ما قام به أحد أقطاب التاريخ والنسب وهو السيد محمد مهدي الخرسان أحد علماء 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بتصرف وتلخيص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فريداً في ذلك الباب فقد قام بتحقيق الموضوع غير واحد من علمائنا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أسماء من ذكر هذا الموضوع من فضلاء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إسحاق إبراهيم النظّام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ضرب بطن فاطمة يوم البيعة حتى ألقت المحسن من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عنه الصفدي في الوافي بالوفيات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والشهرستاني في الملل والنحل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محسناً فسد من زحم قنفذ العدوي، نقله عنه الحافظ السروي المعروف بابن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933/3</w:t>
      </w:r>
      <w:r>
        <w:rPr>
          <w:rFonts w:ascii="Amiri" w:hAnsi="Amiri" w:eastAsia="Amiri" w:cs="Amiri"/>
          <w:color w:val="111111"/>
          <w:sz w:val="28"/>
          <w:sz w:val="28"/>
          <w:szCs w:val="28"/>
          <w:rtl w:val="true"/>
          <w:lang w:bidi="ar-SA"/>
        </w:rPr>
        <w:t>، ولكن يد الأمانة حذفت هذه الجملة من معارف ابن قتيبة، كما حذفت غيرها مما كشفه بعض الأعلام عنه، كالعلامة الأميني في غديره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ابن شهرآشوب هو الوحيد في نقل هذه الجملة عن المعارف بل أنّ الحافظ الكنجي الشافعي نقلها عنه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أسقطت بعد النبي صلى الله عليه و آله ذكراً سماه رسول اللّه صلى الله عليه و آله محسناً،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شيءٌ لم يوجد عند أحد من أهل النقل إلّاعند ابن قتيبة</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النسابة الشيخ أبو الحسن العمري الذي كان حياً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المجدي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اختلاف النسابين في المحسن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يحتسبوا بمحسن لأنّه ولد ميّتاً وقد روت الشيعة خبر المحسن والرفسة، ووجدت بعض كتب أهل النسب يحتوي على ذكر المحسن، ولم يذكر الرفسة من جهة أعوّل عليها</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النسابة محمد بن أسعد بن علي الحسيني الجواني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درج صغيراً والصحيح أنّ فاطمة أسقطت جنيناً</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كمال الدين محمد بن طلحة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مطالب السؤول عند ذكر أولاد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فيهم محسناً شقيقاً للحسن</w:t>
      </w:r>
    </w:p>
    <w:p>
      <w:pPr>
        <w:pStyle w:val="BookText"/>
        <w:rPr/>
      </w:pPr>
      <w:r>
        <w:rPr>
          <w:rFonts w:ascii="Amiri" w:hAnsi="Amiri" w:eastAsia="Amiri" w:cs="Amiri"/>
          <w:color w:val="111111"/>
          <w:sz w:val="28"/>
          <w:sz w:val="28"/>
          <w:szCs w:val="28"/>
          <w:rtl w:val="true"/>
          <w:lang w:bidi="ar-SA"/>
        </w:rPr>
        <w:t>والحسين وكان سقطاً</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محمد بن يوسف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أسقطت بعد النبي صلى الله عليه و آله ذكراً كان سمّاه رسول اللّه صلى الله عليه و آله محسناً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كلامه عند نقل القصة عن ابن قتيبة</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القصة باسناده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كان جالساً ذات يوم إذ أقبل الحسن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ابنتي فإنّها سيدة نساء العالمين من الأوّلين والآخرين، وهي بضعة مني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وإنّي لمّا رأيتها ذكرت ما يصنع بها بعدي، كأنّي بها وقد دخل الذلّ بيتها، وانتهكت حرمتها، وغصب حقها، ومُنعت إرثها، وكُسر جنبها، وأُسقطت جنينها</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الحافظ جمال الدين المزّي في كتابه تهذيب الكمال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من الولد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لم يعقبوا محسن درج سقطاً</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المطالب في فضل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المحسن سقط، نقله عنه صلاح الدين الصفدي المذكور تالياً، وذكره أيضاً في سير أعلام النبلاء</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صلاح الدين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الوافي بالوفيات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والمحسن طرح، وحكى ذلك من كتاب شيخه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المطالب في فضل علي بن أبي طالب</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التقي الفاسي الحسني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الثمين في</w:t>
      </w:r>
    </w:p>
    <w:p>
      <w:pPr>
        <w:pStyle w:val="BookText"/>
        <w:rPr/>
      </w:pPr>
      <w:r>
        <w:rPr>
          <w:rFonts w:ascii="Amiri" w:hAnsi="Amiri" w:eastAsia="Amiri" w:cs="Amiri"/>
          <w:color w:val="111111"/>
          <w:sz w:val="28"/>
          <w:sz w:val="28"/>
          <w:szCs w:val="28"/>
          <w:rtl w:val="true"/>
          <w:lang w:bidi="ar-SA"/>
        </w:rPr>
        <w:t>تاريخ البلد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ولعلي من الولد الحسن والحسين ومحسناً، ثم ذكر في صفحة تالية قول الحافظ المزّي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ومحسن درج سقطاً، ولم يعقب عليه بشيء</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عبد الرحمن الحنفي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المشجرة التي صنعت للخليفة الناصر وكتبت لخزانة صلاح الدين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ابن فاطمة أسقط، وقيل درج صغيراً، والصحيح أنّ فاطمة أسقطت جنينها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الصباغ المالكي الصفاقسي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ذكر أولاد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وذكروا أنّ فيهم محسناً شقيقاً للحسن والحسين ذكرته الشيعة وإنّه كان سقطاً</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الفضيل محمد الكاظم بن أبي الفتوح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النفحة العنبرية في أنساب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سنة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والمحسن وأخوه ولدا ميتين من الزهراء عليها السلام</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الصفوري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أوّل أولاد فاطمة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والمحسن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وزينب الكبرى وزينب الصغرى</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وقال في كتابه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المجتمعة في الخلفاء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الاستيعاب لابن عبد البر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وأسقطت فاطمة سقطاً سماه عليّ محسناً</w:t>
      </w:r>
      <w:r>
        <w:rPr>
          <w:rStyle w:val="FootnoteAnchor"/>
          <w:rtl w:val="true"/>
        </w:rPr>
        <w:footnoteReference w:id="398"/>
      </w:r>
      <w:r>
        <w:rPr>
          <w:rFonts w:ascii="Amiri" w:hAnsi="Amiri" w:eastAsia="Amiri" w:cs="Amiri"/>
          <w:color w:val="111111"/>
          <w:sz w:val="28"/>
          <w:sz w:val="28"/>
          <w:szCs w:val="28"/>
          <w:rtl w:val="true"/>
          <w:lang w:bidi="ar-SA"/>
        </w:rPr>
        <w:t>، وقد حذفت يد الأمانة هذه الجملة من الاستيعاب المطبوع، ولعبت بالآثار الإسلامية في غير واحد من الموارد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جمال الدين يوسف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w:t>
      </w:r>
    </w:p>
    <w:p>
      <w:pPr>
        <w:pStyle w:val="BookText"/>
        <w:rPr/>
      </w:pPr>
      <w:r>
        <w:rPr>
          <w:rFonts w:ascii="Amiri" w:hAnsi="Amiri" w:eastAsia="Amiri" w:cs="Amiri"/>
          <w:color w:val="111111"/>
          <w:sz w:val="28"/>
          <w:sz w:val="28"/>
          <w:szCs w:val="28"/>
          <w:rtl w:val="true"/>
          <w:lang w:bidi="ar-SA"/>
        </w:rPr>
        <w:t>النبوية في نسب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درج صغيراً، والصحيح أنّ فاطمة أسقطت جنيناً</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النسابة عميد الدين الذي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والمحسن الذي سقط</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المرتضى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أكثر الإمامية من أنّه كان حملاً فأسقطته فاطمة الزهراء لستة أشهر وذلك بعد وفاة النبي صلى الله عليه و آله</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محمود بن وهيب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محسن فأدرج سقطاً</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الصبان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محسن فأدرج سقطاً</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حسن الحمزاوي المالكي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فرغ من تأليفه سنة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محسن فأدرج سقطاً</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هذه جملة من المحدثين والنسابين والمؤرخين ذكروا حديث سقط المحسن، فكيف تكون أسطورة اختلقتها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أُضيف إليها ما ذكره علماء الشيعة من العصور الأُولى إلى العصر الحاضر رأيت أنّ القصة صارت ظاهرة متواترة لا يشك فيها إلّامن أغمض عينيه عن رؤية الحق</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نرجوه من الشيخ أن ينظر إلى هذه المصادر ولا يكون من رماة الكلام</w:t>
      </w:r>
    </w:p>
    <w:p>
      <w:pPr>
        <w:pStyle w:val="BookText"/>
        <w:rPr/>
      </w:pPr>
      <w:r>
        <w:rPr>
          <w:rFonts w:ascii="IRNazanin" w:hAnsi="IRNazanin" w:eastAsia="IRNazanin"/>
          <w:color w:val="111111"/>
          <w:sz w:val="28"/>
          <w:sz w:val="28"/>
          <w:szCs w:val="28"/>
          <w:rtl w:val="true"/>
          <w:lang w:bidi="fa-IR"/>
        </w:rPr>
        <w:t>على عواهنه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استدل به من أنّ القول بسقط المحسن ينافي الحديث المعروف من أنّ السيدة فاطمة الزهراء عليها السلام هي أوّل أهل البيت لحوقاً بالنبي صلى الله عليه و آله فالجواب عنه واضح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ووجدان الشيخ قاض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الحديث ناظرٌ إلى المتواجدين والحاضرين حول الرسول صلى الله عليه و آله وأمّا الجنين المستور في ظلمات ثلاث فلا يعد من أهل البيت مادام لم يظهر إلى عالم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وعلى كل من أحبّ الحق وترك التعصب لأجل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المكرم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343" w:name="pg16768_165327"/>
    </w:p>
    <w:p>
      <w:pPr>
        <w:pStyle w:val="Heading2"/>
        <w:numPr>
          <w:ilvl w:val="1"/>
          <w:numId w:val="1"/>
        </w:numPr>
        <w:rPr/>
      </w:pPr>
      <w:bookmarkStart w:id="344" w:name="__RefHeading___Toc6863646_73709187"/>
      <w:bookmarkStart w:id="345" w:name="_Toc130"/>
      <w:bookmarkEnd w:id="343"/>
      <w:bookmarkEnd w:id="344"/>
      <w:r>
        <w:rPr>
          <w:rtl w:val="true"/>
        </w:rPr>
        <w:t>الفصل الثاني</w:t>
      </w:r>
      <w:r>
        <w:rPr>
          <w:rtl w:val="true"/>
        </w:rPr>
        <w:t xml:space="preserve">: </w:t>
      </w:r>
      <w:r>
        <w:rPr>
          <w:rtl w:val="true"/>
        </w:rPr>
        <w:t>في الأُصول والحديث والفقه</w:t>
      </w:r>
      <w:bookmarkEnd w:id="345"/>
    </w:p>
    <w:p>
      <w:pPr>
        <w:pStyle w:val="Heading3"/>
        <w:numPr>
          <w:ilvl w:val="2"/>
          <w:numId w:val="1"/>
        </w:numPr>
        <w:rPr/>
      </w:pPr>
      <w:bookmarkStart w:id="346" w:name="__RefHeading___Toc6863648_73709187"/>
      <w:bookmarkStart w:id="347" w:name="_Toc131"/>
      <w:bookmarkEnd w:id="346"/>
      <w:r>
        <w:rPr>
          <w:rtl w:val="true"/>
        </w:rPr>
        <w:t>اشارة</w:t>
      </w:r>
      <w:bookmarkEnd w:id="3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أُصول الفقه ومناهجه عبر العصور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علوم الحديث والمسانيد في عصر الأئمة عليهم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منهجية نقد متن الحديث</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الوداع خطب وإرشاد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المراد من أنّ الأنبياء لم يورثوا؟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إلى الدكتور عبد الوهاب في رؤية الهلال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شركة الاعمال في الفقه الإسلامي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وقف الحلي والأثمان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إرث الزوجة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ترك النبي صلى الله عليه و آله من مصادر التشريع</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ادّعاء تحريم الزواج المؤقّت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كفاية التسمية عند الأكل</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الاستمناء كتاباً وسنة</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الغناء والموسيقى في الكتاب والسنّة</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عدم مساواة دية المرأة لدية الرجل</w:t>
      </w:r>
      <w:bookmarkStart w:id="348" w:name="pg16768_165329"/>
    </w:p>
    <w:p>
      <w:pPr>
        <w:pStyle w:val="Heading3"/>
        <w:numPr>
          <w:ilvl w:val="2"/>
          <w:numId w:val="1"/>
        </w:numPr>
        <w:rPr/>
      </w:pPr>
      <w:bookmarkStart w:id="349" w:name="__RefHeading___Toc6863650_73709187"/>
      <w:bookmarkStart w:id="350" w:name="_Toc132"/>
      <w:bookmarkEnd w:id="348"/>
      <w:bookmarkEnd w:id="349"/>
      <w:r>
        <w:rPr/>
        <w:t>1</w:t>
      </w:r>
      <w:r>
        <w:rPr>
          <w:rtl w:val="true"/>
        </w:rPr>
        <w:t xml:space="preserve"> </w:t>
      </w:r>
      <w:r>
        <w:rPr>
          <w:rtl w:val="true"/>
        </w:rPr>
        <w:t>أُصول الفقه ومناهجه عبر العصور</w:t>
      </w:r>
      <w:bookmarkEnd w:id="350"/>
    </w:p>
    <w:p>
      <w:pPr>
        <w:pStyle w:val="Heading4"/>
        <w:numPr>
          <w:ilvl w:val="3"/>
          <w:numId w:val="1"/>
        </w:numPr>
        <w:rPr/>
      </w:pPr>
      <w:bookmarkStart w:id="351" w:name="__RefHeading___Toc6863652_73709187"/>
      <w:bookmarkStart w:id="352" w:name="_Toc133"/>
      <w:bookmarkEnd w:id="351"/>
      <w:r>
        <w:rPr>
          <w:rtl w:val="true"/>
        </w:rPr>
        <w:t>اشارة</w:t>
      </w:r>
      <w:bookmarkEnd w:id="352"/>
    </w:p>
    <w:p>
      <w:pPr>
        <w:pStyle w:val="BookText"/>
        <w:rPr/>
      </w:pPr>
      <w:r>
        <w:rPr>
          <w:rFonts w:ascii="Amiri" w:hAnsi="Amiri" w:eastAsia="Amiri" w:cs="Amiri"/>
          <w:color w:val="111111"/>
          <w:sz w:val="28"/>
          <w:sz w:val="28"/>
          <w:szCs w:val="28"/>
          <w:rtl w:val="true"/>
          <w:lang w:bidi="ar-SA"/>
        </w:rPr>
        <w:t>عُرّف علم الأُصول بالعلم بالقواعد الممهّدة لاستنباط الأحكام الشرعية، ولمّا كان هذا التعريف مختصّاً بالموارد التي يستنبط المجتهد فيها الحكم الشرعي من الكتاب والسنّة، ولا يشمل ما يستنبطه المجتهد بما يعد وظيفة فعلية للشاك في التكليف كأصل البراءة والاحتياط وغيرهما من الأُصول العملية، أضاف المتأخّرون من الأُصوليين على التعريف قيداً آخر،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أوما ينتهي إليه المستنبط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تقدير فأُصول الفقه في كلا الحقلين يقع في خدمة الفقه، ويوصف بالطريق الموصل إليه، فلذلك يعدّ من المبادئ التصديقية للقواعد والمسائل الفقهية، ويراد من المبادئ التصديقية القضايا التي يتوقّف التصديق بالنسب الموجودة في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التعريف للمبادئ التصديقية ينطبق تماماً على أُصول الفقه، مثلاً قد وردت في الكتاب والسنّة أوامر ونواهي، والتصديق بوجوب ما أمر به أو حرمة ما نهي عنه موقوفٌ على ثبوت المسألة الأُصولية، وهو أنّ الأمر يدلّ على الوجوب وضعاً أو عقلاً، والنهي يدلّ على الحرمة كذلك، وهكذا سائر المسائل الأُصولية التي لها دور في استنباط الأحكام الشرعية</w:t>
      </w:r>
      <w:r>
        <w:rPr>
          <w:rFonts w:eastAsia="Amiri" w:cs="Amiri" w:ascii="Amiri" w:hAnsi="Amiri"/>
          <w:color w:val="111111"/>
          <w:sz w:val="28"/>
          <w:szCs w:val="28"/>
          <w:rtl w:val="true"/>
          <w:lang w:bidi="ar-SA"/>
        </w:rPr>
        <w:t>.</w:t>
      </w:r>
      <w:bookmarkStart w:id="353" w:name="pg16768_165330"/>
    </w:p>
    <w:p>
      <w:pPr>
        <w:pStyle w:val="BookText"/>
        <w:rPr/>
      </w:pPr>
      <w:bookmarkEnd w:id="353"/>
      <w:r>
        <w:rPr>
          <w:rFonts w:ascii="Amiri" w:hAnsi="Amiri" w:eastAsia="Amiri" w:cs="Amiri"/>
          <w:color w:val="111111"/>
          <w:sz w:val="28"/>
          <w:sz w:val="28"/>
          <w:szCs w:val="28"/>
          <w:rtl w:val="true"/>
          <w:lang w:bidi="ar-SA"/>
        </w:rPr>
        <w:t>إنّ أبواب المفاهيم لها دور في استنباط الحكم الشرعي، فلو ثبت في علم الأُصول أنّ الجملة الشرطية والوصفية تدلّان على الثبوت عند الثبوت والانتفاء عند الانتفاء، تستخدم المسألة الأُصولية في استنباط الحكم الشرعي الفرعي من الجمل الشرطية والوصفية الواردة في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على الحكم الشرعي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إذا بلغ قدر كرّ لم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بالثبوت لدى ثبوت القيد والانتفاء عند 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باب العام والمطلق فإنّ حجّية عموم العام وإطلاق المطلق عند الشك في التخصيص والتقييد مسألة أُصولية يستنبط منها الحكم الشرعي الفرعي، وذلك إذا ورد عام أو مطلق وشككنا في خروج فرد أو طائفة من تحتهما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المسائل الكثيرة التي لها دور في استنباط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لعلم الأُصول ذلك الشأن فلا محيص من الاهتمام به ودراسته وتدريسه وتدوينه، إلى غير ذلك ممّا يزيد في تكامل العلم وتساميه</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6863654_73709187"/>
      <w:bookmarkStart w:id="355" w:name="_Toc134"/>
      <w:bookmarkEnd w:id="354"/>
      <w:r>
        <w:rPr>
          <w:rtl w:val="true"/>
        </w:rPr>
        <w:t>أُصول الفقه في أحاديث العترة</w:t>
      </w:r>
      <w:bookmarkEnd w:id="355"/>
    </w:p>
    <w:p>
      <w:pPr>
        <w:pStyle w:val="BookText"/>
        <w:rPr/>
      </w:pPr>
      <w:r>
        <w:rPr>
          <w:rFonts w:ascii="Amiri" w:hAnsi="Amiri" w:eastAsia="Amiri" w:cs="Amiri"/>
          <w:color w:val="111111"/>
          <w:sz w:val="28"/>
          <w:sz w:val="28"/>
          <w:szCs w:val="28"/>
          <w:rtl w:val="true"/>
          <w:lang w:bidi="ar-SA"/>
        </w:rPr>
        <w:t>لم يكن علم الأُصول بمحتواه أمراً مغفولاً عنه في عصر الأئمّة عليهم السلام، فقد أملى الإمام الباقر عليه السلام وأعقبه الإمام الصادق عليه السلام على أصحابهما قواعد كليّة في الاستنباط، رتّبها بعض الأصحاب على ترتيب مباحث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ونخصّ بالذكر الكتب الثلاثة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المهمة في أُصول الأئمة للمحدث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الأُصول الأصلية للعلّامة السيد عبد اللّه شبر الحسيني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أُصول آل الرسول، للسيد هاشم بن زين العابدين الخوانساري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356" w:name="pg16768_165331"/>
    </w:p>
    <w:p>
      <w:pPr>
        <w:pStyle w:val="BookText"/>
        <w:rPr/>
      </w:pPr>
      <w:bookmarkEnd w:id="356"/>
      <w:r>
        <w:rPr>
          <w:rFonts w:ascii="Amiri" w:hAnsi="Amiri" w:eastAsia="Amiri" w:cs="Amiri"/>
          <w:color w:val="111111"/>
          <w:sz w:val="28"/>
          <w:sz w:val="28"/>
          <w:szCs w:val="28"/>
          <w:rtl w:val="true"/>
          <w:lang w:bidi="ar-SA"/>
        </w:rPr>
        <w:t>فقد بدأ نشاط تدوين علم أُصول الفقه عند الإمامية على ضوء القواعد الكلية الموجودة في أحاديث أئمتهم عليهم السلام بالنحو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فألّف يونس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الحديث ومسائله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نفس باب التعادل والترجيح في الكتب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ألّف أبو سهل النوبختي إسماعيل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الخصوص والعموم، و الأسماء والأحكام، و إبطال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وصلت النوبة إلى الحسن بن موسى النوبختي فألّف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 والعمل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المرحلة الأُولى لنشوء علم أُصول الفقه عند الشيعة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أنّ أئمّة الشيعة عليهم السلام سبقوا غيرهم في إملاء القواعد الأُصولية على أصحابهم، كما أنّ تلامذتهم شاركوا الآخرين في حلبة التأليف والتصنيف</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6863656_73709187"/>
      <w:bookmarkStart w:id="358" w:name="_Toc135"/>
      <w:bookmarkEnd w:id="357"/>
      <w:r>
        <w:rPr>
          <w:rtl w:val="true"/>
        </w:rPr>
        <w:t>أُصول الفقه ومناهجه المختلفة</w:t>
      </w:r>
      <w:bookmarkEnd w:id="358"/>
    </w:p>
    <w:p>
      <w:pPr>
        <w:pStyle w:val="BookText"/>
        <w:rPr/>
      </w:pPr>
      <w:r>
        <w:rPr>
          <w:rFonts w:ascii="Amiri" w:hAnsi="Amiri" w:eastAsia="Amiri" w:cs="Amiri"/>
          <w:color w:val="111111"/>
          <w:sz w:val="28"/>
          <w:sz w:val="28"/>
          <w:szCs w:val="28"/>
          <w:rtl w:val="true"/>
          <w:lang w:bidi="ar-SA"/>
        </w:rPr>
        <w:t>لمّا ألّف الشافعي رسالته في أُصول الفقه وذاعت بين الفقهاء، عمد فقهاء أهل السنّة إلى تدوين مسائل الأُصول على طريقتين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 المتكلّمون بطريقة، وفقهاء الأحناف بطريقة أُخرى</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6863658_73709187"/>
      <w:bookmarkStart w:id="360" w:name="_Toc136"/>
      <w:bookmarkEnd w:id="359"/>
      <w:r>
        <w:rPr>
          <w:rtl w:val="true"/>
        </w:rPr>
        <w:t>الطريقة الأُولى</w:t>
      </w:r>
      <w:r>
        <w:rPr>
          <w:rtl w:val="true"/>
        </w:rPr>
        <w:t xml:space="preserve">: </w:t>
      </w:r>
      <w:r>
        <w:rPr>
          <w:rtl w:val="true"/>
        </w:rPr>
        <w:t>طريقة المتكلّمين</w:t>
      </w:r>
      <w:bookmarkEnd w:id="360"/>
    </w:p>
    <w:p>
      <w:pPr>
        <w:pStyle w:val="BookText"/>
        <w:rPr/>
      </w:pPr>
      <w:r>
        <w:rPr>
          <w:rFonts w:ascii="Amiri" w:hAnsi="Amiri" w:eastAsia="Amiri" w:cs="Amiri"/>
          <w:color w:val="111111"/>
          <w:sz w:val="28"/>
          <w:sz w:val="28"/>
          <w:szCs w:val="28"/>
          <w:rtl w:val="true"/>
          <w:lang w:bidi="ar-SA"/>
        </w:rPr>
        <w:t>فقد تميّزت كتبهم بأمرين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نظروا إلى علم الأُصول نظرة استقلاليّة، وأنّه علم برأسه، فصاروا يقتنصون قواعده من هنا وهناك من دون نظر إلى فتوى فقيه دون فقيه، وبذلك صار أُصول الفقه علماً مستقلاً كسائر العلوم يخدم الفقه بما أنّه من مبادئه التصديقية، وبه توزن فتوى الفقيه فإن وافقت القاعدة فقد أصاب، وإن خالفت فقد أخطأ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سيادة الطابَع العقلي على مؤلّفهاتهم الأُصولية فأدخلوا فيه مسائل كلامية، كالحسن والقبح العقليّين وجواز تكليف ما لا يطاق وعدمه، إلى غير ذلك من المسائل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بال علم باض وفرّخ بيد أهل المعقول الذين لا يصدرون في علومهم ومعارفهم إلّاعن البرهان، فلا محالة تتسم آراء الأُصوليين بالطابع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من بدأ التأليف على هذا النمط هو أبو بكر الصيرفي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القفّال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أعلم بالأُصول بعد الشافعي من أبي بكر الصيرفي، له في الأُصول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دلائل الأعلام على أُصول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في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تتابع التأليف على هذا النمط إلى أواخر القرن الثامن، فألّف جمال الدين الأسنوي شيخ الإسلام ورئيس الشافعية بالديار المصرية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نهاية السؤول في شرح منهاج الوصول إلى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المنتشر، وله أيضاً كتاب الزوائد وهو تلخيص للكتب الثلاثة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للرازي،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للآمدي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الحاجب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يجدر ذكره أنّ الكتب الأُم لهذه الطريقة لا تتجاوز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المعتمد لأبي الحسين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لإمام الحرمين الجويني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المستصفى للغزالي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سائر الكتب فتتمتع بالتلخيص، فقد لخّص هذه الكتب الثلاثة فخر الدين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وأسماه بالمحصول، كما قام بهذا العمل وزاد على الثلاثة شيئاً أبو الحسين المعروف بالآمدي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المعروف بالإحكام في أُصول الأحكام، حتّى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السؤل والأمل في علم الأُصول والجدل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الحاجب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تلخيص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للآمدي</w:t>
      </w:r>
      <w:r>
        <w:rPr>
          <w:rFonts w:eastAsia="Amiri" w:cs="Amiri" w:ascii="Amiri" w:hAnsi="Amiri"/>
          <w:color w:val="111111"/>
          <w:sz w:val="28"/>
          <w:szCs w:val="28"/>
          <w:rtl w:val="true"/>
          <w:lang w:bidi="ar-SA"/>
        </w:rPr>
        <w:t>.</w:t>
      </w:r>
      <w:bookmarkStart w:id="361" w:name="pg16768_165333"/>
    </w:p>
    <w:p>
      <w:pPr>
        <w:pStyle w:val="BookText"/>
        <w:rPr/>
      </w:pPr>
      <w:bookmarkEnd w:id="361"/>
      <w:r>
        <w:rPr>
          <w:rFonts w:ascii="Amiri" w:hAnsi="Amiri" w:eastAsia="Amiri" w:cs="Amiri"/>
          <w:color w:val="111111"/>
          <w:sz w:val="28"/>
          <w:sz w:val="28"/>
          <w:szCs w:val="28"/>
          <w:rtl w:val="true"/>
          <w:lang w:bidi="ar-SA"/>
        </w:rPr>
        <w:t>وقد كان هذا النوع من التأليف أي الجمع والتلخيص عملاً شائعاً بين الأُصوليّين في تلك المرحلة</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6863660_73709187"/>
      <w:bookmarkStart w:id="363" w:name="_Toc137"/>
      <w:bookmarkEnd w:id="362"/>
      <w:r>
        <w:rPr>
          <w:rtl w:val="true"/>
        </w:rPr>
        <w:t>الطريقة الثانية</w:t>
      </w:r>
      <w:r>
        <w:rPr>
          <w:rtl w:val="true"/>
        </w:rPr>
        <w:t xml:space="preserve">: </w:t>
      </w:r>
      <w:r>
        <w:rPr>
          <w:rtl w:val="true"/>
        </w:rPr>
        <w:t>طريقة الأحناف</w:t>
      </w:r>
      <w:bookmarkEnd w:id="363"/>
    </w:p>
    <w:p>
      <w:pPr>
        <w:pStyle w:val="BookText"/>
        <w:rPr/>
      </w:pPr>
      <w:r>
        <w:rPr>
          <w:rFonts w:ascii="Amiri" w:hAnsi="Amiri" w:eastAsia="Amiri" w:cs="Amiri"/>
          <w:color w:val="111111"/>
          <w:sz w:val="28"/>
          <w:sz w:val="28"/>
          <w:szCs w:val="28"/>
          <w:rtl w:val="true"/>
          <w:lang w:bidi="ar-SA"/>
        </w:rPr>
        <w:t>هذه الطريقة على خلاف ما عليه أصحاب الطريقة الأُولى حيث نظروا إلى علم أُصول الفقه نظرة آلية لا استقلالية، فلم يعمدوا إلى جمع مسائله وشوارده من هنا وهناك، بل عمدوا إلى جمع المسائل الفقهية الموافقة لفتوى أبي حنيفة فانتزعوا منها قاعدة أُصولية، فصارت القاعدة خاضعة للفروع لا حاكمة عليها، ولذلك لاترى في هذا النمط من الآثار بحثاً عقلياً أو مسألة 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ظهرت هذه الطريقة في أوائل القرن الثالث، وأوّل من ألّف على وفقها هو عيسى بن أبان بن صدقة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في الأُصول رسالة مطبوعة ذكر فيها الأُصول الّتي عليها مدار كتب أصحاب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تبعه أبو منصور الماتريدي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أهل السنّة في المشرق الإسلامي 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مآخذ الشرائع في الأُصول</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ثم تلاه أبو بكر الجصّاص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ألّف كتاباً في أُصول الفقه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الجصاص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تتلمذ على أبي الحسن الكرخي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بعده أبو زيد الدبّوسي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وتلاه فخر الإسلام البزدوي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فألف في الأُصول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الوصول إلى معرفة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سهل العبارة يعدّ أوضح كتاب ألّف وفقاً لهذه الطريقة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وتلاه شمس الأئمة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 الفصول</w:t>
      </w:r>
      <w:bookmarkStart w:id="364" w:name="pg16768_165334"/>
    </w:p>
    <w:p>
      <w:pPr>
        <w:pStyle w:val="BookText"/>
        <w:rPr/>
      </w:pPr>
      <w:bookmarkEnd w:id="364"/>
      <w:r>
        <w:rPr>
          <w:rFonts w:ascii="Amiri" w:hAnsi="Amiri" w:eastAsia="Amiri" w:cs="Amiri"/>
          <w:color w:val="111111"/>
          <w:sz w:val="28"/>
          <w:sz w:val="28"/>
          <w:szCs w:val="28"/>
          <w:rtl w:val="true"/>
          <w:lang w:bidi="ar-SA"/>
        </w:rPr>
        <w:t>في الأُصول</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وآخر من ألّف على هذا النمط الحافظ النسفي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تصانيفه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الأسرار في شرح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هناك مَن ألّف على هذه الطريقة ولم نقف عليه</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6863662_73709187"/>
      <w:bookmarkStart w:id="366" w:name="_Toc138"/>
      <w:bookmarkEnd w:id="365"/>
      <w:r>
        <w:rPr>
          <w:rtl w:val="true"/>
        </w:rPr>
        <w:t>الطريقة الثالثة</w:t>
      </w:r>
      <w:r>
        <w:rPr>
          <w:rtl w:val="true"/>
        </w:rPr>
        <w:t xml:space="preserve">: </w:t>
      </w:r>
      <w:r>
        <w:rPr>
          <w:rtl w:val="true"/>
        </w:rPr>
        <w:t>الجمع بين الطريقتين</w:t>
      </w:r>
      <w:bookmarkEnd w:id="366"/>
    </w:p>
    <w:p>
      <w:pPr>
        <w:pStyle w:val="BookText"/>
        <w:rPr/>
      </w:pPr>
      <w:r>
        <w:rPr>
          <w:rFonts w:ascii="Amiri" w:hAnsi="Amiri" w:eastAsia="Amiri" w:cs="Amiri"/>
          <w:color w:val="111111"/>
          <w:sz w:val="28"/>
          <w:sz w:val="28"/>
          <w:szCs w:val="28"/>
          <w:rtl w:val="true"/>
          <w:lang w:bidi="ar-SA"/>
        </w:rPr>
        <w:t>لمّا كانت لكل من الطريقتين مزيّة حيث إنّ النظرة إلى أُصول الفقه نظرة استقلالية والاستدلال عليها بالبرهنة تعدّ من مزايا هذه الطريقة غير أنّه تعوزها الصلة بين القاعدة والفروع المستنبطة، فالطالب يدرس أُصول الفقه كقواعد جافّة من دون أن يطّبقها على مواردها والفروع الّتي تترتب عليها، بخلاف الطريقة الثانية، فإنّ الصلة بين القاعدة والفروع قويمة حيث إنّ القاعدة تنتزع من جمع الفروع من هنا وهناك غير أنّه تفقد شمولية القاعدة لسائر المذاهب الفقهية، لأنّ المفروض أنّ القاعدة منتزعة من فتوى الإمام المعين كأبي حنيفة، فكيف يمكن أن يستند إليها فقهاء سائر المذاهب‌؟</w:t>
      </w:r>
    </w:p>
    <w:p>
      <w:pPr>
        <w:pStyle w:val="BookText"/>
        <w:rPr/>
      </w:pPr>
      <w:r>
        <w:rPr>
          <w:rFonts w:ascii="Amiri" w:hAnsi="Amiri" w:eastAsia="Amiri" w:cs="Amiri"/>
          <w:color w:val="111111"/>
          <w:sz w:val="28"/>
          <w:sz w:val="28"/>
          <w:szCs w:val="28"/>
          <w:rtl w:val="true"/>
          <w:lang w:bidi="ar-SA"/>
        </w:rPr>
        <w:t>ولهذا حاول بعض المتأخّرين الجمع بين الطريقتين بمعنى تأسيس القاعدة والبرهنة عليها ثم تطبيقها على الفروع الكثيرة الواردة في الكتب الفقهية، وهذا نمط ثالث جدير بالتقدير، فإنّ القواعد الأُصوليّة كالقواعد الرياضية لا ينتفع بها المتعلم إلّابالتمرّن وحلّ المسائل على ضوء القواعد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وفّق للتأليف على هذا النمط الفقيه المعروف بابن الساعاتي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مصنّفات في الفقه والأُصول،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النظام في أُصول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 فيه بين طريقتي الآمدي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عنى فيه بذكر القواعد دون التطبيق على الفروع، وطريقة فخر الإسلام البزدوي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p>
    <w:p>
      <w:pPr>
        <w:pStyle w:val="BookText"/>
        <w:rPr/>
      </w:pPr>
      <w:r>
        <w:rPr>
          <w:rFonts w:ascii="Amiri" w:hAnsi="Amiri" w:eastAsia="Amiri" w:cs="Amiri"/>
          <w:color w:val="111111"/>
          <w:sz w:val="28"/>
          <w:sz w:val="28"/>
          <w:szCs w:val="28"/>
          <w:rtl w:val="true"/>
          <w:lang w:bidi="ar-SA"/>
        </w:rPr>
        <w:t>عنى فيه بالشواهد الجزئية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وتلاه صدر الشريعة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وشرحه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أيضاً، جمع فيه بين ثلاثة كتب من أُصول البزدوي الحنفي المؤلّف على الطريقة الثانية والمحصول للرازي ومنتهى السؤل والأمل لابن الحاجب المؤلّفين على طريقة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الكتب المؤلّفة على هذه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الفروع على الأُصول وتخريج الفروع على القواعد العربية</w:t>
      </w:r>
    </w:p>
    <w:p>
      <w:pPr>
        <w:pStyle w:val="BookText"/>
        <w:rPr/>
      </w:pPr>
      <w:r>
        <w:rPr>
          <w:rFonts w:ascii="Amiri" w:hAnsi="Amiri" w:eastAsia="Amiri" w:cs="Amiri"/>
          <w:color w:val="111111"/>
          <w:sz w:val="28"/>
          <w:sz w:val="28"/>
          <w:szCs w:val="28"/>
          <w:rtl w:val="true"/>
          <w:lang w:bidi="ar-SA"/>
        </w:rPr>
        <w:t>قد تعرفت على الطرق الثلاثة في تأليف أُصول الفقه، وهناك طريقة رابعة ربّما تكون أجمل وأكمل من الطريقة الثالثة، وهي تخريج الفروع على الأُصول على الطريقة الثالثة وتخريج الفروع على القواعد العربية، وهذا هو الّذي يميّز هذه الطريقة عن الطريقة الثالثة، حيث خرّج الفروع الفقهية على ضوء العلمين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القواعد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أُلف على هذا النمط قليل جدّاً، نذكر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الكوكّب الدّري للأسنوي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تمهيد القواعد الأُصولية، والعربية للشهيد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جمع الشهيد فيه بين تخريج الفروع على الأُصول وتخريجها على القواعد العربية، فذكر من القسم الأوّل مائة قاعدة أُصولية يستنبط منها أحكام فقهية، كما ذكر من القسم الثاني مائة قاعدة عربية لها مدخلية تامّة في استنباط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جدير بالمطالعة، ومن حسن الحظ أنّه طبع أخيراً في المشهد الرضوي بتحقيق أنيق، فشكر اللّه مساعي القائمين بإنجاز الكتاب بصورة بهيّة</w:t>
      </w:r>
      <w:r>
        <w:rPr>
          <w:rFonts w:eastAsia="Amiri" w:cs="Amiri" w:ascii="Amiri" w:hAnsi="Amiri"/>
          <w:color w:val="111111"/>
          <w:sz w:val="28"/>
          <w:szCs w:val="28"/>
          <w:rtl w:val="true"/>
          <w:lang w:bidi="ar-SA"/>
        </w:rPr>
        <w:t>.</w:t>
      </w:r>
      <w:bookmarkStart w:id="367" w:name="pg16768_165336"/>
    </w:p>
    <w:p>
      <w:pPr>
        <w:pStyle w:val="Heading4"/>
        <w:numPr>
          <w:ilvl w:val="3"/>
          <w:numId w:val="1"/>
        </w:numPr>
        <w:rPr/>
      </w:pPr>
      <w:bookmarkStart w:id="368" w:name="__RefHeading___Toc6863664_73709187"/>
      <w:bookmarkStart w:id="369" w:name="_Toc139"/>
      <w:bookmarkEnd w:id="367"/>
      <w:bookmarkEnd w:id="368"/>
      <w:r>
        <w:rPr>
          <w:rtl w:val="true"/>
        </w:rPr>
        <w:t>منهج الإمامية في تدوين أُصول الفقه</w:t>
      </w:r>
      <w:bookmarkEnd w:id="369"/>
    </w:p>
    <w:p>
      <w:pPr>
        <w:pStyle w:val="BookText"/>
        <w:rPr/>
      </w:pPr>
      <w:r>
        <w:rPr>
          <w:rFonts w:ascii="Amiri" w:hAnsi="Amiri" w:eastAsia="Amiri" w:cs="Amiri"/>
          <w:color w:val="111111"/>
          <w:sz w:val="28"/>
          <w:sz w:val="28"/>
          <w:szCs w:val="28"/>
          <w:rtl w:val="true"/>
          <w:lang w:bidi="ar-SA"/>
        </w:rPr>
        <w:t xml:space="preserve">إنّ أُصول الفقه لدى الأحناف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بالقواعد الفقهية حيث إنّ الفقيه يضمّ مسألة إلى مسألة ثم يوحّد بينهما وبين المسائل الأُخرى وينتزع من الجميع قاعدة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إنّ الفقيه لمّا وقف على أنّ صحيح الإجارة وفاسدها يوجب الضمان ووقف أيضاً على أنّ البيع صحيحه وفاسده يوجب الضمان، إلى غير ذلك من المسائل الّتي فيها مبادلة مالين أو مال وانتفاع، فينتزع من الجميع قاعدة فقهية كلية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علم الأُصول الّذي يستعين الفقيه به في استنباط الحكم الشرعي، فلذلك نرى أنّ أصحابنا الإمامية منذ العصور الأُولى ألّفوا على طريقة المتكلّمين، فطرحوا أُصولاً وقواعد لها دور في استنباط الحكم الشرعي وربّما ألجأتهم الظروف إلى إدخال المسائل الكلامية، وهذا النمط هو السائد على ما ألّفه أصحابنا الإمامية من العصور المتقدمة إلى زماننا هذا، وفي الوقت نفسه ميّزوا القواعد الفقهية عن القواعد الأُصولية فألّفوا في ذينك الحقلين كتباً كثيرة، وها نحن نذكر بعض مَنْ ألّف في علم الأُصول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في أُصول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إلى أُصول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قامت مؤسسة الإمام الصادق عليه السلام بتحقيقه ونشره مجدداً في مجلد واحد، عام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سلّار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 في أُصول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 في أُصول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زهرة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غنية النزوع إلى علمي الأُصول والفروع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سديد الدين الحمصي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المصادر في أُصول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نجم الدين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 في أُصول</w:t>
      </w:r>
    </w:p>
    <w:p>
      <w:pPr>
        <w:pStyle w:val="BookText"/>
        <w:rPr/>
      </w:pP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اللّه مساعيهم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وصلت النوبة لنادرة الآفاق وعلّامة العراق الحسن بن يوسف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بالعلّامة الحلي فغار في بحار هذا العلم وغاص في عبابها فأخرج لآلئها، وإليك أسماء ما صنّفه في هذا العلم على وجه الإجمال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الوصول وأيضاح السبل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مختصر منتهى الوصول والأمل في علمي الأُصول والجدل لابن الحاجب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حقّق في مؤسسة الإمام الصادق عليه السلام وطبع الجزء الأوّل منه عام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والجزء الثاني قيد الطبع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مبادئ الوصول إلى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ذكره المصنّف لنفسه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إجازته للسيد المهنّا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الوصول إلى علم الكلام والأُصول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المصنّف في الخلاصة وفي إجازته للسيد المهنّا، فرغ منه يوم الجمعة السادس عشر من شهر جمادى الأُولى سنة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الوصول إلى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 المصنّف في الخلاصة وإجازته للسيد المهنّا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الوصول إلى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حُقّق في مؤسسة الإمام الصادق عليه السلام ونشر في خمسة أجزاء ما بين الأعوام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الوصول إلى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المنتشر، ولم يزل هذا الكتاب موضع اهتمام منذ تأليفه إلى يومنا هذا، وتشهد على ذلك كثرة الشروح والتعاليق عليه الّتي ذكرها شيخنا المجيز آغا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 إلى تصانيف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بلغ عدد الشروح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شرحاً، كما بلغ عدد التعاليق خمسة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يوجد في المكتبات شروح وتعاليق أُخرى لم يقف عليها شيخنا</w:t>
      </w:r>
    </w:p>
    <w:p>
      <w:pPr>
        <w:pStyle w:val="BookText"/>
        <w:rPr/>
      </w:pPr>
      <w:r>
        <w:rPr>
          <w:rFonts w:ascii="Amiri" w:hAnsi="Amiri" w:eastAsia="Amiri" w:cs="Amiri"/>
          <w:color w:val="111111"/>
          <w:sz w:val="28"/>
          <w:sz w:val="28"/>
          <w:szCs w:val="28"/>
          <w:rtl w:val="true"/>
          <w:lang w:bidi="ar-SA"/>
        </w:rPr>
        <w:t>المجيز، والكتاب يتميّز بالإيجاز في التعبير والرصانة في المعنى على نحو يناسب الكتب الدراسية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قام بشرحه في عصر المؤلف أو بعد رحيله بقليل، الأخوان العالمان الكبيران والكوكبان المضيئان ابنا أُخت العلّامة وتلميذاه، أعني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عميد الدين ابن 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عبدالمطلب بن محمد بن علي بن محمد بن الأعرج الحسيني المعروف بالسيد عميد الدين أبوعبداللّه الحلي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أُخت العلّامة الحلي وتلميذه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النقول في شرح تهذيب الوصول إلى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ابن الفوطي</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ضياء الدين ابن الأعرج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حياً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وسمّى الشرح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اللبيب في شرح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قامت اللجنة العلمية في مؤسسة الإمام الصادق عليه السلام بتحقيق هذا الكتاب ونشره في جزأين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الشهيد الأوّل محمد بن مكي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بين الشرحين في كتاب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البين من فوائد الشرحين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شيخنا المجيز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الشهيد فيه بين فوائدهما وزاد عليهما فوائد أُخرى، ثم ينقل عن كشف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الشهيد ألّفه في أوائل شبابه ولم يراجع المسودّة فبقيت النسخة غير منقحّة، فوجدها الشيخ عزالدين حسين بن عبدالصمد والد الشيخ بهاء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فأصلحها في سنة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بعد تمام الإصلاح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الشيخ الشهيد ميّز ما اختص به شرح الضياء بعلامة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اختص به شرح العميد بعلامة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تابعته في ذلك، وما كان زائداً عليهما، كتبت في أوّله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فصارت هذه النسخة مميّزة مختصات الشرحين والزائدة عليهما ومختصّة بمزيد الإصلاح والتصحيح، ثم ينقل عن كشف الحجب أيضاً أنّه ظفر بحمداللّه على نسخة خط الشيخ حسين بن</w:t>
      </w:r>
    </w:p>
    <w:p>
      <w:pPr>
        <w:pStyle w:val="BookText"/>
        <w:rPr/>
      </w:pPr>
      <w:r>
        <w:rPr>
          <w:rFonts w:ascii="Amiri" w:hAnsi="Amiri" w:eastAsia="Amiri" w:cs="Amiri"/>
          <w:color w:val="111111"/>
          <w:sz w:val="28"/>
          <w:sz w:val="28"/>
          <w:szCs w:val="28"/>
          <w:rtl w:val="true"/>
          <w:lang w:bidi="ar-SA"/>
        </w:rPr>
        <w:t>عبدالصمد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أحمدك اللهم على سوابغ نعمائك وأبلغ محامدك وأسألك المزيد من فضلك</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حقّق الكتاب ونشره في جزأين مكتب الإعلام الإسلامي في قم، سنة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ما بأيديهم من النسخ ما يميّز أحدهما عن الآخر</w:t>
      </w:r>
      <w:r>
        <w:rPr>
          <w:rFonts w:eastAsia="Amiri" w:cs="Amiri" w:ascii="Amiri" w:hAnsi="Amiri"/>
          <w:color w:val="111111"/>
          <w:sz w:val="28"/>
          <w:szCs w:val="28"/>
          <w:rtl w:val="true"/>
          <w:lang w:bidi="ar-SA"/>
        </w:rPr>
        <w:t>.</w:t>
      </w:r>
      <w:bookmarkStart w:id="370" w:name="pg16768_165340"/>
    </w:p>
    <w:p>
      <w:pPr>
        <w:pStyle w:val="Heading3"/>
        <w:numPr>
          <w:ilvl w:val="2"/>
          <w:numId w:val="1"/>
        </w:numPr>
        <w:rPr/>
      </w:pPr>
      <w:bookmarkStart w:id="371" w:name="__RefHeading___Toc6863666_73709187"/>
      <w:bookmarkStart w:id="372" w:name="_Toc140"/>
      <w:bookmarkEnd w:id="370"/>
      <w:bookmarkEnd w:id="371"/>
      <w:r>
        <w:rPr/>
        <w:t>2</w:t>
      </w:r>
      <w:r>
        <w:rPr>
          <w:rtl w:val="true"/>
        </w:rPr>
        <w:t xml:space="preserve"> </w:t>
      </w:r>
      <w:r>
        <w:rPr>
          <w:rtl w:val="true"/>
        </w:rPr>
        <w:t xml:space="preserve">مصطلح </w:t>
      </w:r>
      <w:r>
        <w:rPr>
          <w:rtl w:val="true"/>
        </w:rPr>
        <w:t>«</w:t>
      </w:r>
      <w:r>
        <w:rPr>
          <w:rtl w:val="true"/>
        </w:rPr>
        <w:t>المسند</w:t>
      </w:r>
      <w:r>
        <w:rPr>
          <w:rtl w:val="true"/>
        </w:rPr>
        <w:t xml:space="preserve">» </w:t>
      </w:r>
      <w:r>
        <w:rPr>
          <w:rtl w:val="true"/>
        </w:rPr>
        <w:t>في علوم الحديث</w:t>
      </w:r>
      <w:bookmarkEnd w:id="372"/>
    </w:p>
    <w:p>
      <w:pPr>
        <w:pStyle w:val="Heading4"/>
        <w:numPr>
          <w:ilvl w:val="3"/>
          <w:numId w:val="1"/>
        </w:numPr>
        <w:rPr/>
      </w:pPr>
      <w:bookmarkStart w:id="373" w:name="__RefHeading___Toc6863668_73709187"/>
      <w:bookmarkStart w:id="374" w:name="_Toc141"/>
      <w:bookmarkEnd w:id="373"/>
      <w:r>
        <w:rPr>
          <w:rtl w:val="true"/>
        </w:rPr>
        <w:t>اشارة</w:t>
      </w:r>
      <w:bookmarkEnd w:id="374"/>
    </w:p>
    <w:p>
      <w:pPr>
        <w:pStyle w:val="BookText"/>
        <w:rPr/>
      </w:pPr>
      <w:r>
        <w:rPr>
          <w:rFonts w:ascii="Amiri" w:hAnsi="Amiri" w:eastAsia="Amiri" w:cs="Amiri"/>
          <w:color w:val="111111"/>
          <w:sz w:val="28"/>
          <w:sz w:val="28"/>
          <w:szCs w:val="28"/>
          <w:rtl w:val="true"/>
          <w:lang w:bidi="ar-SA"/>
        </w:rPr>
        <w:t>والمسانيد في عصر الأئمّة عليهم السلام</w:t>
      </w:r>
    </w:p>
    <w:p>
      <w:pPr>
        <w:pStyle w:val="BookText"/>
        <w:rPr/>
      </w:pPr>
      <w:r>
        <w:rPr>
          <w:rFonts w:ascii="Amiri" w:hAnsi="Amiri" w:eastAsia="Amiri" w:cs="Amiri"/>
          <w:color w:val="111111"/>
          <w:sz w:val="28"/>
          <w:sz w:val="28"/>
          <w:szCs w:val="28"/>
          <w:rtl w:val="true"/>
          <w:lang w:bidi="ar-SA"/>
        </w:rPr>
        <w:t xml:space="preserve">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وصفاً للحديث،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اتصل اسناده من راويه إلى منتهاه</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ويطلق عليه المتصل وربما يفرّق بينهما بملاحظة الرفع في المسند، فهو مرفوع إلى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المتصل فما اتصل سنده بسماع كل راو من رواته فمن فوقه سواء أكان مرفوعاً إلى النبي صلى الله عليه و آله أم موقوفاً على التابعي</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وأُخرى يطلق على الحديث المدوّن، يجمع المؤلّف أحاديث صحابي في موضوعات مختلفة دون ترتيب بينها كمسند عبد اللّه بن العباس أو عبد اللّه بن مسعود أو أبي بن كعب</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التهانوي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المسند عندهم أيضاً على كتاب جمع فيه مسند كلّ صحابي على حدة أي جمع فيه ما رواه من حديثه صحيحاً كان أو ضعيفاً واحداً فواحداً</w:t>
      </w:r>
      <w:r>
        <w:rPr>
          <w:rFonts w:eastAsia="Amiri" w:cs="Amiri" w:ascii="Amiri" w:hAnsi="Amiri"/>
          <w:color w:val="111111"/>
          <w:sz w:val="28"/>
          <w:szCs w:val="28"/>
          <w:rtl w:val="true"/>
          <w:lang w:bidi="ar-SA"/>
        </w:rPr>
        <w:t>.</w:t>
      </w:r>
      <w:r>
        <w:rPr>
          <w:rStyle w:val="FootnoteAnchor"/>
          <w:rtl w:val="true"/>
        </w:rPr>
        <w:footnoteReference w:id="411"/>
      </w:r>
      <w:bookmarkStart w:id="375" w:name="pg16768_165341"/>
    </w:p>
    <w:p>
      <w:pPr>
        <w:pStyle w:val="Heading4"/>
        <w:numPr>
          <w:ilvl w:val="3"/>
          <w:numId w:val="1"/>
        </w:numPr>
        <w:rPr/>
      </w:pPr>
      <w:bookmarkStart w:id="376" w:name="__RefHeading___Toc6863670_73709187"/>
      <w:bookmarkStart w:id="377" w:name="_Toc142"/>
      <w:bookmarkEnd w:id="375"/>
      <w:bookmarkEnd w:id="376"/>
      <w:r>
        <w:rPr>
          <w:rtl w:val="true"/>
        </w:rPr>
        <w:t>المسانيد في عصر الأئمّة عليهم السلام</w:t>
      </w:r>
      <w:bookmarkEnd w:id="377"/>
    </w:p>
    <w:p>
      <w:pPr>
        <w:pStyle w:val="BookText"/>
        <w:rPr/>
      </w:pPr>
      <w:r>
        <w:rPr>
          <w:rFonts w:ascii="Amiri" w:hAnsi="Amiri" w:eastAsia="Amiri" w:cs="Amiri"/>
          <w:color w:val="111111"/>
          <w:sz w:val="28"/>
          <w:sz w:val="28"/>
          <w:szCs w:val="28"/>
          <w:rtl w:val="true"/>
          <w:lang w:bidi="ar-SA"/>
        </w:rPr>
        <w:t xml:space="preserve">قد تضافر النقل على أنّه روى عن الإمام الصادق عليه السلام من مشهوري أهل العلم، أربعة آلاف إنسان، وصُنِّف من جواباته في المسائل أربعمائة كتاب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أصحابه وأصحاب ابنه موسى الكاظم عليه السلام، يقول المحقق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من أجوبة مسائل جعفر بن محمد عليه السلام أربعمائة مصنف لأربعمائة مصنف سمّوها أصولاً</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وقال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 اللّه جعفر بن محمّد الصادق عليه السلام كُتب من أجوبة مسائله أربعمائة مصنَّف لأربعمائة مصنِّف، ودوّن من رجاله المعروفين أربعة آلاف رجل من أهل العراق والحجاز وخراسان والشام، وكذلك عن مولانا الباقر عليه السلام، ورجال باقي الأئمّة معروفون مشهورون، أُولو مصنّفات مشتهرة ومباحث متكثّرة، قد ذكر كثيراً منهم العامّة في رجالهم، ونسبوا بعضهم إلى التمسّك بأهل البيت عليهم السلام</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إلى غير ذلك من الكلمات المماثلة، وهذه الأُصول كلّها كانت مسانيد لمؤلّفيها، حيث جمع الراوي ما سمعه من الإمام بلا واسطة أو ممن سمعه كذلك، في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لهذه الأُصول ترتيب خاص في نقل الروايات حسب الكتب والأبواب وما ذلك إلّالأنّ جلّها من إملاءات المجالس وأجوبة المسائل النازلة المختلفة، ويشهد على ذلك ما هو الموجود من هذه الأُصول الستة عشر الّتي وقف عليها أُستاذنا السيد محمد الحجّة الكوه كمري وقام بطبعها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بهاء الدين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بلغنا عن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من دأب أصحاب الأُصول أنّهم إذا سمعوا عن أحد من الأئمّة عليهم السلام حديثاً بادروا إلى إثباته في أُصولهم، لئلّا يعرض لهم نسيان لبعضه أو كلّه بتمادي</w:t>
      </w:r>
    </w:p>
    <w:p>
      <w:pPr>
        <w:pStyle w:val="BookText"/>
        <w:rPr/>
      </w:pPr>
      <w:r>
        <w:rPr>
          <w:rFonts w:ascii="Amiri" w:hAnsi="Amiri" w:eastAsia="Amiri" w:cs="Amiri"/>
          <w:color w:val="111111"/>
          <w:sz w:val="28"/>
          <w:sz w:val="28"/>
          <w:szCs w:val="28"/>
          <w:rtl w:val="true"/>
          <w:lang w:bidi="ar-SA"/>
        </w:rPr>
        <w:t>الأيّام</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وقال المحقّق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دأب أصحاب الأُصول أنهم إذا سمعوا من أحدهم عليهم السلام حديثاً بادروا إلى ضبطه في أُصولهم من غير تأخير</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ومن الواضح انّ احتمال الخطأ والغلط والسهو والنسيان في الأصل المسموع شفاهاً عن الإمام عليه السلام أو عمن سمع عنه، أقلّ منه، ممّا هو منقول عن كتاب آخر، فالاطمئنان بصدور عين الألفاظ المندرجة في الأُصول أكثر والوثوق به آكد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مؤلف الأصل من الرجال المعتمد عليهم، الواجدين لشرائط القبول، يكون حديثه حجّة لا محالة وموصوفاً بالصحة</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وعلى هذا فهذه الأصول كانت مسانيد لأصحابنا في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والثالث، ولم يكن تأليف الأصول مختصاً بحياة الإمام الصادق والكاظم عليهما السلام بل استمرت كتابتها على هذا النمط إلى عهد الإمام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ابن أبي عمير أدرك أصحاب الإمام الصادق عليه السلام وعاصر الإمام موسى ابن جعفر عليه السلام والرضا عليه السلام فما أخذه من تلاميذ الإمام الصادق عليه السلام أو من الإمامين الهمامين يعدّ أصلاً من الأُصول، وله قيمة كقيمة سائر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امتاز الرجل من بين أقرانه أنّه روى عن أئمّة أهل البيت عليهم السلام ما لم يروه عنهم غيره، حيث بلغ عدد رواياته حسب ما جمعه ولدنا الفاضل الشيخ بشير المحمدي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وهذا يدلّ على مكانته العلمية وولعه بحفظ آثار أئمّة أهل البيت عليهم السلام ونقلها إلى الأجيال الآتية، فالرجل حقّاً من مصاديق قول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منازل الرجال منّا على قدر روايتهم عنّا</w:t>
      </w:r>
      <w:r>
        <w:rPr>
          <w:rFonts w:eastAsia="Amiri" w:cs="Amiri" w:ascii="Amiri" w:hAnsi="Amiri"/>
          <w:color w:val="111111"/>
          <w:sz w:val="28"/>
          <w:szCs w:val="28"/>
          <w:rtl w:val="true"/>
          <w:lang w:bidi="ar-SA"/>
        </w:rPr>
        <w:t>.</w:t>
      </w:r>
      <w:r>
        <w:rPr>
          <w:rStyle w:val="FootnoteAnchor"/>
          <w:rtl w:val="true"/>
        </w:rPr>
        <w:footnoteReference w:id="417"/>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التعرف على شخصية ذلك المحدّث الرفيع يتوقف على الكلام في محاور</w:t>
      </w:r>
    </w:p>
    <w:p>
      <w:pPr>
        <w:pStyle w:val="BookText"/>
        <w:rPr/>
      </w:pP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مكانته العلمية والاجتماعيّة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التعرّف على مشايخه الذين يعدّون بالمئات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مراسيله كمسانيده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الثاني أي التعرف على مشايخه، فقد قامت به لجنة التحقيق في دار الحديث فذكروا مشايخه ومن أخذ عنه الحديث على وجه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فالسبب لانقلاب مسانيده إلى المراسيل أنّه لما تعرّض للظلم والاضطهاد والتعذيب، وأُصيب بمحنة هلاك كتبه، لم تضعف عزيمته، بل حدّث من حفظه، فأسند ما كان في ذاكرته وأرسل غيره، وقد اشتهر أنّ مراسيل ابن أبي عمير كمسانيده، وهذا ما أوضحنا حاله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كليات في علم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وأثبتنا أنّ الرجل ممّن كان لا يروي إلّاعن ثقة، وأجبنا عن النقوض التي وجهها إليه السيد المحقق الخوئي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bookmarkStart w:id="378" w:name="pg16768_165344"/>
    </w:p>
    <w:p>
      <w:pPr>
        <w:pStyle w:val="Heading3"/>
        <w:numPr>
          <w:ilvl w:val="2"/>
          <w:numId w:val="1"/>
        </w:numPr>
        <w:rPr/>
      </w:pPr>
      <w:bookmarkStart w:id="379" w:name="__RefHeading___Toc6863672_73709187"/>
      <w:bookmarkStart w:id="380" w:name="_Toc143"/>
      <w:bookmarkEnd w:id="378"/>
      <w:bookmarkEnd w:id="379"/>
      <w:r>
        <w:rPr/>
        <w:t>3</w:t>
      </w:r>
      <w:r>
        <w:rPr>
          <w:rtl w:val="true"/>
        </w:rPr>
        <w:t xml:space="preserve"> </w:t>
      </w:r>
      <w:r>
        <w:rPr>
          <w:rtl w:val="true"/>
        </w:rPr>
        <w:t>منهجية نقد متن الحديث</w:t>
      </w:r>
      <w:bookmarkEnd w:id="380"/>
    </w:p>
    <w:p>
      <w:pPr>
        <w:pStyle w:val="Heading4"/>
        <w:numPr>
          <w:ilvl w:val="3"/>
          <w:numId w:val="1"/>
        </w:numPr>
        <w:rPr/>
      </w:pPr>
      <w:bookmarkStart w:id="381" w:name="__RefHeading___Toc6863674_73709187"/>
      <w:bookmarkStart w:id="382" w:name="_Toc144"/>
      <w:bookmarkEnd w:id="381"/>
      <w:r>
        <w:rPr>
          <w:rtl w:val="true"/>
        </w:rPr>
        <w:t>اشارة</w:t>
      </w:r>
      <w:bookmarkEnd w:id="382"/>
    </w:p>
    <w:p>
      <w:pPr>
        <w:pStyle w:val="BookText"/>
        <w:rPr/>
      </w:pPr>
      <w:r>
        <w:rPr>
          <w:rFonts w:ascii="Amiri" w:hAnsi="Amiri" w:eastAsia="Amiri" w:cs="Amiri"/>
          <w:color w:val="111111"/>
          <w:sz w:val="28"/>
          <w:sz w:val="28"/>
          <w:szCs w:val="28"/>
          <w:rtl w:val="true"/>
          <w:lang w:bidi="ar-SA"/>
        </w:rPr>
        <w:t>الحديث هو المصدر الثاني في حقلي العقائد والأحكام، بعد كتاب اللّه الكريم، وقد خصّ اللّه سبحانه به المسلمين دون سائر الأُمم، فاهتموا بنقل ما أُثر عن النبي صلى الله عليه و آله وخلفائه المعصومين عليهم السلام وتحرّوا في نقله الدقة، وهذا أمر واضح لا سترة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هذه المكانة قام غير واحد من الصحابة بالاهتمام بتدوين حديث رسول اللّه صلى الله عليه و آله على شكل صحف كما هو الحال في المسانيد، إلى أن جاء دور التدوين فرتّب على صورة كتب ومواضيع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أمير المؤمنين علي عليه السلام من السبّاقين لتدوين السنة النبوية في عصره، وقد كتب ما أملاه عليه النبي صلى الله عليه و آله في صحيفة عرفت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وقد ورث هذه الصحيفة أبناؤه واحداً بعد الآخر، وكانوا يرجعون إليها حيناً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توالى الاهتمام بالحديث بعد رحيل رسول اللّه صلى الله عليه و آله عصراً بعد عصر، وإن كان هناك تفاوت في هذا الاهتمام حسب رغبات حكام الوقت وأهدافهم وضغوطهم على المحدّثين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وبالنظر للدور الهام للحديث عند المسلمين فقد استغله الوضّاعون فراج اختلاق الحديث والتكذيب على رسول اللّه صلى الله عليه و آله بعد رحلته، وكان النبي صلى الله عليه و آله قد تنبّأ</w:t>
      </w:r>
    </w:p>
    <w:p>
      <w:pPr>
        <w:pStyle w:val="BookText"/>
        <w:rPr/>
      </w:pPr>
      <w:r>
        <w:rPr>
          <w:rFonts w:ascii="Amiri" w:hAnsi="Amiri" w:eastAsia="Amiri" w:cs="Amiri"/>
          <w:color w:val="111111"/>
          <w:sz w:val="28"/>
          <w:sz w:val="28"/>
          <w:szCs w:val="28"/>
          <w:rtl w:val="true"/>
          <w:lang w:bidi="ar-SA"/>
        </w:rPr>
        <w:t>به من قبل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تعمّد عليّ كذباً فليتبّوأ بيتاً في النار</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وكلّما ابتعد الناس عن عصر الرسول الأكرم صلى الله عليه و آله، كثر الوضع والدس في الحديث فنشرت سماسرة الهوى وأعداء الدين كل غث وسمين باسم الدين وباسم رسول اللّه صلى الله عليه و آله، حتّى أنّ الغلاة من الشيعة أدخلوا في الحديث ما ليس منه، ولذلك فقد تبرّأ منهم أئمة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وذاك قام المخلصون المتفانون في خدمة الحديث إلى وضع قواعد لتمييز الصحيح عن غيره، وركّزوا في ذلك على دراسة أسانيد الحديث فقسّموه إلى أقسام، وأسّسوا لذلك علماً باسم علم الرجال أوّلاً، والدراية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يبحث عن الصغرى أي حال الراوي ومكانته في نقل الحديث، والثاني يبحث في تقسيم الحديث والأحكام الطارئة عليه، وبذلك قدّموا خدمات جليلة يقيّمها كل من له إلمام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أنّهم ركّزوا في تمحيص السنّة على دراسة الأسانيد وقسّموا الحديث باعتبارها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والحسن والموثّق والضعيف، كما قسّم آخرون الحديث بنفس هذا الملاك إلى الأقسام الثلاثة الأُولى، والكل يركّزون في دراستهم للحديث على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هناك طريقاً آخر في تمحيص السنّة قد ابتكره أئمة أهل البيت عليهم السلام وتبعهم أكابر علماء الحديث من الشيعة، ألا وهو دراسة مضمون الحديث ونقده على ضوء مقاييس قطعية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نقد الحديث كنقد السند، فإنّ الثاني سهل لمن راجع المعاجم، ولكن الأوّل يتوقّف على الإحاطة بمعارف وعلوم كثيرة، ولذلك لما سُئل ابن قيّم الجوزية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معرفة الحديث الموضوع بضابط من غير أن ينظر في سنده‌؟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سؤال عظيم القدر وإنّما يعلم ذلك من تضلّع في معرفة السنن</w:t>
      </w:r>
      <w:bookmarkStart w:id="383" w:name="pg16768_165346"/>
    </w:p>
    <w:p>
      <w:pPr>
        <w:pStyle w:val="BookText"/>
        <w:rPr/>
      </w:pPr>
      <w:bookmarkEnd w:id="383"/>
      <w:r>
        <w:rPr>
          <w:rFonts w:ascii="Amiri" w:hAnsi="Amiri" w:eastAsia="Amiri" w:cs="Amiri"/>
          <w:color w:val="111111"/>
          <w:sz w:val="28"/>
          <w:sz w:val="28"/>
          <w:szCs w:val="28"/>
          <w:rtl w:val="true"/>
          <w:lang w:bidi="ar-SA"/>
        </w:rPr>
        <w:t>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له اختصاص شديد بمعرفة السُّنن والآثار</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وإليك الضوابط الست الّتي اخترناها لتمييز الصحيح عن غيره</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6863676_73709187"/>
      <w:bookmarkStart w:id="385" w:name="_Toc145"/>
      <w:bookmarkEnd w:id="384"/>
      <w:r>
        <w:rPr/>
        <w:t>1</w:t>
      </w:r>
      <w:r>
        <w:rPr>
          <w:rtl w:val="true"/>
        </w:rPr>
        <w:t xml:space="preserve">. </w:t>
      </w:r>
      <w:r>
        <w:rPr>
          <w:rtl w:val="true"/>
        </w:rPr>
        <w:t>عرض الحديث على كتاب اللّه الكريم</w:t>
      </w:r>
      <w:bookmarkEnd w:id="385"/>
    </w:p>
    <w:p>
      <w:pPr>
        <w:pStyle w:val="BookText"/>
        <w:rPr/>
      </w:pPr>
      <w:r>
        <w:rPr>
          <w:rFonts w:ascii="Amiri" w:hAnsi="Amiri" w:eastAsia="Amiri" w:cs="Amiri"/>
          <w:color w:val="111111"/>
          <w:sz w:val="28"/>
          <w:sz w:val="28"/>
          <w:szCs w:val="28"/>
          <w:rtl w:val="true"/>
          <w:lang w:bidi="ar-SA"/>
        </w:rPr>
        <w:t>لاشك أنّ القرآن الكريم هو المرجع الأوّل للمسلمين في الشريعة والعقيدة، وقد عرفه اللّه سبحانه بأنّ فيه تبياناً لكل شيء،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عَلَيْكَ الْكِتابَ تِبْياناً لِكُلِّ شَيْ‌ءٍ‌</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إِلَيْكَ الْكِتابَ بِالْحَقِّ مُصَدِّقاً لِما بَيْنَ يَدَيْهِ مِنَ الْكِتابِ وَ مُهَيْمِناً عَلَيْهِ‌</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القرآن ميزاناً للحق والباطل أوّلاً، ومهيمناً على جميع الكتب السماوية ثانياً، فأولى به أن يكون ميزاناً للحق والباطل في حقل الحديث ومهيمناً على ما ينسب إلى صاحب الشريعة المحمدية من صحيح وسقيم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هذا 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لا يوافق كتاب اللّه فهو زخرف</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والمراد من عدم الموافقة هو المخالفة، وهو واضح</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اتّبع المحدّث الكبير الشيخ الكليني تلك الطريقة فقال في ديباجة أثره الخالد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يسع أحداً تمييز شيء ممّا اختلفت الرواية فيه عن العلماء عليهم السلام برأيه إلّاما أطلقه العالم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أعرضوها على كتاب اللّه، فما وافقه كتاب اللّه عزوجل فخذوه، وما خالف كتاب اللّه</w:t>
      </w:r>
      <w:bookmarkStart w:id="386" w:name="pg16768_165347"/>
    </w:p>
    <w:p>
      <w:pPr>
        <w:pStyle w:val="BookText"/>
        <w:rPr/>
      </w:pPr>
      <w:bookmarkEnd w:id="386"/>
      <w:r>
        <w:rPr>
          <w:rFonts w:ascii="Amiri" w:hAnsi="Amiri" w:eastAsia="Amiri" w:cs="Amiri"/>
          <w:color w:val="111111"/>
          <w:sz w:val="28"/>
          <w:sz w:val="28"/>
          <w:szCs w:val="28"/>
          <w:rtl w:val="true"/>
          <w:lang w:bidi="ar-SA"/>
        </w:rPr>
        <w:t>فردّوه</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ثم إنّ عرض الحديث على كتاب اللّه وإن وقع موقع نقاش عند بعض أهل السنّة، إلّاأنّ قسماً منهم وافقوا على هذا الميزان، قال 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يُقبل خبر الواحد في منافاة حكم العقل وحكم القرآن الثابت المحكم</w:t>
      </w:r>
      <w:r>
        <w:rPr>
          <w:rFonts w:eastAsia="Amiri" w:cs="Amiri" w:ascii="Amiri" w:hAnsi="Amiri"/>
          <w:color w:val="111111"/>
          <w:sz w:val="28"/>
          <w:szCs w:val="28"/>
          <w:rtl w:val="true"/>
          <w:lang w:bidi="ar-SA"/>
        </w:rPr>
        <w:t>.</w:t>
      </w:r>
      <w:r>
        <w:rPr>
          <w:rStyle w:val="FootnoteAnchor"/>
          <w:rtl w:val="true"/>
        </w:rPr>
        <w:footnoteReference w:id="425"/>
      </w:r>
    </w:p>
    <w:p>
      <w:pPr>
        <w:pStyle w:val="Heading4"/>
        <w:numPr>
          <w:ilvl w:val="3"/>
          <w:numId w:val="1"/>
        </w:numPr>
        <w:rPr/>
      </w:pPr>
      <w:bookmarkStart w:id="387" w:name="__RefHeading___Toc6863678_73709187"/>
      <w:bookmarkStart w:id="388" w:name="_Toc146"/>
      <w:bookmarkEnd w:id="387"/>
      <w:r>
        <w:rPr/>
        <w:t>2</w:t>
      </w:r>
      <w:r>
        <w:rPr>
          <w:rtl w:val="true"/>
        </w:rPr>
        <w:t xml:space="preserve">. </w:t>
      </w:r>
      <w:r>
        <w:rPr>
          <w:rtl w:val="true"/>
        </w:rPr>
        <w:t>عرض الحديث على السنّة القطعية</w:t>
      </w:r>
      <w:bookmarkEnd w:id="388"/>
    </w:p>
    <w:p>
      <w:pPr>
        <w:pStyle w:val="BookText"/>
        <w:rPr/>
      </w:pPr>
      <w:r>
        <w:rPr>
          <w:rFonts w:ascii="Amiri" w:hAnsi="Amiri" w:eastAsia="Amiri" w:cs="Amiri"/>
          <w:color w:val="111111"/>
          <w:sz w:val="28"/>
          <w:sz w:val="28"/>
          <w:szCs w:val="28"/>
          <w:rtl w:val="true"/>
          <w:lang w:bidi="ar-SA"/>
        </w:rPr>
        <w:t>السنّة القطعية والكتاب العزيز حجتان واضحتان، غير أنّ الكتاب وحي بلفظه ومعناه والسنّة وحي بمعناها لا بلفظها، ولذلك تصلح أن تكون أيضاً معياراً لتمييز الصحيح من الباطل، وقد نبّه على ذلك الإمام الصادق عليه السلام في حديث أيوب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مردود إلى الكتاب والسنّة</w:t>
      </w:r>
      <w:r>
        <w:rPr>
          <w:rFonts w:eastAsia="Amiri" w:cs="Amiri" w:ascii="Amiri" w:hAnsi="Amiri"/>
          <w:color w:val="111111"/>
          <w:sz w:val="28"/>
          <w:szCs w:val="28"/>
          <w:rtl w:val="true"/>
          <w:lang w:bidi="ar-SA"/>
        </w:rPr>
        <w:t>».</w:t>
      </w:r>
      <w:r>
        <w:rPr>
          <w:rStyle w:val="FootnoteAnchor"/>
          <w:rtl w:val="true"/>
        </w:rPr>
        <w:footnoteReference w:id="426"/>
      </w:r>
    </w:p>
    <w:p>
      <w:pPr>
        <w:pStyle w:val="Heading4"/>
        <w:numPr>
          <w:ilvl w:val="3"/>
          <w:numId w:val="1"/>
        </w:numPr>
        <w:rPr/>
      </w:pPr>
      <w:bookmarkStart w:id="389" w:name="__RefHeading___Toc6863680_73709187"/>
      <w:bookmarkStart w:id="390" w:name="_Toc147"/>
      <w:bookmarkEnd w:id="389"/>
      <w:r>
        <w:rPr/>
        <w:t>3</w:t>
      </w:r>
      <w:r>
        <w:rPr>
          <w:rtl w:val="true"/>
        </w:rPr>
        <w:t xml:space="preserve">. </w:t>
      </w:r>
      <w:r>
        <w:rPr>
          <w:rtl w:val="true"/>
        </w:rPr>
        <w:t>عرض الحديث على العقل الحصيف</w:t>
      </w:r>
      <w:bookmarkEnd w:id="390"/>
    </w:p>
    <w:p>
      <w:pPr>
        <w:pStyle w:val="BookText"/>
        <w:rPr/>
      </w:pPr>
      <w:r>
        <w:rPr>
          <w:rFonts w:ascii="Amiri" w:hAnsi="Amiri" w:eastAsia="Amiri" w:cs="Amiri"/>
          <w:color w:val="111111"/>
          <w:sz w:val="28"/>
          <w:sz w:val="28"/>
          <w:szCs w:val="28"/>
          <w:rtl w:val="true"/>
          <w:lang w:bidi="ar-SA"/>
        </w:rPr>
        <w:t>احتل العقل مكانة رفيعة في الإسلام، وليس المراد من العقل الأساليب والاستدلالات العقلية الّتي يختصّ فهمها بأصحاب الفكر والحكمة، وإنّما المراد به ما اتّفق عليه العقلاء بوحي من الفطرة إذا تجردوا عن كلّ النزعات والرواسب والخلفيات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حجّية العقل لانسَدّ باب إثبات الصانع، بل ينسد إثبات حجّية كلّ شريعة من الشرائع السماوية، ولذلك ركّز سبحانه على العقل في غير واحد من الآيات ربّما ناهز عددها الخمسين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ولأهمية العقل فقد افتتح المحدّث الكبير الشيخ الكليني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أسماه كتاب العقل والجهل، وذكر فيه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وجعل الكتاب الثاني</w:t>
      </w:r>
      <w:bookmarkStart w:id="391" w:name="pg16768_165348"/>
    </w:p>
    <w:p>
      <w:pPr>
        <w:pStyle w:val="BookText"/>
        <w:rPr/>
      </w:pPr>
      <w:bookmarkEnd w:id="391"/>
      <w:r>
        <w:rPr>
          <w:rFonts w:ascii="Amiri" w:hAnsi="Amiri" w:eastAsia="Amiri" w:cs="Amiri"/>
          <w:color w:val="111111"/>
          <w:sz w:val="28"/>
          <w:sz w:val="28"/>
          <w:szCs w:val="28"/>
          <w:rtl w:val="true"/>
          <w:lang w:bidi="ar-SA"/>
        </w:rPr>
        <w:t>باسم كتاب العلم؛ وبهذا يظهر البون الشاسع بين الكافي وصحيح البخاري الّذي افتتحه مؤلفه بكتاب العلم وفضله ولم يذكر عن العقل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اقتفى ذلك المنهج محدِّثو الشيعة وعلماؤهم، يقول الشيخ المفيد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إن وجدنا حديثاً يخالف العقول أطرحناه لقضية العقل بفساده</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وقال السيد المرتضى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خبر دلّ ظاهره على إجبار أو تشبيه أو ما جرى مجرى ذلك ممّا علمنا استحالته وجب الحكم ببطلانه، لأنّ الحكمة والدين يمنعان من الخطاب بما يحتاج إلى تكلّف وتعسّف شديد حتّى يحتمل الصواب</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وهل يقبل العقل الحصيف ما ذكره ابن تيمية على منبر الجامع الأموي في دمشق يوم الجمعة خطيباً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ينزل إلى السماء الدنيا كنزولي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ونزل درجة من درج المنبر، يريهم نزول اللّه تعالى نزولاً حقيقياً بكل ما للنزول من لوازم، كالحركة والانتقال من العالي إلى السافل</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نعم يوجد بعض المتشدّدين من المحدّثين من ينتقد ذلك المنهج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عرض الحديث على العقل الحصيف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لما ورد في الصحيحين من الروايات الكثيرة الظاهرة في الجبر والتشبيه وإثبات الجهة حتّى نسبة التحرك إلى اللّه سبحانه، فإذا قبلوا هذا المنهج فعليهم برفض هذه الأحاديث</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6863682_73709187"/>
      <w:bookmarkStart w:id="393" w:name="_Toc148"/>
      <w:bookmarkEnd w:id="392"/>
      <w:r>
        <w:rPr/>
        <w:t>4</w:t>
      </w:r>
      <w:r>
        <w:rPr>
          <w:rtl w:val="true"/>
        </w:rPr>
        <w:t xml:space="preserve">. </w:t>
      </w:r>
      <w:r>
        <w:rPr>
          <w:rtl w:val="true"/>
        </w:rPr>
        <w:t>عرض الحديث على التاريخ الصحيح</w:t>
      </w:r>
      <w:bookmarkEnd w:id="393"/>
    </w:p>
    <w:p>
      <w:pPr>
        <w:pStyle w:val="BookText"/>
        <w:rPr/>
      </w:pPr>
      <w:r>
        <w:rPr>
          <w:rFonts w:ascii="Amiri" w:hAnsi="Amiri" w:eastAsia="Amiri" w:cs="Amiri"/>
          <w:color w:val="111111"/>
          <w:sz w:val="28"/>
          <w:sz w:val="28"/>
          <w:szCs w:val="28"/>
          <w:rtl w:val="true"/>
          <w:lang w:bidi="ar-SA"/>
        </w:rPr>
        <w:t>التاريخ الصحيح الّذي اتّفق عليه أعلام المسلمين أحد المعايير لتمييز الصحيح عن السقيم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ورد في كتب السيرة صحيح، وإنّما نعني ما اتّفق عليه</w:t>
      </w:r>
      <w:bookmarkStart w:id="394" w:name="pg16768_165349"/>
    </w:p>
    <w:p>
      <w:pPr>
        <w:pStyle w:val="BookText"/>
        <w:rPr/>
      </w:pPr>
      <w:bookmarkEnd w:id="394"/>
      <w:r>
        <w:rPr>
          <w:rFonts w:ascii="Amiri" w:hAnsi="Amiri" w:eastAsia="Amiri" w:cs="Amiri"/>
          <w:color w:val="111111"/>
          <w:sz w:val="28"/>
          <w:sz w:val="28"/>
          <w:szCs w:val="28"/>
          <w:rtl w:val="true"/>
          <w:lang w:bidi="ar-SA"/>
        </w:rPr>
        <w:t>المؤرخون وكتّاب السيرة المنصفون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رجع إلى كتب الحديث وجد أنّ قسماً من الأحاديث لا يصدقه التاريخ الصحيح بل يكذبه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تراه في الأُنموذج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مسلم في صحيحه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المسلمون لا ينظرون إلى أبي سفيان ولا يقاعدونه، فقال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ثلاث أعطنيهنّ؟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أحسن العرب وأجمله أُم حبيبة بنت أبي سفيان، أزوجكها؟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 تجعله كاتباً بين يديك‌؟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وتؤمرني حتّى أُقاتل الكفّار كما كنت أقاتل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أنّه طلب ذلك من النبي صلى الله عليه و آله ما أعطاه ذلك، لأنّه لم يكن يسأل شيئاً إلّاقال نعم</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إنّ أبا سفيان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فتح مكة سنة ثمان من الهجرة، والنبي صلى الله عليه و آله قد تزوّج أُمّ حبيبة في مكة قبل الهجرة، ولذلك يقول القاضي عياض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أنّ تزويج النبي لها كان قبل الفتح والّذي وقع في مسلم من هذا، غريب جداً</w:t>
      </w:r>
      <w:r>
        <w:rPr>
          <w:rFonts w:eastAsia="Amiri" w:cs="Amiri" w:ascii="Amiri" w:hAnsi="Amiri"/>
          <w:color w:val="111111"/>
          <w:sz w:val="28"/>
          <w:szCs w:val="28"/>
          <w:rtl w:val="true"/>
          <w:lang w:bidi="ar-SA"/>
        </w:rPr>
        <w:t>.</w:t>
      </w:r>
      <w:r>
        <w:rPr>
          <w:rStyle w:val="FootnoteAnchor"/>
          <w:rtl w:val="true"/>
        </w:rPr>
        <w:footnoteReference w:id="431"/>
      </w:r>
    </w:p>
    <w:p>
      <w:pPr>
        <w:pStyle w:val="Heading4"/>
        <w:numPr>
          <w:ilvl w:val="3"/>
          <w:numId w:val="1"/>
        </w:numPr>
        <w:rPr/>
      </w:pPr>
      <w:bookmarkStart w:id="395" w:name="__RefHeading___Toc6863684_73709187"/>
      <w:bookmarkStart w:id="396" w:name="_Toc149"/>
      <w:bookmarkEnd w:id="395"/>
      <w:r>
        <w:rPr/>
        <w:t>5</w:t>
      </w:r>
      <w:r>
        <w:rPr>
          <w:rtl w:val="true"/>
        </w:rPr>
        <w:t xml:space="preserve">. </w:t>
      </w:r>
      <w:r>
        <w:rPr>
          <w:rtl w:val="true"/>
        </w:rPr>
        <w:t>عرض الحديث على اتّفاق الأُمّة</w:t>
      </w:r>
      <w:bookmarkEnd w:id="396"/>
    </w:p>
    <w:p>
      <w:pPr>
        <w:pStyle w:val="BookText"/>
        <w:rPr/>
      </w:pPr>
      <w:r>
        <w:rPr>
          <w:rFonts w:ascii="Amiri" w:hAnsi="Amiri" w:eastAsia="Amiri" w:cs="Amiri"/>
          <w:color w:val="111111"/>
          <w:sz w:val="28"/>
          <w:sz w:val="28"/>
          <w:szCs w:val="28"/>
          <w:rtl w:val="true"/>
          <w:lang w:bidi="ar-SA"/>
        </w:rPr>
        <w:t xml:space="preserve">إنّ اتفاق الأُمّة دليل قطعي على الصحّة، وبذلك تقف على صحّة ما أخرجه الطحاوي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علي بن زيد بن جدعان، عن أنس قال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مطرت السماء برداً فقال لنا أبو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ناولوني من هذا البرد فجعل يأكل وهو صائم وذلك في رمضان،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أتأكل وأنت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برد نزل من</w:t>
      </w:r>
      <w:bookmarkStart w:id="397" w:name="pg16768_165350"/>
    </w:p>
    <w:p>
      <w:pPr>
        <w:pStyle w:val="BookText"/>
        <w:rPr/>
      </w:pPr>
      <w:bookmarkEnd w:id="397"/>
      <w:r>
        <w:rPr>
          <w:rFonts w:ascii="Amiri" w:hAnsi="Amiri" w:eastAsia="Amiri" w:cs="Amiri"/>
          <w:color w:val="111111"/>
          <w:sz w:val="28"/>
          <w:sz w:val="28"/>
          <w:szCs w:val="28"/>
          <w:rtl w:val="true"/>
          <w:lang w:bidi="ar-SA"/>
        </w:rPr>
        <w:t>السماء نطهر به بطوننا وأنّه ليس بطعام ولا شراب، فأتيت رسول اللّه صلى الله عليه و آله فأخبرته بذلك،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خذها عن عمّك</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اتّفاق الأُمّة على أنّ الأكل والشرب مطلقاً مبطل للصوم يكفي في الحكم على هذا الحديث بالوضع والدس، وإن صحّ سنداً</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6863686_73709187"/>
      <w:bookmarkStart w:id="399" w:name="_Toc150"/>
      <w:bookmarkEnd w:id="398"/>
      <w:r>
        <w:rPr/>
        <w:t>6</w:t>
      </w:r>
      <w:r>
        <w:rPr>
          <w:rtl w:val="true"/>
        </w:rPr>
        <w:t xml:space="preserve">. </w:t>
      </w:r>
      <w:r>
        <w:rPr>
          <w:rtl w:val="true"/>
        </w:rPr>
        <w:t>مخالفة الحديث لمسلّمات العلم</w:t>
      </w:r>
      <w:bookmarkEnd w:id="399"/>
    </w:p>
    <w:p>
      <w:pPr>
        <w:pStyle w:val="BookText"/>
        <w:rPr/>
      </w:pPr>
      <w:r>
        <w:rPr>
          <w:rFonts w:ascii="Amiri" w:hAnsi="Amiri" w:eastAsia="Amiri" w:cs="Amiri"/>
          <w:color w:val="111111"/>
          <w:sz w:val="28"/>
          <w:sz w:val="28"/>
          <w:szCs w:val="28"/>
          <w:rtl w:val="true"/>
          <w:lang w:bidi="ar-SA"/>
        </w:rPr>
        <w:t>إنّ المسلّمات العلمية الّتي أيّدتها التجربة عبر قرون وصدقها الخبراء ووسائل العلم تكون ميزاناً لنقد مضامين بعض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البخاري في صحيحه عن أبي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يقول إذا وقع الذباب في شراب أحدكم فليغمسه ثم لينزعه، فإنّ في إحدى جناحيه داء والأُخرى شفاء</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ولكن العلم كشف أنّ الذباب يحمل في جناحيه الجراثيم المهلكة والمبيدة، ولم نجد أحداً من العقلاء يتفوّه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المنهجية هي الّتي سرنا عليها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النبوي بين الرواية والدراية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منهج بديع ولكنّها ليست مبتكرة، فقد سبقنا إليها رجال آخرون شاركناهم في نقد الحديث مضموناً في مقابل نقده سنداً، نظير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متون السنّة تأليف مسفر عزم الدميني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منهج نقد المتن عند علماء الحديث النبوي لصلاح الدين الأدلبي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المقصودة في الأحاديث الشاذة المردودة للشيخ أبي الفضل الغماري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النبوي بين أهل العقل والفهم للشيخ المجاهد محمد الغزالي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أضواء على السنّة المحمدية للكاتب المصري الدكتور محمود أبو 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قام غير واحد من أعلام الطائفة بدراسة هذه المنهجية نذكر منهم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الشريعة فتح اللّه النمازي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الصراح في نقد الصحاح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الطائفة السيد شرف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بحث فيه عن سيرته ورواياته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المحقّق محمد تقي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الأخبار الدخيلة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هاشم معروف الحسني، مؤلف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الموضوعات في الآثار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ننوه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دراسة الأحاديث على ضوء هذه الضوابط 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رمية كل رام، وشرعة كل 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يحتاج تطبيق هذه المنهجية إلى تشكيل لجان تضم المختصين في العلوم الإسلامية حتّى تنسد بذلك جميع الثغرات المحتمل حصولها إذا كان هذا العمل فردياً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الحظ أنّ الفقهاء عبر القرون قاموا بدراسة الروايات الواردة حول الأحكام الشرعية دراسة دقيقة سنداً ومضموناً، وخرجوا بنتائج باهرة، إلّاأن الروايات المتعلّقة بالعقائد والمعارف والتاريخ والسنن الكونية والسيرة والأخلاق بقيت بحاجة ماسّة إلى هذا النوع من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أصبح ترك دراسة هذه الجوانب ذريعة للأعداء لكي يشنّون بواسطة بعض الروايات حملات عنيفة ضد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هدية متواضعة مني للحضّار الكرام في مؤتمر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الطرق والمناهج لدراسة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تحظى بقبولهم، وأن تكون منهجاً متميّزاً عن المناهج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400" w:name="pg16768_165352"/>
    </w:p>
    <w:p>
      <w:pPr>
        <w:pStyle w:val="Heading3"/>
        <w:numPr>
          <w:ilvl w:val="2"/>
          <w:numId w:val="1"/>
        </w:numPr>
        <w:rPr/>
      </w:pPr>
      <w:bookmarkStart w:id="401" w:name="__RefHeading___Toc6863688_73709187"/>
      <w:bookmarkStart w:id="402" w:name="_Toc151"/>
      <w:bookmarkEnd w:id="400"/>
      <w:bookmarkEnd w:id="401"/>
      <w:r>
        <w:rPr/>
        <w:t>4</w:t>
      </w:r>
      <w:r>
        <w:rPr>
          <w:rtl w:val="true"/>
        </w:rPr>
        <w:t xml:space="preserve"> </w:t>
      </w:r>
      <w:r>
        <w:rPr>
          <w:rtl w:val="true"/>
        </w:rPr>
        <w:t>حجة الوداع</w:t>
      </w:r>
      <w:r>
        <w:rPr>
          <w:rtl w:val="true"/>
        </w:rPr>
        <w:t>..</w:t>
      </w:r>
      <w:bookmarkEnd w:id="402"/>
    </w:p>
    <w:p>
      <w:pPr>
        <w:pStyle w:val="Heading4"/>
        <w:numPr>
          <w:ilvl w:val="3"/>
          <w:numId w:val="1"/>
        </w:numPr>
        <w:rPr/>
      </w:pPr>
      <w:bookmarkStart w:id="403" w:name="__RefHeading___Toc6863690_73709187"/>
      <w:bookmarkStart w:id="404" w:name="_Toc152"/>
      <w:bookmarkEnd w:id="403"/>
      <w:r>
        <w:rPr>
          <w:rtl w:val="true"/>
        </w:rPr>
        <w:t>اشارة</w:t>
      </w:r>
      <w:bookmarkEnd w:id="404"/>
    </w:p>
    <w:p>
      <w:pPr>
        <w:pStyle w:val="BookText"/>
        <w:rPr/>
      </w:pPr>
      <w:r>
        <w:rPr>
          <w:rFonts w:ascii="IRNazanin" w:hAnsi="IRNazanin" w:eastAsia="IRNazanin"/>
          <w:color w:val="111111"/>
          <w:sz w:val="28"/>
          <w:sz w:val="28"/>
          <w:szCs w:val="28"/>
          <w:rtl w:val="true"/>
          <w:lang w:bidi="fa-IR"/>
        </w:rPr>
        <w:t>خطب وإرشاد</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خلق اللّه وخاتم رسله محمد الأمين وعلى آله الطاهرين، ومن تبعهم بإحسان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p>
    <w:p>
      <w:pPr>
        <w:pStyle w:val="BookText"/>
        <w:rPr/>
      </w:pPr>
      <w:r>
        <w:rPr>
          <w:rFonts w:ascii="Amiri" w:hAnsi="Amiri" w:eastAsia="Amiri" w:cs="Amiri"/>
          <w:color w:val="111111"/>
          <w:sz w:val="28"/>
          <w:sz w:val="28"/>
          <w:szCs w:val="28"/>
          <w:rtl w:val="true"/>
          <w:lang w:bidi="ar-SA"/>
        </w:rPr>
        <w:t xml:space="preserve">بلغنا من خلال صفحات الانترنيت أنّ وزارة الحج الموقّرة في المملكة العربية السعودية ستعقد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أيام الحج هذا العام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ندوة إسلامية كبرى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شعائر وقِيَم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على قاعة التضامن الإسلامي في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إذ نثمن انعقاد مثل هذه الندوات الّتي تلم شمل المسلمين وتجمع كلمتهم وتوحّد صفوفهم أمام الأعداء، ونعتبرها خطوةً مباركة للتقريب بين المذاهب الإسلامية، وتظاهرةً علمية لتلاقح الأفكار؛ لا يفوتنا المساهمة المتواضعة في هذا المهرجان الكبير أداءً لحق رسول اللّه صلى الله عليه و آله وحباً له من خلال استعراض خطبه وكلماته في حجة الوداع، آملين أن تقع موقع القبول والرضا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السبحاني</w:t>
      </w:r>
      <w:bookmarkStart w:id="405" w:name="pg16768_165353"/>
    </w:p>
    <w:p>
      <w:pPr>
        <w:pStyle w:val="Heading4"/>
        <w:numPr>
          <w:ilvl w:val="3"/>
          <w:numId w:val="1"/>
        </w:numPr>
        <w:rPr/>
      </w:pPr>
      <w:bookmarkStart w:id="406" w:name="__RefHeading___Toc6863692_73709187"/>
      <w:bookmarkStart w:id="407" w:name="_Toc153"/>
      <w:bookmarkEnd w:id="405"/>
      <w:bookmarkEnd w:id="406"/>
      <w:r>
        <w:rPr>
          <w:rtl w:val="true"/>
        </w:rPr>
        <w:t>مقدّمة</w:t>
      </w:r>
      <w:bookmarkEnd w:id="407"/>
    </w:p>
    <w:p>
      <w:pPr>
        <w:pStyle w:val="BookText"/>
        <w:rPr/>
      </w:pPr>
      <w:r>
        <w:rPr>
          <w:rFonts w:ascii="Amiri" w:hAnsi="Amiri" w:eastAsia="Amiri" w:cs="Amiri"/>
          <w:color w:val="111111"/>
          <w:sz w:val="28"/>
          <w:sz w:val="28"/>
          <w:szCs w:val="28"/>
          <w:rtl w:val="true"/>
          <w:lang w:bidi="ar-SA"/>
        </w:rPr>
        <w:t>في السنة العاشرة للهجرة عزم رسول اللّه صلى الله عليه و آله على أن يحج بيت اللّه الحرام فخرج لخمس بقين من ذي القعدة ووصل مكة في اليوم الرابع من ذي الحجة</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وكان رسول اللّه صلى الله عليه و آله قد حرّض المسلمين على الحج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الحج فليتعجّل، فإنّه قد يمرض المريض، وتضلّ الضالّة، وتعرض الحاجة</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أن أمر اللّه تعالى نبيه بالأذان والإعلان للحج، أمر النبي صلى الله عليه و آله المؤذنين أن يؤذّنوا بذلك بين المسلمين، وكتب إلى علي بن أبي طالب عليه السلام وجنده، وإلى أبي موسى الأشعري وأتباعه في اليمن أن يلتحقوا به صلى الله عليه و آله في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أوّل هذا الإخبار والإعلام كان في أوائل ذي القعدة الحرام، فقد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على رسول اللّه صلى الله عليه و آله ذو القعدة تجهّز للحج، وأمر الناس بالجهاز له</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خرج النبي الأكرم صلى الله عليه و آله من المدينة مغتسلاً متدّهناً وخرجت معه نساؤه كلّهنّ‌، وتبعه جمّ غفير من المسلمين الذين حرصوا على مرافقته من المدينة ليتشرّفوا بصحبته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جعفر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فعلم به من حضر المدينة وأهل العوالي والأعراب فاجتمعوا، فحجّ رسول اللّه صلى الله عليه و آله، وإنّما كانوا تابعين ينظرون ما يؤمرون ويتبعونه، أو يصنع شيئاً فيصنعونه</w:t>
      </w:r>
      <w:r>
        <w:rPr>
          <w:rFonts w:eastAsia="Amiri" w:cs="Amiri" w:ascii="Amiri" w:hAnsi="Amiri"/>
          <w:color w:val="111111"/>
          <w:sz w:val="28"/>
          <w:szCs w:val="28"/>
          <w:rtl w:val="true"/>
          <w:lang w:bidi="ar-SA"/>
        </w:rPr>
        <w:t>».</w:t>
      </w:r>
      <w:r>
        <w:rPr>
          <w:rStyle w:val="FootnoteAnchor"/>
          <w:rtl w:val="true"/>
        </w:rPr>
        <w:footnoteReference w:id="437"/>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جابر بن عبداللّه الانصاري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المدينة بشر كثير كلّهم</w:t>
      </w:r>
    </w:p>
    <w:p>
      <w:pPr>
        <w:pStyle w:val="BookText"/>
        <w:rPr/>
      </w:pPr>
      <w:r>
        <w:rPr>
          <w:rFonts w:ascii="Amiri" w:hAnsi="Amiri" w:eastAsia="Amiri" w:cs="Amiri"/>
          <w:color w:val="111111"/>
          <w:sz w:val="28"/>
          <w:sz w:val="28"/>
          <w:szCs w:val="28"/>
          <w:rtl w:val="true"/>
          <w:lang w:bidi="ar-SA"/>
        </w:rPr>
        <w:t>يلتمس أن يأتمّ برسول اللّه صلى الله عليه و آله ويعمل مثل عمله</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وكان المسلمون ينتظرون هذا السفر، ليتعلّموا مناسك الحج، فأي منسك أدّاه رسول اللّه صلى الله عليه و آله فهو من الحج الإبراهيمي، وما تركه فهو من أعمال الجاهلية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ويتجلّى هذا التهيّؤ والانتظار في رغبتهم وشوقهم واجتماعهم العظيم حتّى سلكوا طريق مكة رجالاً وركباناً، طريقاً يقرب من ألف كيلومتر ذهاباً وإياباً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المؤرخون والمحدثون في عدد المسلمين آنذاك،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مائة وعشرين ألفاً</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وقال المقريزي في وصف خطبة النبي صلى الله عليه و آله في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شهد الخطبة نحواً من أربعين ألفاً</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وقال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من حجّ مع رسول اللّه صلى الله عليه و آله من أهل المدينة وأهل الأطراف والأعراب سبعين ألف إنسان أو يزيدون</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ثم إنّ رسول اللّه صلى الله عليه و آله بعد أن أتمّ الحج غادر مكة المكرمة متوجّهاً إلى المدينة في الليلة الرابعة عشرة من ذي الحجة الحرام، فدخلها في الثالث والعشرين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وخلال مسيرته هذه كانت له وقفات في العديد من الأماكن الّتي مر بها وشهدت له إلقاء الخطب الرائعة والتوجيهات التربوية والحضارية السامية، والإرشادات التعليمية حيث إنّه كان يجسد عملياً أهداف الحج الّتي أرادها اللّه تعالى من هذه الفريضة الإسلامية الهامّة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وسوف نشير في هذه الرسالة بالإيعاز الموجز والإشارة العابرة إلى خطبه وكلماته الّتي ألقاها في هذه الرحلة التاريخية، وننوه إلى ما تضمنته كل منها إلى مبادئ الإسلام وأُصوله ومقاصد الشريعة وأهدافها</w:t>
      </w:r>
      <w:r>
        <w:rPr>
          <w:rFonts w:eastAsia="Amiri" w:cs="Amiri" w:ascii="Amiri" w:hAnsi="Amiri"/>
          <w:color w:val="111111"/>
          <w:sz w:val="28"/>
          <w:szCs w:val="28"/>
          <w:rtl w:val="true"/>
          <w:lang w:bidi="ar-SA"/>
        </w:rPr>
        <w:t>.</w:t>
      </w:r>
      <w:bookmarkStart w:id="408" w:name="pg16768_165355"/>
    </w:p>
    <w:p>
      <w:pPr>
        <w:pStyle w:val="Heading4"/>
        <w:numPr>
          <w:ilvl w:val="3"/>
          <w:numId w:val="1"/>
        </w:numPr>
        <w:rPr/>
      </w:pPr>
      <w:bookmarkStart w:id="409" w:name="__RefHeading___Toc6863694_73709187"/>
      <w:bookmarkStart w:id="410" w:name="_Toc154"/>
      <w:bookmarkEnd w:id="408"/>
      <w:bookmarkEnd w:id="409"/>
      <w:r>
        <w:rPr>
          <w:rtl w:val="true"/>
        </w:rPr>
        <w:t>عدد خطبه صلى الله عليه و آله في حجة الوداع</w:t>
      </w:r>
      <w:bookmarkEnd w:id="410"/>
    </w:p>
    <w:p>
      <w:pPr>
        <w:pStyle w:val="Heading5"/>
        <w:numPr>
          <w:ilvl w:val="4"/>
          <w:numId w:val="1"/>
        </w:numPr>
        <w:rPr/>
      </w:pPr>
      <w:bookmarkStart w:id="411" w:name="__RefHeading___Toc6863696_73709187"/>
      <w:bookmarkStart w:id="412" w:name="_Toc155"/>
      <w:bookmarkEnd w:id="411"/>
      <w:r>
        <w:rPr>
          <w:rtl w:val="true"/>
        </w:rPr>
        <w:t>اشارة</w:t>
      </w:r>
      <w:bookmarkEnd w:id="412"/>
    </w:p>
    <w:p>
      <w:pPr>
        <w:pStyle w:val="BookText"/>
        <w:rPr/>
      </w:pPr>
      <w:r>
        <w:rPr>
          <w:rFonts w:ascii="Amiri" w:hAnsi="Amiri" w:eastAsia="Amiri" w:cs="Amiri"/>
          <w:color w:val="111111"/>
          <w:sz w:val="28"/>
          <w:sz w:val="28"/>
          <w:szCs w:val="28"/>
          <w:rtl w:val="true"/>
          <w:lang w:bidi="ar-SA"/>
        </w:rPr>
        <w:t>اختلف أصحاب السير والمؤرخون في عدد الخطب الّتي ألقاها النبي الأكرم صلى الله عليه و آله في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الحلبي في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صلى الله عليه و آله في الحجّ خمس 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يوم السابع من ذي الحجّة بمكّة، والثانية يوم عرفة، والثالثة يوم النحر بمنى، والرابعة يوم القرّ</w:t>
      </w:r>
      <w:r>
        <w:rPr>
          <w:rStyle w:val="FootnoteAnchor"/>
          <w:rtl w:val="true"/>
        </w:rPr>
        <w:footnoteReference w:id="442"/>
      </w:r>
      <w:r>
        <w:rPr>
          <w:rFonts w:ascii="Amiri" w:hAnsi="Amiri" w:eastAsia="Amiri" w:cs="Amiri"/>
          <w:color w:val="111111"/>
          <w:sz w:val="28"/>
          <w:sz w:val="28"/>
          <w:szCs w:val="28"/>
          <w:rtl w:val="true"/>
          <w:lang w:bidi="ar-SA"/>
        </w:rPr>
        <w:t>بمنى، والخامسة يوم النفر الأوّل بمنى أيضاً</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ويقول المقريزي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صلى الله عليه و آله في حجّته ثلاث 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قبل التروية بيوم بعد الظهر بمكّة، والثانية يوم عرفة بعرفة حين زاغت الشمس على راحلته قبل الصلاة، والثالثة يوم النحر بمنى بعد الظهر على راحلته القصواء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خطب الثانية ثاني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المحب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الأحاديث على أنّ الخطب في الحج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يوم السابع من ذي الحجة، وخطبة يوم عرفة، وخطبة يوم النحر، وخطبة القرّ، وخطبة يوم النفر الأوّل</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ومهما كان الحال فعلينا أن نورد ما ذكرته كتب التاريخ والحديث من خطبه وكلماته صلى الله عليه و آله، وقد رتّبناها حسب زمانها ومكانها، فكانت كما يلي</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6863698_73709187"/>
      <w:bookmarkStart w:id="414" w:name="_Toc156"/>
      <w:bookmarkEnd w:id="413"/>
      <w:r>
        <w:rPr/>
        <w:t>1</w:t>
      </w:r>
      <w:r>
        <w:rPr>
          <w:rtl w:val="true"/>
        </w:rPr>
        <w:t xml:space="preserve">. </w:t>
      </w:r>
      <w:r>
        <w:rPr>
          <w:rtl w:val="true"/>
        </w:rPr>
        <w:t>خطبته صلى الله عليه و آله في اليوم السابع والثامن من ذي الحجة</w:t>
      </w:r>
      <w:bookmarkEnd w:id="414"/>
    </w:p>
    <w:p>
      <w:pPr>
        <w:pStyle w:val="BookText"/>
        <w:rPr/>
      </w:pPr>
      <w:r>
        <w:rPr>
          <w:rFonts w:ascii="Amiri" w:hAnsi="Amiri" w:eastAsia="Amiri" w:cs="Amiri"/>
          <w:color w:val="111111"/>
          <w:sz w:val="28"/>
          <w:sz w:val="28"/>
          <w:szCs w:val="28"/>
          <w:rtl w:val="true"/>
          <w:lang w:bidi="ar-SA"/>
        </w:rPr>
        <w:t>قال الواقدي في مغازيه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صلى الله عليه و آله قبل التروية بيوم بعد الظهر بمكة</w:t>
      </w:r>
      <w:r>
        <w:rPr>
          <w:rFonts w:eastAsia="Amiri" w:cs="Amiri" w:ascii="Amiri" w:hAnsi="Amiri"/>
          <w:color w:val="111111"/>
          <w:sz w:val="28"/>
          <w:szCs w:val="28"/>
          <w:rtl w:val="true"/>
          <w:lang w:bidi="ar-SA"/>
        </w:rPr>
        <w:t>.</w:t>
      </w:r>
      <w:r>
        <w:rPr>
          <w:rStyle w:val="FootnoteAnchor"/>
          <w:rtl w:val="true"/>
        </w:rPr>
        <w:footnoteReference w:id="445"/>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الحاكم النيسابوري في مستدركه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إذا كان قبل التروية</w:t>
      </w:r>
      <w:bookmarkStart w:id="415" w:name="pg16768_165356"/>
    </w:p>
    <w:p>
      <w:pPr>
        <w:pStyle w:val="BookText"/>
        <w:rPr/>
      </w:pPr>
      <w:bookmarkEnd w:id="415"/>
      <w:r>
        <w:rPr>
          <w:rFonts w:ascii="Amiri" w:hAnsi="Amiri" w:eastAsia="Amiri" w:cs="Amiri"/>
          <w:color w:val="111111"/>
          <w:sz w:val="28"/>
          <w:sz w:val="28"/>
          <w:szCs w:val="28"/>
          <w:rtl w:val="true"/>
          <w:lang w:bidi="ar-SA"/>
        </w:rPr>
        <w:t>بيوم خطب الناس فأخبرهم بمناسكهم</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وجاء في صحيحة معاوية بن عمّار الطويلة عن الإمام جعفر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يوم التروية عند زوال الشمس أمرالناس أن يغتسلوا ويهلّوا بالحجّ‌، وهو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أنزل على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فَاتَّبِعُوا 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حَنِيفاً</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فخرج النبيّ صلى الله عليه و آله وأصحابه مهلّين بالحجّ حتّى أتوا منى فصلّى الظهر والعصر والمغرب والعشاء الآخرة والفجر، ثمّ غدا والناس معه</w:t>
      </w:r>
      <w:r>
        <w:rPr>
          <w:rFonts w:eastAsia="Amiri" w:cs="Amiri" w:ascii="Amiri" w:hAnsi="Amiri"/>
          <w:color w:val="111111"/>
          <w:sz w:val="28"/>
          <w:szCs w:val="28"/>
          <w:rtl w:val="true"/>
          <w:lang w:bidi="ar-SA"/>
        </w:rPr>
        <w:t>».</w:t>
      </w:r>
      <w:r>
        <w:rPr>
          <w:rStyle w:val="FootnoteAnchor"/>
          <w:rtl w:val="true"/>
        </w:rPr>
        <w:footnoteReference w:id="448"/>
      </w:r>
    </w:p>
    <w:p>
      <w:pPr>
        <w:pStyle w:val="Heading5"/>
        <w:numPr>
          <w:ilvl w:val="4"/>
          <w:numId w:val="1"/>
        </w:numPr>
        <w:rPr/>
      </w:pPr>
      <w:bookmarkStart w:id="416" w:name="__RefHeading___Toc6863700_73709187"/>
      <w:bookmarkStart w:id="417" w:name="_Toc157"/>
      <w:bookmarkEnd w:id="416"/>
      <w:r>
        <w:rPr/>
        <w:t>2</w:t>
      </w:r>
      <w:r>
        <w:rPr>
          <w:rtl w:val="true"/>
        </w:rPr>
        <w:t xml:space="preserve">. </w:t>
      </w:r>
      <w:r>
        <w:rPr>
          <w:rtl w:val="true"/>
        </w:rPr>
        <w:t>كلماته صلى الله عليه و آله في يوم عرفة</w:t>
      </w:r>
      <w:bookmarkEnd w:id="417"/>
    </w:p>
    <w:p>
      <w:pPr>
        <w:pStyle w:val="BookText"/>
        <w:rPr/>
      </w:pPr>
      <w:r>
        <w:rPr>
          <w:rFonts w:ascii="Amiri" w:hAnsi="Amiri" w:eastAsia="Amiri" w:cs="Amiri"/>
          <w:color w:val="111111"/>
          <w:sz w:val="28"/>
          <w:sz w:val="28"/>
          <w:szCs w:val="28"/>
          <w:rtl w:val="true"/>
          <w:lang w:bidi="ar-SA"/>
        </w:rPr>
        <w:t xml:space="preserve">وردت لرسول اللّه صلى الله عليه و آله كلمات وأحاديث كثيرة خلال تواجده في يوم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عرفات نذكر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التهذيب بسنده عن سعد بن عبداللّه، عن محمّد بن الحسين بن أبي الخطّاب، عن أحمد بن محمّد بن أبي نصر، عن محمّد بن سماعة الصيرفي، عن سماعة بن مهران، عن أبي عبداللّه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رسول اللّه صلى الله عليه و آله وقف بعرفات فجعل الناس يبتدرون أخفاف ناقته، يقفون إلى جانبها، فنحاها رسول اللّه صلى الله عليه و آله، ففعلوا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ليس موضع أخفاف ناقتي بالموقف، ولكن هذا كلّه موقف، وأشار بيده إلى الموقف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موقف، فتفرّق الناس، وفعل ذلك بالمزدلفة</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صحيحة معاوية بن عمّار عن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 xml:space="preserve">غدا صلى الله عليه و آله والناس معه وكانت قريش تفيض من المزدلفة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ويمنعون الناس أن يفيضوا منها، فأقبل رسول اللّه صلى الله عليه و آله وقريش ترجو أن تكون إفاضته من حيث كانوا يفيضون، فأنزل اللّه تعالى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أَفِيضُوا مِنْ حَيْثُ أَفاضَ النّاسُ وَ اسْتَغْفِرُوا اللّهَ‌</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يعني إبراهيم وإسماعيل 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إفاضتهم منها ومن كان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رأت قريش أنّ قبّة رسول اللّه صلى الله عليه و آله قد مضت كأنّه دخل في أنفسهم شيء للذي كانوا يرجون من الإفاضة من مكانهم، حتّى انتهى إلى نمرة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بطن عرنة بحيال الأراك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قبّته، وضرب أخبيتهم عندها، فلمّا زالت الشمس خرج رسول اللّه صلى الله عليه و آله ومعه قريش، وقد اغتسل وقطع التلبية حتّى وقف بالمسجد، فوعظ الناس وأمرهم ونهاهم، ثمّ صلّى الظهر والعصر بأذان وإقامتين، ثمّ مضى إلى الموقف فوقف به، فجعل الناس يبتدرون أخفاف ناقته يقفون إلى جنبها فنحاها، ففعلوا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ليس موضع أخفاف ناقتي بالموقف، ولكن 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فتفرّق الناس، وفعل مثل ذلك بمزدلفة، فوقف الناس حتّى وقع القرص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قرص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أفاض وأمر الناس بالدّعة حتّى انتهى إلى المزدلفة</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الكافي عن علي بن إبراهيم، عن أبيه، ومحمّد بن إسماعيل، عن الفضل بن شاذان، عن ابن أبي عمير وصفوان بن يحيى، عن معاوية بن عمّار، عن الإمام جعفر الصادق عليه السلام، مثله</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جابر 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بقبّة من شعر تضرب له بنمرة، فسار رسول اللّه صلى الله عليه و آله ولا تشك قريش إلّاأنّه واقف عند المشعر الحرام، كما كانت قريش تصنع في الجاهلية، فأجاز رسول اللّه صلى الله عليه و آله حتّى أتى عرفة، فوجد القبّة قد ضُربت له بنمرة، فنزل بها حتّى إذا زاغت الشمس أمر بالقصواء، فرحلت له فأتى</w:t>
      </w:r>
    </w:p>
    <w:p>
      <w:pPr>
        <w:pStyle w:val="BookText"/>
        <w:rPr/>
      </w:pPr>
      <w:r>
        <w:rPr>
          <w:rFonts w:ascii="Amiri" w:hAnsi="Amiri" w:eastAsia="Amiri" w:cs="Amiri"/>
          <w:color w:val="111111"/>
          <w:sz w:val="28"/>
          <w:sz w:val="28"/>
          <w:szCs w:val="28"/>
          <w:rtl w:val="true"/>
          <w:lang w:bidi="ar-SA"/>
        </w:rPr>
        <w:t>بطن الوادي، فخطب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أذّن ثمّ أقام فصلّى الظهر، ثمّ أقام فصلّى العصر ولم يصلِّ بينهما شيئاً، ثمّ ركب رسول اللّه صلى الله عليه و آله حتّى أتى الموقف فجعل بطن ناقته القصواء إلى الصخرات، وجعل حبل المشاة بين يديه</w:t>
      </w:r>
      <w:r>
        <w:rPr>
          <w:rStyle w:val="FootnoteAnchor"/>
          <w:rtl w:val="true"/>
        </w:rPr>
        <w:footnoteReference w:id="453"/>
      </w:r>
      <w:r>
        <w:rPr>
          <w:rFonts w:ascii="Amiri" w:hAnsi="Amiri" w:eastAsia="Amiri" w:cs="Amiri"/>
          <w:color w:val="111111"/>
          <w:sz w:val="28"/>
          <w:sz w:val="28"/>
          <w:szCs w:val="28"/>
          <w:rtl w:val="true"/>
          <w:lang w:bidi="ar-SA"/>
        </w:rPr>
        <w:t>واستقبل القبلة، فلم يزل واقفاً حتّى غربت الشمس وذهبت الصفرة قليلاً حتّى غاب القرص، وأردف أسامة خلفه ودفع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الطوسي عن جماعة، عن أبي المفضل، عن عبداللّه بن إسحاق بن إبراهيم بن حمّاد الخطيب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عبداللّه بن عمرو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لهيعة، عن أبي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النبيُّ بعرفات، وعليّ عليه السلام تجاهه، ونحن معه، إذ أومأ النبيُّ صلى الله عليه و آله إلى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يا عليُّ‌، فدنا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خمسك يعني كفّك في كفّي، فأخذ بكفّه،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خلقت أنا وأنت من شجرة، أنا أصلها، وأنت فرعها، والحسن والحسين أغصانها، فمن تعلّق بغصن من أغصانها أدخله اللّه الجنّة برحمته</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الطوسي بإسناده عن جابر بن عبداللّه الأنصاري أنّ رسول اللّه صلى الله عليه و آله ألقى كلمة بعرفة، وإن كانت هذه الكلمة جاءت في خطبته المشهورة بالإجمال، لكن ننقلها تأكيداً وتكميلاً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روى أيضاً رواية أُخرى تؤكد أنّ هذه الكلمة أُلقيت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محمّد بن جرير الطبري قراءةً‌، وعليّ بن محمّد بن الحسن بن كاس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w:t>
      </w:r>
      <w:bookmarkStart w:id="418" w:name="pg16768_165359"/>
    </w:p>
    <w:p>
      <w:pPr>
        <w:pStyle w:val="BookText"/>
        <w:rPr/>
      </w:pPr>
      <w:bookmarkEnd w:id="418"/>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الأودي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حسن بن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يعلى، عن عبداللّه بن موسى التيمي، عن أبي الزبير، عن جابر بن عبداللّه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في حجّة الوداع وركبتي تمسّ ركبته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ترجعوا بعدي كفّاراً يضرب بعضكم رقاب بعض، أما إن فعلتم لتعرفنّي في ناحية الصف</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وروى البيهقي بسند ذكره عن عبد الرحمن بن يعمر الديلي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 صلى الله عليه و آله وهو بعرفات، فأتاه نفر من أصحابه فأمروا رجلاً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الحجّ‌، كيف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رجلاً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يوم عرفة، من جاء قبل صلاة الصبح من ليلة جمع فقد تمّ حجّه، أيّام منى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فِي يَوْمَيْنِ فَلا إِثْمَ عَلَيْهِ‌</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ثمّ أردف رجلاً من خلفه فنادى بذلك</w:t>
      </w:r>
      <w:r>
        <w:rPr>
          <w:rFonts w:eastAsia="Amiri" w:cs="Amiri" w:ascii="Amiri" w:hAnsi="Amiri"/>
          <w:color w:val="111111"/>
          <w:sz w:val="28"/>
          <w:szCs w:val="28"/>
          <w:rtl w:val="true"/>
          <w:lang w:bidi="ar-SA"/>
        </w:rPr>
        <w:t>.</w:t>
      </w:r>
      <w:r>
        <w:rPr>
          <w:rStyle w:val="FootnoteAnchor"/>
          <w:rtl w:val="true"/>
        </w:rPr>
        <w:footnoteReference w:id="458"/>
      </w:r>
    </w:p>
    <w:p>
      <w:pPr>
        <w:pStyle w:val="Heading5"/>
        <w:numPr>
          <w:ilvl w:val="4"/>
          <w:numId w:val="1"/>
        </w:numPr>
        <w:rPr/>
      </w:pPr>
      <w:bookmarkStart w:id="419" w:name="__RefHeading___Toc6863702_73709187"/>
      <w:bookmarkStart w:id="420" w:name="_Toc158"/>
      <w:bookmarkEnd w:id="419"/>
      <w:r>
        <w:rPr/>
        <w:t>3</w:t>
      </w:r>
      <w:r>
        <w:rPr>
          <w:rtl w:val="true"/>
        </w:rPr>
        <w:t xml:space="preserve">. </w:t>
      </w:r>
      <w:r>
        <w:rPr>
          <w:rtl w:val="true"/>
        </w:rPr>
        <w:t>خطبة رسول اللّه صلى الله عليه و آله يوم عرفة</w:t>
      </w:r>
      <w:bookmarkEnd w:id="420"/>
    </w:p>
    <w:p>
      <w:pPr>
        <w:pStyle w:val="BookText"/>
        <w:rPr/>
      </w:pPr>
      <w:r>
        <w:rPr>
          <w:rFonts w:ascii="Amiri" w:hAnsi="Amiri" w:eastAsia="Amiri" w:cs="Amiri"/>
          <w:color w:val="111111"/>
          <w:sz w:val="28"/>
          <w:sz w:val="28"/>
          <w:szCs w:val="28"/>
          <w:rtl w:val="true"/>
          <w:lang w:bidi="ar-SA"/>
        </w:rPr>
        <w:t>في الضحى من اليوم التاسع استقرّ رسول اللّه صلى الله عليه و آله في قبّته الّتي ضُرِبت له بنمرة قرب عرفات، وقد اغتسل وتهيّأ لأداء أعمال هذا اليوم، وبعد أن زالت الشمس خرج رسول اللّه صلى الله عليه و آله من خيمته وتوجّه ليخطب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معاوية بن عمّار الطويلة عن الإمام الصادق عليه السلام بما يتعلّق بمناسك حج رسول اللّه صلى الله عليه و آله وردت إشارة إلى هذه الخطبة، فقد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فوعظ الناس وأمرهم ونهاهم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يذكر متن الخطبة</w:t>
      </w:r>
      <w:r>
        <w:rPr>
          <w:rFonts w:eastAsia="Amiri" w:cs="Amiri" w:ascii="Amiri" w:hAnsi="Amiri"/>
          <w:color w:val="111111"/>
          <w:sz w:val="28"/>
          <w:szCs w:val="28"/>
          <w:rtl w:val="true"/>
          <w:lang w:bidi="ar-SA"/>
        </w:rPr>
        <w:t>)».</w:t>
      </w:r>
      <w:r>
        <w:rPr>
          <w:rStyle w:val="FootnoteAnchor"/>
          <w:rtl w:val="true"/>
        </w:rPr>
        <w:footnoteReference w:id="459"/>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وردت هذه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مسلم ومصادر أُخرى حسب</w:t>
      </w:r>
    </w:p>
    <w:p>
      <w:pPr>
        <w:pStyle w:val="BookText"/>
        <w:rPr/>
      </w:pPr>
      <w:r>
        <w:rPr>
          <w:rFonts w:ascii="Amiri" w:hAnsi="Amiri" w:eastAsia="Amiri" w:cs="Amiri"/>
          <w:color w:val="111111"/>
          <w:sz w:val="28"/>
          <w:sz w:val="28"/>
          <w:szCs w:val="28"/>
          <w:rtl w:val="true"/>
          <w:lang w:bidi="ar-SA"/>
        </w:rPr>
        <w:t>رواية جابر الطويلة</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الخطبة هي المشهورة والمعروفة في كتب الفريقين، وفي عالم الأدب لها شأن عظيم، لجزالة ألفاظها، وعظم 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كلام بينهم في مكانها وزمانها، فهل ألقاها رسول اللّه صلى الله عليه و آله في عرفة أو منى؟ وفي أي يوم من أيام منى؟</w:t>
      </w:r>
    </w:p>
    <w:p>
      <w:pPr>
        <w:pStyle w:val="BookText"/>
        <w:rPr/>
      </w:pPr>
      <w:r>
        <w:rPr>
          <w:rFonts w:ascii="Amiri" w:hAnsi="Amiri" w:eastAsia="Amiri" w:cs="Amiri"/>
          <w:color w:val="111111"/>
          <w:sz w:val="28"/>
          <w:sz w:val="28"/>
          <w:szCs w:val="28"/>
          <w:rtl w:val="true"/>
          <w:lang w:bidi="ar-SA"/>
        </w:rPr>
        <w:t>فبعضهم أوردها ولم يذكر في أيّ مكان تكلّم بها رسول اللّه صلى الله عليه و آله، كابن شعبة الحرّاني في تحف العقول</w:t>
      </w:r>
      <w:r>
        <w:rPr>
          <w:rStyle w:val="FootnoteAnchor"/>
          <w:rtl w:val="true"/>
        </w:rPr>
        <w:footnoteReference w:id="461"/>
      </w:r>
      <w:r>
        <w:rPr>
          <w:rFonts w:ascii="Amiri" w:hAnsi="Amiri" w:eastAsia="Amiri" w:cs="Amiri"/>
          <w:color w:val="111111"/>
          <w:sz w:val="28"/>
          <w:sz w:val="28"/>
          <w:szCs w:val="28"/>
          <w:rtl w:val="true"/>
          <w:lang w:bidi="ar-SA"/>
        </w:rPr>
        <w:t>، والجاحظ في البيان والتبيين</w:t>
      </w:r>
      <w:r>
        <w:rPr>
          <w:rStyle w:val="FootnoteAnchor"/>
          <w:rtl w:val="true"/>
        </w:rPr>
        <w:footnoteReference w:id="462"/>
      </w:r>
      <w:r>
        <w:rPr>
          <w:rFonts w:ascii="Amiri" w:hAnsi="Amiri" w:eastAsia="Amiri" w:cs="Amiri"/>
          <w:color w:val="111111"/>
          <w:sz w:val="28"/>
          <w:sz w:val="28"/>
          <w:szCs w:val="28"/>
          <w:rtl w:val="true"/>
          <w:lang w:bidi="ar-SA"/>
        </w:rPr>
        <w:t>، وابن عبد ربّه الأندلسي في العقد الفريد</w:t>
      </w:r>
      <w:r>
        <w:rPr>
          <w:rStyle w:val="FootnoteAnchor"/>
          <w:rtl w:val="true"/>
        </w:rPr>
        <w:footnoteReference w:id="463"/>
      </w:r>
      <w:r>
        <w:rPr>
          <w:rFonts w:ascii="Amiri" w:hAnsi="Amiri" w:eastAsia="Amiri" w:cs="Amiri"/>
          <w:color w:val="111111"/>
          <w:sz w:val="28"/>
          <w:sz w:val="28"/>
          <w:szCs w:val="28"/>
          <w:rtl w:val="true"/>
          <w:lang w:bidi="ar-SA"/>
        </w:rPr>
        <w:t xml:space="preserve">، بل أوردوها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رسول اللّه صلى الله عليه و آله في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آخر أوردها وذكر أنّها خطبة رسول اللّه صلى الله عليه و آله بعرفة، كابن هشام في السيرة النبويّة والنسائي في السنن الكبرى</w:t>
      </w:r>
      <w:r>
        <w:rPr>
          <w:rStyle w:val="FootnoteAnchor"/>
          <w:rtl w:val="true"/>
        </w:rPr>
        <w:footnoteReference w:id="464"/>
      </w:r>
      <w:r>
        <w:rPr>
          <w:rFonts w:ascii="Amiri" w:hAnsi="Amiri" w:eastAsia="Amiri" w:cs="Amiri"/>
          <w:color w:val="111111"/>
          <w:sz w:val="28"/>
          <w:sz w:val="28"/>
          <w:szCs w:val="28"/>
          <w:rtl w:val="true"/>
          <w:lang w:bidi="ar-SA"/>
        </w:rPr>
        <w:t>، ومسلم في صحيحه كما ذكرناها، ولم يذكر له صلى الله عليه و آله خطبة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 أوردها وذكر أنّها خطبة رسول اللّه صلى الله عليه و آله أيّام منى‌، كالبخاري في صحيحه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خطب الناس يوم النحر</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وهكذا البغوي في مصابيح السنّة</w:t>
      </w:r>
      <w:r>
        <w:rPr>
          <w:rStyle w:val="FootnoteAnchor"/>
          <w:rtl w:val="true"/>
        </w:rPr>
        <w:footnoteReference w:id="466"/>
      </w:r>
      <w:r>
        <w:rPr>
          <w:rFonts w:ascii="Amiri" w:hAnsi="Amiri" w:eastAsia="Amiri" w:cs="Amiri"/>
          <w:color w:val="111111"/>
          <w:sz w:val="28"/>
          <w:sz w:val="28"/>
          <w:szCs w:val="28"/>
          <w:rtl w:val="true"/>
          <w:lang w:bidi="ar-SA"/>
        </w:rPr>
        <w:t>، ولم يذكر له صلى الله عليه و آله خطبة بعرفة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أوردها الهيثمي بطرق عديدة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الخُطب في الحجّ‌</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وروى ابن كثير روايات في خطبته يوم العيد، وذكر الخطبة الشريفة الطبري أيضاً وابن الأثير</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وفي كنز العمّال والطبقات الكبرى قد وردت الخطبة بروايات مختلفة</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وروى ابن ماجة بأنّه صلى الله عليه و آله خطب في حجّة الوداع، وأُخرى بأنّه خطب بعرفات، وثالثة بأنّه خطب يوم النحر بين الجمرات</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على رسول اللّه صلى الله عليه و آله في أوسط أيّام التشريق، فعرف أنّه الوداع، فركب راحلته العضباء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كلّ دم كان في الجاهلية فهو هدر</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وأوردها ابن كثير مختصراً مرّة بعنوان خطبة رسول اللّه صلى الله عليه و آله بعرفة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بعنوان خطبة رسول اللّه بمنى برواية البخاري</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وأورد الواقدي في المغازي بعض فقرات هذه الخطبة في ضمن خطبة النبي صلى الله عليه و آله بمكّة يوم الفتح</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المقريزي في إمتاع الأسماع</w:t>
      </w:r>
      <w:r>
        <w:rPr>
          <w:rFonts w:eastAsia="Amiri" w:cs="Amiri" w:ascii="Amiri" w:hAnsi="Amiri"/>
          <w:color w:val="111111"/>
          <w:sz w:val="28"/>
          <w:szCs w:val="28"/>
          <w:rtl w:val="true"/>
          <w:lang w:bidi="ar-SA"/>
        </w:rPr>
        <w:t>.</w:t>
      </w:r>
      <w:r>
        <w:rPr>
          <w:rStyle w:val="FootnoteAnchor"/>
          <w:rtl w:val="true"/>
        </w:rPr>
        <w:footnoteReference w:id="47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كلّ من ذكر متن الخطبة مطوّلاً أو مختصراً بعنوان أنّها خطبة النبي صلى الله عليه و آله في حجّة الوداع، أوبعنوان خطبته بعرفات، أو ذكرها بعنوان أنّها</w:t>
      </w:r>
    </w:p>
    <w:p>
      <w:pPr>
        <w:pStyle w:val="BookText"/>
        <w:rPr/>
      </w:pPr>
      <w:r>
        <w:rPr>
          <w:rFonts w:ascii="Amiri" w:hAnsi="Amiri" w:eastAsia="Amiri" w:cs="Amiri"/>
          <w:color w:val="111111"/>
          <w:sz w:val="28"/>
          <w:sz w:val="28"/>
          <w:szCs w:val="28"/>
          <w:rtl w:val="true"/>
          <w:lang w:bidi="ar-SA"/>
        </w:rPr>
        <w:t>خطبته صلى الله عليه و آله بمنى يوم النحر، أو أوسط أيّام التشريق، فكلّها قريبة المفاد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يبدو جلياً أنّ رسول اللّه صلى الله عليه و آله خطبها بعرفة، ونظراً لأهميتها وعظيم ما تضمّنته من معانٍ جليلة ومطالب هامّة فقد أعاد رسول اللّه صلى الله عليه و آله محتوياتها وفقراتها في مناسبات ومواقف عديدة وأماكن أُخرى في يوم النحر أو اليوم الحادي عشر، فهي تُعد بحق خطبة كاملة وكلمة جامعة وأساساً متيناً لوحدة المسلمين وتبياناً لشؤون دينهم ودنياهم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وإن اختلفت المصادر الّتي ذكرتها في بعض ألفاظها، فإنّ هذا الاختلاف لا يضرّ بالمعنى والمفاد، وإليك بعض ما ورد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الحمد والثناء والاستعاذة والشهادة بالتوحيد والعبودية والرسالة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عباد اللّه بتقوى اللّه وأحثّكم على العمل بطاعته؛ وأستفتح اللّه بالذي هو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منِّي ما أُبيِّنُ لكم، فإنّي لا أدري لعلّي لا ألقاكم بعد عامي هذا، في موقفي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دماءكم وأعراضكم عليكم حرامٌ إلى أن تلقوا ربكم، كحرمة يومكم هذا، في بلدكم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 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كانت عندهُ أمانةٌ فليؤدها إلى من ائتمنهُ عليها، وإنَّ ربا الجاهليَّة موضوع، وإنَّ أوَّل رباً أبدأُ به ربا العباس بن عبدالمطلب؛ وإنَّ دماء الجاهليَّة موضوعةٌ‌، وإنَّ أوَّل دم أبدأ به دم عامر بن ربيعة بن الحارث بن عبدالمطلب، وإنَّ مآثر الجاهليَّة موضوعةٌ غير السدانة والسقاية، والعمدُ قود، وشبه العمد ما قُتل بالعصا والحجر وفيه مائة بعيرٍ، فمن ازداد فهو من الجاهلية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قد يئس أن يعبد بأرضكم هذه، ولكنَّه قد رضي بأن يطاع فيما سوى ذلك فيما تحتقرون من 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ولا يحلُّ لمؤمنٍ مالُ أخيه إلّاعن طيب نفسٍ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 اللّهُمَّ اشهد، فلا ترجعنَّ كفاراً يضرب بعضكم رقاب بعضٍ فإني قد تركت فيكم ما 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 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واحدٌ، وإنَّ أباكُم واحدٌ، كلُّكم لآدم وآدم من 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وليس لعربيٍّ على عجميٍّ فضلٌ إلّابالتقوى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فليبلغ الشاهدُ الغائب</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ما ذكرناه هو بعض ما ورد في هذه الخطبة النبوية القدسية والّذي يجب علينا هنا الإشارة إلى النقاط المهمة فيها،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 اللّه وثناؤه والاستغفار والاستعاذة والشهادتين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إيصاء عباد اللّه تعالى بتقواه والعمل بأوامره والتجنب عن معاصيه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حثّ المسلمين على الاستماع لكلامه وفهمه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دماء المسلمين وأعراضهم وأموالهم، وأداء الأمانة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تحريم الربا وإلغاء 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الجاهلية، وإبطال مآثر الجاهلية الرثة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تثبيت بعض الأحكام والحدود والديات في الشريعة الإسلامية وإبلاغ الناس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إبطال النسيء، والتذكير بحقوق النساء، والنهي عن الظلم في الوصية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تثبيت مبدأ الأُخوة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إيجاب التمسّك بالثقلين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إقرار مبدأ التفاضل بين المسلمين على أساس التقوى‌</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وبالإضافة إلى هذه الخطبة فقد ورد أنّ رسول اللّه صلى الله عليه و آله قد ألقى كلمة قصيرة</w:t>
      </w:r>
    </w:p>
    <w:p>
      <w:pPr>
        <w:pStyle w:val="BookText"/>
        <w:rPr/>
      </w:pPr>
      <w:r>
        <w:rPr>
          <w:rFonts w:ascii="Amiri" w:hAnsi="Amiri" w:eastAsia="Amiri" w:cs="Amiri"/>
          <w:color w:val="111111"/>
          <w:sz w:val="28"/>
          <w:sz w:val="28"/>
          <w:szCs w:val="28"/>
          <w:rtl w:val="true"/>
          <w:lang w:bidi="ar-SA"/>
        </w:rPr>
        <w:t>حين غروب الشمس وهو بعرفات، وقد أجمعت كافة المصادر الّتي روتها على أنّه صلى الله عليه و آله دعا عشيّة عرفة لأُمته بالمغفرة والرحمة فأكثر الدعاء، فأوحى اللّه تعالى إليه</w:t>
      </w:r>
      <w:r>
        <w:rPr>
          <w:rStyle w:val="FootnoteAnchor"/>
          <w:rtl w:val="true"/>
        </w:rPr>
        <w:footnoteReference w:id="479"/>
      </w:r>
      <w:r>
        <w:rPr>
          <w:rFonts w:ascii="Amiri" w:hAnsi="Amiri" w:eastAsia="Amiri" w:cs="Amiri"/>
          <w:color w:val="111111"/>
          <w:sz w:val="28"/>
          <w:sz w:val="28"/>
          <w:szCs w:val="28"/>
          <w:rtl w:val="true"/>
          <w:lang w:bidi="ar-SA"/>
        </w:rPr>
        <w:t>أنّي قد فعلت، إلّاظُلم بعضهم بعضاً</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كما وردت في بعض الكتب خطبة ألقاها رسول اللّه صلى الله عليه و آله بعرفة في كرامة الحاجّ عند اللّه تعالى، ونحن نوردها تتميماً للفائدة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صدر هذه الخطبة أنّه ألقاها عشيّة عرفة بعدما وقف بالموقف، والحال أنّ خطبته الشهيرة ألقاها بعد الزوال ببطن عرنة، وهي مكان آخر بجنب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 رسول اللّه صلى الله عليه و آله لمّاحجّ حجّة الوداع وقف بعرفة وأقبل على الناس بوجهه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مرحباً بوفد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إن سألوا أُعطوا، وتخلف نفقاتهم، ويجعل لهم في الآخرة بكلّ درهم ألف من الحسنات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ألا أُبشّركم‌؟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إذا كانت هذه العشيّة باهى اللّه بأهل هذا الموقف الملائكة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أُنظروا إلى عبادي وإمائي أتوني من أطراف الأرض شعثاً غبراً هل تعلمون ما يسألون‌؟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يسألونك المغفرة،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أنّي قد غفرت لهم، فانصرفوا من موقفهم مغفوراً لهم ما سلف</w:t>
      </w:r>
      <w:r>
        <w:rPr>
          <w:rFonts w:eastAsia="Amiri" w:cs="Amiri" w:ascii="Amiri" w:hAnsi="Amiri"/>
          <w:color w:val="111111"/>
          <w:sz w:val="28"/>
          <w:szCs w:val="28"/>
          <w:rtl w:val="true"/>
          <w:lang w:bidi="ar-SA"/>
        </w:rPr>
        <w:t>».</w:t>
      </w:r>
      <w:r>
        <w:rPr>
          <w:rStyle w:val="FootnoteAnchor"/>
          <w:rtl w:val="true"/>
        </w:rPr>
        <w:footnoteReference w:id="481"/>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المستدرك عن القطب الراوندي في لبّ اللباب،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عشيّة عرفة يقول اللّه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أُنظروا إلى عبادي وإمائي شعثاً غبراً جاءُوني من كلّ فجٍّ عميق لم يروا رحمتي ولا عذابي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الجنّة والنار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ملائكتي إنّي قد غفرت لهم الحاجّ وغير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 يوماً أكثر عتقاء من النار من يوم</w:t>
      </w:r>
      <w:bookmarkStart w:id="421" w:name="pg16768_165365"/>
    </w:p>
    <w:p>
      <w:pPr>
        <w:pStyle w:val="BookText"/>
        <w:rPr/>
      </w:pPr>
      <w:bookmarkEnd w:id="421"/>
      <w:r>
        <w:rPr>
          <w:rFonts w:ascii="Amiri" w:hAnsi="Amiri" w:eastAsia="Amiri" w:cs="Amiri"/>
          <w:color w:val="111111"/>
          <w:sz w:val="28"/>
          <w:sz w:val="28"/>
          <w:szCs w:val="28"/>
          <w:rtl w:val="true"/>
          <w:lang w:bidi="ar-SA"/>
        </w:rPr>
        <w:t>عرفة وليلتها</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ثم إنّ رسول اللّه صلى الله عليه و آله قد أكثر من الدعاء والتضرع إلى اللّه تعالى في عرفات، ولم يكتف بدعائه، بل راح يحث المسلمين ويحضهم على الدعاء والذكر والإنابة إلى اللّه تعالى</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6863704_73709187"/>
      <w:bookmarkStart w:id="423" w:name="_Toc159"/>
      <w:bookmarkEnd w:id="422"/>
      <w:r>
        <w:rPr/>
        <w:t>4</w:t>
      </w:r>
      <w:r>
        <w:rPr>
          <w:rtl w:val="true"/>
        </w:rPr>
        <w:t xml:space="preserve">. </w:t>
      </w:r>
      <w:r>
        <w:rPr>
          <w:rtl w:val="true"/>
        </w:rPr>
        <w:t>خطبته صلى الله عليه و آله يوم النحر</w:t>
      </w:r>
      <w:bookmarkEnd w:id="423"/>
    </w:p>
    <w:p>
      <w:pPr>
        <w:pStyle w:val="BookText"/>
        <w:rPr/>
      </w:pPr>
      <w:r>
        <w:rPr>
          <w:rFonts w:ascii="Amiri" w:hAnsi="Amiri" w:eastAsia="Amiri" w:cs="Amiri"/>
          <w:color w:val="111111"/>
          <w:sz w:val="28"/>
          <w:sz w:val="28"/>
          <w:szCs w:val="28"/>
          <w:rtl w:val="true"/>
          <w:lang w:bidi="ar-SA"/>
        </w:rPr>
        <w:t xml:space="preserve">عبّر بعض المصنفين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البخاري والنسائي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خطبة رسول اللّه صلى الله عليه و آله بعرفة بخطبة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بعض المؤرخين خطبة رسول اللّه صلى الله عليه و آله بمنى‌، ومفادها يقرب من خطبته بعرفة، ولكن نصّوا على أنّها خطبته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هؤلاء محمّد بن سعد في الطبقات،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عبدالوهاب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سعيد بن أبي عروبة، عن قتادة، عن شهر بن حوشب، عن عبد الرحمن بن غنم، عن عمرو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 آله بمنى وإنّي لتحت جران ناقته، وهي تقصع بجرّتها، وإنّ لعابها ليسيل بين كتفيّ‌،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قسم لكلّ إنسان نصيبه من الميراث فلا تجوز لوارث وصيّة، ألا وإنّ الولد للفراش وللعاهر الحجر، ألا ومن ادّعى إلى غير أبيه أو تولّى غير مواليه رغبةً عنهم فعليه لعنة اللّه والملائكة والناس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سليمان بن عبدالرحمن الدمشقي، أخبرنا الوليد بن مسلم، أخبرنا هشام بن الغاز، أخبرني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وقف يوم النحر بين الجمرات في الحجّة الّتي حجّ‌، فقال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يومٍ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 بلدٍ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 شهرٍ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الحجّ الأكبر، فدماؤكم وأموالكم وأعراضكم عليكم حرام كحرمة هذا البلد في هذا الشهر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بلّغت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فطفق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ودّع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سعد مثله بسند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خلف بن الوليد الأزدي، أخبرنا يحيى بن زكريا بن أبي زائدة، حدّثني أبو مالك الأشجعي،، حدّثني نُبيط بن شريط الأشجعي،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لرديف أبي في حجّة الوداع إذ تكلّم النبي صلى الله عليه و آله، فقمت على عجز الراحلة ووضعت رجلي على عاتقي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يومٍ أحرم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 شهرٍ أحرم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 بلدٍ أحرم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دماءكم وأموالكم عليكم حرام كحرمة يومكم هذا في شهركم هذا في بلدكم هذا، هل بلّغت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 اللّهمَّ اشهد، 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يونس بن محمّد المؤدّب، أخبرنا ربيعة بن كلثوم بن جبر، حدّثني أبي، عن أبي غادية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أصحاب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 آله يوم العقبة،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 دماءكم وأموالكم حرام عليكم إلى أن تلقوا ربّكم كحرمة يومكم هذا في شهركم هذا في بلدكم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 ألا لا ترجعنّ بعدي كفّاراً يضرب بعضكم رقاب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هاشم بن القاسم، أخبرنا عكرمة بن عمّار، حدّثني الهرماس بن زياد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ردف أبي يوم الأضحى ونبيّ اللّه صلى الله عليه و آله يخطب الناس على ناقته بمنى</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هشام أبو الوليد الطيالسي، أخبرنا عكرمة بن عمّار، أخبرنا الهرماس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رسول اللّه صلى الله عليه و آله وأبي مُرْدفي وراءه على جملٍ له، وأنا صبيّ صغير، فرأيت النبيّ صلى الله عليه و آله يخطب الناس على ناقته العَضْباء يوم الأضحى بمنى</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ولا يخفى أنّ مفادها نفس مفاد الخطبة الّتي ذكرناها سابقاً، واستظهرنا بأنّه أوردها بعرفة، ويمكن إيرادها مرّة ثانية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المصنّف لابن أبي شيبة بسندين عن مجاهد ومسروق أنّ النبيّ صلى الله عليه و آله خطبهم يوم النحر</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وفي السنن الكبرى عن رجلين من بني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رسول اللّه صلى الله عليه و آله يخطبُ بين أوسط أيّام التشريق، ونحن عند راحلته، وهي خطبة رسول اللّه صلى الله عليه و آله الّتي خطب بمنى</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أحمد بن عبدان، أنبأ أحمد بن عبيد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مسلم إبراهيم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نصر عمر بن عبدالعزيز بن عُمر ابن قتادة النعمانيّ‌، أنبأ أبو عمرو إسماعيل بن نُجيد السُّلمي، أنبأ أبو مسلم إبراهيم ابن عبداللّه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عاصم، عن ربيعة بن عبدالرحمن بن حصن الغنويّ‌، حدّثتني سرّاءُ بنت نبهان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ربَّة بيتٍ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في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تدرون أيُّ يومٍ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اليوم الّذي يدعون يوم الرؤوس،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أوسط أيّام التشريق، هل تدرون أيّ بلدٍ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أدري لعلّي لا ألقاكم بعد هذا، ألا وإنّ دماءكم وأموالكم وأعراضكم عليكم حرام كحرمة يومكم هذا، في بلدكم هذا حتّى تلقوا ربّكم فيسألكم عن أعمالكم، ألا فليُبَلِّغْ أدناكم أقصاكم، ألا هل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قدمنا المدينة لم يلبث إلّاقليلاً حتّى مات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محمّد بن بشّار عن أبي عاصم بهذا الإسناد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 آله يوم الرؤوس</w:t>
      </w:r>
      <w:r>
        <w:rPr>
          <w:rFonts w:eastAsia="Amiri" w:cs="Amiri" w:ascii="Amiri" w:hAnsi="Amiri"/>
          <w:color w:val="111111"/>
          <w:sz w:val="28"/>
          <w:szCs w:val="28"/>
          <w:rtl w:val="true"/>
          <w:lang w:bidi="ar-SA"/>
        </w:rPr>
        <w:t>.</w:t>
      </w:r>
      <w:r>
        <w:rPr>
          <w:rStyle w:val="FootnoteAnchor"/>
          <w:rtl w:val="true"/>
        </w:rPr>
        <w:footnoteReference w:id="486"/>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مسند أحمد بن حنبل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خطبة</w:t>
      </w:r>
    </w:p>
    <w:p>
      <w:pPr>
        <w:pStyle w:val="BookText"/>
        <w:rPr/>
      </w:pPr>
      <w:r>
        <w:rPr>
          <w:rFonts w:ascii="Amiri" w:hAnsi="Amiri" w:eastAsia="Amiri" w:cs="Amiri"/>
          <w:color w:val="111111"/>
          <w:sz w:val="28"/>
          <w:sz w:val="28"/>
          <w:szCs w:val="28"/>
          <w:rtl w:val="true"/>
          <w:lang w:bidi="ar-SA"/>
        </w:rPr>
        <w:t>النبي صلى الله عليه و آله في وسط أيّام التشريق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واحد، وإنّ أباكم واحد، ألا لا فضل لعربيّ على عجميّ‌، ولا لعجميّ على عربيّ‌، ولا لأحمر على أسود، ولا لأسود على أحمر إلّابالتقوى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رسول اللّه صلى الله عليه و آله إلى آخر الحديث</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وقد روى في دعائم الإسلام عن الإمام جعفر الصادق عليه السلام، عن الإمام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يخطب يوم النحر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الثجّ والعجّ‌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تهريقون فيه من الدماء، فمن صدقت نيّته كانت أوّل قطرة له كفّارة لكلّ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فعجّوا إلى اللّه، فوالّذي نفس محمّد بيده لا ينصرف من هذا الموضع أحد إلّامغفوراً له إلّاصاحب كبيرة مصرّاً عليها لا يحدِّث نفسه بالإقلاع عنها</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ويُعتقد أنّ هذه الخطبة قد قالها صلى الله عليه و آله بمنى يوم النحر في حجّة الوداع، كما يدلّ على ذلك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يحتمل أن يكون قد ألقاها يوم عيد الأضحى بالمدينة المنوّرة في عام من الأعوام، ومراده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مصلّى العيد ومكان الخطبة ومجمع المسلمين، ولكن روايات البيهقي صريحة في أنّه أوردها بمنى يوم النحر في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البيهقي بسنده عن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 آله يوم النحر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ترجعوا بعدي كفّاراً يضرب بعضكم رقاب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 بسنده عن الهرماس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آله وأنا صبيّ أردفني أبي، يخطب الناس بمنى يوم الأضحى على راحلته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أيضاً بسنده عن أبي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أمامة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خطبة رسول اللّه صلى الله عليه و آله بمنى يوم النحر</w:t>
      </w:r>
      <w:r>
        <w:rPr>
          <w:rFonts w:eastAsia="Amiri" w:cs="Amiri" w:ascii="Amiri" w:hAnsi="Amiri"/>
          <w:color w:val="111111"/>
          <w:sz w:val="28"/>
          <w:szCs w:val="28"/>
          <w:rtl w:val="true"/>
          <w:lang w:bidi="ar-SA"/>
        </w:rPr>
        <w:t>.</w:t>
      </w:r>
      <w:bookmarkStart w:id="424" w:name="pg16768_165369"/>
    </w:p>
    <w:p>
      <w:pPr>
        <w:pStyle w:val="BookText"/>
        <w:rPr/>
      </w:pPr>
      <w:bookmarkEnd w:id="424"/>
      <w:r>
        <w:rPr>
          <w:rFonts w:ascii="Amiri" w:hAnsi="Amiri" w:eastAsia="Amiri" w:cs="Amiri"/>
          <w:color w:val="111111"/>
          <w:sz w:val="28"/>
          <w:sz w:val="28"/>
          <w:szCs w:val="28"/>
          <w:rtl w:val="true"/>
          <w:lang w:bidi="ar-SA"/>
        </w:rPr>
        <w:t>وفيه أيضاً بسنده عن رافع بن عمرو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يخطب الناس بمنى حين ارتفع الضحى على بغلةٍ شهباء، وعليّ يُعَبّرُ عنه، والناس بين قائم وقاعد</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وروى الصدوق بسنده عن أبي أمامة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إنّه لا نبيّ بعدي، ولا أُمّة بعدكم، ألا فاعبدوا ربّكم، وصلّوا خمسكم، وصوموا شهركم، وحجّوا بيت ربّكم، وأدّوا زكاة أموالكم طيّبة بها أنفسكم، وأطيعوا ولاة أمركم تدخلوا جنّة ربّكم</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فهذه الرواية وإن لم تكن فيها دلالة على أنّ هذا الكلام صدر من النبيّ صلى الله عليه و آله في حجّة الوداع، لكن الروايتين الأُخريين تدلّان على ذلك، فإنّ أحمد بن حنبل في مسنده والحاكم في المستدرك قد زادا فيما روياه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أبو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يخطب الناس في حجّة الوداع، وهو على الجدعاء واضع رجله في غراز الرحل يتطاول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 فقال رجل من آخر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اعبدوا ربّكم، إلى آخر الحديث</w:t>
      </w:r>
      <w:r>
        <w:rPr>
          <w:rFonts w:eastAsia="Amiri" w:cs="Amiri" w:ascii="Amiri" w:hAnsi="Amiri"/>
          <w:color w:val="111111"/>
          <w:sz w:val="28"/>
          <w:szCs w:val="28"/>
          <w:rtl w:val="true"/>
          <w:lang w:bidi="ar-SA"/>
        </w:rPr>
        <w:t>.</w:t>
      </w:r>
      <w:r>
        <w:rPr>
          <w:rStyle w:val="FootnoteAnchor"/>
          <w:rtl w:val="true"/>
        </w:rPr>
        <w:footnoteReference w:id="491"/>
      </w:r>
    </w:p>
    <w:p>
      <w:pPr>
        <w:pStyle w:val="Heading5"/>
        <w:numPr>
          <w:ilvl w:val="4"/>
          <w:numId w:val="1"/>
        </w:numPr>
        <w:rPr/>
      </w:pPr>
      <w:bookmarkStart w:id="425" w:name="__RefHeading___Toc6863706_73709187"/>
      <w:bookmarkStart w:id="426" w:name="_Toc160"/>
      <w:bookmarkEnd w:id="425"/>
      <w:r>
        <w:rPr/>
        <w:t>5</w:t>
      </w:r>
      <w:r>
        <w:rPr>
          <w:rtl w:val="true"/>
        </w:rPr>
        <w:t xml:space="preserve">. </w:t>
      </w:r>
      <w:r>
        <w:rPr>
          <w:rtl w:val="true"/>
        </w:rPr>
        <w:t>خطبته صلى الله عليه و آله في مسجد الخيف</w:t>
      </w:r>
      <w:bookmarkEnd w:id="426"/>
    </w:p>
    <w:p>
      <w:pPr>
        <w:pStyle w:val="BookText"/>
        <w:rPr/>
      </w:pPr>
      <w:r>
        <w:rPr>
          <w:rFonts w:ascii="Amiri" w:hAnsi="Amiri" w:eastAsia="Amiri" w:cs="Amiri"/>
          <w:color w:val="111111"/>
          <w:sz w:val="28"/>
          <w:sz w:val="28"/>
          <w:szCs w:val="28"/>
          <w:rtl w:val="true"/>
          <w:lang w:bidi="ar-SA"/>
        </w:rPr>
        <w:t>روى الكليني عن عدّة من أصحابنا، عن أحمد بن محمّد بن عيسى، عن أحمد بن محمّد بن أبي نصر، عن أبان بن عثمان، عن ابن أبي يعفور، عن أبي عبداللّه عليه السلام أنّ رسول اللّه صلى الله عليه و آله خطب الناس في مسجد الخيف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نَضَّر اللّه عبداً سمع مقالتي فوعاها وحفظها وبلّغها من لم يسمعها، فربّ حامل فقهٍ غيرُ فقيهٍ‌، وربّ حامل فقهٍ إلى من هو أفقه منه، ثلاث لا يغلّ عليهنّ قلب امرئٍ مسلم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إخلاص العمل للّه، والنصيحة لأئمّة المسلمين، واللزوم لجماعتهم، فإنّ دعوتهم</w:t>
      </w:r>
    </w:p>
    <w:p>
      <w:pPr>
        <w:pStyle w:val="BookText"/>
        <w:rPr/>
      </w:pPr>
      <w:r>
        <w:rPr>
          <w:rFonts w:ascii="Amiri" w:hAnsi="Amiri" w:eastAsia="Amiri" w:cs="Amiri"/>
          <w:color w:val="111111"/>
          <w:sz w:val="28"/>
          <w:sz w:val="28"/>
          <w:szCs w:val="28"/>
          <w:rtl w:val="true"/>
          <w:lang w:bidi="ar-SA"/>
        </w:rPr>
        <w:t>محيطة من ورائهم، المسلمون إخوة تتكافأ دماؤهم، ويسعى بذمّتهم أدناهم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أيضاً عن حمّاد بن عثمان، عن أبان، عن ابن أبي يعفور مثله، وزاد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يد على من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حديثه أنّه خطب في حجّة الوداع بمنى في مسجد الخيف</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ورواها الشيخ أبو عبداللّه المفيد في الأمالي بسند آخر ذكره عن الإمام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يوم 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ورواها أيضاً الشيخ الصدوق عن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عن أحمد بن محمّد بن أبي نصر البزنطي، عن حمّاد بن عثمان،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ورواها بسند آخر في الخصال</w:t>
      </w:r>
      <w:r>
        <w:rPr>
          <w:rStyle w:val="FootnoteAnchor"/>
          <w:rtl w:val="true"/>
        </w:rPr>
        <w:footnoteReference w:id="494"/>
      </w:r>
      <w:r>
        <w:rPr>
          <w:rFonts w:ascii="Amiri" w:hAnsi="Amiri" w:eastAsia="Amiri" w:cs="Amiri"/>
          <w:color w:val="111111"/>
          <w:sz w:val="28"/>
          <w:sz w:val="28"/>
          <w:szCs w:val="28"/>
          <w:rtl w:val="true"/>
          <w:lang w:bidi="ar-SA"/>
        </w:rPr>
        <w:t>، وأيضاً وردت في جمهرة خطب العرب</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ورواها ابن ماجة في السنن بسند ذكره عن جبير بن مطعم</w:t>
      </w:r>
      <w:r>
        <w:rPr>
          <w:rStyle w:val="FootnoteAnchor"/>
          <w:rtl w:val="true"/>
        </w:rPr>
        <w:footnoteReference w:id="496"/>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صلى الله عليه و آله بالخيف من 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دعوتهم تحيط من ورائهم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صدر الحديث فقط، فقد ذكره في ضمن أحاديث متعدّدة</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وقال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صلى الله عليه و آله إلى منزله بالقرب من مسجد الخيف، وخطب خطبة بليغة، بلغ صوته إلى جميع أهل الخيام في خيامهم، وهذا من جملة المعجزات النبويّة</w:t>
      </w:r>
      <w:r>
        <w:rPr>
          <w:rFonts w:eastAsia="Amiri" w:cs="Amiri" w:ascii="Amiri" w:hAnsi="Amiri"/>
          <w:color w:val="111111"/>
          <w:sz w:val="28"/>
          <w:szCs w:val="28"/>
          <w:rtl w:val="true"/>
          <w:lang w:bidi="ar-SA"/>
        </w:rPr>
        <w:t>.</w:t>
      </w:r>
      <w:r>
        <w:rPr>
          <w:rStyle w:val="FootnoteAnchor"/>
          <w:rtl w:val="true"/>
        </w:rPr>
        <w:footnoteReference w:id="498"/>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سنن أبي داود بسنده عن عبدالرحمن بن معاذ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 آله ونحن بمنى ففتحت أسماعنا، حتّى كنّا نسمع ما يقول ونحن في منازلنا،</w:t>
      </w:r>
    </w:p>
    <w:p>
      <w:pPr>
        <w:pStyle w:val="BookText"/>
        <w:rPr/>
      </w:pPr>
      <w:r>
        <w:rPr>
          <w:rFonts w:ascii="Amiri" w:hAnsi="Amiri" w:eastAsia="Amiri" w:cs="Amiri"/>
          <w:color w:val="111111"/>
          <w:sz w:val="28"/>
          <w:sz w:val="28"/>
          <w:szCs w:val="28"/>
          <w:rtl w:val="true"/>
          <w:lang w:bidi="ar-SA"/>
        </w:rPr>
        <w:t>فطفق يعلّمهم مناسكهم حتّى بلغ الجمار، فوضع إصبعيه السبّابتين،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بحصى الخذف، ثمّ أمر المهاجرين فنزلوا في مقدّم المسجد، وأمر الأنصار فنزلوا من وراء المسجد، ثمّ نزل الناس بعد ذلك</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وفي الكافي عن محمّد بن الحسن، عن بعض أصحابنا، عن عليّ بن الحكم، عن الحكم بن مسكين، عن رجل من قريش من أهل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بنا إلى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معه إليه، فوجدناه قد ركب دابّته، فقال له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حدّثنا بحديث خطبة رسول اللّه صلى الله عليه و آله في مسجد الخيف،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حتّى أذهب في حاجتي فإنّي قد ركبت فإذا جئت حدّثتك،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بقرابتك من رسول اللّه صلى الله عليه و آله لما حدّثتني،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فقال له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لي بدواة وقرطاس حتّى أثبته، فدعا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رسول اللّه صلى الله عليه و آله في مسجد الخيف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نضّر اللّه عبداً سمع مقالتي فوعاها، وبلّغها من لم تبلغه، يا أيّها الناس ليبلّغ الشاهد الغائب، فربّ حامل فقهٍ ليس بفقيه، وربّ حامل فقه إلى من هو أفقه منه، ثلاث لا يغلّ عليهنّ قلب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والنصيحة لأئمّة المسلمين، واللزوم لجماعتهم، فإنّ دعوتهم محيطة من ورائهم، المؤمنون إخوة تتكافأ دماؤهم، وهم يد على من سواهم، يسعى بذمّتهم أدناهم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فكتبه سفيان ثمّ عرضه عليه، وركب أبو عبداللّه عليه السلام</w:t>
      </w:r>
      <w:r>
        <w:rPr>
          <w:rFonts w:eastAsia="Amiri" w:cs="Amiri" w:ascii="Amiri" w:hAnsi="Amiri"/>
          <w:color w:val="111111"/>
          <w:sz w:val="28"/>
          <w:szCs w:val="28"/>
          <w:rtl w:val="true"/>
          <w:lang w:bidi="ar-SA"/>
        </w:rPr>
        <w:t>.</w:t>
      </w:r>
      <w:r>
        <w:rPr>
          <w:rStyle w:val="FootnoteAnchor"/>
          <w:rtl w:val="true"/>
        </w:rPr>
        <w:footnoteReference w:id="500"/>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القمّي هذه الخطبة المباركة وزاد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النبي صلى الله عليه و آله في التمسّك بالثقلين</w:t>
      </w:r>
      <w:r>
        <w:rPr>
          <w:rStyle w:val="FootnoteAnchor"/>
          <w:rtl w:val="true"/>
        </w:rPr>
        <w:footnoteReference w:id="501"/>
      </w:r>
      <w:r>
        <w:rPr>
          <w:rFonts w:ascii="Amiri" w:hAnsi="Amiri" w:eastAsia="Amiri" w:cs="Amiri"/>
          <w:color w:val="111111"/>
          <w:sz w:val="28"/>
          <w:sz w:val="28"/>
          <w:szCs w:val="28"/>
          <w:rtl w:val="true"/>
          <w:lang w:bidi="ar-SA"/>
        </w:rPr>
        <w:t>، وليس ببعيد؛ لأنّه قد أمر المسلمين بالتمسّك بالثقلين مرّات عديدة وفي مواطن شتّى‌</w:t>
      </w:r>
      <w:r>
        <w:rPr>
          <w:rFonts w:eastAsia="Amiri" w:cs="Amiri" w:ascii="Amiri" w:hAnsi="Amiri"/>
          <w:color w:val="111111"/>
          <w:sz w:val="28"/>
          <w:szCs w:val="28"/>
          <w:rtl w:val="true"/>
          <w:lang w:bidi="ar-SA"/>
        </w:rPr>
        <w:t>.</w:t>
      </w:r>
      <w:bookmarkStart w:id="427" w:name="pg16768_165372"/>
    </w:p>
    <w:p>
      <w:pPr>
        <w:pStyle w:val="Heading5"/>
        <w:numPr>
          <w:ilvl w:val="4"/>
          <w:numId w:val="1"/>
        </w:numPr>
        <w:rPr/>
      </w:pPr>
      <w:bookmarkStart w:id="428" w:name="__RefHeading___Toc6863708_73709187"/>
      <w:bookmarkStart w:id="429" w:name="_Toc161"/>
      <w:bookmarkEnd w:id="427"/>
      <w:bookmarkEnd w:id="428"/>
      <w:r>
        <w:rPr/>
        <w:t>6</w:t>
      </w:r>
      <w:r>
        <w:rPr>
          <w:rtl w:val="true"/>
        </w:rPr>
        <w:t xml:space="preserve">. </w:t>
      </w:r>
      <w:r>
        <w:rPr>
          <w:rtl w:val="true"/>
        </w:rPr>
        <w:t>خطبة رسول اللّه صلى الله عليه و آله عند الكعبة</w:t>
      </w:r>
      <w:bookmarkEnd w:id="429"/>
    </w:p>
    <w:p>
      <w:pPr>
        <w:pStyle w:val="BookText"/>
        <w:rPr/>
      </w:pPr>
      <w:r>
        <w:rPr>
          <w:rFonts w:ascii="Amiri" w:hAnsi="Amiri" w:eastAsia="Amiri" w:cs="Amiri"/>
          <w:color w:val="111111"/>
          <w:sz w:val="28"/>
          <w:sz w:val="28"/>
          <w:szCs w:val="28"/>
          <w:rtl w:val="true"/>
          <w:lang w:bidi="ar-SA"/>
        </w:rPr>
        <w:t>عندما قضى رسول اللّه صلى الله عليه و آله حجّته أتى مودِّعاً للكعبة الشريفة، فلزم حلقة الباب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من في المسجد الحرام ومن في السوق حوله، فخطب هذه الخطبة البليغة وذكر الفتن الّتي تحدث بعده والفساد الّذي يتعرّض له الناس في أخلاقهم وأعمالهم وعقائدهم، وتحقّق أشراط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وجدير بالذكر أنّ لهذه الخطبة المباركة روايات متعدّدة مختلفة فيما بينها في بعض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ومشتركة في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السيوطي في الدرّ المنثور ذيل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يَنْظُرُونَ إِلاَّ السّاعَةَ أَنْ تَأْتِيَهُمْ بَغْتَةً فَقَدْ جاءَ أَشْراطُها</w:t>
      </w:r>
      <w:r>
        <w:rPr>
          <w:rFonts w:eastAsia="Amiri" w:cs="Amiri" w:ascii="Amiri" w:hAnsi="Amiri"/>
          <w:color w:val="111111"/>
          <w:sz w:val="28"/>
          <w:szCs w:val="28"/>
          <w:rtl w:val="true"/>
          <w:lang w:bidi="ar-SA"/>
        </w:rPr>
        <w:t xml:space="preserve">) </w:t>
      </w:r>
      <w:r>
        <w:rPr>
          <w:rStyle w:val="FootnoteAnchor"/>
          <w:rtl w:val="true"/>
        </w:rPr>
        <w:footnoteReference w:id="502"/>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ابن مردويه،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النبي حجّة الوداع ثمّ أخذ بحلقة باب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ألا أخبركم بأشراط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ورواها أيضاً محيي الدِّين ابن العربي في محاضرة الأبرار ومسامرة الأخيار مرسلاً عن عبداللّه بن عبّاس، عن النبي صلى الله عليه و آله</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وأمّا في كتب الشيعة الإماميّة فرويت في جامع الأخبار مرسلة عن جابر بن عبداللّه الأنصاري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رسول اللّه صلى الله عليه و آله حجّة الوداع، فلمّا قضى النبي صلى الله عليه و آله ما افترض عليه من الحجّ أتى مودِّعاً الكعبة، فلزم حلقة الباب ونادى برفيع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أهل المسجد وأهل السوق،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إنّي قائل ما هو بعدي كائن إلى آخره</w:t>
      </w:r>
      <w:r>
        <w:rPr>
          <w:rFonts w:eastAsia="Amiri" w:cs="Amiri" w:ascii="Amiri" w:hAnsi="Amiri"/>
          <w:color w:val="111111"/>
          <w:sz w:val="28"/>
          <w:szCs w:val="28"/>
          <w:rtl w:val="true"/>
          <w:lang w:bidi="ar-SA"/>
        </w:rPr>
        <w:t>.</w:t>
      </w:r>
      <w:r>
        <w:rPr>
          <w:rStyle w:val="FootnoteAnchor"/>
          <w:rtl w:val="true"/>
        </w:rPr>
        <w:footnoteReference w:id="50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تفسير القمي في ذيل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يَنْظُرُونَ إِلاَّ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سليمان بن مسلم بن الخشّاب، عن عبداللّه بن جريج المكّي، عن عطاء بن أبي رباح، عن 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مع رسول اللّه صلى الله عليه و آله حجّة</w:t>
      </w:r>
      <w:bookmarkStart w:id="430" w:name="pg16768_165373"/>
    </w:p>
    <w:p>
      <w:pPr>
        <w:pStyle w:val="BookText"/>
        <w:rPr/>
      </w:pPr>
      <w:bookmarkEnd w:id="430"/>
      <w:r>
        <w:rPr>
          <w:rFonts w:ascii="Amiri" w:hAnsi="Amiri" w:eastAsia="Amiri" w:cs="Amiri"/>
          <w:color w:val="111111"/>
          <w:sz w:val="28"/>
          <w:sz w:val="28"/>
          <w:szCs w:val="28"/>
          <w:rtl w:val="true"/>
          <w:lang w:bidi="ar-SA"/>
        </w:rPr>
        <w:t>الوداع فأخذ بحلقة باب الكعبة، ثمّ أقبل علينا بوجهه،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 بأشراط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أدنى الناس منه يومئذٍ سلمان رحمة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أشراط الساعة إضاعة الصلوات واتّباع الشهوات، والميل إلى الأهواء، وتعظيم أصحاب المال، وبيع الدين بالدنيا، فعندها يذوب قلب المؤمن في جوفه كما يُذاب الملح في الماء ممّا يرى من المنكر فلا يستطيع أن يغيّره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 والّذي نفسي بيده، 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عندها يليهم أُمراء جَوَرَة ووزراء فسقة، وعرفاء ظلمة، وأُمناء خونة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 والذي نفسي بيده يا سلمان إنّ عندها يكون المنكر معروفاً، والمعروف منكراً، ويؤتمن الخائن، ويخوّن الأمين، ويصدَّق الكاذب، ويكذَّب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الخطبة الشريفة</w:t>
      </w:r>
      <w:r>
        <w:rPr>
          <w:rFonts w:eastAsia="Amiri" w:cs="Amiri" w:ascii="Amiri" w:hAnsi="Amiri"/>
          <w:color w:val="111111"/>
          <w:sz w:val="28"/>
          <w:szCs w:val="28"/>
          <w:rtl w:val="true"/>
          <w:lang w:bidi="ar-SA"/>
        </w:rPr>
        <w:t>».</w:t>
      </w:r>
      <w:r>
        <w:rPr>
          <w:rStyle w:val="FootnoteAnchor"/>
          <w:rtl w:val="true"/>
        </w:rPr>
        <w:footnoteReference w:id="506"/>
      </w:r>
    </w:p>
    <w:p>
      <w:pPr>
        <w:pStyle w:val="Heading5"/>
        <w:numPr>
          <w:ilvl w:val="4"/>
          <w:numId w:val="1"/>
        </w:numPr>
        <w:rPr/>
      </w:pPr>
      <w:bookmarkStart w:id="431" w:name="__RefHeading___Toc6863710_73709187"/>
      <w:bookmarkStart w:id="432" w:name="_Toc162"/>
      <w:bookmarkEnd w:id="431"/>
      <w:r>
        <w:rPr/>
        <w:t>7</w:t>
      </w:r>
      <w:r>
        <w:rPr>
          <w:rtl w:val="true"/>
        </w:rPr>
        <w:t xml:space="preserve">. </w:t>
      </w:r>
      <w:r>
        <w:rPr>
          <w:rtl w:val="true"/>
        </w:rPr>
        <w:t>خطبته صلى الله عليه و آله في غدير خُم</w:t>
      </w:r>
      <w:bookmarkEnd w:id="43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أتم رسول اللّه صلى الله عليه و آله والمسلمون حجّهم وقضوا مناسكهم خرجوا من مكة المكرمة في ضحى اليوم الرابع عشر من ذي الحجة الحرام متوجهين إلى المدينة المنورة، وكان موكب الرسول صلى الله عليه و آله يسير نحو المدينة منزلاً بعد منزل ومرحلة بعد مرحلة، حتّى مضى اليوم الخامس عشر والسادس عشر والسابع عشر وفي ضحى اليوم الثامن عشر وحينما بلغ الموكب الشريف قريباً من الجحفة بغدير خمّ وقد ابتعد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عن مكة، وقبل تفرّق الحجاج في مسيرهم</w:t>
      </w:r>
    </w:p>
    <w:p>
      <w:pPr>
        <w:pStyle w:val="BookText"/>
        <w:rPr/>
      </w:pPr>
      <w:r>
        <w:rPr>
          <w:rFonts w:ascii="Amiri" w:hAnsi="Amiri" w:eastAsia="Amiri" w:cs="Amiri"/>
          <w:color w:val="111111"/>
          <w:sz w:val="28"/>
          <w:sz w:val="28"/>
          <w:szCs w:val="28"/>
          <w:rtl w:val="true"/>
          <w:lang w:bidi="ar-SA"/>
        </w:rPr>
        <w:t>وذهابهم إلى أوطانهم، نادى منادي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فارتج الحجاج من هذا النداء، إذ لم تكن هذه الساعة زمان نزول ولم يكن هذا المكان منزلاً وموقفاً للاستراحة، فتوقّف الموكب، فلحق من كان في آخر القافلة، ورجع من كان في مقدّمها، فجمعوا في الحرّ الشديد ليسمعوا الخبر الهامّ‌، حتّى وضع كثير منهم رداءه على رأسه من حرارة الشمس، ووضع البعض رداءه تحت قدميه اتّقاءً لِلَهيب الرمضاء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فصلّى رسول اللّه صلى الله عليه و آله بالمسلمين صلاة الظهر، ثمّ صنعوا من أقتاب الإبل منبراً رفيعاً لرسول اللّه صلى الله عليه و آله، فصار الأُلوف من البشر آذاناً صاغية لكلامه صلى الله عليه و آله ليسمعوا وليعوا كلام خطيب اللّه تعالى، فرقى المنبر وفتح فمه الطيّب وتكلّم بكلام بلّغ فيه المسلمين ما أمره اللّه تعالى بتبليغه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نورد الخطبة الشريفة عن كتاب المناقب لابن المغازلي الشافعي بسند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نحمده ونستعينه، ونؤمن به ونتوكّل عليه، ونعوذ باللّه من شرور أنفسنا، ومن سيّئات أعمالنا، الّذي لا هادي لمن أضلّ‌، ولا مضلَّ لمن هدى، وأشهد أن لا إله إلّااللّه، وأنّ محمّداً عبده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يكن لنبيّ من العمر إلّانصف من</w:t>
      </w:r>
      <w:r>
        <w:rPr>
          <w:rStyle w:val="FootnoteAnchor"/>
          <w:rtl w:val="true"/>
        </w:rPr>
        <w:footnoteReference w:id="507"/>
      </w:r>
      <w:r>
        <w:rPr>
          <w:rFonts w:ascii="Amiri" w:hAnsi="Amiri" w:eastAsia="Amiri" w:cs="Amiri"/>
          <w:color w:val="111111"/>
          <w:sz w:val="28"/>
          <w:sz w:val="28"/>
          <w:szCs w:val="28"/>
          <w:rtl w:val="true"/>
          <w:lang w:bidi="ar-SA"/>
        </w:rPr>
        <w:t>عمّر من قبله، وإنّ عيسى بن مريم عليه السلام لبث في قومه أربعين سنة، وإنّي قد أسرعت في العشرين، ألا وإنّي يوشك أن أُفارقكم، ألا وإنّي مسؤول وأنتم مسؤولون، فهل بلّغتكم‌؟ فماذا أنتم قائلون‌؟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من كلّ ناحية من القوم مجيب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عبداللّه ورسوله، قد بلّغت رسالته، وجاهدت في سبيله، وصدعت بأمره، وعبدته حتّى أتاك اليقين، جزاك اللّه عنّا خير ما جزى نبيّاً عن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تشهدون أن لا إله إلّااللّه وحده لا شريك له، وأنّ محمّداً عبده ورسوله، وأنّ الجنّة حقّ‌، وأنّ النار حقّ‌، وتؤمنون بالكتاب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أشهد أن قد صدقتكم وصدّقتموني، ألا وإنّي فرطكم وإنّكم تبعي، توشكون أن تردوا عليَّ الحوض، فأسألكم حين تلقونني عن ثقليَّ كيف خلّفتموني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فأُعيل علينا</w:t>
      </w:r>
      <w:r>
        <w:rPr>
          <w:rStyle w:val="FootnoteAnchor"/>
          <w:rtl w:val="true"/>
        </w:rPr>
        <w:footnoteReference w:id="508"/>
      </w:r>
      <w:r>
        <w:rPr>
          <w:rFonts w:ascii="Amiri" w:hAnsi="Amiri" w:eastAsia="Amiri" w:cs="Amiri"/>
          <w:color w:val="111111"/>
          <w:sz w:val="28"/>
          <w:sz w:val="28"/>
          <w:szCs w:val="28"/>
          <w:rtl w:val="true"/>
          <w:lang w:bidi="ar-SA"/>
        </w:rPr>
        <w:t>ما ندري ما الثقلان، حتّى قام رجل من المهاجرين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وأُمّي أنت يا نبيّ اللّه ما الثقلان‌؟</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الأكبر منهما كتاب اللّه تعالى، سبب طرفه بيد اللّه وطرف بأيديكم، فتمسّكوا به ولا تضلّوا، والأصغر منهما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استقبل قبلتي وأجاب دعوتي، فلا تقتلوهم ولا تقهروهم ولا تقصروا عنهم، فإنّي قد سألت لهم اللطيف الخبير فأعطاني، ناصرهما لي ناصر، وخاذلهما لي خاذل، ووليّهما لي وليٌّ‌، وعدوّهما لي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وإنّها لم تهلك أُمّة قبلكم حتّى تتديّن بأهوائها، وتظاهر على نبوّتها، وتقتل من قام بالقسط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بيد عليّ بن أبي طالب عليه السلام فرفعها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مولاه، ومَنْ كنتُ وليّهُ فهذا وليّهُ‌،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w:t>
      </w:r>
      <w:r>
        <w:rPr>
          <w:rStyle w:val="FootnoteAnchor"/>
          <w:rtl w:val="true"/>
        </w:rPr>
        <w:footnoteReference w:id="509"/>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توّج رسول اللّه صلى الله عليه و آله عليّاً عليه السلام بعمامته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جموع حاشدة من المؤمنين بيده الشريفة فسدل طرفها على منكبه، وأمر المهاجرين والأنصار أن يسلِّموا على عليّ عليه السلام بإمرة المؤمنين ويهنّئونه بهذه الفضيلة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فسلّم وجوه المسلمين</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قال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بادر الناس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سمعنا وأطعنا على أمر اللّه ورسوله بقلوبنا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أوّل من صافق النبي صلى الله عليه و آله وعلياً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وعثمان وطلحة والزبير وباقي المهاجرين والأنصار وباقي الناس إلى أن صلى الظهرين في وقت واحد، وامتدّ ذلك إلى أن صلى العشائين في وقت واحد وأوصلوا البيعة والمصافقة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بإمرة المؤمنين وهنّأوه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ومن يراجع أغلب المصادر التاريخية وكتب الحديث يجد أنّ هذه الخطبة قد احتلت العديد من الصفحات، وأبرز مؤلّفو كتب التاريخ وجوهها المختلفة، ومن هؤلاء الطبري الّذي ألّف كتاباً جمع فيه أحاديث غدير خمّ في مجلّدين ضخمين</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وقال الشيخ سليمان الحنفي القندوزي في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أبي المعالي الجويني الملقّب بإمام الحرمين أُستاذ أبي حامد الغزالي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مجلّداً في بغداد في يد صحّاف فيه روايات خبر غدير خمّ مكتوباً عليه المجلّدة الثامنة والعشرون من طرق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ويتلوه المجلّدة التاسعة والعشرون</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ومتن الخطبة الشريفة يختلف في الروايات الحاكية لها، وكلّها تشتمل على قول رسول اللّه صلى الله عليه و آله مخاطباً هذا الجمع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بكم من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فأخذ بضبع عليّ بن أبي طالب ورفعها حتّى رُئيَ بياض إبطيهما، فقال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 اللهمَّ والِ من والاه، وعادِ من عاداه، وانصر من نصره، واخذل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الاحتجاج وروضة الواعظين والعدد القويّة واليقين</w:t>
      </w:r>
      <w:r>
        <w:rPr>
          <w:rStyle w:val="FootnoteAnchor"/>
          <w:rtl w:val="true"/>
        </w:rPr>
        <w:footnoteReference w:id="513"/>
      </w:r>
      <w:r>
        <w:rPr>
          <w:rFonts w:ascii="Amiri" w:hAnsi="Amiri" w:eastAsia="Amiri" w:cs="Amiri"/>
          <w:color w:val="111111"/>
          <w:sz w:val="28"/>
          <w:sz w:val="28"/>
          <w:szCs w:val="28"/>
          <w:rtl w:val="true"/>
          <w:lang w:bidi="ar-SA"/>
        </w:rPr>
        <w:t xml:space="preserve">ذكروا خطبة طويلة جدّاً للنبيّ العظيم في هذا المشهد العامّ‌، وبعض المؤلِّفين ذكر نصّاً متوسّطاً بين القصير والطويل لهذه الخطبة؛ كابن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المناقب كما مرّ، وابن الأثير في أُسد الغابة</w:t>
      </w:r>
      <w:r>
        <w:rPr>
          <w:rStyle w:val="FootnoteAnchor"/>
          <w:rtl w:val="true"/>
        </w:rPr>
        <w:footnoteReference w:id="514"/>
      </w:r>
      <w:r>
        <w:rPr>
          <w:rFonts w:ascii="Amiri" w:hAnsi="Amiri" w:eastAsia="Amiri" w:cs="Amiri"/>
          <w:color w:val="111111"/>
          <w:sz w:val="28"/>
          <w:sz w:val="28"/>
          <w:szCs w:val="28"/>
          <w:rtl w:val="true"/>
          <w:lang w:bidi="ar-SA"/>
        </w:rPr>
        <w:t xml:space="preserve">، والشيخ أحمد أبو الفضل بن محمّد باكثير المكّي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وسيلة المآل في عدّ مناقب الآل</w:t>
      </w:r>
      <w:r>
        <w:rPr>
          <w:rStyle w:val="FootnoteAnchor"/>
          <w:rtl w:val="true"/>
        </w:rPr>
        <w:footnoteReference w:id="515"/>
      </w:r>
      <w:r>
        <w:rPr>
          <w:rFonts w:ascii="Amiri" w:hAnsi="Amiri" w:eastAsia="Amiri" w:cs="Amiri"/>
          <w:color w:val="111111"/>
          <w:sz w:val="28"/>
          <w:sz w:val="28"/>
          <w:szCs w:val="28"/>
          <w:rtl w:val="true"/>
          <w:lang w:bidi="ar-SA"/>
        </w:rPr>
        <w:t>، والشيخ العاملي في ضياء العالمين عن كتاب الولاية للطبري المؤرِّخ</w:t>
      </w:r>
      <w:r>
        <w:rPr>
          <w:rStyle w:val="FootnoteAnchor"/>
          <w:rtl w:val="true"/>
        </w:rPr>
        <w:footnoteReference w:id="516"/>
      </w:r>
      <w:r>
        <w:rPr>
          <w:rFonts w:ascii="Amiri" w:hAnsi="Amiri" w:eastAsia="Amiri" w:cs="Amiri"/>
          <w:color w:val="111111"/>
          <w:sz w:val="28"/>
          <w:sz w:val="28"/>
          <w:szCs w:val="28"/>
          <w:rtl w:val="true"/>
          <w:lang w:bidi="ar-SA"/>
        </w:rPr>
        <w:t>، والمتّقي الهندي في كنز العمّال</w:t>
      </w:r>
      <w:r>
        <w:rPr>
          <w:rStyle w:val="FootnoteAnchor"/>
          <w:rtl w:val="true"/>
        </w:rPr>
        <w:footnoteReference w:id="517"/>
      </w:r>
      <w:r>
        <w:rPr>
          <w:rFonts w:ascii="Amiri" w:hAnsi="Amiri" w:eastAsia="Amiri" w:cs="Amiri"/>
          <w:color w:val="111111"/>
          <w:sz w:val="28"/>
          <w:sz w:val="28"/>
          <w:szCs w:val="28"/>
          <w:rtl w:val="true"/>
          <w:lang w:bidi="ar-SA"/>
        </w:rPr>
        <w:t>، والحمويني في فرائد السمطين</w:t>
      </w:r>
      <w:r>
        <w:rPr>
          <w:rStyle w:val="FootnoteAnchor"/>
          <w:rtl w:val="true"/>
        </w:rPr>
        <w:footnoteReference w:id="518"/>
      </w:r>
      <w:r>
        <w:rPr>
          <w:rFonts w:ascii="Amiri" w:hAnsi="Amiri" w:eastAsia="Amiri" w:cs="Amiri"/>
          <w:color w:val="111111"/>
          <w:sz w:val="28"/>
          <w:sz w:val="28"/>
          <w:szCs w:val="28"/>
          <w:rtl w:val="true"/>
          <w:lang w:bidi="ar-SA"/>
        </w:rPr>
        <w:t>، وابن الصبّاغ المالكي في الفصول المهمّة</w:t>
      </w:r>
      <w:r>
        <w:rPr>
          <w:rStyle w:val="FootnoteAnchor"/>
          <w:rtl w:val="true"/>
        </w:rPr>
        <w:footnoteReference w:id="519"/>
      </w:r>
      <w:r>
        <w:rPr>
          <w:rFonts w:ascii="Amiri" w:hAnsi="Amiri" w:eastAsia="Amiri" w:cs="Amiri"/>
          <w:color w:val="111111"/>
          <w:sz w:val="28"/>
          <w:sz w:val="28"/>
          <w:szCs w:val="28"/>
          <w:rtl w:val="true"/>
          <w:lang w:bidi="ar-SA"/>
        </w:rPr>
        <w:t>، وابن كثير في البداية والنهاية</w:t>
      </w:r>
      <w:r>
        <w:rPr>
          <w:rStyle w:val="FootnoteAnchor"/>
          <w:rtl w:val="true"/>
        </w:rPr>
        <w:footnoteReference w:id="520"/>
      </w:r>
      <w:r>
        <w:rPr>
          <w:rFonts w:ascii="Amiri" w:hAnsi="Amiri" w:eastAsia="Amiri" w:cs="Amiri"/>
          <w:color w:val="111111"/>
          <w:sz w:val="28"/>
          <w:sz w:val="28"/>
          <w:szCs w:val="28"/>
          <w:rtl w:val="true"/>
          <w:lang w:bidi="ar-SA"/>
        </w:rPr>
        <w:t>، وابن حجر في الصواعق المحرقة</w:t>
      </w:r>
      <w:r>
        <w:rPr>
          <w:rStyle w:val="FootnoteAnchor"/>
          <w:rtl w:val="true"/>
        </w:rPr>
        <w:footnoteReference w:id="521"/>
      </w:r>
      <w:r>
        <w:rPr>
          <w:rFonts w:ascii="Amiri" w:hAnsi="Amiri" w:eastAsia="Amiri" w:cs="Amiri"/>
          <w:color w:val="111111"/>
          <w:sz w:val="28"/>
          <w:sz w:val="28"/>
          <w:szCs w:val="28"/>
          <w:rtl w:val="true"/>
          <w:lang w:bidi="ar-SA"/>
        </w:rPr>
        <w:t>، والحلبي في السيرة النبوية</w:t>
      </w:r>
      <w:r>
        <w:rPr>
          <w:rStyle w:val="FootnoteAnchor"/>
          <w:rtl w:val="true"/>
        </w:rPr>
        <w:footnoteReference w:id="522"/>
      </w:r>
      <w:r>
        <w:rPr>
          <w:rFonts w:ascii="Amiri" w:hAnsi="Amiri" w:eastAsia="Amiri" w:cs="Amiri"/>
          <w:color w:val="111111"/>
          <w:sz w:val="28"/>
          <w:sz w:val="28"/>
          <w:szCs w:val="28"/>
          <w:rtl w:val="true"/>
          <w:lang w:bidi="ar-SA"/>
        </w:rPr>
        <w:t>، والهيثمي في مجمع الزوائد</w:t>
      </w:r>
      <w:r>
        <w:rPr>
          <w:rStyle w:val="FootnoteAnchor"/>
          <w:rtl w:val="true"/>
        </w:rPr>
        <w:footnoteReference w:id="523"/>
      </w:r>
      <w:r>
        <w:rPr>
          <w:rFonts w:ascii="Amiri" w:hAnsi="Amiri" w:eastAsia="Amiri" w:cs="Amiri"/>
          <w:color w:val="111111"/>
          <w:sz w:val="28"/>
          <w:sz w:val="28"/>
          <w:szCs w:val="28"/>
          <w:rtl w:val="true"/>
          <w:lang w:bidi="ar-SA"/>
        </w:rPr>
        <w:t>، والقرماني في أخبار الدول</w:t>
      </w:r>
      <w:r>
        <w:rPr>
          <w:rStyle w:val="FootnoteAnchor"/>
          <w:rtl w:val="true"/>
        </w:rPr>
        <w:footnoteReference w:id="524"/>
      </w:r>
      <w:r>
        <w:rPr>
          <w:rFonts w:ascii="Amiri" w:hAnsi="Amiri" w:eastAsia="Amiri" w:cs="Amiri"/>
          <w:color w:val="111111"/>
          <w:sz w:val="28"/>
          <w:sz w:val="28"/>
          <w:szCs w:val="28"/>
          <w:rtl w:val="true"/>
          <w:lang w:bidi="ar-SA"/>
        </w:rPr>
        <w:t>، وبعض المحدِّثين والرواة ذكروا فقط فقرة هامّة من هذه الخطبة؛ وهي 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إيراد هذه الخطبة قال الشاعر الشهير حسّان بن ثابت لرسول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ائذن لي يا رسول اللّه أن أقول في عليّ أبياتاً تسمعهنّ‌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على بركة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فأنشد حسّان بن ثابت شعره المعروف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يناديهمُ يوم الغدير نبيّهم بخمّ واسمع بالرسول مناديا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مولاكمُ ونبيّكم فقالوا ولم يبدوا هناك التعاميا</w:t>
      </w:r>
    </w:p>
    <w:p>
      <w:pPr>
        <w:pStyle w:val="BookText"/>
        <w:rPr/>
      </w:pPr>
      <w:r>
        <w:rPr>
          <w:rFonts w:ascii="Amiri" w:hAnsi="Amiri" w:eastAsia="Amiri" w:cs="Amiri"/>
          <w:color w:val="111111"/>
          <w:sz w:val="28"/>
          <w:sz w:val="28"/>
          <w:szCs w:val="28"/>
          <w:rtl w:val="true"/>
          <w:lang w:bidi="ar-SA"/>
        </w:rPr>
        <w:t>إلهك مولانا وأنت نبيّنا ولم تلق منّا في الولاية عاصيا</w:t>
      </w:r>
    </w:p>
    <w:p>
      <w:pPr>
        <w:pStyle w:val="BookText"/>
        <w:rPr/>
      </w:pPr>
      <w:r>
        <w:rPr>
          <w:rFonts w:ascii="Amiri" w:hAnsi="Amiri" w:eastAsia="Amiri" w:cs="Amiri"/>
          <w:color w:val="111111"/>
          <w:sz w:val="28"/>
          <w:sz w:val="28"/>
          <w:szCs w:val="28"/>
          <w:rtl w:val="true"/>
          <w:lang w:bidi="ar-SA"/>
        </w:rPr>
        <w:t>فقال له قم يا عليّ فإنّني رضيتك من بعدي إماماً وهاديا</w:t>
      </w:r>
    </w:p>
    <w:p>
      <w:pPr>
        <w:pStyle w:val="BookText"/>
        <w:rPr/>
      </w:pPr>
      <w:r>
        <w:rPr>
          <w:rFonts w:ascii="Amiri" w:hAnsi="Amiri" w:eastAsia="Amiri" w:cs="Amiri"/>
          <w:color w:val="111111"/>
          <w:sz w:val="28"/>
          <w:sz w:val="28"/>
          <w:szCs w:val="28"/>
          <w:rtl w:val="true"/>
          <w:lang w:bidi="ar-SA"/>
        </w:rPr>
        <w:t>فمن كنت مولاه فهذا وليّه فكونوا له أتباع صدقٍ مواليا</w:t>
      </w:r>
    </w:p>
    <w:p>
      <w:pPr>
        <w:pStyle w:val="BookText"/>
        <w:rPr/>
      </w:pPr>
      <w:r>
        <w:rPr>
          <w:rFonts w:ascii="Amiri" w:hAnsi="Amiri" w:eastAsia="Amiri" w:cs="Amiri"/>
          <w:color w:val="111111"/>
          <w:sz w:val="28"/>
          <w:sz w:val="28"/>
          <w:szCs w:val="28"/>
          <w:rtl w:val="true"/>
          <w:lang w:bidi="ar-SA"/>
        </w:rPr>
        <w:t>هناك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وليّه وكُن للّذي عادى عليّاً معاديا</w:t>
      </w:r>
    </w:p>
    <w:p>
      <w:pPr>
        <w:pStyle w:val="BookText"/>
        <w:rPr/>
      </w:pPr>
      <w:r>
        <w:rPr>
          <w:rFonts w:ascii="Amiri" w:hAnsi="Amiri" w:eastAsia="Amiri" w:cs="Amiri"/>
          <w:color w:val="111111"/>
          <w:sz w:val="28"/>
          <w:sz w:val="28"/>
          <w:szCs w:val="28"/>
          <w:rtl w:val="true"/>
          <w:lang w:bidi="ar-SA"/>
        </w:rPr>
        <w:t>وقد روى هذه الأبيات الستّة العلّامة الأميني في كتابه الغدير</w:t>
      </w:r>
      <w:r>
        <w:rPr>
          <w:rStyle w:val="FootnoteAnchor"/>
          <w:rtl w:val="true"/>
        </w:rPr>
        <w:footnoteReference w:id="525"/>
      </w:r>
      <w:r>
        <w:rPr>
          <w:rFonts w:ascii="Amiri" w:hAnsi="Amiri" w:eastAsia="Amiri" w:cs="Amiri"/>
          <w:color w:val="111111"/>
          <w:sz w:val="28"/>
          <w:sz w:val="28"/>
          <w:szCs w:val="28"/>
          <w:rtl w:val="true"/>
          <w:lang w:bidi="ar-SA"/>
        </w:rPr>
        <w:t xml:space="preserve">عن اثني عشر من علماء أهل السنّة وعن اثنين وعشرين من علماء الإمامية، ونقلها عن كتاب سليمان بن قيس الهلالي والمولى محسن الفيض الكاشاني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اليقين</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بزيادة أبيات أربعة، وقال بعد البيت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جبريل عن أمر ربّه بأنّك معصوم فلا تك وانيا</w:t>
      </w:r>
    </w:p>
    <w:p>
      <w:pPr>
        <w:pStyle w:val="BookText"/>
        <w:rPr/>
      </w:pPr>
      <w:r>
        <w:rPr>
          <w:rFonts w:ascii="Amiri" w:hAnsi="Amiri" w:eastAsia="Amiri" w:cs="Amiri"/>
          <w:color w:val="111111"/>
          <w:sz w:val="28"/>
          <w:sz w:val="28"/>
          <w:szCs w:val="28"/>
          <w:rtl w:val="true"/>
          <w:lang w:bidi="ar-SA"/>
        </w:rPr>
        <w:t>وبلّغهم ما أنزل اللّه ربّهم إليك ولا تخش هناك الأعاديا</w:t>
      </w:r>
    </w:p>
    <w:p>
      <w:pPr>
        <w:pStyle w:val="BookText"/>
        <w:rPr/>
      </w:pPr>
      <w:r>
        <w:rPr>
          <w:rFonts w:ascii="Amiri" w:hAnsi="Amiri" w:eastAsia="Amiri" w:cs="Amiri"/>
          <w:color w:val="111111"/>
          <w:sz w:val="28"/>
          <w:sz w:val="28"/>
          <w:szCs w:val="28"/>
          <w:rtl w:val="true"/>
          <w:lang w:bidi="ar-SA"/>
        </w:rPr>
        <w:t>فقام به إذ ذاك رافع كفّه بكفّ عليٍّ مُعلن الصوت عاليا</w:t>
      </w:r>
    </w:p>
    <w:p>
      <w:pPr>
        <w:pStyle w:val="BookText"/>
        <w:rPr/>
      </w:pPr>
      <w:r>
        <w:rPr>
          <w:rFonts w:ascii="Amiri" w:hAnsi="Amiri" w:eastAsia="Amiri" w:cs="Amiri"/>
          <w:color w:val="111111"/>
          <w:sz w:val="28"/>
          <w:sz w:val="28"/>
          <w:szCs w:val="28"/>
          <w:rtl w:val="true"/>
          <w:lang w:bidi="ar-SA"/>
        </w:rPr>
        <w:t>وزاد بعد البيت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فياربّ انصر ناصريه لنصرهم إمام هدى كالبدر يجلو الدياجيا</w:t>
      </w:r>
    </w:p>
    <w:p>
      <w:pPr>
        <w:pStyle w:val="BookText"/>
        <w:rPr/>
      </w:pPr>
      <w:r>
        <w:rPr>
          <w:rFonts w:ascii="Amiri" w:hAnsi="Amiri" w:eastAsia="Amiri" w:cs="Amiri"/>
          <w:color w:val="111111"/>
          <w:sz w:val="28"/>
          <w:sz w:val="28"/>
          <w:szCs w:val="28"/>
          <w:rtl w:val="true"/>
          <w:lang w:bidi="ar-SA"/>
        </w:rPr>
        <w:t>ثمّ قال العلّامة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للباحث أنّ حسّاناً أكمل هذه الأبيات بقصيدة ضمّنها نبذاً من مناقب أمير المؤمنين عليه السلام</w:t>
      </w:r>
      <w:r>
        <w:rPr>
          <w:rFonts w:eastAsia="Amiri" w:cs="Amiri" w:ascii="Amiri" w:hAnsi="Amiri"/>
          <w:color w:val="111111"/>
          <w:sz w:val="28"/>
          <w:szCs w:val="28"/>
          <w:rtl w:val="true"/>
          <w:lang w:bidi="ar-SA"/>
        </w:rPr>
        <w:t>.</w:t>
      </w:r>
      <w:r>
        <w:rPr>
          <w:rStyle w:val="FootnoteAnchor"/>
          <w:rtl w:val="true"/>
        </w:rPr>
        <w:footnoteReference w:id="527"/>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ختام حديثنا عن هذه الخطبة الهامة ولكي نرفع ما قد يتسرب إلى نفوس البعض من الشك فيها نذكر شيئاً عن رواتها من الصحابة والتابعين، وما أُلِّفَ في</w:t>
      </w:r>
    </w:p>
    <w:p>
      <w:pPr>
        <w:pStyle w:val="BookText"/>
        <w:rPr/>
      </w:pPr>
      <w:r>
        <w:rPr>
          <w:rFonts w:ascii="Amiri" w:hAnsi="Amiri" w:eastAsia="Amiri" w:cs="Amiri"/>
          <w:color w:val="111111"/>
          <w:sz w:val="28"/>
          <w:sz w:val="28"/>
          <w:szCs w:val="28"/>
          <w:rtl w:val="true"/>
          <w:lang w:bidi="ar-SA"/>
        </w:rPr>
        <w:t>حديث الغدير،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حديث الغدير من الصحابة مائة وعشرون صحابياً،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بن أبي قحافة التيمي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هريرة الدوسي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ليلى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بصفين مع الإمام علي عليه السلام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زينب بن عوف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فضالة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بدري استشهد بصفين مع الإمام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قدامة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أبوعمرة بن عمرو بن محصّن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الهيثم بن التيِّهان استشهد بصفين مع الإمام علي عليه السلام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رافع القبطيّ‌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ذؤيب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خالد بن محرث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أيضاً اثنان وثمانون من التابعين، نذكر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راشد الحبراني الشامي، اسمه اخضر، نعمان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سلمة عبداللّه بن عبدالرحمن بن عوف الزهري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سليمان المؤذّن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صالح السمّان، ذكوان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عنفوانة المازني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عبدالرحيم الكندي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القاسم الأصبغ بن نُباتة التميمي، الكوفي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ليلى الكندي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إياس بن نُذَير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جميل بن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أيّده ورواه من العلماء وأعلام الحفاظ والمؤرخين ثلاثمائة وستون، نذكر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عيسى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جعفر الطحاوي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ابن عبد البرّ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أبو الحسن بن المغازلي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الإسلام أبو حامد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الفرج بن الجوزي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المظفر سبط ابن الجوزي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عبداللّه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أبو المكارم علاء الدين السمناني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الذهبي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شمس الدين الجزري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جمال الدين أبو المحاسن يوسف بن صلاح الدين الحنفي</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الدين الهروي التازي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 الدين المناوي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الدين الحلبي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البرزنجي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ابن حمزة الحراني الدمشقي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ميرزا محمد البدخشي</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مفتي الشام العمادي الحنفي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العرفان الصّبان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محمود الآلوسي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محمود الحوت البيروتي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المولوي وليّ اللّه اللكهنوي</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الحافظ المعاصر شهاب الدين الغماري المغربي</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عبد العزيز محمد بن الصدّيق المغربي</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ألف في حديث الغدير</w:t>
      </w:r>
    </w:p>
    <w:p>
      <w:pPr>
        <w:pStyle w:val="BookText"/>
        <w:rPr/>
      </w:pPr>
      <w:r>
        <w:rPr>
          <w:rFonts w:ascii="Amiri" w:hAnsi="Amiri" w:eastAsia="Amiri" w:cs="Amiri"/>
          <w:color w:val="111111"/>
          <w:sz w:val="28"/>
          <w:sz w:val="28"/>
          <w:szCs w:val="28"/>
          <w:rtl w:val="true"/>
          <w:lang w:bidi="ar-SA"/>
        </w:rPr>
        <w:t xml:space="preserve">وإليك قائمة بأسماء بعض مَن ألّف في حديث الغدير واسم كتابه أو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ندّعي هنا أنّنا سنذكر كل ما أُلّف بهذا الصدد، لأنّ ذلك لا ولن يتوقف إن شاء اللّه تعالى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جعفر محمد بن جرير بن يزيد بن خالد الطبري، الآملي،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في طرق حديث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العباس أحمد بن محمد بن سعيد الهمداني، الحافظ المعروف بابن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الولاية في طرق حديث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محمد بن عمر بن محمد بن سالم التميمي، البغدادي، المعروف بالجُعابي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روى حديث غدير خم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طالب عبداللّه بن أحمد بن زيد الأنباري،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 حديث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غالب أحمد بن محمد بن محمد الزُّراري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جزء في خطبة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المفضل محمد بن عبداللّه بن المطّلب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روى حديث غدير خم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الحافظ علي بن عمر الدارقطني،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الكنجي الشافعي في كفايته عند ذكر 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الحافظ الدارقطني طرقه في جزء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محسن بن الحسين بن أحمد النيسابوري، الخزاعي،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عبدالرحمن بن عيسى بن عروة بن الجراح القناني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 خبر الولاية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عبداللّه الحسين بن عبيداللّه بن إبراهيم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سعيد مسعود بن ناصر بن أبي زيد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الدراية في حديث الولاية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الفتح محمد بن علي بن عثمان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البصير في حجج يوم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بلال بن معاوية بن أحمد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منصور اللائي، الرازي،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علي بن الحسن الطاطري،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الولاية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القاسم عبيداللّه بن عبداللّه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دعاة الهداة إلى أداء حق الموالاة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يذكر فيه حديث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 حديث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محمد بن الجزري، الدمشقي، المقري،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أفرد رسالة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تواتر حديث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المولى عبداللّه بن شاه منصور القزويني، الطوسي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الرسالة الغديرية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سبط الحسن الجايسي، الهندي، اللكهنوي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بالأُردوية، طبع في الهند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مير حامد حسين ابن السيد محمد قلي الموسوي، الهندي،</w:t>
      </w:r>
    </w:p>
    <w:p>
      <w:pPr>
        <w:pStyle w:val="BookText"/>
        <w:rPr/>
      </w:pPr>
      <w:r>
        <w:rPr>
          <w:rFonts w:ascii="Amiri" w:hAnsi="Amiri" w:eastAsia="Amiri" w:cs="Amiri"/>
          <w:color w:val="111111"/>
          <w:sz w:val="28"/>
          <w:sz w:val="28"/>
          <w:szCs w:val="28"/>
          <w:rtl w:val="true"/>
          <w:lang w:bidi="ar-SA"/>
        </w:rPr>
        <w:t xml:space="preserve">اللكهنوي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حديث الغدير وطرقه وتواتره ومفاده في مجلّدين ضخمين في ألف وثمان صحائف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من مجلّدات كتابه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مهدي ابن السيد علي الغريفي، البحراني،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الولاية في حديث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الحاج الشيخ عباس بن محمد رضا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مرتضى حسين الخطيب الفتحبوري،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تفسير التكميل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النازلة في واقعة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محمد رضا ابن الشيخ طاهر آل فرج اللّه،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 في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الشيخ عبد الحسين بن أحمد الأميني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الغدير في الكتاب والسنة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هذا ما استطعنا أن نعرضه للقارئ الكريم من خطب رسول اللّه صلى الله عليه و آله في حجة الوداع، عسى أن نكون قد ساهمنا في رسم صورة لما بذله رسول اللّه صلى الله عليه و آله من جهود وتضحيات في سبيل إرشاد أُمتّه وتوضيح معالم الدين الإسلامي الحنيف لأجيال الأُمّة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أن يوفقنا للاستنان بسنّته وأن يرزقنا شفاعته في الآخرة وزيارته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والشكر للّه وله الحمد على توفيقه للصالحات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السبحاني</w:t>
      </w:r>
      <w:bookmarkStart w:id="433" w:name="pg16768_165385"/>
    </w:p>
    <w:p>
      <w:pPr>
        <w:pStyle w:val="Heading3"/>
        <w:numPr>
          <w:ilvl w:val="2"/>
          <w:numId w:val="1"/>
        </w:numPr>
        <w:rPr/>
      </w:pPr>
      <w:bookmarkStart w:id="434" w:name="__RefHeading___Toc6863712_73709187"/>
      <w:bookmarkStart w:id="435" w:name="_Toc163"/>
      <w:bookmarkEnd w:id="433"/>
      <w:bookmarkEnd w:id="434"/>
      <w:r>
        <w:rPr/>
        <w:t>5</w:t>
      </w:r>
      <w:r>
        <w:rPr>
          <w:rtl w:val="true"/>
        </w:rPr>
        <w:t xml:space="preserve"> </w:t>
      </w:r>
      <w:r>
        <w:rPr>
          <w:rtl w:val="true"/>
        </w:rPr>
        <w:t>ما هو المراد من أنّ الأنبياء لم يورثوا؟</w:t>
      </w:r>
      <w:bookmarkEnd w:id="435"/>
    </w:p>
    <w:p>
      <w:pPr>
        <w:pStyle w:val="Heading4"/>
        <w:numPr>
          <w:ilvl w:val="3"/>
          <w:numId w:val="1"/>
        </w:numPr>
        <w:rPr/>
      </w:pPr>
      <w:bookmarkStart w:id="436" w:name="__RefHeading___Toc6863714_73709187"/>
      <w:bookmarkStart w:id="437" w:name="_Toc164"/>
      <w:bookmarkEnd w:id="436"/>
      <w:r>
        <w:rPr>
          <w:rtl w:val="true"/>
        </w:rPr>
        <w:t>اشارة</w:t>
      </w:r>
      <w:bookmarkEnd w:id="43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الأخ الدكتور عبدالعزيز حسن دامت معاليه</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أرجو من اللّه سبحانه أن يديم عليكم لباس الصحّة والعافية، وعلى جميع الإخوة وأفراد العائلة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وصلتني رسالتكم عبر البريد الالكتروني ووقفت على أسئلتكم فيها، وأنتم بحمد اللّه تعالى عارفون بأجوبتها، غير أنّكم أحببتم أن أُشارككم في الإجابة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يريد الإمام الصادق عليه السلام في الرواية التي رواها الإمام الكليني عن أبي البختري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العلماء ورثة الأنبياء، وذاك أنّ الأنبياء لم يورثوا درهماً ولاديناراً وإنّما أورثوا أحاديث من أحاديثهم، فمن أخذ بشيء منها فقد أخذ حظّاً وافراً، فانظروا علمكم هذا عمّن تأخذونه‌؟ فإنّ فينا أهل البيت في كل خلف عدولاً ينفون عنه تحريف الغالين، وانتحال المبطلين، وتأويل الجاهلين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كتاب فضل العلم، باب صفة العلم وفضله وفضل العلماء،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كشف الستر عن وجه الحقيقة رهن دراسة الحديث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السند فلا غبار عليه إلّافي الراوي عن الإمام عليه السلام، أعني أبا البختري فهو وهب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وهب بن عبداللّه أبو البختري، روى عن أبي عبداللّه عليه السلام وكان كذّاباً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الطوسي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عامّي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يكن شيعياً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ضعيف، 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القاضي كذاب عامي، ونقل الكشي عن ابن شاذان أنّه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أكذب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كيف يمكن أن يستند إلى هذه الرواية في مقابل الآيات الناصّة على أنّ سليمان ورث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زكريا طلب من اللّه سبحانه أن يهب له ذرية طيبة ترثه وترث من آل يعقوب،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إِنِّي خِفْتُ الْمَوالِيَ مِنْ وَرائِي وَ كانَتِ امْرَأَتِي عاقِراً 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 يَرِثُ مِنْ آلِ يَعْقُوبَ وَ اجْعَلْهُ رَبِّ رَضِيًّا</w:t>
      </w:r>
      <w:r>
        <w:rPr>
          <w:rFonts w:eastAsia="Amiri" w:cs="Amiri" w:ascii="Amiri" w:hAnsi="Amiri"/>
          <w:color w:val="111111"/>
          <w:sz w:val="28"/>
          <w:szCs w:val="28"/>
          <w:rtl w:val="true"/>
          <w:lang w:bidi="ar-SA"/>
        </w:rPr>
        <w:t>)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ولا يتبادر من لفظ الإرث إلّاما هو المتبادر والمعروف عند العرف</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والشاهد على أنّ المراد من الوراثة في دعاء زكريا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اجْعَلْهُ رَبِّ 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كان المراد من الوراثة الوراثة في النبوة صار هذا الطلب أمراً لغواً، واحتمال أنّ المراد هو الوراثة في العلم لا يناسب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ليس آل يعقوب بأجمعهم عُلُماء فهماء كأخوة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فهل يحتمل أن يطلب زكريا ولداً يرث ما في إخوة يوسف من الخصال مع أنّ النبي يوسف عليه السلام قد وصفهم بالجهل،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عَلِمْتُمْ ما فَعَلْتُمْ بِيُوسُفَ وَ أَخِيهِ إِذْ أَنْتُمْ جاهِلُونَ‌</w:t>
      </w:r>
      <w:r>
        <w:rPr>
          <w:rFonts w:eastAsia="Amiri" w:cs="Amiri" w:ascii="Amiri" w:hAnsi="Amiri"/>
          <w:color w:val="111111"/>
          <w:sz w:val="28"/>
          <w:szCs w:val="28"/>
          <w:rtl w:val="true"/>
          <w:lang w:bidi="ar-SA"/>
        </w:rPr>
        <w:t>) .</w:t>
      </w:r>
      <w:r>
        <w:rPr>
          <w:rStyle w:val="FootnoteAnchor"/>
          <w:rtl w:val="true"/>
        </w:rPr>
        <w:footnoteReference w:id="556"/>
      </w:r>
      <w:bookmarkStart w:id="438" w:name="pg16768_165387"/>
    </w:p>
    <w:p>
      <w:pPr>
        <w:pStyle w:val="BookText"/>
        <w:rPr/>
      </w:pPr>
      <w:bookmarkEnd w:id="438"/>
      <w:r>
        <w:rPr>
          <w:rFonts w:ascii="Amiri" w:hAnsi="Amiri" w:eastAsia="Amiri" w:cs="Amiri"/>
          <w:color w:val="111111"/>
          <w:sz w:val="28"/>
          <w:sz w:val="28"/>
          <w:szCs w:val="28"/>
          <w:rtl w:val="true"/>
          <w:lang w:bidi="ar-SA"/>
        </w:rPr>
        <w:t>وأمّا ما يرجع إلى سليمان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فلا يمكن حمله على الوراثة في العلم، وذلك لأنّه سبحانه قد ذكر في الآية المتقدمة أنّه آتاهما علماً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 داوُدَ وَ سُلَيْمانَ عِلْماً وَ قالاَ الْحَمْدُ لِلّهِ الَّذِي فَضَّلَنا عَلى كَثِيرٍ مِنْ عِبادِهِ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فبعد هذا التصريح بأنّ اللّه سبحانه وهبهما العلم فلا حاجة لتكرار ما ذكره بصراحة تامة، فتفسير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بالوراثة في العلم ساقط جداً، وبذلك تبيّن أنّ علم الناس على قسمين اكتسابي أو إيهابي، وليس العلم أمراً وراثياً إلّاعلى سبيل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هذه الآيات الناصّة على أنّ سنّة اللّه سبحانه في الأنبياء وغيرهم على نمط سواء، فهم يتوارثون كغيرهم وإنّما لا يتوارث أهل ملتين</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6863716_73709187"/>
      <w:bookmarkStart w:id="440" w:name="_Toc165"/>
      <w:bookmarkEnd w:id="439"/>
      <w:r>
        <w:rPr>
          <w:rtl w:val="true"/>
        </w:rPr>
        <w:t>دراسة مضمون الحديث</w:t>
      </w:r>
      <w:bookmarkEnd w:id="440"/>
    </w:p>
    <w:p>
      <w:pPr>
        <w:pStyle w:val="BookText"/>
        <w:rPr/>
      </w:pPr>
      <w:r>
        <w:rPr>
          <w:rFonts w:ascii="Amiri" w:hAnsi="Amiri" w:eastAsia="Amiri" w:cs="Amiri"/>
          <w:color w:val="111111"/>
          <w:sz w:val="28"/>
          <w:sz w:val="28"/>
          <w:szCs w:val="28"/>
          <w:rtl w:val="true"/>
          <w:lang w:bidi="ar-SA"/>
        </w:rPr>
        <w:t>لو افترضنا صحّة سند الحديث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الإمعان فيه يقودنا إلى أنّ المقصود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ورثة الأنبياء، وذاك أنّ الأنبياء لم يورثوا درهماً ولا ديناراً وإنّما ورثوا أحاديث من أحاديثهم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أنّ شأن الأنبياء ووظيفتهم هو توعية الناس وتعليمهم بأحاديثهم وكلماتهم، وليس من شأنهم أن يتركوا للناس الدنانير والدراهم، وأين هذا من أنّ النبي لو مات وترك بيتاً أو فراشاً أو أموالاً لا ترثها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بصدد بيان علاقة النبي مع أُمّته وأصحابه، وأنّه ما ترك لهم فضة ولا ذهباً وإنّما ترك لهم علماً وسنّة واضحة ليلها كنهارها، فعلى الأُمّة أن تأخذ بهذه الأحاديث عن طريق العلماء فمن أخذ بها أخذ حظاً وافراً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علاقة لهذا الحديث بما يتركه النبي من مال إلى أزواجه وأولاده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يتبادر إلى ذهن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مجرداً عمّا جرى بعد رحيل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بصدد بيان حرمان ابنته فاطمة الزهراء عمّا تركه من بيضاء وصفراء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يدلّ على ذلك أنّ الخليفة الذي روى حديث الحرمان لم يتعرض لما تركه النبي صلى الله عليه و آله لنسائه وأزواجه وإنّما تصدّى لخصوص فدك، فلو كان الحديث صحيحاً، وكان ما تركه النبي صلى الله عليه و آله صدقة يجب عليه استرداد عامة البيوت من أزواجه وتقسيمها على مستحقي الصدقات، مع أنّا نرى أنّه تركها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لم يتعرض أيضاً لما كان عند علي من سيف النبي صلى الله عليه و آله وخاتمه وفرسه وألبسته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مع أنّه ادّعى أنّ الأنبياء لا يورثون، استأذن من ابنته عائشة لأن يدفن في بيتها، مع أنّ عائشة لم تكن مالكة له، بل كان من الأموال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 الخليفة الثاني أيضاً استأذن عائشة في أن يدفن في حجرتها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يدلّ على أنّ الخليفتين كانا على علم بأنّ عائشة مالكة لهذا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الحكم بحرمان أولاد الأنبياء من الأموال الخاصة لآبائهم نوع إهانة لهم، فأي فرق بين الأنبياء وغيرهم، فأولاد الآخرين محترمون، باقون تحت عطاء آبائهم، وأمّا أولاد الأنبياء فهم محرومون حتى من الشيء البسيط الذي يتركه الوالد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يثير العجب أنّ النبي صلى الله عليه و آله قد ذكر ذلك الحكم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 فقط مع أنّ اللازم أن يوجه كلامه إلى بنته التي هي وارثته بعد رحيله، فلماذا ترك صاحب الشأن وتحدّث به إلى من لا يعنيه‌؟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تتجلّى حقيقة كلام بنت المصطفى مخاطبة لأبي بكر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أبي قحافة أفي كتاب اللّه أن ترث أباك ولا أرث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شيئاً 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أفعلى عمد تركتم كتاب اللّه فنبذتموه وراء ظهوركم، وزعمتم أن لا حظوة لي ولا إرث من أبي ولا رحم بيننا؟ أفخصّكم اللّه بآية أخرج أبي منها أم هل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ملتين لا يتوارثان‌؟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 أنا وأبي من أهل ملة واحدة، أم أنتم أعلم بخصوص القرآن</w:t>
      </w:r>
    </w:p>
    <w:p>
      <w:pPr>
        <w:pStyle w:val="BookText"/>
        <w:rPr/>
      </w:pPr>
      <w:r>
        <w:rPr>
          <w:rFonts w:ascii="Amiri" w:hAnsi="Amiri" w:eastAsia="Amiri" w:cs="Amiri"/>
          <w:color w:val="111111"/>
          <w:sz w:val="28"/>
          <w:sz w:val="28"/>
          <w:szCs w:val="28"/>
          <w:rtl w:val="true"/>
          <w:lang w:bidi="ar-SA"/>
        </w:rPr>
        <w:t>وعمومه من أبي وابن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فدك هي ممّا كان قد وهبه النبي لفاطمة في حياته بعد أن أمره اللّه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ما تركه النبي صلى الله عليه و آله لا يورث ويكون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ذلك الأحاديث الواردة حول 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السيوطي في تفسيره الدر المنثور عن أبي سعيد الخدري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 آله فاطمة فأعطاها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عن ابن عباس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 رسول اللّه صلى الله عليه و آله فاطمة فدكاً</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الوجه لتسمية الأئمة أولادهم بأسماء الصحابة‌؟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أسماء الخلفاء الثلاثة لم تكن أسماء مختصّة بهم فقط، بل هي أسماء كانت شائعة ومنتشرة بين العرب قبل الإسلام وبعده، واتّخاذ عليّ عليه السلام هذه الأسماء لأبنائه لا يكون دليلاً على حُسن العلاقة بينه وبين أصحاب الخلافة، وأنتم بإمكانكم مراجعة الكتب الرجاليّة 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 البرّ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الأثير، لتلاحظوا الصحابة الذين كانوا يحملون أسماء أبي بكر أو عمر أو عثمان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هنا نستعرض أسماء الأشخاص الذين يحملون اسم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الإسلام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واحد فقط، وهو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 في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كأُنموذج لما ذكرنا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الأسلمي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الجمعي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الحكم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سالم الخزاعي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سراقة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سعد الأنماري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سعد السلمي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سفيان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أبي سلمة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عامر السلمي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bookmarkStart w:id="441" w:name="pg16768_165390"/>
    </w:p>
    <w:p>
      <w:pPr>
        <w:pStyle w:val="BookText"/>
        <w:rPr/>
      </w:pPr>
      <w:bookmarkEnd w:id="441"/>
      <w:r>
        <w:rPr>
          <w:rFonts w:ascii="Amiri" w:hAnsi="Amiri" w:eastAsia="Amiri" w:cs="Amiri"/>
          <w:color w:val="111111"/>
          <w:sz w:val="28"/>
          <w:sz w:val="28"/>
          <w:szCs w:val="28"/>
          <w:rtl w:val="true"/>
          <w:lang w:bidi="ar-SA"/>
        </w:rPr>
        <w:t xml:space="preserve">عمر بن عبيداللّه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عكرمة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عمرو الليثي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عمير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عوف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غزية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لاحق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مالك بن عقبة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مالك الأنصاري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معاوية الغاضري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يزيد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فقط الأشخاص الذين أورد ابن الأثير أسماءهم، وإلّا فلو أضفنا التابعين الذين يحملون اسم عمر، فسوف نقطع بأدلّة راسخة بأنّ هذا الاسم وأسماء الخلفاء الآخرين هي من الأسماء المعروفة والمشتهرة عند العرب في الجاهليّة والإسلام، ولا يرد في بال أحدهم هذا الادّعاء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التسمية لم تحمل بُعداً عقائدياً إلى عصور متأخّرة، فعلى سبيل المثال نجد من أصحاب الإمام الصادق عليه السلام ومن بعدهم من أصحاب الأئمة عليهم السلام مَن يسمّى بمعاوية ويزيد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تجد من سفراء الإمام الحجة عليه السلام مَن اسمه عثمان، وكما نجد من المخالفين لمدرسة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يحمل أسماء الأئمة عليهم السلام، ممّا يكشف عن أنّ التسمية لم تكن تحمل بُعداً عقائدياً</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6863718_73709187"/>
      <w:bookmarkStart w:id="443" w:name="_Toc166"/>
      <w:bookmarkEnd w:id="442"/>
      <w:r>
        <w:rPr>
          <w:rtl w:val="true"/>
        </w:rPr>
        <w:t>الهدف هو التوقّي من الأعداء</w:t>
      </w:r>
      <w:bookmarkEnd w:id="443"/>
    </w:p>
    <w:p>
      <w:pPr>
        <w:pStyle w:val="BookText"/>
        <w:rPr/>
      </w:pPr>
      <w:r>
        <w:rPr>
          <w:rFonts w:ascii="Amiri" w:hAnsi="Amiri" w:eastAsia="Amiri" w:cs="Amiri"/>
          <w:color w:val="111111"/>
          <w:sz w:val="28"/>
          <w:sz w:val="28"/>
          <w:szCs w:val="28"/>
          <w:rtl w:val="true"/>
          <w:lang w:bidi="ar-SA"/>
        </w:rPr>
        <w:t>ولنتجاوز هذا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نظرنا إلى الأوضاع المزرية والتضييق الذي لحق الشيعة في تلك الأيّام، فإنّنا سندرك أنّ الأئمّة المعصومين من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أُجبروا على تصرّفات معيّنة بهدف الحفاظ على الشيعة وتجنيبهم تلك الويلات، وهي تصرّفات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جائزة شرعاً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جملة تلك التصرّفات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وضعوا أسماء الخلفاء على أبنائهم، أو أنّهم قاموا بعقد علاقات عائليّة مع بعض كبار الصحابة عن طريق الزواج، حتّى يقلّلوا من تلك الضغوطات، ولئلّا تتمكّن آلة الظلم الأمويّة والعبّاسيّة من استغلال معارضة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للخلفاء الثلاثة للضغط على شيعة أهل البيت والإمعان في قتلهم وسحقهم، خصوصاً وأنّ المجتمع الإسلامي آنذاك كانت تسيطر البساطة</w:t>
      </w:r>
    </w:p>
    <w:p>
      <w:pPr>
        <w:pStyle w:val="BookText"/>
        <w:rPr/>
      </w:pPr>
      <w:r>
        <w:rPr>
          <w:rFonts w:ascii="Amiri" w:hAnsi="Amiri" w:eastAsia="Amiri" w:cs="Amiri"/>
          <w:color w:val="111111"/>
          <w:sz w:val="28"/>
          <w:sz w:val="28"/>
          <w:szCs w:val="28"/>
          <w:rtl w:val="true"/>
          <w:lang w:bidi="ar-SA"/>
        </w:rPr>
        <w:t>والسذاجة على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تخصيص ليالي محرم فليس هو أمراً تعبدياً منصوصاً من الأئمة عليهم السلام، بل هو من صنع الوعاظ وأرباب المقاتل وقد اقتصروا على ابرز الشهداء وأفجع المصائب، وإلّا فالجميع عند اللّه سبحانه في مقام عظيم ودرجة رفيعة يغبطها عليهم سائر الشهداء والصالحين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بلّغوا سلامنا إلى المؤمنين راجين منهم ذكرنا في صالح دعواتهم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444" w:name="pg16768_165392"/>
    </w:p>
    <w:p>
      <w:pPr>
        <w:pStyle w:val="Heading3"/>
        <w:numPr>
          <w:ilvl w:val="2"/>
          <w:numId w:val="1"/>
        </w:numPr>
        <w:rPr/>
      </w:pPr>
      <w:bookmarkStart w:id="445" w:name="__RefHeading___Toc6863720_73709187"/>
      <w:bookmarkStart w:id="446" w:name="_Toc167"/>
      <w:bookmarkEnd w:id="444"/>
      <w:bookmarkEnd w:id="445"/>
      <w:r>
        <w:rPr/>
        <w:t>6</w:t>
      </w:r>
      <w:r>
        <w:rPr>
          <w:rtl w:val="true"/>
        </w:rPr>
        <w:t xml:space="preserve"> </w:t>
      </w:r>
      <w:r>
        <w:rPr>
          <w:rtl w:val="true"/>
        </w:rPr>
        <w:t>رسالة إلى الدكتور عبدالوهاب في رؤية الهلال</w:t>
      </w:r>
      <w:bookmarkEnd w:id="446"/>
    </w:p>
    <w:p>
      <w:pPr>
        <w:pStyle w:val="Heading4"/>
        <w:numPr>
          <w:ilvl w:val="3"/>
          <w:numId w:val="1"/>
        </w:numPr>
        <w:rPr/>
      </w:pPr>
      <w:bookmarkStart w:id="447" w:name="__RefHeading___Toc6863722_73709187"/>
      <w:bookmarkStart w:id="448" w:name="_Toc168"/>
      <w:bookmarkEnd w:id="447"/>
      <w:r>
        <w:rPr>
          <w:rtl w:val="true"/>
        </w:rPr>
        <w:t>اشارة</w:t>
      </w:r>
      <w:bookmarkEnd w:id="448"/>
    </w:p>
    <w:p>
      <w:pPr>
        <w:pStyle w:val="BookText"/>
        <w:rPr/>
      </w:pPr>
      <w:r>
        <w:rPr>
          <w:rFonts w:ascii="Amiri" w:hAnsi="Amiri" w:eastAsia="Amiri" w:cs="Amiri"/>
          <w:color w:val="111111"/>
          <w:sz w:val="28"/>
          <w:sz w:val="28"/>
          <w:szCs w:val="28"/>
          <w:rtl w:val="true"/>
          <w:lang w:bidi="ar-SA"/>
        </w:rPr>
        <w:t>فضيلة الأُستاذ الفذ الدكتور عبد الوهاب إبراهيم أبو سليمان</w:t>
      </w:r>
    </w:p>
    <w:p>
      <w:pPr>
        <w:pStyle w:val="BookText"/>
        <w:rPr/>
      </w:pPr>
      <w:r>
        <w:rPr>
          <w:rFonts w:ascii="Amiri" w:hAnsi="Amiri" w:eastAsia="Amiri" w:cs="Amiri"/>
          <w:color w:val="111111"/>
          <w:sz w:val="28"/>
          <w:sz w:val="28"/>
          <w:szCs w:val="28"/>
          <w:rtl w:val="true"/>
          <w:lang w:bidi="ar-SA"/>
        </w:rPr>
        <w:t>دامت معاليه، وتواترت بيض أياديه</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 xml:space="preserve">وصلني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رسالتكم القيّمة حول إثبات رؤية الهلال ووقفت على ما فيها من جلائل الحقائق وأبهى النظريات، وأعجبني ما أبديتم من الرأي حول علم الفلك في العصر الحديث وقلتم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بلغ من الدقة حدّاً لم يبلغه في العصور السابقة، واكتشف من العوالم الكونية ما لم تعرفه الإنسانية في الماضي، ولذا فإنّه من المفترض أن يستفيد منه المسلمون مما يعينهم في أُمور دينهم ودنياهم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وداعيكم يؤيد هذه النظرية تماماً، وأنّ ما ورد من النهي عن التنجيم منصرف إلى القواعد الظنية غير المفيدة للعلم خصوصاً فيما يرجع إلى تَنبُّئِهم عن المغيبات من وقوع الحرب والصلح والغلاء والسيول وموت الفجأة وغير ذلك</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ويترتّب على هذا الأساس أنّه لو اتّفق المنجمون على عدم إمكان رؤية الهلال لا يعتد بشهادة نفر أو نفرين بل أكثر وتُحمل شهادتهم على خطأ الباصرة وتوهم الرؤية، وهنا حديث روي عن الإمام الصادق عليه السلام ننقله في المقام ربما يؤيد</w:t>
      </w:r>
    </w:p>
    <w:p>
      <w:pPr>
        <w:pStyle w:val="BookText"/>
        <w:rPr/>
      </w:pPr>
      <w:r>
        <w:rPr>
          <w:rFonts w:ascii="Amiri" w:hAnsi="Amiri" w:eastAsia="Amiri" w:cs="Amiri"/>
          <w:color w:val="111111"/>
          <w:sz w:val="28"/>
          <w:sz w:val="28"/>
          <w:szCs w:val="28"/>
          <w:rtl w:val="true"/>
          <w:lang w:bidi="ar-SA"/>
        </w:rPr>
        <w:t>ذلك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يجزي في رؤية الهلال‌؟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شهر رمضان فريضة من فرائض اللّه فلا تؤدّوا بالتظنّي، وليست رؤية الهلال أن يقوم عدة فيقول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ويقول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نره، إذا رآه واحد رآه مائة، وإذا رآه مائة رآه ألف، ولا يجزي في رؤية الهلال إذا لم يكن في السماء علّة أقلّ من شهادة خمسين، وإذا كانت في السماء علّة قبلت شهادة رجلين يدخلان ويخرجان من مصر</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وهذا يدفعنا إلى الاحتياط التام في إثبات الهلال خصوصاً إذا كانت السماء صحوة ولم يكن فيها علة فلا يجوز للحاكم أن يحكم بدخول الشهر بشهادة أفراد قليلين، إذ لو كانوا صادقين فربما تكون شهادتهم مستندة إلى خطأ الباصرة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المشاهد من شدّة رغبته إلى رؤية الهلال ربما يتخيل أنّه رآه، كما يرى العطشان السراب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يُحتج باتّفاق الفلكيين على عدم إمكان الرؤية على ضد مَن يدّعي الرؤية عندما تكون الرؤية حسب القواعد العلمية القطعية غير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لايحتج بقولهم في ثبوت الهلال وأنّ الليلة أوّل الشهر، لأنّ الصوم والإفطار معلّقان على الرؤية، لا على العلم بوجود الهلال في السماء،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صوموا لرؤيته وأفطروا لرؤيته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أئمّة أهل البيت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للرؤية وأفطر للرؤية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فخرجنا بالنتيجة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الفلكيين حجة في مورد دون مورد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فيما إذا اتفقوا على عدم إمكان الرؤية وعدم تولّد القمر لأجل عدم ابتعاده عن ضوء الشمس بمقدار يخرجه عن تحت شعاعها، ولو ادّعيت الرؤية فلا يعتدّ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بحجّة إذا ادّعوا إمكان الرؤية وخروجه عن تحت الشعاع ولكن لم</w:t>
      </w:r>
      <w:bookmarkStart w:id="449" w:name="pg16768_165394"/>
    </w:p>
    <w:p>
      <w:pPr>
        <w:pStyle w:val="BookText"/>
        <w:rPr/>
      </w:pPr>
      <w:bookmarkEnd w:id="449"/>
      <w:r>
        <w:rPr>
          <w:rFonts w:ascii="Amiri" w:hAnsi="Amiri" w:eastAsia="Amiri" w:cs="Amiri"/>
          <w:color w:val="111111"/>
          <w:sz w:val="28"/>
          <w:sz w:val="28"/>
          <w:szCs w:val="28"/>
          <w:rtl w:val="true"/>
          <w:lang w:bidi="ar-SA"/>
        </w:rPr>
        <w:t>تمكن رؤيته، مع تصدّي جماعة لاستهلال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الحجّة الرؤية المباشرة بالعين المجردة، أو أعمّ منه ومن الرؤية بمساعدة الأجهزة المقرّبة‌؟</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الحجة الرؤية بالعين غير المسلحة أو أعم منها ومن الرؤية بالعين المسلّحة‌؟</w:t>
      </w:r>
    </w:p>
    <w:p>
      <w:pPr>
        <w:pStyle w:val="BookText"/>
        <w:rPr/>
      </w:pPr>
      <w:r>
        <w:rPr>
          <w:rFonts w:ascii="Amiri" w:hAnsi="Amiri" w:eastAsia="Amiri" w:cs="Amiri"/>
          <w:color w:val="111111"/>
          <w:sz w:val="28"/>
          <w:sz w:val="28"/>
          <w:szCs w:val="28"/>
          <w:rtl w:val="true"/>
          <w:lang w:bidi="ar-SA"/>
        </w:rPr>
        <w:t xml:space="preserve">يظهر من سماحتكم أنّ الحجّة هي الأعم كما قلتم في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بالرؤية، الرؤية المباشرة بالعين المجردة أو بمساعدة الأجهزة المقرّبة، والمكبّرة كالنظارات والنواظير وأجهزة المراصد، لأنّ الرؤية من خلال هذه الوسائل رؤية حقيقية، فتدخل في الرؤية في الأحاديث</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وهناك أسئلة تطرح لعل عند سماحة الشيخ أجوبة شافية لها</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6863724_73709187"/>
      <w:bookmarkStart w:id="451" w:name="_Toc169"/>
      <w:bookmarkEnd w:id="450"/>
      <w:r>
        <w:rPr/>
        <w:t>1</w:t>
      </w:r>
      <w:r>
        <w:rPr>
          <w:rtl w:val="true"/>
        </w:rPr>
        <w:t xml:space="preserve">. </w:t>
      </w:r>
      <w:r>
        <w:rPr>
          <w:rtl w:val="true"/>
        </w:rPr>
        <w:t>التخيير بين الأقل والأكثر أمر لغو</w:t>
      </w:r>
      <w:bookmarkEnd w:id="451"/>
    </w:p>
    <w:p>
      <w:pPr>
        <w:pStyle w:val="BookText"/>
        <w:rPr/>
      </w:pPr>
      <w:r>
        <w:rPr>
          <w:rFonts w:ascii="Amiri" w:hAnsi="Amiri" w:eastAsia="Amiri" w:cs="Amiri"/>
          <w:color w:val="111111"/>
          <w:sz w:val="28"/>
          <w:sz w:val="28"/>
          <w:szCs w:val="28"/>
          <w:rtl w:val="true"/>
          <w:lang w:bidi="ar-SA"/>
        </w:rPr>
        <w:t>إنّ لازم هذا القول هو التخيير بين الأقل والأكثر وهو أمر 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التخيير بين الأقل والأكثر في عالم التشريع غير صحيح، لكون مثل هذا التشريع لغواً لا يصدر من الحكيم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ثوبك من البول، تكفيك مرة،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ثوبك من البول تكفيك ثلاث مرات، فلا يصحّ أن يجعل الشارع المرة الأُولى مطهرة وفي الوقت نفسه أن يجعل الثلاثة مطهرة أيضاً، لأنّ الثوب بالغسلة الأُولى صار طاهراً وليس نجساً حتى يطهر بثلاث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استحباب الغسل ثلاثاً، لابتغاء تأكيد النظافة، ولكن لا يمكن أن تُعدّ المرات الثلاث مطهرة بمعنى أنّ الثوب كان قبله نجساً وصار طاهراً بثلاث دفعات</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هي القاعدة الأُصولية، فنسأل عن 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الرؤية المباشرة بالعين</w:t>
      </w:r>
      <w:bookmarkStart w:id="452" w:name="pg16768_165395"/>
    </w:p>
    <w:p>
      <w:pPr>
        <w:pStyle w:val="BookText"/>
        <w:rPr/>
      </w:pPr>
      <w:bookmarkEnd w:id="452"/>
      <w:r>
        <w:rPr>
          <w:rFonts w:ascii="Amiri" w:hAnsi="Amiri" w:eastAsia="Amiri" w:cs="Amiri"/>
          <w:color w:val="111111"/>
          <w:sz w:val="28"/>
          <w:sz w:val="28"/>
          <w:szCs w:val="28"/>
          <w:rtl w:val="true"/>
          <w:lang w:bidi="ar-SA"/>
        </w:rPr>
        <w:t>المجردة أو بمساعدة الأجهزة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الشارع جعل كل واحد من السببين موجباً للصوم والإفطار أو جعل واحداً منهما؟</w:t>
      </w:r>
    </w:p>
    <w:p>
      <w:pPr>
        <w:pStyle w:val="BookText"/>
        <w:rPr/>
      </w:pPr>
      <w:r>
        <w:rPr>
          <w:rFonts w:ascii="Amiri" w:hAnsi="Amiri" w:eastAsia="Amiri" w:cs="Amiri"/>
          <w:color w:val="111111"/>
          <w:sz w:val="28"/>
          <w:sz w:val="28"/>
          <w:szCs w:val="28"/>
          <w:rtl w:val="true"/>
          <w:lang w:bidi="ar-SA"/>
        </w:rPr>
        <w:t>لا سبيل إلى الثاني حسب نظركم، فتعيّن الأوّل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كل موجباً للصوم والإفطار مع أنّ الرؤية بمساعدة الأجهزة متقدّمة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الرؤية المجردة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مجال للسبب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ضوء ذلك لا يمكن أن يجعل الشارع كلا السببين حجة مع لغوية إحدى الحجتين لتأخّر الثانية زماناً عن الحجة الأُخرى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اللغوية ترتفع بأحد 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الرؤية المباشرة بالعين المجردة للمناطق المتخلّفة، والرؤية بمساعدة الأجهزة للمناطق المتحضّرة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العبرة بالسبب الأوّل راجعة للقرون السابقة ولكن الاعتبار بالسبب الثاني للعصر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كلّاً من الوجهين لا يمكن أن ينسب إلى الشرع المقدس الذي يعم حكمه على الجميع بشكل واحد وعلى البشرية في عامة القرون بنظر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امتناع التخيير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 الفقيه عن اعتماد الرؤية بمساعدة الأجهزة</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6863726_73709187"/>
      <w:bookmarkStart w:id="454" w:name="_Toc170"/>
      <w:bookmarkEnd w:id="453"/>
      <w:r>
        <w:rPr/>
        <w:t>2</w:t>
      </w:r>
      <w:r>
        <w:rPr>
          <w:rtl w:val="true"/>
        </w:rPr>
        <w:t xml:space="preserve">. </w:t>
      </w:r>
      <w:r>
        <w:rPr>
          <w:rtl w:val="true"/>
        </w:rPr>
        <w:t>استلزام ذلك فقهاً جديداً</w:t>
      </w:r>
      <w:bookmarkEnd w:id="454"/>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الفقهاء أنّه إذا نوى المكلّف السفر لا يجوز له أن يقصر الصلاة حتى يغيب عنه البنيان ويخفى عنه أذان مصره، أو جدران بلده</w:t>
      </w:r>
      <w:r>
        <w:rPr>
          <w:rFonts w:eastAsia="Amiri" w:cs="Amiri" w:ascii="Amiri" w:hAnsi="Amiri"/>
          <w:color w:val="111111"/>
          <w:sz w:val="28"/>
          <w:szCs w:val="28"/>
          <w:rtl w:val="true"/>
          <w:lang w:bidi="ar-SA"/>
        </w:rPr>
        <w:t>.</w:t>
      </w:r>
      <w:r>
        <w:rPr>
          <w:rStyle w:val="FootnoteAnchor"/>
          <w:rtl w:val="true"/>
        </w:rPr>
        <w:footnoteReference w:id="563"/>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 خفاء البنيان بالعين المجردة يحصل بابتعاد المسافر مسافة ثلاثة كيلومترات تقريباً، وأمّا بمساعدة الأجهزة ربما لا يخفى حتى مسافة</w:t>
      </w:r>
      <w:bookmarkStart w:id="455" w:name="pg16768_165396"/>
    </w:p>
    <w:p>
      <w:pPr>
        <w:pStyle w:val="BookText"/>
        <w:rPr/>
      </w:pPr>
      <w:bookmarkEnd w:id="455"/>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فعلى القول باعتبار الرؤية بالأجهزة المساعدة يجب أن لا يفطر ولا يقصر حتى وإن بلغ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تأتي أيضاً لغوية التقدير بالأقل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الملاك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الأبقار الحلوبة ذات الإنتاج الغزير ربما يرى في حليبها أجزاء صغيرة من الدم القليل فيما لو نظر إليها بواسطة المجهر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الميكروسكوب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قلنا بحجّية معطيات هذه الأجهزة يجب الحكم عليه بالنجاسة، للدم المرئي بالأجهزة، وهو كماترى، لأنّ الميزان هو الرؤية العادية لا الرؤية بالأجهزة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الذي أجرى عملية جراحية لعلاج غدة البروستات، ربما يخرج مع البول بعض المني الذي لا يشاهد بالعين المجردة، وإنّما يرى بواسطة التحاليل أو أجهزة المختبرات، فهل يحكم على هذا الرجل بالجنابة لأنّ الميزان هو خروج المني وقد تحقّق ذلك‌؟</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الدم طاهر باتفاق الفقهاء، بحجّة أنّه ليس دماً عرفاً، ولكنه حسب التحاليل والنظر الدقيق فهو دم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الأمثلة ونظائرها تصد الفقيه من الإفتاء بمعطيات هذه الأجهزة، وإلا لاحتجنا إلى تأسيس فقه جديد</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6863728_73709187"/>
      <w:bookmarkStart w:id="457" w:name="_Toc171"/>
      <w:bookmarkEnd w:id="456"/>
      <w:r>
        <w:rPr/>
        <w:t>3</w:t>
      </w:r>
      <w:r>
        <w:rPr>
          <w:rtl w:val="true"/>
        </w:rPr>
        <w:t xml:space="preserve">. </w:t>
      </w:r>
      <w:r>
        <w:rPr>
          <w:rtl w:val="true"/>
        </w:rPr>
        <w:t>الإفطار في شهر رمضان والصيام في العيد</w:t>
      </w:r>
      <w:bookmarkEnd w:id="457"/>
    </w:p>
    <w:p>
      <w:pPr>
        <w:pStyle w:val="BookText"/>
        <w:rPr/>
      </w:pPr>
      <w:r>
        <w:rPr>
          <w:rFonts w:ascii="Amiri" w:hAnsi="Amiri" w:eastAsia="Amiri" w:cs="Amiri"/>
          <w:color w:val="111111"/>
          <w:sz w:val="28"/>
          <w:sz w:val="28"/>
          <w:szCs w:val="28"/>
          <w:rtl w:val="true"/>
          <w:lang w:bidi="ar-SA"/>
        </w:rPr>
        <w:t>لو كانت الرؤية بالأجهزة المساعدة حجة في إثبات أوّل الشهر يكون معنى ذلك أنّ الملاك واقعاً في دخول الشهر تولد القمر في السماء وابتعاده عن الشمس بدرجة خاصة يتمكن الإنسان من رؤيته بالجهاز المساعد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ذلك فأوّل الشهر هو وجود القمر في السماء بالنحو الماضي، أي لو نظر إلى السماء لرؤي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فيترتب على ذلك الأمر التالي الذي لا يمكن الالتزام به وهو أنّ المسلمين</w:t>
      </w:r>
    </w:p>
    <w:p>
      <w:pPr>
        <w:pStyle w:val="BookText"/>
        <w:rPr/>
      </w:pPr>
      <w:r>
        <w:rPr>
          <w:rFonts w:ascii="Amiri" w:hAnsi="Amiri" w:eastAsia="Amiri" w:cs="Amiri"/>
          <w:color w:val="111111"/>
          <w:sz w:val="28"/>
          <w:sz w:val="28"/>
          <w:szCs w:val="28"/>
          <w:rtl w:val="true"/>
          <w:lang w:bidi="ar-SA"/>
        </w:rPr>
        <w:t>طيلة أربعة عشر قرناً أفطروا في أوّل شهر رمضان بحجة أنّهم لم يروا الهلال بالعين المجردة مع أنّه كان في الواقع أول الشهر وصاموا في يوم العيد بحجة أنّهم لم يروا الهلال في السماء بعيونهم مع أنّه كان أوّل الشهر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ذلك هو أنّهم أفطروا في شهر رمضان عن عذر وصاموا أوّل شوال عن عذر أيضاً، فهل يمكن لمتفقّه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يلتزم بذلك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إفطارهم وصيامهم كان على خلاف الواقع ولكنّهم كانوا معذورين‌؟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يمكن نسبة هذا الحكم إلى النبي الأعظم صلى الله عليه و آله وأئمّة أهل البيت عليهم السلام والصحابة والتابعين‌؟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على فقهاء مكة المكرمة المشرفين على مناسك الحج وأعماله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 الدقة في ثبوت الهلال إذا كان الميزان هو العين المجردة، وأن لا يعتمدوا على شهادة فرد أو فردين، بل يجمعوا الكثير من الشهود من مناطق مختلفة، لأنّ فتواهم صارت ملاكاً لعمل ملايين المسلمين، الذين يتربصون أعواماً عديدة حتى يحجّوا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اعتمدوا على الرؤية بواسطة الأجهزة فلا يفرضوا آراءهم على غيرهم من المسلمين الذين يتبنّون رأياً آخر، كلّ ذلك مشروط بحفظ النظام والهدوء خلال أداء مراسم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شيخنا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ورسالتنا هذه مرفقة بهدية نورانية وتراثاً ربانياً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مشعل هداية ومدرسة أخلاق وتهذيب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مطبوعات أحد دور النشر في العربية السعودية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تجدون أنّ الإمام زين العابدين عليه السلام قد علّم الإنسان المؤمن آداب خطابه مع رب العالمين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وممارسة هذه الأدعية والتدبر في مضامينها تعرج بروح الإنسان إلى المقامات</w:t>
      </w:r>
    </w:p>
    <w:p>
      <w:pPr>
        <w:pStyle w:val="BookText"/>
        <w:rPr/>
      </w:pPr>
      <w:r>
        <w:rPr>
          <w:rFonts w:ascii="Amiri" w:hAnsi="Amiri" w:eastAsia="Amiri" w:cs="Amiri"/>
          <w:color w:val="111111"/>
          <w:sz w:val="28"/>
          <w:sz w:val="28"/>
          <w:szCs w:val="28"/>
          <w:rtl w:val="true"/>
          <w:lang w:bidi="ar-SA"/>
        </w:rPr>
        <w:t>العلوية، وربما تبلغ بالإنسان درجة يصدق عليه قول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أحيا عقله، وأمات نفسه، حتى دق جليلُه، ولطف غليظُه، وبرق له لامع، كثير البرق، فأبان له الطريق، وسلك به السبيل، وتدافعته الأبواب إلى باب السلامة، وثبتت رجلاه بطمأنينة بدنه، في قرار الأمن والراحة</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وفي الختام ندعو لكم بدوام الصحة والعافية وطول العمر في خدمة الدين الحنيف ببيانكم وخطابكم وبنانكم ويراعكم بتوفيق من الباري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المكرم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458" w:name="pg16768_165399"/>
    </w:p>
    <w:p>
      <w:pPr>
        <w:pStyle w:val="Heading3"/>
        <w:numPr>
          <w:ilvl w:val="2"/>
          <w:numId w:val="1"/>
        </w:numPr>
        <w:rPr/>
      </w:pPr>
      <w:bookmarkStart w:id="459" w:name="__RefHeading___Toc6863730_73709187"/>
      <w:bookmarkStart w:id="460" w:name="_Toc172"/>
      <w:bookmarkEnd w:id="458"/>
      <w:bookmarkEnd w:id="459"/>
      <w:r>
        <w:rPr/>
        <w:t>7</w:t>
      </w:r>
      <w:r>
        <w:rPr>
          <w:rtl w:val="true"/>
        </w:rPr>
        <w:t xml:space="preserve"> </w:t>
      </w:r>
      <w:r>
        <w:rPr>
          <w:rtl w:val="true"/>
        </w:rPr>
        <w:t>شركة الأعمال في الفقه الإسلامي</w:t>
      </w:r>
      <w:bookmarkEnd w:id="460"/>
    </w:p>
    <w:p>
      <w:pPr>
        <w:pStyle w:val="Heading4"/>
        <w:numPr>
          <w:ilvl w:val="3"/>
          <w:numId w:val="1"/>
        </w:numPr>
        <w:rPr/>
      </w:pPr>
      <w:bookmarkStart w:id="461" w:name="__RefHeading___Toc6863732_73709187"/>
      <w:bookmarkStart w:id="462" w:name="_Toc173"/>
      <w:bookmarkEnd w:id="461"/>
      <w:r>
        <w:rPr>
          <w:rtl w:val="true"/>
        </w:rPr>
        <w:t>اشارة</w:t>
      </w:r>
      <w:bookmarkEnd w:id="462"/>
    </w:p>
    <w:p>
      <w:pPr>
        <w:pStyle w:val="BookText"/>
        <w:rPr/>
      </w:pPr>
      <w:r>
        <w:rPr>
          <w:rFonts w:ascii="Amiri" w:hAnsi="Amiri" w:eastAsia="Amiri" w:cs="Amiri"/>
          <w:color w:val="111111"/>
          <w:sz w:val="28"/>
          <w:sz w:val="28"/>
          <w:szCs w:val="28"/>
          <w:rtl w:val="true"/>
          <w:lang w:bidi="ar-SA"/>
        </w:rPr>
        <w:t>شركة الأبدان أو الأعمال أحد أقسام الشركة الّتي تعرض لها العلماء في كتبهم الفقهية، وينبغي تحرير محل النزاع، وذلك لأنّ الشركة في الأعمال تتصوّر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أجر اثنان نفسهما بعقد واحد وعمل واحد بأُجرة معيّنة، صحّت الشركة وكانت الأُجرة بينهما، أو حاز اثنان معاً مباحاً كما لو اقتلعا شجرةً معاً أو اغترفا ماءً دفعة بآنية واحدة أو صادا بشبكة واحدة سمكةً كان الصيد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هذا القسم خارج عن مصب كلماتهم كما ستوافيك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يوقعا اثنان على عملين بشرط أن تكون أُجرة كلّ منهما مشتركة بينهما، سواء اتفقا في العمل كالخياطة كأن يعمل كل برأسه، وشاركا في الأُجرة؛ أو اختلفا كالخياطة والنساجة، وهذا هو المبحوث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الأصحاب بين من قام بتعريف الشركة في الأعمال وبين من اكتفى في مقام التعريف بذكر الأمثلة فقط، وإليك الإشارة إلى كلا القسمين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يشترك الصانعان على أنّ ما يرتفع منهما من كسبهما فهو بينهما على حسب شرطهما، سواء أكانا متّفقي الصنعة كالنجارين والخبازين، أو مختلفي الصنعة كالنجار والخباز</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يشترك اثنان فصاعداً فيما يكتسبونه بأيديهم، تساوت الصنعة أو اختلفت</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عرفه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يوقعا العقد على أن تكون أُجرة عمل كلٍّ منهما مشتركاً بينهما، سواء اتفق عملهما كالخياطة، أو كان عمل أحدهما الخياطة والآخر النساجة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الأصحاب من اقتصر في التعريف على ذكر المثال، كالشيخ المفيد في المقنعة</w:t>
      </w:r>
      <w:r>
        <w:rPr>
          <w:rStyle w:val="FootnoteAnchor"/>
          <w:rtl w:val="true"/>
        </w:rPr>
        <w:footnoteReference w:id="566"/>
      </w:r>
      <w:r>
        <w:rPr>
          <w:rFonts w:ascii="Amiri" w:hAnsi="Amiri" w:eastAsia="Amiri" w:cs="Amiri"/>
          <w:color w:val="111111"/>
          <w:sz w:val="28"/>
          <w:sz w:val="28"/>
          <w:szCs w:val="28"/>
          <w:rtl w:val="true"/>
          <w:lang w:bidi="ar-SA"/>
        </w:rPr>
        <w:t>، والمحقّق في الشرائع</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يرجع إلى أصحابنا الإمامية، وأمّا غيرهم فقد عرّفها ابن قدامة في المغني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شركة الأبدان أن يشترك اثنان أو أكثر فيما يكتسبونه بأيديهم كالصُّنّاع يشتركون على أن يعملوا في صناعاتهم، فما رزق اللّه تعالى فهو بينهم</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وجاء في الموسوعة الفقهية الكويتية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شركة الأعمال هي أن يتعاقد اثنان على أن يتقبّلا نوعاً معيناً من العمل أو أكثر، أو غير معيّن، لكنّه عام، وتكون الأُجرة بينهما بنسبة معلومة، وذلك كالخياطة والصباغة والبناء وتركيب الأدوات الصحية، أو كلّ ما يتقبّل فلابدّ من التعاقد قبل التقبّل</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فما ذكره من التعاقد قبل التقبّل هو الأمر المهم في المقام، فإنّ شركة الأعمال شركة عقدية وليست شركة ملكية الّتي تحصل بمزج المالين اختياراً أو بلا اختيار، فذكر هذا القيد لازم في التعاريف</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تعاريف الفقهاء لشركة الأبدان فلندرس أقوالهم فيها</w:t>
      </w:r>
      <w:r>
        <w:rPr>
          <w:rFonts w:eastAsia="Amiri" w:cs="Amiri" w:ascii="Amiri" w:hAnsi="Amiri"/>
          <w:color w:val="111111"/>
          <w:sz w:val="28"/>
          <w:szCs w:val="28"/>
          <w:rtl w:val="true"/>
          <w:lang w:bidi="ar-SA"/>
        </w:rPr>
        <w:t>.</w:t>
      </w:r>
      <w:bookmarkStart w:id="463" w:name="pg16768_165401"/>
    </w:p>
    <w:p>
      <w:pPr>
        <w:pStyle w:val="Heading4"/>
        <w:numPr>
          <w:ilvl w:val="3"/>
          <w:numId w:val="1"/>
        </w:numPr>
        <w:rPr/>
      </w:pPr>
      <w:bookmarkStart w:id="464" w:name="__RefHeading___Toc6863734_73709187"/>
      <w:bookmarkStart w:id="465" w:name="_Toc174"/>
      <w:bookmarkEnd w:id="463"/>
      <w:bookmarkEnd w:id="464"/>
      <w:r>
        <w:rPr>
          <w:rtl w:val="true"/>
        </w:rPr>
        <w:t>أقوال الفقهاء في شركة الأعمال</w:t>
      </w:r>
      <w:bookmarkEnd w:id="465"/>
    </w:p>
    <w:p>
      <w:pPr>
        <w:pStyle w:val="BookText"/>
        <w:rPr/>
      </w:pPr>
      <w:r>
        <w:rPr>
          <w:rFonts w:ascii="Amiri" w:hAnsi="Amiri" w:eastAsia="Amiri" w:cs="Amiri"/>
          <w:color w:val="111111"/>
          <w:sz w:val="28"/>
          <w:sz w:val="28"/>
          <w:szCs w:val="28"/>
          <w:rtl w:val="true"/>
          <w:lang w:bidi="ar-SA"/>
        </w:rPr>
        <w:t>المشهور بين فقهاء الإمامية هو بطلان شركة الأعمال، وكلّ مَنْ تعرض منهم لها أفتى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تأمل فيه بعض المتأخّرين، وسيوافيك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الصدوق فلم يذكرها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ورد في الينابيع الفقهية</w:t>
      </w:r>
      <w:r>
        <w:rPr>
          <w:rStyle w:val="FootnoteAnchor"/>
          <w:rtl w:val="true"/>
        </w:rPr>
        <w:footnoteReference w:id="570"/>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تقسيم الشركة إلى الشركة في الأموال والأبدان فإنّما هو 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لا في المقنع للصدوق، فليس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عن الشركة بتاتاً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مَنْ عنونه في الكتب الفقهية هو شيخنا المفيد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والشركة لا تصح إلّافي الأموال، ولا تصحّ بالأبدان والأعمال، وإذا اشترك اثنان في عمل كنساجة ثوب، أو بناء دار أو نجارة باب وما أشبه ذلك لم تصحّ شركتهما وكان لكلّ واحد منهما أجر عمله خاصّة، فإن لم يتميّز عملاهما لاختلاطهما قُضي بالصلح بينهما</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وقال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انفردت به الشيعة الإمامية أنّ الشركة لا تصح إلّا في الأموال ولا تصحّ في الأبدان والأعمال، ومتى اشترك اثنان في عمل كصياغة عِقْد ونساجة ثوب وما أشبه ذلك، لم يثبت بينهما شركة</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وقال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الأبدان عندنا باطلة، وهي أن يشترك الصانعان على أنّ ما يرتفع لهما من كسبهما فهو بينهما على حسب شرطهما</w:t>
      </w:r>
      <w:r>
        <w:rPr>
          <w:rFonts w:eastAsia="Amiri" w:cs="Amiri" w:ascii="Amiri" w:hAnsi="Amiri"/>
          <w:color w:val="111111"/>
          <w:sz w:val="28"/>
          <w:szCs w:val="28"/>
          <w:rtl w:val="true"/>
          <w:lang w:bidi="ar-SA"/>
        </w:rPr>
        <w:t>.</w:t>
      </w:r>
      <w:r>
        <w:rPr>
          <w:rStyle w:val="FootnoteAnchor"/>
          <w:rtl w:val="true"/>
        </w:rPr>
        <w:footnoteReference w:id="573"/>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شرطِ صحة الشركة أن تكون في مالين متجانسين، إذا خلطا اشتبه أحدهما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ما قلناه لاتصح شركة الأبدان،</w:t>
      </w:r>
    </w:p>
    <w:p>
      <w:pPr>
        <w:pStyle w:val="BookText"/>
        <w:rPr/>
      </w:pPr>
      <w:r>
        <w:rPr>
          <w:rFonts w:ascii="Amiri" w:hAnsi="Amiri" w:eastAsia="Amiri" w:cs="Amiri"/>
          <w:color w:val="111111"/>
          <w:sz w:val="28"/>
          <w:sz w:val="28"/>
          <w:szCs w:val="28"/>
          <w:rtl w:val="true"/>
          <w:lang w:bidi="ar-SA"/>
        </w:rPr>
        <w:t>وهي الاشتراك في أُجرة العمل</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وقال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شركة الأبدان، وهي الاشتراك في أُجرة العمل</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وقال الكيدري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تصح شركة الأبدان، وهي الاشتراك في أُجرة العمل</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وقال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تصح الشركة بالأعمال، كالخياطة والنساجة</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وأمّا العلّامة في القواعد فبعد أن عرّف شركة الأبدان وغيرها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باطل</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وأنت إذا سبرت الكتب الفقهية لأصحابنا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القول بالبطلان أمراً مسلّماً عندهم حتى أنّ السيد العاملي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الإجماع المنقول على البطلان عن تسعة عشر كتاباً</w:t>
      </w:r>
      <w:r>
        <w:rPr>
          <w:rStyle w:val="FootnoteAnchor"/>
          <w:rtl w:val="true"/>
        </w:rPr>
        <w:footnoteReference w:id="579"/>
      </w:r>
      <w:r>
        <w:rPr>
          <w:rFonts w:ascii="Amiri" w:hAnsi="Amiri" w:eastAsia="Amiri" w:cs="Amiri"/>
          <w:color w:val="111111"/>
          <w:sz w:val="28"/>
          <w:sz w:val="28"/>
          <w:szCs w:val="28"/>
          <w:rtl w:val="true"/>
          <w:lang w:bidi="ar-SA"/>
        </w:rPr>
        <w:t xml:space="preserve">، ولم يظهر بينهم مخالف إلّا ما نسب إلى ابن الجنيد، ولكن عبارته المنقولة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مبهمة تحتاج إلى مزيد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يظهر الميل إلى الصحة من المحقّق الأردبيلي مطلقاً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الشركة في حيازة المباحات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لايظهر دليل على عدم الجواز سوى الإجماع، فإن كان فهو، وإلّا فلا مانع، فإنّه يرجع إلى الوكالة في بعض الأُمور، وتمليك مال في البعض الآخر، وبذل نفس وعمل في مقابلة عوض، ولا مانع منه في العقل والشرع</w:t>
      </w:r>
      <w:r>
        <w:rPr>
          <w:rFonts w:eastAsia="Amiri" w:cs="Amiri" w:ascii="Amiri" w:hAnsi="Amiri"/>
          <w:color w:val="111111"/>
          <w:sz w:val="28"/>
          <w:szCs w:val="28"/>
          <w:rtl w:val="true"/>
          <w:lang w:bidi="ar-SA"/>
        </w:rPr>
        <w:t>.</w:t>
      </w:r>
      <w:r>
        <w:rPr>
          <w:rStyle w:val="FootnoteAnchor"/>
          <w:rtl w:val="true"/>
        </w:rPr>
        <w:footnoteReference w:id="580"/>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وسببية الحيازة إمّا بأن يشتركا في نصب حبالة الصيد المشترك ورمي السهم المثبِت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فيشتركان في ملكه،</w:t>
      </w:r>
    </w:p>
    <w:p>
      <w:pPr>
        <w:pStyle w:val="BookText"/>
        <w:rPr/>
      </w:pPr>
      <w:r>
        <w:rPr>
          <w:rFonts w:ascii="Amiri" w:hAnsi="Amiri" w:eastAsia="Amiri" w:cs="Amiri"/>
          <w:color w:val="111111"/>
          <w:sz w:val="28"/>
          <w:sz w:val="28"/>
          <w:szCs w:val="28"/>
          <w:rtl w:val="true"/>
          <w:lang w:bidi="ar-SA"/>
        </w:rPr>
        <w:t>أو بأن يقتلعا شجرة أو يغترفا ماءً دفعة، فإنّه تتحقّق الشركة بذلك في الجملة، إلّا أنّه يكون لكلّ منهما من ذلك المحاز بنسبة عمله، ويختلف ذلك بالقوة والضعف، ولو اشتبه مقدار كلّ واحد فطريق التخلّص، الصلح، وما كان من الحيازة على غير الوجوه المذكورة فإنّه يختص كلّ بما حازه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تميزه، لأنّه في معنى شركة الأبدان، وهي جائزة على الأشهر الأظهر</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ولا يخفى أنّ ما صحّحه خارج عن محل النزاع كما عرفت في صدر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 فلو اختص كل بما حازه فهو بمعنى بطلان الشركة ولا معنى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جائزة على الأشهر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فقهاء السنة ففي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الشافعي قال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مع اتّفاق الصنعة واختلافها، ولا يجوز في الاحتطاب والاحتشاش والاصطياد والاغتنام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الاشتراك مع اتفاق الصنعة ولا يجوز مع اختلافها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الاشتراك في جميع الصنائع وفي الاحتشاش والاحتطاب والاصطياد والاغتنام</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وحاصل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الشافعي يوافق أصحابنا في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أبو حنيفة فقد خصّها بمورد الصنعة، سواء أكانت متفقة أم مختلفة ولم يجوزه في الاشتراك في المباحات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مالك فخصّها بالصنعة المتّفقة، وخالف أبا حنيفة في مختلفها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أحمد فقال بالجواز على وجه الإطلاق</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شركة الأبدان أن يشترك اثنان أو أكثر فيما يكتسبونه بأيديهم، كالصُّناع يشتركون على أن يعملوا في صناعاتهم فما رزق اللّه تعالى فهو</w:t>
      </w:r>
    </w:p>
    <w:p>
      <w:pPr>
        <w:pStyle w:val="BookText"/>
        <w:rPr/>
      </w:pPr>
      <w:r>
        <w:rPr>
          <w:rFonts w:ascii="Amiri" w:hAnsi="Amiri" w:eastAsia="Amiri" w:cs="Amiri"/>
          <w:color w:val="111111"/>
          <w:sz w:val="28"/>
          <w:sz w:val="28"/>
          <w:szCs w:val="28"/>
          <w:rtl w:val="true"/>
          <w:lang w:bidi="ar-SA"/>
        </w:rPr>
        <w:t>بينهم، فإن اشتركوا فيما يكتسبون من المباح، كالحطب والحشيش والثمار المأخوذة من الجبال والمعادن والتلصلص على دار الحرب، فهذا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عليه أحمد في رواية أبي طالب، وبهذا قال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في الصناعة ولا يصحّ في اكتساب المباح كالاحتشاش والاغتنام، لأنّ الشركة مقتضاها الوكالة ولا تصحّ الوكالة في هذه الأشياء، لأنّ من أخذها ملكها</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الأبدان كلّها فاسدة لأنّها شركة على غير مال ولم تصح كما لو اختلفت الصناعات</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وما نقله عن الأئمة الأربعة نفس ما نقله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الشيخ خصّ قول مالك بصورة اتفاق الصنعة لا مع اختلافها، ومن المعلوم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فقه أحمد، فلا غرو في أن لا ينقل مذهب مالك على وجه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الأبدان بالجملة عند أبي حنيفة والمالكية جائزة، ومنع منها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شرطها عند مالك اتفاق الصنعتين والمكان، 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مع اختلاف الصنعتين ويشترك عنده الدباغ والقصّار، ولا يشتركان عند مالك</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وما نقله عن مالك مطابق لما نقله الشيخ، ومن المعلوم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مذهب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إمام مذهبه بوجه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وافق ابن حزم الشافعي فذهب إلى عدم الجواز، وسيأتي كلامه في آخر المقال فانتظر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الأقوال عندالفريقين فلندرس أدلة المانعين من أصحابنا</w:t>
      </w:r>
      <w:r>
        <w:rPr>
          <w:rFonts w:eastAsia="Amiri" w:cs="Amiri" w:ascii="Amiri" w:hAnsi="Amiri"/>
          <w:color w:val="111111"/>
          <w:sz w:val="28"/>
          <w:szCs w:val="28"/>
          <w:rtl w:val="true"/>
          <w:lang w:bidi="ar-SA"/>
        </w:rPr>
        <w:t>.</w:t>
      </w:r>
      <w:bookmarkStart w:id="466" w:name="pg16768_165405"/>
    </w:p>
    <w:p>
      <w:pPr>
        <w:pStyle w:val="Heading4"/>
        <w:numPr>
          <w:ilvl w:val="3"/>
          <w:numId w:val="1"/>
        </w:numPr>
        <w:rPr/>
      </w:pPr>
      <w:bookmarkStart w:id="467" w:name="__RefHeading___Toc6863736_73709187"/>
      <w:bookmarkStart w:id="468" w:name="_Toc175"/>
      <w:bookmarkEnd w:id="466"/>
      <w:bookmarkEnd w:id="467"/>
      <w:r>
        <w:rPr>
          <w:rtl w:val="true"/>
        </w:rPr>
        <w:t>أدّلة القائلين بعدم الجواز</w:t>
      </w:r>
      <w:bookmarkEnd w:id="468"/>
    </w:p>
    <w:p>
      <w:pPr>
        <w:pStyle w:val="Heading5"/>
        <w:numPr>
          <w:ilvl w:val="4"/>
          <w:numId w:val="1"/>
        </w:numPr>
        <w:rPr/>
      </w:pPr>
      <w:bookmarkStart w:id="469" w:name="__RefHeading___Toc6863738_73709187"/>
      <w:bookmarkStart w:id="470" w:name="_Toc176"/>
      <w:bookmarkEnd w:id="469"/>
      <w:r>
        <w:rPr>
          <w:rtl w:val="true"/>
        </w:rPr>
        <w:t>اشارة</w:t>
      </w:r>
      <w:bookmarkEnd w:id="470"/>
    </w:p>
    <w:p>
      <w:pPr>
        <w:pStyle w:val="BookText"/>
        <w:rPr/>
      </w:pPr>
      <w:r>
        <w:rPr>
          <w:rFonts w:ascii="Amiri" w:hAnsi="Amiri" w:eastAsia="Amiri" w:cs="Amiri"/>
          <w:color w:val="111111"/>
          <w:sz w:val="28"/>
          <w:sz w:val="28"/>
          <w:szCs w:val="28"/>
          <w:rtl w:val="true"/>
          <w:lang w:bidi="ar-SA"/>
        </w:rPr>
        <w:t>استدلّ أصحابنا على عدم الجواز بوجوه ندرسها تالياً</w:t>
      </w:r>
      <w:r>
        <w:rPr>
          <w:rFonts w:eastAsia="Amiri" w:cs="Amiri" w:ascii="Amiri" w:hAnsi="Amiri"/>
          <w:color w:val="111111"/>
          <w:sz w:val="28"/>
          <w:szCs w:val="28"/>
          <w:rtl w:val="true"/>
          <w:lang w:bidi="ar-SA"/>
        </w:rPr>
        <w:t>:</w:t>
      </w:r>
    </w:p>
    <w:p>
      <w:pPr>
        <w:pStyle w:val="Heading5"/>
        <w:numPr>
          <w:ilvl w:val="4"/>
          <w:numId w:val="1"/>
        </w:numPr>
        <w:rPr/>
      </w:pPr>
      <w:bookmarkStart w:id="471" w:name="__RefHeading___Toc6863740_73709187"/>
      <w:bookmarkStart w:id="472" w:name="_Toc177"/>
      <w:bookmarkEnd w:id="471"/>
      <w:r>
        <w:rPr/>
        <w:t>1</w:t>
      </w:r>
      <w:r>
        <w:rPr>
          <w:rtl w:val="true"/>
        </w:rPr>
        <w:t xml:space="preserve">. </w:t>
      </w:r>
      <w:r>
        <w:rPr>
          <w:rtl w:val="true"/>
        </w:rPr>
        <w:t>الإجماع على البطلان</w:t>
      </w:r>
      <w:bookmarkEnd w:id="472"/>
    </w:p>
    <w:p>
      <w:pPr>
        <w:pStyle w:val="BookText"/>
        <w:rPr/>
      </w:pPr>
      <w:r>
        <w:rPr>
          <w:rFonts w:ascii="Amiri" w:hAnsi="Amiri" w:eastAsia="Amiri" w:cs="Amiri"/>
          <w:color w:val="111111"/>
          <w:sz w:val="28"/>
          <w:sz w:val="28"/>
          <w:szCs w:val="28"/>
          <w:rtl w:val="true"/>
          <w:lang w:bidi="ar-SA"/>
        </w:rPr>
        <w:t>أجمعت الطائفة على عدم الجواز، وهذا هو الظاهر من غير واحد من القائلين بالمنع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انفردت به الشيعة الإمامية أنّ الشركة لا تصح إلّافي الأموال ولا تصح في الأبدان والأعمال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على صحّة ما ذهبنا إليه، الإجماع المتردّد</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وأخبارهم</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فإنّه بعدما شرح عدّة من الشركات وهي شركة المفاوضة وشركة الوجوه وشركة الأبدان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وإجماعنا منعقد على فساد ذلك أجمع</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وخلاف ابن الجنيد غير معتد به، لانقراضه وحصول الاتفاق بعده</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الثاني حيث علّق على قول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والكل باطل سوى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شركة العنان، وذلك باتفاقنا</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عندنا في بطلان شركة الأعمال إلّامن ابن الجنيد حيث أجازها مع تشاركهما في الفضل</w:t>
      </w:r>
      <w:r>
        <w:rPr>
          <w:rFonts w:eastAsia="Amiri" w:cs="Amiri" w:ascii="Amiri" w:hAnsi="Amiri"/>
          <w:color w:val="111111"/>
          <w:sz w:val="28"/>
          <w:szCs w:val="28"/>
          <w:rtl w:val="true"/>
          <w:lang w:bidi="ar-SA"/>
        </w:rPr>
        <w:t>.</w:t>
      </w:r>
      <w:r>
        <w:rPr>
          <w:rStyle w:val="FootnoteAnchor"/>
          <w:rtl w:val="true"/>
        </w:rPr>
        <w:footnoteReference w:id="591"/>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المحقّق الأردبيلي،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يظهر دليل على عدم الجواز سوى</w:t>
      </w:r>
      <w:bookmarkStart w:id="473" w:name="pg16768_165406"/>
    </w:p>
    <w:p>
      <w:pPr>
        <w:pStyle w:val="BookText"/>
        <w:rPr/>
      </w:pPr>
      <w:bookmarkEnd w:id="473"/>
      <w:r>
        <w:rPr>
          <w:rFonts w:ascii="Amiri" w:hAnsi="Amiri" w:eastAsia="Amiri" w:cs="Amiri"/>
          <w:color w:val="111111"/>
          <w:sz w:val="28"/>
          <w:sz w:val="28"/>
          <w:szCs w:val="28"/>
          <w:rtl w:val="true"/>
          <w:lang w:bidi="ar-SA"/>
        </w:rPr>
        <w:t>الإجماع، فإن كان فهو وإلّا فلا مانع، فإنّه يرجع إلى الوكالة في بعض الأُمور، وتمليك مال في البعض الآخر، وبذل نفس وعمل في مقابل عوض، ولا مانع منه في العقل والشرع</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إلى غير ذلك من الكلمات الّتي ورد فيها ذكر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حقّق في محله من أنّ الإجماع إنّما يكون حجة على الحكم إذا كشف عن وجود الدليل الشرعي الواصل إلى المجمعين وغير الواصل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اشتهار الحكم عند أصحاب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هذا القول ليس له هذا الشأن،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المسألة نص بين القدماء لجاء ذكره في الفقه الرضوي الّذي هو نتيجة الروايات المعتبرة مع حذف أسانيدها، أو لذكره الشيخ الصدوق في المقنع، كلّ ذلك يسبب الريب والشك في أنّ الإجماع مستند إلى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المجمعين استدلّوا وراء الإجماع بأدلّة أُخرى كما ستوافيك، فلو كان الحكم اتفاقياً لم يحتج إلى الاستدلال بأدلّة أُخرى، وذلك يقرب كون إجماع المجمعين مستنداً إلى الأدلّة الّتي نتلوها عليك</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6863742_73709187"/>
      <w:bookmarkStart w:id="475" w:name="_Toc178"/>
      <w:bookmarkEnd w:id="474"/>
      <w:r>
        <w:rPr/>
        <w:t>2</w:t>
      </w:r>
      <w:r>
        <w:rPr>
          <w:rtl w:val="true"/>
        </w:rPr>
        <w:t xml:space="preserve">. </w:t>
      </w:r>
      <w:r>
        <w:rPr>
          <w:rtl w:val="true"/>
        </w:rPr>
        <w:t>كونها غررية</w:t>
      </w:r>
      <w:bookmarkEnd w:id="475"/>
    </w:p>
    <w:p>
      <w:pPr>
        <w:pStyle w:val="BookText"/>
        <w:rPr/>
      </w:pPr>
      <w:r>
        <w:rPr>
          <w:rFonts w:ascii="Amiri" w:hAnsi="Amiri" w:eastAsia="Amiri" w:cs="Amiri"/>
          <w:color w:val="111111"/>
          <w:sz w:val="28"/>
          <w:sz w:val="28"/>
          <w:szCs w:val="28"/>
          <w:rtl w:val="true"/>
          <w:lang w:bidi="ar-SA"/>
        </w:rPr>
        <w:t>استدلّ الشيخ وآخرون على البطلان بنهي النبي صلى الله عليه و آله عن بيع الغرر، وهذا غرر بدلالة أنّ كلّ واحد منهما لا يدري أيكسب صاحبُه شيئاً أو لا يكسب، وكم مقدار ما يكسبه‌؟</w:t>
      </w:r>
      <w:r>
        <w:rPr>
          <w:rStyle w:val="FootnoteAnchor"/>
          <w:rtl w:val="true"/>
        </w:rPr>
        <w:footnoteReference w:id="593"/>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فساد هذه الشركة أيضاً أنّه صلى الله عليه و آله قد نهى عن الغرر وهو حاصل فيها، لأنّ كلّ واحد من الشريكين لا يعلم أيكسب الآخر شيئاً أم لا،</w:t>
      </w:r>
    </w:p>
    <w:p>
      <w:pPr>
        <w:pStyle w:val="BookText"/>
        <w:rPr/>
      </w:pPr>
      <w:r>
        <w:rPr>
          <w:rFonts w:ascii="Amiri" w:hAnsi="Amiri" w:eastAsia="Amiri" w:cs="Amiri"/>
          <w:color w:val="111111"/>
          <w:sz w:val="28"/>
          <w:sz w:val="28"/>
          <w:szCs w:val="28"/>
          <w:rtl w:val="true"/>
          <w:lang w:bidi="ar-SA"/>
        </w:rPr>
        <w:t>ولا يعلم مقدار ما كسبه</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وقال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يدلّ على فساد ذلك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شركة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نهيه عليه السلام عن الغرر، وفي هذه غرر عظيم، وهو حاصل وداخل فيها، لأنّ كلّ واحد من الشريكين لايعلم أيكسب الآخر شيئاً أم لا، ولا يعلم مقدار ما يكسبه</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إلى غير ذلك من الأقوال التي استدلّ أصحابُها بهذا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الوارد في النصوص هو النهي عن بيع الغرر، لا نفس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التسليم فيختص النهي بموارد الغرر، بمعنى الجهل بمقدار ما يكسبه الشريك الآخر دونما إذا علم ما يكسبه على وجه الإجمال، وأحيانا على وجه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حسن الحظ أنّ أكثرشركة الأعمال الّتي يعبّر عنها بشركة الخدمات من هذا القبيل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نفترض أنّ عدداً من المعلمين يؤسّسون مدرسة خاصة يشاركون فيها بتدريس الطلاب الكتابة، والحساب، وتحفيظ القرآن إلى غير ذلك من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هؤلاء المعلّمين يشتركون في الأُجور الّتي يدفعها الطلاب في آخر السنة أو الفصل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الأطباء حينما يؤسّسون مستوصفاً، يعالج كلّ طبيب منهم المرضى حسب تخصّصه، ومن ثم فهم يشتركون في المبالغ الّتي يدفعها المرضى إلى إدارة المستوصف مقابل العلاج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ونظيره مكاتب المهندسين الذين يقومون برسم الخرائط اللازمة لبناء عمارة سكنية، فكلّ مهندس وخبير يرسم الخارطة حسب اختصاصه، فمنهم من يرسم الخارطة الأساسية للبناء، والثاني يخطط لقنوات تكييف الهواء، أو لأنابيب المياه، وغيره للمجاري الصحية، أو لتأسيس الكهرباء، وهكذا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ومثال آخر يتّضح من خلال ملاحظة الشركة الّتي تقوم بتأسيس شبكة الماء في الشوارع والأزقة، فهذه الشركة تتألّف من عدد من الأخصائيين والفنيّين والعمال الماهرين، فكلّ من هؤلاء له عمل خاص به، فهناك من يقوم بالرسم وأخذ القياسات والتخطيط، وهناك من يحفر المجاري والقنوات، وهناك من يوصل الأنابيب بعضها بالبعض،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كلّ هذه الأمثلة يشترك العاملون في إنجاز العمل الكبير، كلٌ من موقعه، ومن بعد الإنجاز فهم يقتسمون الأرباح بينهم لكلّ منهم بحسب عمله واختصاصه بعد إخراج ما تمّ صرفه في مجال 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فلو كانت هناك اتفاقية بين الشركاء في الأرباح الّتي يحصلون عليها، فلا غرر في البين، ولا ضرر، والغرر الجزئي يعفى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الشركة في الأعمال كانت هي الأصل في حياة الإنسان القديم والجديد، فإنّ الأدوات اللازمة لإنجاز الأعمال كانت قليلة، والطاقة البشرية لم تكن كافية لإنجاز عمل كبير، فلم يكن بد من الاشتراك بالأعمال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فمثلاً حفرالقنوات كان يقع على عاتق الاشتراك بالأعمال، حيث كان العمال يشاركون في حفر قناة بطول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كيلومترات أو أكثر كلّها تحت الأرض يتوسط بين كلّ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فتحة لإخراج التراب وتمهيد القناة لمرور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الأعمال ليست شأن عمل فرد واحد، بل هي عمل جماعة يشارك بعضهم البعض حتى يبلغوا الهدف، ولم يرد نهي عنه في المجامع الحديثية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قنوات السقي المأخوذة من الأنهار الكبيرة كدجلة والفرات، فهي نتيجة اشتراك جماعة في إنجاز هذا المشروع لغاية الاستفادة منه بشكل مشترك في سقي الأراضي الزراعية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صارت الشركة في الأعمال أمراً رائجاً في عامة البلدان غبّ الثورة الصناعية، يرجع إليها الفقيه وغيره من غير أن يدور في خلدهم أنّها شركة باطلة، وأبسط الأمثلة على ذلك هو الاستفادة من مكاتب السيارات الخاصة في التنقل في</w:t>
      </w:r>
    </w:p>
    <w:p>
      <w:pPr>
        <w:pStyle w:val="BookText"/>
        <w:rPr/>
      </w:pPr>
      <w:r>
        <w:rPr>
          <w:rFonts w:ascii="Amiri" w:hAnsi="Amiri" w:eastAsia="Amiri" w:cs="Amiri"/>
          <w:color w:val="111111"/>
          <w:sz w:val="28"/>
          <w:sz w:val="28"/>
          <w:szCs w:val="28"/>
          <w:rtl w:val="true"/>
          <w:lang w:bidi="ar-SA"/>
        </w:rPr>
        <w:t>داخل المدن أو خارجها، إذ ربّما تكون هذه الشركة مؤلفة من شركة الأموال والأعمال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كلّ من علّل فساد الشركة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كلّ شريك لا يعلم أيكسب الآخر شيئاً أم لا، ولا يعلم مقدار ما يكسبه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فرضوا المسألة فيما إذا عمل كلّ شريك على انفراد، دون أن يطّلع أحدهما على عمل الآخر، ودون أن تكون علاقة بين العملين، فعندئذٍ يرد التعليل من أنّ الشريك لا يعلم بما يكسبه الشريك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الفروض الّتي ذكرناها أو ما هو الرائج في أيامنا الحاضرة من شركات الخدمات، فالكلّ يصب عمله في مورد واحد معيّن وكلّ يكمّل عمل الآخر، ولذلك قيّد مالك الجواز باتفاق الصنعتين والمكان خلافاً لأبي حنيفة حيث جوّز مع اختلاف الصنعتين فيشترك عنده الدباغ والقصّار، ودليل مالك زيادة الغرر الّذي يكون عند اختلاف الصنعتين أو اختلاف المكان</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ولكن الميزان هو أن يكون العمل الجماعي عملاً يكمل بعضه بعضاً أو يرفع حاجات الشركة بشكل مترابط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وحصيلة الكلام في شركة الأعمال أنّه يجب ان يوصف بالتعاون في البر ويدخل تحت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تَعاوَنُوا عَلَى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فلابدّ من شمول العمومات لهذا النوع من الشركة من رعاية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الشركة أمراً عرفيّاً ذائعاً بين الناس على نحو يعدونها من أنواع الشركات فخرج ما إذا اشتركا في نوعين من الصناعة خصوصاً إذا كانا في مكانين مختلفين لا يربط أحدهما بالآخر إلّاالاتفاق عند أجراء الصيغة، كما إذا شارك النجار مع الخياط في المنافع، ومن المعلوم أنّ هذا النوع من الشركة غير رائج ولا يرغب فيه العقلاء إلّاالشذاذ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ما ذكرنا من الامثلة إنّما يحتج به إذا كانت الأُجرة لمجموع الافراد من</w:t>
      </w:r>
      <w:bookmarkStart w:id="476" w:name="pg16768_165410"/>
    </w:p>
    <w:p>
      <w:pPr>
        <w:pStyle w:val="BookText"/>
        <w:rPr/>
      </w:pPr>
      <w:bookmarkEnd w:id="476"/>
      <w:r>
        <w:rPr>
          <w:rFonts w:ascii="Amiri" w:hAnsi="Amiri" w:eastAsia="Amiri" w:cs="Amiri"/>
          <w:color w:val="111111"/>
          <w:sz w:val="28"/>
          <w:sz w:val="28"/>
          <w:szCs w:val="28"/>
          <w:rtl w:val="true"/>
          <w:lang w:bidi="ar-SA"/>
        </w:rPr>
        <w:t>المهندسين والعمال وغيرهم ممن يشاركون في العمل ويكون تقسيم الأُجرة حسب اتفاقهم عند تأسيس الشركة، وأمّا إذا كانت هناك عقود متعددة حسب اختلاف ماهية العمل فالذي يرسم الخارطة الأساسية للبناء يعقد مستقلاً مع صاحب العمل، كما أن المخطط لقنوات تكييف الهواء يعقد أيضاً مستقلاً، وهذا يخرج عن الشركة في الأعمال، لأنّ محور الشركة وحدة العقد لا العقود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يكون العقد بين الأشخاص وصاحب العمل، وتكون الأُجرة لأنفسهم سواء أكانت الشركة تمليكة أو عقدية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طرف التعهد عنوان الشركة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كالرافدين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للعنوان شخصية مستقلة فهو الّذي يملك ويعقد ويشترط كما سيوافيك تفصيله هذا عند دراسة الشركات الحديثة، فيخرج أكثر هذه الأمثلة عن شركة الأعمال إذ يكون طرف التعهد عندئذٍ هو نفس الأشخاص، فلا محيص عن تبيين هذه الأمثلة على نحو ينطبق عليه عنوان الشركة في الأعمال</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6863744_73709187"/>
      <w:bookmarkStart w:id="478" w:name="_Toc179"/>
      <w:bookmarkEnd w:id="477"/>
      <w:r>
        <w:rPr/>
        <w:t>3</w:t>
      </w:r>
      <w:r>
        <w:rPr>
          <w:rtl w:val="true"/>
        </w:rPr>
        <w:t xml:space="preserve">. </w:t>
      </w:r>
      <w:r>
        <w:rPr>
          <w:rtl w:val="true"/>
        </w:rPr>
        <w:t>كون المعاملات توقيفية</w:t>
      </w:r>
      <w:bookmarkEnd w:id="478"/>
    </w:p>
    <w:p>
      <w:pPr>
        <w:pStyle w:val="BookText"/>
        <w:rPr/>
      </w:pPr>
      <w:r>
        <w:rPr>
          <w:rFonts w:ascii="Amiri" w:hAnsi="Amiri" w:eastAsia="Amiri" w:cs="Amiri"/>
          <w:color w:val="111111"/>
          <w:sz w:val="28"/>
          <w:sz w:val="28"/>
          <w:szCs w:val="28"/>
          <w:rtl w:val="true"/>
          <w:lang w:bidi="ar-SA"/>
        </w:rPr>
        <w:t>استدلّ غير واحد من المانعين على أنّ المعاملات توقيفية، ولم يرد في الشرع ما يدل على جوازها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الشرعية تحتاج إلى أدلّة شرعية وليس في الشرع ما يدلّ على صحّة هذه الشركة</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وقال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معوّل القائلين بالجواز كلّها على الظنون والحسبان والرأي والاجتهاد، ومرجعنا فيما نذهب إليه فيها إلى توقيف، فما قلناه أولى</w:t>
      </w:r>
      <w:r>
        <w:rPr>
          <w:rFonts w:eastAsia="Amiri" w:cs="Amiri" w:ascii="Amiri" w:hAnsi="Amiri"/>
          <w:color w:val="111111"/>
          <w:sz w:val="28"/>
          <w:szCs w:val="28"/>
          <w:rtl w:val="true"/>
          <w:lang w:bidi="ar-SA"/>
        </w:rPr>
        <w:t>.</w:t>
      </w:r>
      <w:r>
        <w:rPr>
          <w:rStyle w:val="FootnoteAnchor"/>
          <w:rtl w:val="true"/>
        </w:rPr>
        <w:footnoteReference w:id="598"/>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به صاحب الجواهر، وقال في رد استدلال القائل بالجواز بقوله</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ما هذا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والتراضي بما لم تثبت شرعيته غير مجد، والمراد بالتجارة عن التراضي ما ثبت التكسّب به شرعاً</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مإذا يريد من توقيفية المعاملات، فإن لكلامه احتمالين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الشركة في الأعمال لم تكن موجودة في عصر الرسالة، حتّى تشملها العمومات والإطلاقات، فإن أراد ذلك فهو مردود بما ذكرنا من أنّ الشركة في الأعمال أصل عقلائي بُني عليه صرح الحياة، وقد مرّ أنّ الحياة البدائية للإنسان كانت مشحونة بهذا النوع من التعاون والتعاضد، وعلى هذا فالأدلّة العامة تشملها بلا 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نفترض أنّه لم تكن موجودة في عصر الرسالة لكن الأدلّة تشمل كلّ عقد عقلائي، سواء أكان موجوداً في عصر الرسول صلى الله عليه و آله أم لا، غاية الأمر يجب أن يكون مجرداً عما حرّمه اللّه كالربا والغرر، والشرط المخالف لمقتضى العقد أو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أنّ تعليق الحكم بالوصف مستمر بالعلّية، فإيجاب الوفاء بالعقود إنّما هو لأجل كونه عقداً وتعهداً والتزاماً، ومن المعلوم أنّ نقض العهد على خلاف كرامة الإنسان، وعلى هذا فلا فرق بين العقد الرائج في عصر الرسالة والرائج بعده، لأنّ الموضوع لوجوب الوفاء هو العهد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فالمعاملات إذا لم تكن منهياً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موضوعاً ولا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مواثيق بين المتعاملين يجب الوفاء بها، وعلى ضوء ذلك فكلّ عقد عقلائي ينعقد بين فردين يجب الوفاء به بشرط أن لا يكون ممّا حرمه اللّه سبحانه، كما إذا كان ربوياً أو غررياً أو غير ذلك، وبالجملة فكلّ معاملة لم يكن فيها عنصر ممّا حرمه اللّه وضعاً أو تكليفاً، جزءاً أو شرطاً، فهو واجب الوفاء</w:t>
      </w:r>
      <w:r>
        <w:rPr>
          <w:rFonts w:eastAsia="Amiri" w:cs="Amiri" w:ascii="Amiri" w:hAnsi="Amiri"/>
          <w:color w:val="111111"/>
          <w:sz w:val="28"/>
          <w:szCs w:val="28"/>
          <w:rtl w:val="true"/>
          <w:lang w:bidi="ar-SA"/>
        </w:rPr>
        <w:t>.</w:t>
      </w:r>
      <w:bookmarkStart w:id="479" w:name="pg16768_165412"/>
    </w:p>
    <w:p>
      <w:pPr>
        <w:pStyle w:val="BookText"/>
        <w:rPr/>
      </w:pPr>
      <w:bookmarkEnd w:id="47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الشركة في الأعمال كانت موجودة في عصر الرسالة، لكن وجودها في عصرها لا يكفي إلّاإذا علم رضا الشارع بهذا النوع من العقد، والظاهر أن عبارة الجواهر ناظرة إلى هذا الاحتمال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التراضي بما شرعه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أُريد ذلك لانسد باب التمسك بالعمومات في الموارد المشكوكة، لأنّه إذا كان الموضوع هو البيع والعقد الشرعيين أو التراضي بشيء عُلمت شرعيته، يصير بالعمومات من قبيل التمسك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طرح الشيخ الأنصاري إشكال صاحب الجواهر في تعريف البيع وأجاب عنه بأنّ الموضوع للحلية ووجوب الوفاء هو البيع والعقد العرفيان إلّاما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شرعية الشيء عند العرف طريقاً إلى شرعيته عند الشرع، إلّاإذا قام الدليل على تخلّف الطريق كما في بيع الكلب والخنزير، أو سائر المحرمات</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6863746_73709187"/>
      <w:bookmarkStart w:id="481" w:name="_Toc180"/>
      <w:bookmarkEnd w:id="480"/>
      <w:r>
        <w:rPr/>
        <w:t>4</w:t>
      </w:r>
      <w:r>
        <w:rPr>
          <w:rtl w:val="true"/>
        </w:rPr>
        <w:t xml:space="preserve">. </w:t>
      </w:r>
      <w:r>
        <w:rPr>
          <w:rtl w:val="true"/>
        </w:rPr>
        <w:t>تمليك المعدوم</w:t>
      </w:r>
      <w:bookmarkEnd w:id="481"/>
    </w:p>
    <w:p>
      <w:pPr>
        <w:pStyle w:val="BookText"/>
        <w:rPr/>
      </w:pPr>
      <w:r>
        <w:rPr>
          <w:rFonts w:ascii="Amiri" w:hAnsi="Amiri" w:eastAsia="Amiri" w:cs="Amiri"/>
          <w:color w:val="111111"/>
          <w:sz w:val="28"/>
          <w:sz w:val="28"/>
          <w:szCs w:val="28"/>
          <w:rtl w:val="true"/>
          <w:lang w:bidi="ar-SA"/>
        </w:rPr>
        <w:t>يظهر من السيد الخوئي أنّ وجه البطلان هو أنّها من قبيل تمليك المعدوم، ولذلك فصّل في المقام بين الشركة في الأُجرتين اللتين تحصل لهما من عملهما وبين الشركة في نفس المنفعة؛ أمّا الأوّل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الإشكال في بطلانها لما تقدّم غير مرّة من عدم الدليل على صحّة تمليك المعدوم فإنّه ليس للإنسان أن يملّك غيره ما لا يملكه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في نفس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يملك كلٌ منهما نصف خياطته في ذلك اليوم له، فلا وجه لبطلانها فإنها من شركة المنافع، وقد عرفت صحّتها بناءً على عدم اعتبار الامتزاج</w:t>
      </w:r>
      <w:r>
        <w:rPr>
          <w:rFonts w:eastAsia="Amiri" w:cs="Amiri" w:ascii="Amiri" w:hAnsi="Amiri"/>
          <w:color w:val="111111"/>
          <w:sz w:val="28"/>
          <w:szCs w:val="28"/>
          <w:rtl w:val="true"/>
          <w:lang w:bidi="ar-SA"/>
        </w:rPr>
        <w:t>.</w:t>
      </w:r>
      <w:r>
        <w:rPr>
          <w:rStyle w:val="FootnoteAnchor"/>
          <w:rtl w:val="true"/>
        </w:rPr>
        <w:footnoteReference w:id="601"/>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تمليك المعدوم عند وجود المقتضي، وهو استعداد كلّ شريك للعمل المربح، ولذلك يصح اشتراط تمليك ثمرة شجرة معيّنة</w:t>
      </w:r>
      <w:bookmarkStart w:id="482" w:name="pg16768_165413"/>
    </w:p>
    <w:p>
      <w:pPr>
        <w:pStyle w:val="BookText"/>
        <w:rPr/>
      </w:pPr>
      <w:bookmarkEnd w:id="482"/>
      <w:r>
        <w:rPr>
          <w:rFonts w:ascii="Amiri" w:hAnsi="Amiri" w:eastAsia="Amiri" w:cs="Amiri"/>
          <w:color w:val="111111"/>
          <w:sz w:val="28"/>
          <w:sz w:val="28"/>
          <w:szCs w:val="28"/>
          <w:rtl w:val="true"/>
          <w:lang w:bidi="ar-SA"/>
        </w:rPr>
        <w:t>عند البيع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الثوب بشرط أن تكون ثمرة هذه الشجرة في الصيف لي، وما هذا إلّالوجود المقتضي للإثمار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تمليك المعدوم بشرط الوجود وهو أمر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من تمليك نصف خياطته في ذلك اليوم، تمليكه قبل العمل فهو أيضاً من قبيل تمليك المعدوم، وإن أراد بعده فهو خارج عن مصب البحث، لأنّه منعقد على عقد الشركة مثل الاشتغال بالعمل</w:t>
      </w:r>
      <w:r>
        <w:rPr>
          <w:rFonts w:eastAsia="Amiri" w:cs="Amiri" w:ascii="Amiri" w:hAnsi="Amiri"/>
          <w:color w:val="111111"/>
          <w:sz w:val="28"/>
          <w:szCs w:val="28"/>
          <w:rtl w:val="true"/>
          <w:lang w:bidi="ar-SA"/>
        </w:rPr>
        <w:t>.</w:t>
      </w:r>
    </w:p>
    <w:p>
      <w:pPr>
        <w:pStyle w:val="Heading5"/>
        <w:numPr>
          <w:ilvl w:val="4"/>
          <w:numId w:val="1"/>
        </w:numPr>
        <w:rPr/>
      </w:pPr>
      <w:bookmarkStart w:id="483" w:name="__RefHeading___Toc6863748_73709187"/>
      <w:bookmarkStart w:id="484" w:name="_Toc181"/>
      <w:bookmarkEnd w:id="483"/>
      <w:r>
        <w:rPr/>
        <w:t>5</w:t>
      </w:r>
      <w:r>
        <w:rPr>
          <w:rtl w:val="true"/>
        </w:rPr>
        <w:t xml:space="preserve">. </w:t>
      </w:r>
      <w:r>
        <w:rPr>
          <w:rtl w:val="true"/>
        </w:rPr>
        <w:t>عدم المزج</w:t>
      </w:r>
      <w:bookmarkEnd w:id="484"/>
    </w:p>
    <w:p>
      <w:pPr>
        <w:pStyle w:val="BookText"/>
        <w:rPr/>
      </w:pPr>
      <w:r>
        <w:rPr>
          <w:rFonts w:ascii="Amiri" w:hAnsi="Amiri" w:eastAsia="Amiri" w:cs="Amiri"/>
          <w:color w:val="111111"/>
          <w:sz w:val="28"/>
          <w:sz w:val="28"/>
          <w:szCs w:val="28"/>
          <w:rtl w:val="true"/>
          <w:lang w:bidi="ar-SA"/>
        </w:rPr>
        <w:t>يظهر من الحلبي أنّ المانع هو عدم وجود المزج بين العملين فإنّه بعد ما عرّف الشركة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في مالين متجانسين إذا اختلطا اشتبه أحدهما بالآخر، فرّع على هذا بطلان شركة الأبدان، وذلك لعدم المزج فيها</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وقال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واحد متميّز ببدنه ومنافعه، فيختص بفوائده، كما لو اشتركا في مالين منهما متميزان</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المزج هو شرط في الشركة الملكية لا الشركة العقدية، والأساس في الثاني هو العقد، سواء أكان هناك مزج أم لا</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6863750_73709187"/>
      <w:bookmarkStart w:id="486" w:name="_Toc182"/>
      <w:bookmarkEnd w:id="485"/>
      <w:r>
        <w:rPr/>
        <w:t>6</w:t>
      </w:r>
      <w:r>
        <w:rPr>
          <w:rtl w:val="true"/>
        </w:rPr>
        <w:t xml:space="preserve">. </w:t>
      </w:r>
      <w:r>
        <w:rPr>
          <w:rtl w:val="true"/>
        </w:rPr>
        <w:t>من قبيل شركة المنافع</w:t>
      </w:r>
      <w:bookmarkEnd w:id="486"/>
    </w:p>
    <w:p>
      <w:pPr>
        <w:pStyle w:val="BookText"/>
        <w:rPr/>
      </w:pPr>
      <w:r>
        <w:rPr>
          <w:rFonts w:ascii="Amiri" w:hAnsi="Amiri" w:eastAsia="Amiri" w:cs="Amiri"/>
          <w:color w:val="111111"/>
          <w:sz w:val="28"/>
          <w:sz w:val="28"/>
          <w:szCs w:val="28"/>
          <w:rtl w:val="true"/>
          <w:lang w:bidi="ar-SA"/>
        </w:rPr>
        <w:t>إنّ شركة الأعمال قسم من شركة المنافع وهي باطلة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بطلان شركة المنافع أوّل الكلام، إذ يقع السؤال عن الفرق بين تمليك عمل الإنسان منفعة عمله لشخص آخر، بالإجارة تارة وبالشركة أُخرى، فيجوز في الأوّل دون الثاني مع أنّه تفكيك بلا وجه، إذ كيف يجوز تمليك منفعة داره ولا يجوزتمليك منفعة عمله</w:t>
      </w:r>
      <w:r>
        <w:rPr>
          <w:rFonts w:eastAsia="Amiri" w:cs="Amiri" w:ascii="Amiri" w:hAnsi="Amiri"/>
          <w:color w:val="111111"/>
          <w:sz w:val="28"/>
          <w:szCs w:val="28"/>
          <w:rtl w:val="true"/>
          <w:lang w:bidi="ar-SA"/>
        </w:rPr>
        <w:t>.</w:t>
      </w:r>
      <w:bookmarkStart w:id="487" w:name="pg16768_165414"/>
    </w:p>
    <w:p>
      <w:pPr>
        <w:pStyle w:val="BookText"/>
        <w:rPr/>
      </w:pPr>
      <w:bookmarkEnd w:id="487"/>
      <w:r>
        <w:rPr>
          <w:rFonts w:ascii="Amiri" w:hAnsi="Amiri" w:eastAsia="Amiri" w:cs="Amiri"/>
          <w:color w:val="111111"/>
          <w:sz w:val="28"/>
          <w:sz w:val="28"/>
          <w:szCs w:val="28"/>
          <w:rtl w:val="true"/>
          <w:lang w:bidi="ar-SA"/>
        </w:rPr>
        <w:t>على أنّ شركة الأعمال غير شركة المنافع وإن كانت النتيجة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تبيّن أنّه ليس في المسألة دليل شرعي قاطع يعتمد عليه في الحكم بالبطلان، وعندئذٍ يكون المعتمد هو العمومات والإطلاقات السالمة عن الدليل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أصالة الفساد الّتي ركن إليها صاحب الجواهر في كلامه فهي محكومة بالدليل الاجتهادي والسيرة العقلائية عبر الزمان من دون ردع</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إلى هنا ظهر أنّه لا دليل صالح يركن إليه في الإفتاء بالبطلان، وأنّ الدليل الوحيد لتجويز هذه الشركة هو العمومات والإطلاقات أوّلاً، والسيرة العقلائية عبر الزمان ثانياً</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6863752_73709187"/>
      <w:bookmarkStart w:id="489" w:name="_Toc183"/>
      <w:bookmarkEnd w:id="488"/>
      <w:r>
        <w:rPr>
          <w:rtl w:val="true"/>
        </w:rPr>
        <w:t>ابن حزم وبطلان شركة الأعمال</w:t>
      </w:r>
      <w:bookmarkEnd w:id="489"/>
    </w:p>
    <w:p>
      <w:pPr>
        <w:pStyle w:val="BookText"/>
        <w:rPr/>
      </w:pPr>
      <w:r>
        <w:rPr>
          <w:rFonts w:ascii="Amiri" w:hAnsi="Amiri" w:eastAsia="Amiri" w:cs="Amiri"/>
          <w:color w:val="111111"/>
          <w:sz w:val="28"/>
          <w:sz w:val="28"/>
          <w:szCs w:val="28"/>
          <w:rtl w:val="true"/>
          <w:lang w:bidi="ar-SA"/>
        </w:rPr>
        <w:t>إنّ ابن حزم مؤخّر الظاهريين أفتى بعدم جواز الشركة بالأبدان مطلقاً،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الشركة بها أصلاً، لا في دلالة، ولا في تعليم، ولا في خدمة، ولا في عمل يد، ولا في شيء من الأشياء، فإن وقعت فهي باطل لا تلزم ولكلّ واحد منهم أو منهما ما كسب، فإن اقتسماه وجب أن يُقضى له بأخذه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بوجوه إمّا لا صلة لها بالموضوع، أو لا دلالة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تَكْسِبُ كُلُّ نَفْسٍ إِلاّ عَلَيْها</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 لَها ما كَسَبَتْ وَ عَلَيْها مَا اكْتَسَبَتْ‌</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دماءكم وأموالكم عليكم حرام</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وفسّره</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يحل أن يقضى بمال مسلم أو ذمّي لغيره، إلّابنص قرآن أو سنّة، وإلّا فهو 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فاستدلّ عليه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 إِلاّ أَنْ تَكُونَ تِجارَةً عَنْ تَراضٍ مِنْكُمْ‌</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الآية الأُولى فهي ناظرة إلى الأُمور الأُخروية بشهادة صدرها وذيلها، أمّا الصدر فيقول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غَيْرَ اللّهِ أَبْغِي رَبًّا وَ هُوَ رَبُّ كُلِّ شَيْ‌ءٍ وَ لا تَكْسِبُ كُلُّ نَفْسٍ إِلاّ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الذيل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تَزِرُ وازِرَةٌ وِزْرَ أُخْرى ثُمَّ إِلى رَبِّكُمْ مَرْجِعُكُمْ‌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ومجموع الآية يدلّ على أنّها بصدد بيان أنّ كلّ إنسان مسؤول عن أعماله، وهو يتحمّل وزر عمله لا غير، ولا صلة للآية بما إذا اتّفق العاملان على أن يحفرا بئراً لإنسان مسلم يسقي منه زرعه، فليس هناك عمل سيِّئ حتى يكون عليها لا على غيرها، ولا وزر تتحمّله هي لا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الثانية فهي بصدد بيان أنّ لكلّ إنسان ما له وما عليه، وهذا لا ينافي أن يملّك الإنسان ما يملك لغيره بعقد مرضي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فنتيجة عمل كلّ إنسان له ولكن له أيضاً أن يشارك الغير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قول الرسول صلى الله عليه و آله فهو بصدد بيان حرمة دم المسلم وماله، ولكن أين هذا من عدم جواز أن يهب المسلم ماله بطيب النفس للغير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الآية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لها صلة بالموضوع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الدلالة ضعيفة، وذلك لأنّ الاستدلال إمّا بصدرها أعني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فيلاحظ عليه بأنّ الباء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للسببية، والمراد هو الأكل بالأسباب الباطلة كالرشوة والقمار والغصب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الشركة في الأعمال بطيب النفس من الأسباب الباطلة، أول الكلام</w:t>
      </w:r>
      <w:r>
        <w:rPr>
          <w:rFonts w:eastAsia="Amiri" w:cs="Amiri" w:ascii="Amiri" w:hAnsi="Amiri"/>
          <w:color w:val="111111"/>
          <w:sz w:val="28"/>
          <w:szCs w:val="28"/>
          <w:rtl w:val="true"/>
          <w:lang w:bidi="ar-SA"/>
        </w:rPr>
        <w:t>.</w:t>
      </w:r>
      <w:bookmarkStart w:id="490" w:name="pg16768_165416"/>
    </w:p>
    <w:p>
      <w:pPr>
        <w:pStyle w:val="BookText"/>
        <w:rPr/>
      </w:pPr>
      <w:bookmarkEnd w:id="490"/>
      <w:r>
        <w:rPr>
          <w:rFonts w:ascii="Amiri" w:hAnsi="Amiri" w:eastAsia="Amiri" w:cs="Amiri"/>
          <w:color w:val="111111"/>
          <w:sz w:val="28"/>
          <w:sz w:val="28"/>
          <w:szCs w:val="28"/>
          <w:rtl w:val="true"/>
          <w:lang w:bidi="ar-SA"/>
        </w:rPr>
        <w:t xml:space="preserve">وإمّا بذيلها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فالمفروض وجود التراضي</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6863754_73709187"/>
      <w:bookmarkStart w:id="492" w:name="_Toc184"/>
      <w:bookmarkEnd w:id="491"/>
      <w:r>
        <w:rPr>
          <w:rtl w:val="true"/>
        </w:rPr>
        <w:t>أدلّة المجوّزين من السنّة</w:t>
      </w:r>
      <w:bookmarkEnd w:id="492"/>
    </w:p>
    <w:p>
      <w:pPr>
        <w:pStyle w:val="BookText"/>
        <w:rPr/>
      </w:pPr>
      <w:r>
        <w:rPr>
          <w:rFonts w:ascii="Amiri" w:hAnsi="Amiri" w:eastAsia="Amiri" w:cs="Amiri"/>
          <w:color w:val="111111"/>
          <w:sz w:val="28"/>
          <w:sz w:val="28"/>
          <w:szCs w:val="28"/>
          <w:rtl w:val="true"/>
          <w:lang w:bidi="ar-SA"/>
        </w:rPr>
        <w:t>ثم إنّ فقهاء السنّة استدلّوا بوجه غير ناهض لإثبات الجواز، فهؤلاء مكان أن يعتمدوا على العمومات والإطلاقات وعلى السيرة العقلائية غير المردودة من جانب الشرع استدلّوا بما روى أبو عبيدة عن عبداللّه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 رسول اللّه بيني وبين عمّار وسعد بن أبي وَقاص، فجاء سعد بأسيرين ولم يجيئا بشيء</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لا يدل على المطلوب، إذ ليس فيه أنّ هؤلاء اشتركوا فيما يغتنمونه في الحرب ثم خاضوا في ميادينها، إنّما يدل على أنّ سعداً أتى بأسيرين دون الآخرين وأشرك النبي صلى الله عليه و آله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خلاف ما ذكر بشهادة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 عن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عقد الإشراك بينهم، ويشهد على ما ذكر صورة أُخرى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اشترك سعد بن أبي وقاص وعبداللّه بن مسعود وعمّار بن ياسر فيما يغتنمونه، فأتى سعد بأسيرين ولم يأتيا بشيء، فأقرّهما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أشرك النبي بينهم</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وأجاب عنه العلّامة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الغنائم مشتركة بين الغانمين بحكم اللّه تعالى فكيف يصحّ اختصاص</w:t>
      </w:r>
    </w:p>
    <w:p>
      <w:pPr>
        <w:pStyle w:val="BookText"/>
        <w:rPr/>
      </w:pPr>
      <w:r>
        <w:rPr>
          <w:rFonts w:ascii="Amiri" w:hAnsi="Amiri" w:eastAsia="Amiri" w:cs="Amiri"/>
          <w:color w:val="111111"/>
          <w:sz w:val="28"/>
          <w:sz w:val="28"/>
          <w:szCs w:val="28"/>
          <w:rtl w:val="true"/>
          <w:lang w:bidi="ar-SA"/>
        </w:rPr>
        <w:t>هؤلاء بالشركة فيها؟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نسلّم أنّ سعداً أعطاهم على سبيل الوجوب، بل أراد التبرّع والوفاء بالوعد الّذي لا يجب إنجازه، أمّا على سبيل اللزوم فلا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وهناك جواب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غنائم بدر كانت لرسول اللّه صلى الله عليه و آله فكان له أن يدفعها إلى مَنْ شاء، فيحتمل أن يكون فَعَل ذلك لهذا، وذلك بشهادة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الْأَنْفالِ قُلِ الْأَنْفالُ لِلّهِ وَ الرَّسُولِ‌</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 وقد فسّروا الأنفال في الآية بالغنائم الّتي حازها المسلمون في غزوة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الأنفال في مصطلح الفقهاء هو الفيء الوارد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أَفاءَ اللّهُ عَلى رَسُولِهِ مِنْهُمْ فَما أَوْجَفْتُمْ عَلَيْهِ مِنْ خَيْلٍ وَ لا رِكابٍ وَ لكِنَّ اللّهَ يُسَلِّطُ رُسُلَهُ عَلى مَنْ يَشاءُ وَ اللّهُ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عَلى رَسُولِهِ مِنْ أَهْلِ الْقُرى فَلِلّهِ وَ لِلرَّسُولِ وَ لِذِي الْقُرْبى وَ الْيَتامى وَ الْمَساكِينِ وَ ابْنِ السَّبِيلِ كَيْ لا يَكُونَ دُولَةً بَيْنَ الْأَغْنِياءِ مِنْكُمْ وَ ما آتاكُمُ الرَّسُولُ فَخُذُوهُ وَ ما نَهاكُمْ عَنْهُ فَانْتَهُوا وَ اتَّقُوا اللّهَ إِنَّ اللّهَ شَدِيدُ الْعِقابِ‌</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والأنفال في مصطلح الحديث أيضاً هي الفيء، بل أوسع من ذلك عن رؤوس الجبال وبطون الأودية و</w:t>
      </w:r>
      <w:r>
        <w:rPr>
          <w:rFonts w:eastAsia="Amiri" w:cs="Amiri" w:ascii="Amiri" w:hAnsi="Amiri"/>
          <w:color w:val="111111"/>
          <w:sz w:val="28"/>
          <w:szCs w:val="28"/>
          <w:rtl w:val="true"/>
          <w:lang w:bidi="ar-SA"/>
        </w:rPr>
        <w:t>...</w:t>
      </w:r>
      <w:r>
        <w:rPr>
          <w:rStyle w:val="FootnoteAnchor"/>
          <w:rtl w:val="true"/>
        </w:rPr>
        <w:footnoteReference w:id="614"/>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الختام نلفت نظر القارئ إلى نكتة وهي أنّ شركة الأعمال كانت في الأزمنة السابقة شركة في الأعمال فقط، دون أن تكون مقرونة بالأموال، وأمّا في العصر الحاضر فإنّ شركات الخدمات هي في الواقع تتألف من شركة الأعمال وشركة الأموال، أي أنّها مزيج منهما، وهذا ينطبق على ما ذكرناه من الأمثلة فالأطباء الذين أسّسوا المستوصف، فإنّ الأجهزة الطبية والأدوات واللوازم</w:t>
      </w:r>
      <w:bookmarkStart w:id="493" w:name="pg16768_165418"/>
    </w:p>
    <w:p>
      <w:pPr>
        <w:pStyle w:val="BookText"/>
        <w:rPr/>
      </w:pPr>
      <w:bookmarkEnd w:id="493"/>
      <w:r>
        <w:rPr>
          <w:rFonts w:ascii="Amiri" w:hAnsi="Amiri" w:eastAsia="Amiri" w:cs="Amiri"/>
          <w:color w:val="111111"/>
          <w:sz w:val="28"/>
          <w:sz w:val="28"/>
          <w:szCs w:val="28"/>
          <w:rtl w:val="true"/>
          <w:lang w:bidi="ar-SA"/>
        </w:rPr>
        <w:t>الخاصة بالفحص والعلاج كلّها ملك الأطباء، فهم يعملون بواسطة هذه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مكاتب المهندسين، فهم يمتلكون أدوات الرسم الهندسي، ويعملون بواسطتها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هذا فإبطال هذا النوع من الشركة بوجوه غير ناهضة، أو الاحتياط في مقام الإفتاء بعدم الجواز، يوجب شل الحياة الاجتماعية والاقتصادية في المجتمعات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وأقصى ما يمكن أن يقال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على المشاركين عقد الشركة على وجه يحدد عمل المشاركين بنحو يرفع الجهل والغرر غير المعفو من أعمالهم</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6863756_73709187"/>
      <w:bookmarkStart w:id="495" w:name="_Toc185"/>
      <w:bookmarkEnd w:id="494"/>
      <w:r>
        <w:rPr>
          <w:rtl w:val="true"/>
        </w:rPr>
        <w:t>تصحيح شركة الأعمال</w:t>
      </w:r>
      <w:bookmarkEnd w:id="495"/>
    </w:p>
    <w:p>
      <w:pPr>
        <w:pStyle w:val="BookText"/>
        <w:rPr/>
      </w:pPr>
      <w:r>
        <w:rPr>
          <w:rFonts w:ascii="Amiri" w:hAnsi="Amiri" w:eastAsia="Amiri" w:cs="Amiri"/>
          <w:color w:val="111111"/>
          <w:sz w:val="28"/>
          <w:sz w:val="28"/>
          <w:szCs w:val="28"/>
          <w:rtl w:val="true"/>
          <w:lang w:bidi="ar-SA"/>
        </w:rPr>
        <w:t>ثم إنّ غير واحد من الفقهاء لمّا أحس بضرورة هذا النوع من الشركة صاروا إلى تصحيحها بوجه آخر، نذكر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قدس سره لمّا واجه الإجماع على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التصحيح بوجه آخر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يرجع إلى الوكالة في بعض الأُمور، وتمليك مال في البعض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 مال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 نفس وعمل في مقابلة عوض ولا مانع عنه في العقل والشرع</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الطباطبائي اليزدي،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أرادا الاشتراك في ذلك صالح أحدهما الآخر نصف منفعته المعيّنة أو منافعه إلى مدة كذا بنصف منفعة أو منافع الآخر، أو صالحه نصف منفعته بعوض معيّن وصالحه الآخر أيضاً نصف منفعته بذلك العوض</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الخوئي فقد صحّح شركة الأعيان عن طريق كونها شركة في المنافع</w:t>
      </w:r>
      <w:bookmarkStart w:id="496" w:name="pg16768_165419"/>
    </w:p>
    <w:p>
      <w:pPr>
        <w:pStyle w:val="BookText"/>
        <w:rPr/>
      </w:pPr>
      <w:bookmarkEnd w:id="496"/>
      <w:r>
        <w:rPr>
          <w:rFonts w:ascii="Amiri" w:hAnsi="Amiri" w:eastAsia="Amiri" w:cs="Amiri"/>
          <w:color w:val="111111"/>
          <w:sz w:val="28"/>
          <w:sz w:val="28"/>
          <w:szCs w:val="28"/>
          <w:rtl w:val="true"/>
          <w:lang w:bidi="ar-SA"/>
        </w:rPr>
        <w:t>وأن يملّك كُلٌّ منهم نصف خياطته في ذلك اليوم لصاحبه في قبال تمليك صاحبه نصف خياطته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لو كان مصبُّ الشركة هو الأُجور المحصلة فلا يجوز، لأنّه من مقولة تمليك المعدوم</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ولا يخفى أنّ ما ذكروه وإن كان موافقاً للاحتياط، ولكنّه أمر لا يخطر ببال أحدٍ من المتشاركين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الأولى صرف الهمة إلى تصحيحها لا إلى إرجاعها إلى أمر مغفول عنه عند المتشاركين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أنّك قد عرفت الإشكال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تمليك المعدوم</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6863758_73709187"/>
      <w:bookmarkStart w:id="498" w:name="_Toc186"/>
      <w:bookmarkEnd w:id="497"/>
      <w:r>
        <w:rPr>
          <w:rtl w:val="true"/>
        </w:rPr>
        <w:t>شركة الأعمال فرع من الشركات المعنوية</w:t>
      </w:r>
      <w:bookmarkEnd w:id="498"/>
    </w:p>
    <w:p>
      <w:pPr>
        <w:pStyle w:val="BookText"/>
        <w:rPr/>
      </w:pPr>
      <w:r>
        <w:rPr>
          <w:rFonts w:ascii="Amiri" w:hAnsi="Amiri" w:eastAsia="Amiri" w:cs="Amiri"/>
          <w:color w:val="111111"/>
          <w:sz w:val="28"/>
          <w:sz w:val="28"/>
          <w:szCs w:val="28"/>
          <w:rtl w:val="true"/>
          <w:lang w:bidi="ar-SA"/>
        </w:rPr>
        <w:t>إلى هنا جرينا على غرار ما ذكره الأصحاب حول شركة الأعمال، إذ أنّهم صوّروها بصورة شركة بسيطة بين شخصين يصبان جهودهما في عمل جزئي خاص، وهناك أمر آخر ربّما يندفع به أكثرما أُشكل عليها،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الشركة في الأعمال من أقسام الشركة المعنوية بمعنى أنّ 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شخصاً اعتبارياً قانونياً يتمتع بجميع الحقوق إلّاما كان منها ملازماً لصفة الإنسان الطبيعية ولها ذمة مالية مستقلة، فبعد إجراء أُمور تعتبرها القوانين المدنية للبلد يصبح عنوان الشركة مالكاً لعامة الأموال والمنافع الّتي تدرها ويكون الأعضاء هم أصحاب الحق في الشركة، وعلى ضوء ذلك فالعمال كلهم يعملون لهذه الشخصية الاعتبارية، ويملّكون منافع أيديهم لها، لا لواحد من الشركاء ولا لاثنين منهم، بل الكلّ في خدمة الشركة حتى تجتمع المنافع في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بمجرد قسمة الأموال تبطل الشركة ولا يبقى منها أثر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ضوء ذلك فما أُثير حولها من الإشكال فالجميع مندفع أيضاً بما</w:t>
      </w:r>
    </w:p>
    <w:p>
      <w:pPr>
        <w:pStyle w:val="BookText"/>
        <w:rPr/>
      </w:pPr>
      <w:r>
        <w:rPr>
          <w:rFonts w:ascii="Amiri" w:hAnsi="Amiri" w:eastAsia="Amiri" w:cs="Amiri"/>
          <w:color w:val="111111"/>
          <w:sz w:val="28"/>
          <w:sz w:val="28"/>
          <w:szCs w:val="28"/>
          <w:rtl w:val="true"/>
          <w:lang w:bidi="ar-SA"/>
        </w:rPr>
        <w:t>عرفت والّذي يحتاج إلى التوضيح هو حل 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توقيفية المعاملات فيندفع أيضاً بوجود هذا النوع من الشخصية الاعتبارية في الشريعة الإسلامية نظير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المال الذي له عنوان اعتباري يتملّك ما يرجع إلى الدولة الإسلامية من الأموال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الزكوات فإنّ المالك لها هو عنوان الفقراء لا مصاديقهم، وإنّما هم مصارف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الخمس فإنّ المالك له هو مقام الإمامة والولاية كما هو الوارد في رواية أبي علي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الثالث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نؤتى بالشيء،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لأبي جعفر عليه السلام عندنا، فكيف نصنع‌؟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لأبي عليه السلام بسبب الإمامة فهو لي، وما كان غير ذلك فهو ميراث على كتاب اللّه وسنّة نبيه</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فإنّ ظاهر العبارة أنّ المالك للخمس هو مقام الإمامة والخلافة من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الموارد فهي مصارف لا أنّهم مُلّاك حقيقة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الأراضي المفتوحة عنوة ملك لعنوان المسلمين الذي يصدق على الموجودين والمعدومين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أبوعبداللّه عليه السلام عن السواد ما منزلته‌؟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لجميع المسلمين لمن هو اليوم، ومن يدخل في الإسلام بعد اليوم، ولمن لم يخلق بعد</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أنّك عرفت أنّ توقيفية المعاملات لا تنسجم مع كون الإسلام ديناً خالداً وشريعة خالدة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ملأت الشركات المعنوية العالم من غير</w:t>
      </w:r>
    </w:p>
    <w:p>
      <w:pPr>
        <w:pStyle w:val="BookText"/>
        <w:rPr/>
      </w:pPr>
      <w:r>
        <w:rPr>
          <w:rFonts w:ascii="Amiri" w:hAnsi="Amiri" w:eastAsia="Amiri" w:cs="Amiri"/>
          <w:color w:val="111111"/>
          <w:sz w:val="28"/>
          <w:sz w:val="28"/>
          <w:szCs w:val="28"/>
          <w:rtl w:val="true"/>
          <w:lang w:bidi="ar-SA"/>
        </w:rPr>
        <w:t>فرق بين البلاد الإسلامية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تمليك المعدوم أو عدم المزج، فهما بالنسبة إلى هذه النظرية وما عليه الأصحاب في معنى شركة الأعمال على وجه سواء، وقد عرفت جوابهما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أنّها من قبيل شركة المنافع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الشركة المعنوية لا صلة لها بشركة المنافع، فإنّ الشخصية المعنوية تمتلك كل شيء عيناً أو منفعة حتى ولو كان ديناً، دون أن يمتلك أحد الشركاء منافع الشريك الآخر</w:t>
      </w:r>
      <w:r>
        <w:rPr>
          <w:rFonts w:eastAsia="Amiri" w:cs="Amiri" w:ascii="Amiri" w:hAnsi="Amiri"/>
          <w:color w:val="111111"/>
          <w:sz w:val="28"/>
          <w:szCs w:val="28"/>
          <w:rtl w:val="true"/>
          <w:lang w:bidi="ar-SA"/>
        </w:rPr>
        <w:t>.</w:t>
      </w:r>
      <w:bookmarkStart w:id="499" w:name="pg16768_165422"/>
    </w:p>
    <w:p>
      <w:pPr>
        <w:pStyle w:val="Heading3"/>
        <w:numPr>
          <w:ilvl w:val="2"/>
          <w:numId w:val="1"/>
        </w:numPr>
        <w:rPr/>
      </w:pPr>
      <w:bookmarkStart w:id="500" w:name="__RefHeading___Toc6863760_73709187"/>
      <w:bookmarkStart w:id="501" w:name="_Toc187"/>
      <w:bookmarkEnd w:id="499"/>
      <w:bookmarkEnd w:id="500"/>
      <w:r>
        <w:rPr/>
        <w:t>8</w:t>
      </w:r>
      <w:r>
        <w:rPr>
          <w:rtl w:val="true"/>
        </w:rPr>
        <w:t xml:space="preserve"> </w:t>
      </w:r>
      <w:r>
        <w:rPr>
          <w:rtl w:val="true"/>
        </w:rPr>
        <w:t>في وقف الحُلِيّ والأثمان</w:t>
      </w:r>
      <w:bookmarkEnd w:id="501"/>
    </w:p>
    <w:p>
      <w:pPr>
        <w:pStyle w:val="Heading4"/>
        <w:numPr>
          <w:ilvl w:val="3"/>
          <w:numId w:val="1"/>
        </w:numPr>
        <w:rPr/>
      </w:pPr>
      <w:bookmarkStart w:id="502" w:name="__RefHeading___Toc6863762_73709187"/>
      <w:bookmarkStart w:id="503" w:name="_Toc188"/>
      <w:bookmarkEnd w:id="502"/>
      <w:r>
        <w:rPr>
          <w:rtl w:val="true"/>
        </w:rPr>
        <w:t>اشارة</w:t>
      </w:r>
      <w:bookmarkEnd w:id="503"/>
    </w:p>
    <w:p>
      <w:pPr>
        <w:pStyle w:val="BookText"/>
        <w:rPr/>
      </w:pPr>
      <w:r>
        <w:rPr>
          <w:rFonts w:ascii="Amiri" w:hAnsi="Amiri" w:eastAsia="Amiri" w:cs="Amiri"/>
          <w:color w:val="111111"/>
          <w:sz w:val="28"/>
          <w:sz w:val="28"/>
          <w:szCs w:val="28"/>
          <w:rtl w:val="true"/>
          <w:lang w:bidi="ar-SA"/>
        </w:rPr>
        <w:t>يقع الكلام في وقف الذهب والفضة تارة فيما إذا كانا بهيئة الحليّ‌، وأُخرى فيما إذا كانا مسكوكين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الخلاف في جواز وقفهما بين الأصحاب وغيرهم، وإنّما خالف أحمد في إحدى الروايتين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وقف الذهب والفضة إذا كان لفائدة اللُّبس، والإجارة، والإعارة، ولأنّه عين يمكن الانتفاع بها مع بقائها دائماً، فصحّ وقفها كالعقار، وبهذا قال الشافعي، وهو إحدى الروايتين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الثانية لا يصح، لأنّ التحلّي ليس المقصد الأصلي من الأثمان فلم يصحّ وقفها عليه كما لو وقف الدنانير والدراهم</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والظاهر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 لأنّ الكلام في الذهب والفضة إذا كانا حُليّين لا في المسكوكين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حدّ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تحبيس العين وتسبيل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منطبقاً على الموقوف وعُدّ التحلّي منفعة رائجة له مضافاً إلى إجارته وإعارته لما كان وجه للتردّد في صحّته،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يتصوّر الواقف فيما يترك من بنات وحفيدات وأسباط، بأنّ بعضاً منهنّ ربّما لا يتمكّنّ من التحلّي في</w:t>
      </w:r>
      <w:bookmarkStart w:id="504" w:name="pg16768_165423"/>
    </w:p>
    <w:p>
      <w:pPr>
        <w:pStyle w:val="BookText"/>
        <w:rPr/>
      </w:pPr>
      <w:bookmarkEnd w:id="504"/>
      <w:r>
        <w:rPr>
          <w:rFonts w:ascii="Amiri" w:hAnsi="Amiri" w:eastAsia="Amiri" w:cs="Amiri"/>
          <w:color w:val="111111"/>
          <w:sz w:val="28"/>
          <w:sz w:val="28"/>
          <w:szCs w:val="28"/>
          <w:rtl w:val="true"/>
          <w:lang w:bidi="ar-SA"/>
        </w:rPr>
        <w:t>الضيافة، فيعطف على هذه الطبقة الفقيرة، فيقف الخاتم والسوار والأقراط والقلادة والخلخال عليهنّ تقرباً إلى اللّه سبحانه، لأنّه بذلك يحفظ كرامتهنّ بين الناس، وليس وقف الحليّ عندئذ إلّاكوقف الثياب والأواني والفرش والكتب والسلاح حيث يُنتفع بها كما ينتفع بالحليّ‌، بل ربّما إذا كانت الحليّ كثيرة تنتفع بها العائلة كما تنتفع بالأراضي الموقوفة، وذلك بإجارتها وغير ذلك من الطرق التي تدر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وقف المسكوك منها، فهل يجوز وقفه بصورة الدرهم والدينار أو لا؟ ففيه وجوه بل أقوال</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6863764_73709187"/>
      <w:bookmarkStart w:id="506" w:name="_Toc189"/>
      <w:bookmarkEnd w:id="505"/>
      <w:r>
        <w:rPr/>
        <w:t>1</w:t>
      </w:r>
      <w:r>
        <w:rPr>
          <w:rtl w:val="true"/>
        </w:rPr>
        <w:t xml:space="preserve">. </w:t>
      </w:r>
      <w:r>
        <w:rPr>
          <w:rtl w:val="true"/>
        </w:rPr>
        <w:t>عدم جواز الوقف</w:t>
      </w:r>
      <w:bookmarkEnd w:id="506"/>
    </w:p>
    <w:p>
      <w:pPr>
        <w:pStyle w:val="BookText"/>
        <w:rPr/>
      </w:pPr>
      <w:r>
        <w:rPr>
          <w:rFonts w:ascii="Amiri" w:hAnsi="Amiri" w:eastAsia="Amiri" w:cs="Amiri"/>
          <w:color w:val="111111"/>
          <w:sz w:val="28"/>
          <w:sz w:val="28"/>
          <w:szCs w:val="28"/>
          <w:rtl w:val="true"/>
          <w:lang w:bidi="ar-SA"/>
        </w:rPr>
        <w:t xml:space="preserve">ذهب أكثر علمائنا إلى عدم جواز وقف المسكوك لعدم انطباق حدّ الوقف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العين وتسبيل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يُنتفع بالمسكوك مع بقاء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بعض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وقف الدراهم والدنانير بلا خلاف يعتدّ به، لأنّ الموقوف عليه لا ينتفع بهما مع بقاء عينهما في يده</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وهذا هو الظاهر من ابن إدريس</w:t>
      </w:r>
      <w:r>
        <w:rPr>
          <w:rStyle w:val="FootnoteAnchor"/>
          <w:rtl w:val="true"/>
        </w:rPr>
        <w:footnoteReference w:id="622"/>
      </w:r>
      <w:r>
        <w:rPr>
          <w:rFonts w:ascii="Amiri" w:hAnsi="Amiri" w:eastAsia="Amiri" w:cs="Amiri"/>
          <w:color w:val="111111"/>
          <w:sz w:val="28"/>
          <w:sz w:val="28"/>
          <w:szCs w:val="28"/>
          <w:rtl w:val="true"/>
          <w:lang w:bidi="ar-SA"/>
        </w:rPr>
        <w:t>، والكيدري</w:t>
      </w:r>
      <w:r>
        <w:rPr>
          <w:rStyle w:val="FootnoteAnchor"/>
          <w:rtl w:val="true"/>
        </w:rPr>
        <w:footnoteReference w:id="623"/>
      </w:r>
      <w:r>
        <w:rPr>
          <w:rFonts w:ascii="Amiri" w:hAnsi="Amiri" w:eastAsia="Amiri" w:cs="Amiri"/>
          <w:color w:val="111111"/>
          <w:sz w:val="28"/>
          <w:sz w:val="28"/>
          <w:szCs w:val="28"/>
          <w:rtl w:val="true"/>
          <w:lang w:bidi="ar-SA"/>
        </w:rPr>
        <w:t>معلّلين عدم الجواز بنفس ما ورد في الغنية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الشيخ وابن إدريس وابن البراج وأكثر علمائنا من وقف الدراهم والدنانير، لأنّه لا نفع يفرض لهما إلّامع إتلافها فأشبهت المأكول والمشروب، وجوّز بعض علمائنا وقفها لإمكان فرض نفع مع بقاء العين</w:t>
      </w:r>
      <w:bookmarkStart w:id="507" w:name="pg16768_165424"/>
    </w:p>
    <w:p>
      <w:pPr>
        <w:pStyle w:val="BookText"/>
        <w:rPr/>
      </w:pPr>
      <w:bookmarkEnd w:id="507"/>
      <w:r>
        <w:rPr>
          <w:rFonts w:ascii="IRNazanin" w:hAnsi="IRNazanin" w:eastAsia="IRNazanin"/>
          <w:color w:val="111111"/>
          <w:sz w:val="28"/>
          <w:sz w:val="28"/>
          <w:szCs w:val="28"/>
          <w:rtl w:val="true"/>
          <w:lang w:bidi="fa-IR"/>
        </w:rPr>
        <w:t>ولهذا صحّت إعارتها</w:t>
      </w:r>
      <w:r>
        <w:rPr>
          <w:rFonts w:eastAsia="IRNazanin" w:cs="IRNazanin"/>
          <w:color w:val="111111"/>
          <w:sz w:val="28"/>
          <w:szCs w:val="28"/>
          <w:rtl w:val="true"/>
          <w:lang w:bidi="fa-IR"/>
        </w:rPr>
        <w:t>.</w:t>
      </w:r>
      <w:r>
        <w:rPr>
          <w:rStyle w:val="FootnoteAnchor"/>
          <w:rtl w:val="true"/>
        </w:rPr>
        <w:footnoteReference w:id="624"/>
      </w:r>
    </w:p>
    <w:p>
      <w:pPr>
        <w:pStyle w:val="Heading4"/>
        <w:numPr>
          <w:ilvl w:val="3"/>
          <w:numId w:val="1"/>
        </w:numPr>
        <w:rPr/>
      </w:pPr>
      <w:bookmarkStart w:id="508" w:name="__RefHeading___Toc6863766_73709187"/>
      <w:bookmarkStart w:id="509" w:name="_Toc190"/>
      <w:bookmarkEnd w:id="508"/>
      <w:r>
        <w:rPr/>
        <w:t>2</w:t>
      </w:r>
      <w:r>
        <w:rPr>
          <w:rtl w:val="true"/>
        </w:rPr>
        <w:t xml:space="preserve">. </w:t>
      </w:r>
      <w:r>
        <w:rPr>
          <w:rtl w:val="true"/>
        </w:rPr>
        <w:t>جواز الوقف</w:t>
      </w:r>
      <w:bookmarkEnd w:id="509"/>
    </w:p>
    <w:p>
      <w:pPr>
        <w:pStyle w:val="BookText"/>
        <w:rPr/>
      </w:pPr>
      <w:r>
        <w:rPr>
          <w:rFonts w:ascii="Amiri" w:hAnsi="Amiri" w:eastAsia="Amiri" w:cs="Amiri"/>
          <w:color w:val="111111"/>
          <w:sz w:val="28"/>
          <w:sz w:val="28"/>
          <w:szCs w:val="28"/>
          <w:rtl w:val="true"/>
          <w:lang w:bidi="ar-SA"/>
        </w:rPr>
        <w:t>قد عرفت أنّ العلّامة نقل في القواعد جواز وقفهما ولم يسمّ القائل، ويظهر من الشهيد جواز وقفهما إن كان لهما منفعة حكمية،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وقف الدراهم والدنانير إن كان لهما منفعة حكمية مع بقاء عينهما كالتحلّي بهما، ونقل في المبسوط الإجماع على المنع من وقفهما إلّاممّن شذ</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وقال 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أنّه إن كان لهما منفعة مقصودة عرفاً سوى الإنفاق صحّ وقفهما وإلّا فلا</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وقال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الجواز، لأنّ هذه المنافع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 وتزيين المجلس والضرب على سكّتها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مقصودة ولا تمنع قوة غيرها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انتفت هذه المنافع عادة في بعض الأزمان والأمكنة اتّجه القول بالمنع</w:t>
      </w:r>
      <w:r>
        <w:rPr>
          <w:rFonts w:eastAsia="Amiri" w:cs="Amiri" w:ascii="Amiri" w:hAnsi="Amiri"/>
          <w:color w:val="111111"/>
          <w:sz w:val="28"/>
          <w:szCs w:val="28"/>
          <w:rtl w:val="true"/>
          <w:lang w:bidi="ar-SA"/>
        </w:rPr>
        <w:t>.</w:t>
      </w:r>
      <w:r>
        <w:rPr>
          <w:rStyle w:val="FootnoteAnchor"/>
          <w:rtl w:val="true"/>
        </w:rPr>
        <w:footnoteReference w:id="627"/>
      </w:r>
    </w:p>
    <w:p>
      <w:pPr>
        <w:pStyle w:val="Heading4"/>
        <w:numPr>
          <w:ilvl w:val="3"/>
          <w:numId w:val="1"/>
        </w:numPr>
        <w:rPr/>
      </w:pPr>
      <w:bookmarkStart w:id="510" w:name="__RefHeading___Toc6863768_73709187"/>
      <w:bookmarkStart w:id="511" w:name="_Toc191"/>
      <w:bookmarkEnd w:id="510"/>
      <w:r>
        <w:rPr/>
        <w:t>3</w:t>
      </w:r>
      <w:r>
        <w:rPr>
          <w:rtl w:val="true"/>
        </w:rPr>
        <w:t xml:space="preserve">. </w:t>
      </w:r>
      <w:r>
        <w:rPr>
          <w:rtl w:val="true"/>
        </w:rPr>
        <w:t>التردّد وعدم الجزم بشيء</w:t>
      </w:r>
      <w:bookmarkEnd w:id="511"/>
    </w:p>
    <w:p>
      <w:pPr>
        <w:pStyle w:val="BookText"/>
        <w:rPr/>
      </w:pPr>
      <w:r>
        <w:rPr>
          <w:rFonts w:ascii="Amiri" w:hAnsi="Amiri" w:eastAsia="Amiri" w:cs="Amiri"/>
          <w:color w:val="111111"/>
          <w:sz w:val="28"/>
          <w:sz w:val="28"/>
          <w:szCs w:val="28"/>
          <w:rtl w:val="true"/>
          <w:lang w:bidi="ar-SA"/>
        </w:rPr>
        <w:t>يظهر من العلّامة في القواعد التردّد،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الدراهم والدنانير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الفخر في شرح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منشؤه أنّه هل يصح أن يكون لها منفعة حكمية معتبرة في نظر الشارع مع بقاء عينها، أو لا؟</w:t>
      </w:r>
      <w:r>
        <w:rPr>
          <w:rStyle w:val="FootnoteAnchor"/>
          <w:rtl w:val="true"/>
        </w:rPr>
        <w:footnoteReference w:id="628"/>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الكلمات التي لا تخرج عن حدود هذه الأقوال</w:t>
      </w:r>
      <w:bookmarkStart w:id="512" w:name="pg16768_165425"/>
    </w:p>
    <w:p>
      <w:pPr>
        <w:pStyle w:val="BookText"/>
        <w:rPr/>
      </w:pPr>
      <w:bookmarkEnd w:id="512"/>
      <w:r>
        <w:rPr>
          <w:rFonts w:ascii="Amiri" w:hAnsi="Amiri" w:eastAsia="Amiri" w:cs="Amiri"/>
          <w:color w:val="111111"/>
          <w:sz w:val="28"/>
          <w:sz w:val="28"/>
          <w:szCs w:val="28"/>
          <w:rtl w:val="true"/>
          <w:lang w:bidi="ar-SA"/>
        </w:rPr>
        <w:t>الثلاثة</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عن القول بالجواز هو دوران الأمر بين حبس العين وتسبيل المنفعة، فحبس العين يستلزم عدم المنفعة أو قلّتها، فإنّ إعارة الدراهم والدنانير للعارية والإجارة قليل، وتسبيل المنفعة يستلزم البيع والشراء بهما وهو يتنافى مع حبس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حبس العين أمر مسلّم في ماهية الوقف، والتحلّي فائدة نادرة، كان الأظهر عدم جواز وقفها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هنا فرق واضح بين الذهب والفضة غير المسكوكين والمسكوك منهما، فإنّ الأوّل له منافع بالتحلّي والإجارة وغير ذلك، بخلاف المسكوك إذ ليس له فائدة بارزة، بل تبقى العين صامتة ساكتة لا ينتفع بها إلّا منفعة نادرة</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6863770_73709187"/>
      <w:bookmarkStart w:id="514" w:name="_Toc192"/>
      <w:bookmarkEnd w:id="513"/>
      <w:r>
        <w:rPr>
          <w:rtl w:val="true"/>
        </w:rPr>
        <w:t>تصحيح وقف الأثمان مع التجارة بها</w:t>
      </w:r>
      <w:bookmarkEnd w:id="514"/>
    </w:p>
    <w:p>
      <w:pPr>
        <w:pStyle w:val="BookText"/>
        <w:rPr/>
      </w:pPr>
      <w:r>
        <w:rPr>
          <w:rFonts w:ascii="Amiri" w:hAnsi="Amiri" w:eastAsia="Amiri" w:cs="Amiri"/>
          <w:color w:val="111111"/>
          <w:sz w:val="28"/>
          <w:sz w:val="28"/>
          <w:szCs w:val="28"/>
          <w:rtl w:val="true"/>
          <w:lang w:bidi="ar-SA"/>
        </w:rPr>
        <w:t>قد عرفت أنّ المانع المهم هو لزوم حفظ العين وإبقائها في الوقف، وهذا غير ميسر في المسكوكين إذا أُريد الانتفاع بهما بالمنفعة الرائجة كالتجارة بهما، ومع ذلك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الضابطة المذكورة وإن وردت في كلام النبي صلى الله عليه و آله لكن يُحتمل كونها ناظرة إلى ما هو الأغلب آنذاك، حيث إنّ الوقف كان يدور حول الأراضي والبساتين والآبار والعيون الجارية إلى غير ذلك من الأُمور التي تدرّ نفعاً مع بقاء عينها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أمكن الانتفاع بالتصرف بالعين مع الحفاظ على ماليتها فلا وجه لعدم صحّة الوقف حينئذ، مثلاً إذا وقف سجادة على مسجد وشرط أنّها إذا صارت قديمة تباع ويشترى بثمنها سجادة أُخرى، فالمنع عن هذا النوع من الوقف بحاجة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فلو وقف الأثمان على عائلة فقيرة ولكن أجاز لهم التصرف في أشخاص الأثمان لغاية التجارة بها، حتّى يعود نفعها للموقوف عليهم بشرط الحفاظ على المالية في عامة المتبدّلات والبيع والشراء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ماذكرنا يكون الموقوف هو المالية السيّالة بين المتبدّلات دون الأعيان، وعلى هذا لا يختص الجواز بالذهب والفضة المسكوكين، بل يعم الأوراق النقدية الرائجة حالياً، فلا مانع من أن يقف الواقف مبلغاً مالياً على عائلة فقيرة ولكن رخّص للمتولّي البيع والشراء بها طول الزمان حتّى تدر نفعاً للموقوف عليهم وتبقى المالية محفوظة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حسن الحظ أنّه صار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المالية دون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الشائعة في عصرنا الحاضر، فالجمعيات الخيرية تقوم بالمساهمة وجمع الأموال لأهداف إنسانية لا تورث ولا توهب ويشترون بها الأراضي والبنايات والمدارس والمراكز الثقافية وغيرها، فالأموال تخرج عن ملكية المتبرّعين وتنتقل إلى العنوان الّذي اختاره أعضاء هذه الجمعيات لأنفسهم، فالعنوان يملك مالية الأعيان وعينها فلهم أن يتصرفوا في الأعيان بالبيع والشراء، وليس لهم التصرف في ماليتها بإتلافها وهبتها وتوريثها، بل تبقى المالية ما دامت الظروف تساعد على بقائها، وإلّا فيعمل على وفق ما اتفقوا عليه في الاتفاقية المعقودة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أوضحنا في بحوثنا في مقدّمات البيع أنّ المعاملات الحديثة إذا لم تكن مخالفة للأُصول، تكون ممضاة من قبل الشارع،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فالمفروض أنّ هذا النوع من الوقف أمر عقلائي له منافع بالنسبة للطبقة الموقوف عليهم، وليس مخالفاً للأُصول التي بُني عليها الفقه الإسلامي فلا يحرّم حلالاً ولا يحلّ حراماً، ولايناقض كلام اللّه وسنّة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بجواز هذا الوقف مطابق للأُصول ورائج بين العقلاء، ولا مانع منه ظاهراً في الشرع، واللّه العالم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قلنا بأنّ هذا النوع من تجميد الأموال بماليتها لا بأعيانها، داخل تحت</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عمومات الوقف فيكون محكوماً بحكمه وإلّا يكون عقداً أو إيقاعاً مستقلاً، رائجاً بين العقلاء، وليس فيه ما يخالف الأُصول المسلّمة في باب المعاملات، فيكون نافذاً ولازماً يجب العمل على وفق ما اتّفقوا عليه عند إيجاد الجمعيات الخيرية، والمراكز الثقافية أو غير ذلك؛ وإذا عجزت الجمعية عن إدارة الأموال، فإن كانت قد حسبت لهذه الحالة الحرجة حساباً في قانونهم فيعمل بما اتّفقوا عليه، وإلّا فيرجع إلى الحاكم الشرعي فيضعها في الأقرب فالأقرب من مقاصد الجمعية وأغراضها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bookmarkStart w:id="515" w:name="pg16768_165428"/>
    </w:p>
    <w:p>
      <w:pPr>
        <w:pStyle w:val="Heading3"/>
        <w:numPr>
          <w:ilvl w:val="2"/>
          <w:numId w:val="1"/>
        </w:numPr>
        <w:rPr/>
      </w:pPr>
      <w:bookmarkStart w:id="516" w:name="__RefHeading___Toc6863772_73709187"/>
      <w:bookmarkStart w:id="517" w:name="_Toc193"/>
      <w:bookmarkEnd w:id="515"/>
      <w:bookmarkEnd w:id="516"/>
      <w:r>
        <w:rPr/>
        <w:t>9</w:t>
      </w:r>
      <w:r>
        <w:rPr>
          <w:rtl w:val="true"/>
        </w:rPr>
        <w:t xml:space="preserve"> </w:t>
      </w:r>
      <w:r>
        <w:rPr>
          <w:rtl w:val="true"/>
        </w:rPr>
        <w:t>رسالة في إرث الزوجة</w:t>
      </w:r>
      <w:bookmarkEnd w:id="517"/>
    </w:p>
    <w:p>
      <w:pPr>
        <w:pStyle w:val="Heading4"/>
        <w:numPr>
          <w:ilvl w:val="3"/>
          <w:numId w:val="1"/>
        </w:numPr>
        <w:rPr/>
      </w:pPr>
      <w:bookmarkStart w:id="518" w:name="__RefHeading___Toc6863774_73709187"/>
      <w:bookmarkStart w:id="519" w:name="_Toc194"/>
      <w:bookmarkEnd w:id="518"/>
      <w:r>
        <w:rPr>
          <w:rtl w:val="true"/>
        </w:rPr>
        <w:t>اشارة</w:t>
      </w:r>
      <w:bookmarkEnd w:id="519"/>
    </w:p>
    <w:p>
      <w:pPr>
        <w:pStyle w:val="BookText"/>
        <w:rPr/>
      </w:pPr>
      <w:r>
        <w:rPr>
          <w:rFonts w:ascii="Amiri" w:hAnsi="Amiri" w:eastAsia="Amiri" w:cs="Amiri"/>
          <w:color w:val="111111"/>
          <w:sz w:val="28"/>
          <w:sz w:val="28"/>
          <w:szCs w:val="28"/>
          <w:rtl w:val="true"/>
          <w:lang w:bidi="ar-SA"/>
        </w:rPr>
        <w:t>حضرة العلّامة الحجة آية اللّه السيد محمود الشاهرودي دامت بركاته</w:t>
      </w:r>
    </w:p>
    <w:p>
      <w:pPr>
        <w:pStyle w:val="BookText"/>
        <w:rPr/>
      </w:pPr>
      <w:r>
        <w:rPr>
          <w:rFonts w:ascii="Amiri" w:hAnsi="Amiri" w:eastAsia="Amiri" w:cs="Amiri"/>
          <w:color w:val="111111"/>
          <w:sz w:val="28"/>
          <w:sz w:val="28"/>
          <w:szCs w:val="28"/>
          <w:rtl w:val="true"/>
          <w:lang w:bidi="ar-SA"/>
        </w:rPr>
        <w:t xml:space="preserve">أمّا بعد فقد أتحفني صديقي العزيز الفاضل الشيخ محمد الرحماني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تأييداته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بالأعداد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مجلة فقه أهل البيت عليهم السلام فقرأت ما دبّجه يراعكم حول إرث المرأة من الأرض ووقفت على جهودكم العلمية التي بذلتم في تحقيق المسألة، شكر اللّه مساعيكم، ولاسيّما في العدد الخامس والأربعين، والسادس والأربعين وفيهما غنى وكفاية لبيان موقفكم من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لنا ملاحظات حول نظركم في كيفيّة إرث الزوجة، نقدّمها إليكم عسى أن يتّضح بها نظر المشهور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لاشك أنّ للقرآن الكريم مقاماً منيعاً لا يمكن رفع اليد عن ظاهره بخبر الواحد، وهذا هو رأي المحقّق رحمه الله في المعارج في المسألة، وهذا هو المختار عندنا أيضاً في محلّه ولكن المورد ليس بهذا الشأن، فالروايات هنا متضافرة مفيدة للعلم وقد عدّ مضمونها من خصائص فقه الشيعة، فلو استثنيت فتوى ابن الجنيد فهناك رأي متميز لفقهاء الشيعة بين سائر الفقهاء، على اختلافهم في كيفية ميراث المرأة من الأقوال التي ذكرتموها في المجلة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ذكرتم حول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المرأة لا ترث من تركة زوجها من تربة دار أو</w:t>
      </w:r>
    </w:p>
    <w:p>
      <w:pPr>
        <w:pStyle w:val="BookText"/>
        <w:rPr/>
      </w:pPr>
      <w:r>
        <w:rPr>
          <w:rFonts w:ascii="Amiri" w:hAnsi="Amiri" w:eastAsia="Amiri" w:cs="Amiri"/>
          <w:color w:val="111111"/>
          <w:sz w:val="28"/>
          <w:sz w:val="28"/>
          <w:szCs w:val="28"/>
          <w:rtl w:val="true"/>
          <w:lang w:bidi="ar-SA"/>
        </w:rPr>
        <w:t>أرض إلّاأن يقوّم الطوب والخشب قيمة فتعطى ربعها أو ثمنها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الظاهر من إضافة المنع إلى تربة الدار والأرض أنَّ النظر إلى عين الدار وترابها أي ذاتها لا ما قد يتولد فيها وعليها من الأموال الإضافية حتى المالية والقيمة نتيجة الإحياء والبناء، ولهذا استدرك بلسان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يقوّم البناء والجذوع والخشب أو الطوب وهي الآجر 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وظاهر الاستثناء، الاتصال مع أنّ الطوب والخشب ليس من الأرض فكيف استثني منها؟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أقرب المعاني لمثل هذا التركيب ليس ما فعله المشهور من جعل الاستثناء على الانقطاع، بل ينبغي الحفاظ على ظهوره في الاتصال مع كون المستثنى هو الإضافات الحاصلة في القيمة والمالية، سواء بالنسبة إلى ذات البناء أو الأرض أو ما أحدث فيها أو عليها بسبب الإحياء من المالية فيكون المتفاهم عرفاً من مثل هذا التركيب من أنّها لا ترث من العين والتربة ولكن ترث أصل حقّها من التركة بأن تؤتي من قيمة الأرض وما عليها بسبب البناء والإحياء بما فيها مالية الأرض ومنفعة المكان الحاصلة بذلك، فتعطى ربعها أو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أكّدتم عليه ملاحظات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المقصود النهائي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المرأة ترث من قيمة المجموع أرضاً وبناءً‌، فلماذا فصّل الإمام عليه السلام بين تربة الدار والأرض، وبين الطوب والخشب في العبارة مع أنّ المجموع محكوم بحكم واحد وهو أنّها ترث منه قيمة لا عيناً؟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التربة وسائر الأموال ذكر في كثير من الروايات كصحيحة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 xml:space="preserve">ومحمد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الصائغ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وطربال بن رجاء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 للشركة، ويدلّ على أنّ للأرض والتربة حكماً</w:t>
      </w:r>
    </w:p>
    <w:p>
      <w:pPr>
        <w:pStyle w:val="BookText"/>
        <w:rPr/>
      </w:pPr>
      <w:r>
        <w:rPr>
          <w:rFonts w:ascii="Amiri" w:hAnsi="Amiri" w:eastAsia="Amiri" w:cs="Amiri"/>
          <w:color w:val="111111"/>
          <w:sz w:val="28"/>
          <w:sz w:val="28"/>
          <w:szCs w:val="28"/>
          <w:rtl w:val="true"/>
          <w:lang w:bidi="ar-SA"/>
        </w:rPr>
        <w:t>وللبناء حكماً آخر، فلو كان الجميع ميراثاً لها بالثمن والقيمة ومحكوماً بحكم واحد فلا وجه للتفصيل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فتوى الإمام هو إرث المرأة من المجموع قيمة لا عيناً كان عليه عليه السلام أن يذكر ذلك ببيان واضح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المرأة لا ترث من عين الدار وما عليها من البناء ولا ما فيها من الأشجار وإنّما ترث القيمة من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أئمة أهل البيت عليهم السلام فُصَحاء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وجه الكلام تارة في تربة الدار والأرض وأُخرى فيما عليها من الطوب والخشب مع اشتراك الجميع في النتيجة، وهو إرث المرأة من قيمة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المستثنى منه في بدء النظر لا يخلو من أحد أُمور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 أن يكون عين التربة والأرض فيكون الاستثناء منقطعاً، وأنتم لا ترضون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المستثنى منه هو القيمة، فتكون النتيجة خلاف المدّعى وموافقاً لقول المشهور، إذ معناه لا ترث من قيمة الدار إلّاقيمة البناء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المستثنى منه، مجموع الدار من الأرض والبناء بأن أُريد من الدار كلا الجزأين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والبناء، فيصح استثناء الطوب منه استثناء متصلاً لدخوله في المستثنى منه، إذ أُريد من الدار مجموع البناء والمبنيّ عليه، ويكون موافقاً لفتوى المشهور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المستثنى منه هو الدار مع الإضافات ومنها القيمة كما هو الظاهر من كلامكم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خلاف الظاهر، لاستلزامه لحاظ الجمع بين المبدل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أنّهما طوليّان لا عرضيّان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في تفسير الحديث هو العرف الدقيق لا العقل الدقيق ولا العرف المتسامح، وهذه الرواية ونظائرها إذا نظر إليها العربي الصميم، المتجرد ذهنه عن الخلافات الفقهية ينتقل إلى أنّ المراد هو حرمان المرأة من</w:t>
      </w:r>
    </w:p>
    <w:p>
      <w:pPr>
        <w:pStyle w:val="BookText"/>
        <w:rPr/>
      </w:pPr>
      <w:r>
        <w:rPr>
          <w:rFonts w:ascii="IRNazanin" w:hAnsi="IRNazanin" w:eastAsia="IRNazanin"/>
          <w:color w:val="111111"/>
          <w:sz w:val="28"/>
          <w:sz w:val="28"/>
          <w:szCs w:val="28"/>
          <w:rtl w:val="true"/>
          <w:lang w:bidi="fa-IR"/>
        </w:rPr>
        <w:t>الأرض دون البناء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الملاحظة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المالك إنّما يملك حياة الأرض لا ذات الرقبة وإنّما يكون له حق الاختصاص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ما ذهب إليه الفقهاء إلّامن شذ، فإنّ الأرض تملك بالإحياء وتقبل النقل والانتقال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ويملكها المحيي عند عدم الإمام من غير إذن</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ونظير ذلك في المنتهى</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وقال الشيخ الأكبر في 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أحياها المحيي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كائناً 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الغيبة كانت ملكاً له، ويملكها من شاء ويوقفها ويجري عليها أحكام الملك</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وقد تضافر 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أحيا أرضاً فهي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فاللام للملكية دون الاختصاص، ولذلك لو خربت الأرض فما لم يعلم الإعراض من صاحبها ليس للآخر إحياؤها، وما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أرضاً ثلاثة أعوام يجوز للآخر التصرف فيها قد أعرض عنه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نقلتم عن المحقّق الشعراني رضى الله عنه أنّ الوجه لعدم ذكر قيمة الأرض هو أنّ أكثر الأراضي خصوصاً ما كان بيد الشيعة في الكوفة ونواحيها كان من المفتوحة عنوة وكان لها حق اختصاص بسبب تملّك الآلات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قدس سره وإن كان من أعلام المحقّقين المخلصين، وقد زرته من قرب فوجدته رجلاً موسوعيّاً، ومع ذلك يُرد على كلامه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لازم كلامه أن تكون هذه الروايات قضايا خارجية لا قضايا حقيقية، وهل السائلون كلّهم كانوا عراقيين‌؟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 كلامه ان يعمّ الحرمان الرجال أيضاً إذ لا فرق بين الطائفتين في مورد الأراضي المفتوحة عنوة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الحقوق المالية كحق الاختصاص تورث أيضاً فلماذا لم تلحظ في هذه الروايات مالية حق الاختصاص في أرثها بناء على ما ذكرتم من انها ترث من مالية أرض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ورد في روايات كثيرة أنّ المرأة لا ترث شيئاً، والنكرة في سياق النفي تفيد العموم، وإليك هذه التعابير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المرأة لا ترث ممّا ترك زوجها من القرى والدور والسلاح شيئاً وترث من المال والفرش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ترث المرأة الطوب ولا ترث من الرباع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زرارة عن أبي جعفر، ومحمد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ترث النساء من عقار الأرض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طربال بن رجاء،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المرأة لا ترث ممّا ترك زوجها من القرى والدور والسلاح والدواب شيئاً وترث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مسلم وزرارة،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النساء لاترثن من الدور ولا من الضياع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الأحول، عن أبي عبداللّه عليه السلام قال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يرثن النساء من العقار شيئاً ولهن قيمة البناء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إنّ حمل هذه الروايات على أنّها لا ترث من العين، ولكن ترث من القيمة بعيد غايته بشهادة أنّه لو قال القائل بعد هذه 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قيمة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يتلقّى كلاماً فاقداً للبلاغة، إذ لو كان المراد الحرمان من العين دون القيمة لما كان هناك أي حاجة إلى استخدام النكرة في سياق النفي بل كان اللازم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ترث من الدور بل ترث من القيمة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الملاحظة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المرتضى إنّما اختار أنّها ترث من قيمة الجميع لأجل الجمع بين عموم آيات الإرث، وما أجمع عليه الأصحاب من الحرمان،</w:t>
      </w:r>
    </w:p>
    <w:p>
      <w:pPr>
        <w:pStyle w:val="BookText"/>
        <w:rPr/>
      </w:pPr>
      <w:r>
        <w:rPr>
          <w:rFonts w:ascii="Amiri" w:hAnsi="Amiri" w:eastAsia="Amiri" w:cs="Amiri"/>
          <w:color w:val="111111"/>
          <w:sz w:val="28"/>
          <w:sz w:val="28"/>
          <w:szCs w:val="28"/>
          <w:rtl w:val="true"/>
          <w:lang w:bidi="ar-SA"/>
        </w:rPr>
        <w:t>بتخصيص الحرمان بالعين وإيجاب القيمة على نحو ما اختاره في الحبوة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الإجماع دليل لبّي أخذ بالقدر المتيقّن وعذره في المقام أنّه لم يعتد بالأخبار الواردة في المقام لكونها أخبار آحاد لا قيمة لها عنده، وأمّا من يعتد بها كسماحتكم فليس له إلّاالأخذ بظواهرها، على أنّ كلمة المجمعين صريحة في الحرمان مطلقاً عيناً وقيمة، ولاوجه للاقتصار بالقدر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الجمع بين الروايات والآيات على النحو المذكور في كلامكم هو القول بأنّ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لَهُنَّ الرُّبُعُ مِمّا تَرَكْتُمْ‌</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فَلَهُنَّ الثُّمُنُ مِمّا تَرَكْتُمْ‌</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يتضمّن حكمين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العين من المنقول كالنقود وغيره، والقيمة من الدار والتربة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الحكمين من قبيل المتباينين لما مرّ من أنّ الإرث من القيمة بدل الإرث من العين فهل تتحمّل الآية بيان كلا الحكمين بلفظ واحد؟</w:t>
      </w:r>
    </w:p>
    <w:p>
      <w:pPr>
        <w:pStyle w:val="BookText"/>
        <w:rPr/>
      </w:pPr>
      <w:r>
        <w:rPr>
          <w:rFonts w:ascii="Amiri" w:hAnsi="Amiri" w:eastAsia="Amiri" w:cs="Amiri"/>
          <w:color w:val="111111"/>
          <w:sz w:val="28"/>
          <w:sz w:val="28"/>
          <w:szCs w:val="28"/>
          <w:rtl w:val="true"/>
          <w:lang w:bidi="ar-SA"/>
        </w:rPr>
        <w:t>وإلى ما ذكرنا يشير بعض المحقّقين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كلّ من العين والقيمة مندرجاً في العام اندراج المصاديق في المفهوم الكلّي حتى يكون حمل كلّ منهما على بعض أفراده عملاً به في الجملة</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الملاحظة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ذكرتم حول رواية الأحول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ورد في ذيلها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البناء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ظاهرة في أنّ المراد إعطاؤها قيمة الدور بما فيها قيمة رقبة أرضها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التفسير من الراوي، وعلى فرض كونه من الإمام عليه السلام فلعلّ المراد هو تضييق صدق البناء وأنّه لا يشمل إلّابناء الدور لا سائر الأبنية كبناء الطاحونة والمعمل وغيرهما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الملاحظة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عن يزيد الصائغ عن أبي عبداللّه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النساء هل يرثن من الأرض‌؟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يرثن قيمة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لا يرضون بذا،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ولّينا فلم يرضوا ضربناهم بالسوط</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فلو كان المقصود هو الحرمان من العين دون القيمة، فلماذا لا يرضى الناس به، فإنّ دفع القيمة يكون أنفع للمرأة لخروج سهمها عن الإشاعة إلى الإفراز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ذكرتم إنّ التعبير بالإعطاء أو إعطاء حقّها أو إعطاء ربعها أو ثمنها الوارد في ألسنة هذه الروايات، يجعلها ناظرة إلى مقام التقسيم والإفراز لحقوق الورثة وبيان أنّ حقّها من التركة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الربع والثمن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لايعطى من عين الأرض والعقار بل يعطى لها من سائر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ورد في الرواية الأُولى من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لاترث ممّا ترك زوجها من القرى والدور والسلاح والدوابّ شيئاً وترث من المال والفرش والثياب ومتاع البيت ممّا ترك وتقوّم النقض والأبواب والجذوع والقصب فتعطى حقّها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ما ذكرتم يكون المعنى يعطى حق المرأة من القرى والدور والسلاح والدواب من قيمة هذه الأُمور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 والأبواب والجذوع والقصب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أفهل يمكن أن تكون قيمة هذه الأُمور وافية لحق المرأة من قيمة القرى والدور والسلاح والدواب كلّها، ومثل ذلك لو أضفنا إلى الأُمور الأربعة ما تقدّمها من الأُمور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الفرش والثياب ومتاع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قلنا بأنّ المراد أنّه يعطى حق المرأة المتعلّق بهذه الأُمور من قيمة هذه الأُمور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ونظيرها ما رواه صاحب الوسائل 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السادس، والجميع على غرار واحد وسبيكة واحدة</w:t>
      </w:r>
      <w:r>
        <w:rPr>
          <w:rFonts w:eastAsia="Amiri" w:cs="Amiri" w:ascii="Amiri" w:hAnsi="Amiri"/>
          <w:color w:val="111111"/>
          <w:sz w:val="28"/>
          <w:szCs w:val="28"/>
          <w:rtl w:val="true"/>
          <w:lang w:bidi="ar-SA"/>
        </w:rPr>
        <w:t>.</w:t>
      </w:r>
      <w:bookmarkStart w:id="520" w:name="pg16768_165435"/>
    </w:p>
    <w:p>
      <w:pPr>
        <w:pStyle w:val="Heading4"/>
        <w:numPr>
          <w:ilvl w:val="3"/>
          <w:numId w:val="1"/>
        </w:numPr>
        <w:rPr/>
      </w:pPr>
      <w:bookmarkStart w:id="521" w:name="__RefHeading___Toc6863776_73709187"/>
      <w:bookmarkStart w:id="522" w:name="_Toc195"/>
      <w:bookmarkEnd w:id="520"/>
      <w:bookmarkEnd w:id="521"/>
      <w:r>
        <w:rPr/>
        <w:t>1</w:t>
      </w:r>
      <w:r>
        <w:rPr>
          <w:rtl w:val="true"/>
        </w:rPr>
        <w:t xml:space="preserve">. </w:t>
      </w:r>
      <w:r>
        <w:rPr>
          <w:rtl w:val="true"/>
        </w:rPr>
        <w:t>حول الروايات المعارضة لنظر المشهور</w:t>
      </w:r>
      <w:bookmarkEnd w:id="522"/>
    </w:p>
    <w:p>
      <w:pPr>
        <w:pStyle w:val="BookText"/>
        <w:rPr/>
      </w:pPr>
      <w:r>
        <w:rPr>
          <w:rFonts w:ascii="Amiri" w:hAnsi="Amiri" w:eastAsia="Amiri" w:cs="Amiri"/>
          <w:color w:val="111111"/>
          <w:sz w:val="28"/>
          <w:sz w:val="28"/>
          <w:szCs w:val="28"/>
          <w:rtl w:val="true"/>
          <w:lang w:bidi="ar-SA"/>
        </w:rPr>
        <w:t>هناك روايات معارضة لنظر المشهور، وأُمور ربّما تكون دليلاً لمختاركم ندرسها تالياً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الروايات فهي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عبيد بن زرارة وفضل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لأبي عبداللّه عليه السلام ما تقول في رجل تزوج امرأة ثم مات عنها وقد فرض الصداق‌؟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نصف الصداق وترثه من كل شيء، وإن ماتت فهو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الاستدلال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وترثه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ظهور بدوي، وذلك لأنّ الراوي لمّا توّهم أنّ عدم الدخول يسبّب عدم إرثها من زوجها بتاتاً، وكأنّ العلقة عند السائل تتحقّق بالدخول لا بالعقد، فردّه الإمام عليه السلام أنّ موت الزوج قبل الدخول لا يؤثر في ما تستحق من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فترثه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ممّا تستحق أن ترث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عليه السلام في مقام دفع التوهم المذكور لا في مقام بيان حد الإرث وما ترث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بن أبي عمير بياع السابري وأوصى إلي وترك امرأة له لم يترك وارثاً غيرها، فكتبت إلى العبد الصالح عليه السلام، فكتب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اعط المرأة الربع واحمل الباقي إلينا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ومحل الاستدلال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اعط المرأة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يرد في الرواية أنّ الرجل ترك أرضاً أو تربة أو ربعاً أو ما شاكله، ولعلّ التركة كانت غير الأرض والدار، وليس المراد من محمد بن أبي عمير هو التاجر الثريّ المعروف، لأنّه توفّي عام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وتوفّي العبد الصالح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اللام في الربع للعهد الذهني، أي الربع المعهود في ذهن الشيعة في إرث الزوجة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معتبرة ابن أبي يعفور والفضل بن عبدالملك وجاء فيها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يرث من دار امرأته أو أرضها من التربة شيئاً أو يكون في ذلك بمنزلة المرأة فلا يرث من ذلك شيئاً؟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يرثها وترثه من كل شيء ترك، وتركت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على عكس المدّعى أدلّ حيث إنّ الراوي قد سلّم أنّ المرأة لا ترث عن التربة فيسأل الإمام عليه السلام عن إرث الرجل وانّه هل هو بمنزلة المرأة حتى لا يرث من الأرض أو لا؟ فأجاب الإمام عليه السلام بأنّها ترث من كل شيء، فالرواية تشهد بأنّ الرأي السائد بين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عدم إرث المرأة من الأرض، وعلى ذلك بنى السائل سؤاله وقاس الزوج بالزوجة، فعند ذاك لا محيص من حمل الجواب على التقية، لكونها مخالفة لما هو المشهور بين الشيعة حسب ما تعطيه الرواية، وإلّا لما اكتفى الإمام عليه السلام في ردع هذه الذهنية للسائل بجملة بسيطة ذكرت استطراداً في مقام الجواب عن سؤال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اتقى أئمة أهل البيت عليهم السلام في بيان الفروض في غير مورد نذكر منها موردين تجنباً للإطالة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عبداللّه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رجل أوصى إليّ‌، وهلك وترك ابنته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اعط الابنة النصف، واترك للموالي 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فرجعت فقال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للموالي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إليه من قابل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قالوا ما للموالي شيء، وإنّما اتقاك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اتقيتك وإنّي خفت عليك أن تؤخذ بالنصف، فإن كنت لا تخاف فادفع النصف الآخر إلى ابنته فإن اللّه سيؤدي عنك</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يشهد على تقيتهم في مسائل الإرث ما رواه الفقيه باسناده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علي بن أبي طالب عليه السلام في ستة إخوة وجدّ، أن أجعله</w:t>
      </w:r>
      <w:bookmarkStart w:id="523" w:name="pg16768_165437"/>
    </w:p>
    <w:p>
      <w:pPr>
        <w:pStyle w:val="BookText"/>
        <w:rPr/>
      </w:pPr>
      <w:bookmarkEnd w:id="523"/>
      <w:r>
        <w:rPr>
          <w:rFonts w:ascii="Amiri" w:hAnsi="Amiri" w:eastAsia="Amiri" w:cs="Amiri"/>
          <w:color w:val="111111"/>
          <w:sz w:val="28"/>
          <w:sz w:val="28"/>
          <w:szCs w:val="28"/>
          <w:rtl w:val="true"/>
          <w:lang w:bidi="ar-SA"/>
        </w:rPr>
        <w:t>كأحدهم واِمحِ كتابي، فجعله عليّ عليه السلام سابعاً معهم، وقول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وامحِ كتابي، كره أن يشنع عليه بالخلاف على مَنْ تقدمه</w:t>
      </w:r>
      <w:r>
        <w:rPr>
          <w:rFonts w:eastAsia="Amiri" w:cs="Amiri" w:ascii="Amiri" w:hAnsi="Amiri"/>
          <w:color w:val="111111"/>
          <w:sz w:val="28"/>
          <w:szCs w:val="28"/>
          <w:rtl w:val="true"/>
          <w:lang w:bidi="ar-SA"/>
        </w:rPr>
        <w:t>.</w:t>
      </w:r>
      <w:r>
        <w:rPr>
          <w:rStyle w:val="FootnoteAnchor"/>
          <w:rtl w:val="true"/>
        </w:rPr>
        <w:footnoteReference w:id="638"/>
      </w:r>
    </w:p>
    <w:p>
      <w:pPr>
        <w:pStyle w:val="Heading4"/>
        <w:numPr>
          <w:ilvl w:val="3"/>
          <w:numId w:val="1"/>
        </w:numPr>
        <w:rPr/>
      </w:pPr>
      <w:bookmarkStart w:id="524" w:name="__RefHeading___Toc6863778_73709187"/>
      <w:bookmarkStart w:id="525" w:name="_Toc196"/>
      <w:bookmarkEnd w:id="524"/>
      <w:r>
        <w:rPr/>
        <w:t>2</w:t>
      </w:r>
      <w:r>
        <w:rPr>
          <w:rtl w:val="true"/>
        </w:rPr>
        <w:t xml:space="preserve">. </w:t>
      </w:r>
      <w:r>
        <w:rPr>
          <w:rtl w:val="true"/>
        </w:rPr>
        <w:t>مشكلة اختلال الميزان في الفرائض والأسهم</w:t>
      </w:r>
      <w:bookmarkEnd w:id="5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الزوجة لا ترث من العقار شيئاً فلا محالة سوف يقلّ سهمها عن الربع والثمن للتركة، وتقييد ذلك بالربع والثمن ممّا ترث منه من التركة لا كلّ التركة وإن كان يحفظ عنوان الربع والثمن، إلّاأنّ هذا عندئذ يكون خلاف مقام التحديد وتعيين السهام بالنِّسَب والفروض، أي يوجب اختلال الميزان للفرائض والسهام ويكون أشبه بالألغاز والتمويه حينئذٍ وليس بابه التقييد والتخصيص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المقام حيث يُحدّد فرضها بالثمن ثم يشار بدليل منفصل إلى أنّ فرض الثُمن يتعلّق بغير العقار وبين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ثم يحدّ بان الخمس بعد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المشكلة ليست مختصة بهذا المورد فإنّ اختلال الميزان للفرائض والسهام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صحّت تسميته إخلالاً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شيئاً غريباً في باب الإرث لتوفّره في الموارد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زيادة السهام على التركة يدخل النقص على طائفة دون 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ينقص الميراث عن السهام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زيادة التركة على السهام يُردّ الباقي على الورّاث، وبالنتيجة يزيد الميراث على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لأهل السنّة حيث عالجوا المشكلة في الموردين بالعول والتعصيب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سهم الولد الأكبر يزيد على الفرض بالحبوة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سهم الولد الأكبر أزيد</w:t>
      </w:r>
      <w:bookmarkStart w:id="526" w:name="pg16768_165438"/>
    </w:p>
    <w:p>
      <w:pPr>
        <w:pStyle w:val="BookText"/>
        <w:rPr/>
      </w:pPr>
      <w:bookmarkEnd w:id="526"/>
      <w:r>
        <w:rPr>
          <w:rFonts w:ascii="Amiri" w:hAnsi="Amiri" w:eastAsia="Amiri" w:cs="Amiri"/>
          <w:color w:val="111111"/>
          <w:sz w:val="28"/>
          <w:sz w:val="28"/>
          <w:szCs w:val="28"/>
          <w:rtl w:val="true"/>
          <w:lang w:bidi="ar-SA"/>
        </w:rPr>
        <w:t>من حظ الأُنثيين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حرمان القاتل والكافر من الإرث وبالتالي تحصل الزيادة في سهام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كالبنت والبنتين إذا كان الأب قاتلاً أو كافراً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مات الرجل عن بنت واحدة فهي ترث النصف فرضاً والباقي قرابة، فتكون وارثة للكل لا للنصف، وان كان ذلك باعتبارين، ومثلها إذا مات عن بنتين فهما ترثان الثلثين فرضاً والباقي قرابة فيكون ميراث الواحدة أو الاثنين ازيد من الفرض المحدّد الوارد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 نِساءً فَوْقَ اثْنَتَيْنِ فَلَهُنَّ ثُلُثا ما تَرَكَ وَ إِنْ كانَتْ واحِدَةً فَلَهَا النِّصْفُ‌</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7" w:name="__RefHeading___Toc6863780_73709187"/>
      <w:bookmarkStart w:id="528" w:name="_Toc197"/>
      <w:bookmarkEnd w:id="527"/>
      <w:r>
        <w:rPr/>
        <w:t>3</w:t>
      </w:r>
      <w:r>
        <w:rPr>
          <w:rtl w:val="true"/>
        </w:rPr>
        <w:t xml:space="preserve">. </w:t>
      </w:r>
      <w:r>
        <w:rPr>
          <w:rtl w:val="true"/>
        </w:rPr>
        <w:t>مشكلة تأخير البيان</w:t>
      </w:r>
      <w:bookmarkEnd w:id="528"/>
    </w:p>
    <w:p>
      <w:pPr>
        <w:pStyle w:val="BookText"/>
        <w:rPr/>
      </w:pPr>
      <w:r>
        <w:rPr>
          <w:rFonts w:ascii="Amiri" w:hAnsi="Amiri" w:eastAsia="Amiri" w:cs="Amiri"/>
          <w:color w:val="111111"/>
          <w:sz w:val="28"/>
          <w:sz w:val="28"/>
          <w:szCs w:val="28"/>
          <w:rtl w:val="true"/>
          <w:lang w:bidi="ar-SA"/>
        </w:rPr>
        <w:t>إنّ مشكلة تأخير البيان لاتختص بالمورد، فإنّ كثيراً من أُصول الأحكام أوّلاً والمقيّدات والمخصّصات ثانياً ورد في لسان الصادقين عليهما السلام ومن بعدهما من أئمة أهل البيت عليهم السلام ولا يمكن الالتزام فيهما بالنسخ، إذ لا نسخ بعد رحيل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في الجميع أمر واحد وهو وجود المصلحة أوجب بيان الأحكام تدريجاً، فالأحكام كلّها كانت مشرّعة في عصر الرسول صلى الله عليه و آله نازلة عليه، غير أنّه صلى الله عليه و آله بيّن ما بيّن، وأودع مالم 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لعدم استعداد المجتمع، أو لعدم وجود الفرصة للبيان، أو لوجود المصلحة في تأخيره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أوصيائه الأئمة المعصومين عليهم السلام بعده، و ليس تأخير البيان أمراً قبيحاً بالذات حتى لا يُغيّر حكمه، و إنّما هو بالنسبة إلى القبح كالمقتضي نظير الكذب، فلو كانت هناك مصلحة غالبة كنجاة المؤمن كان أمراً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هوالحقّ الذي يدركه من سبر حال النبي صلى الله عليه و آله والمجتمع الإسلامي</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فأقصى ما في تأخير البيان وقوع المكلّف في المشقّة، أو تفويت المصلحة أو الإلقاء في المفسدة، و كلّها هيّنة إذا اقتضت المصلحة الكبرى تأخير البيان</w:t>
      </w:r>
      <w:r>
        <w:rPr>
          <w:rFonts w:eastAsia="Amiri" w:cs="Amiri" w:ascii="Amiri" w:hAnsi="Amiri"/>
          <w:color w:val="111111"/>
          <w:sz w:val="28"/>
          <w:szCs w:val="28"/>
          <w:rtl w:val="true"/>
          <w:lang w:bidi="ar-SA"/>
        </w:rPr>
        <w:t>.</w:t>
      </w:r>
      <w:bookmarkStart w:id="529" w:name="pg16768_165439"/>
    </w:p>
    <w:p>
      <w:pPr>
        <w:pStyle w:val="BookText"/>
        <w:rPr/>
      </w:pPr>
      <w:bookmarkEnd w:id="529"/>
      <w:r>
        <w:rPr>
          <w:rFonts w:ascii="Amiri" w:hAnsi="Amiri" w:eastAsia="Amiri" w:cs="Amiri"/>
          <w:color w:val="111111"/>
          <w:sz w:val="28"/>
          <w:sz w:val="28"/>
          <w:szCs w:val="28"/>
          <w:rtl w:val="true"/>
          <w:lang w:bidi="ar-SA"/>
        </w:rPr>
        <w:t>والمسألة مطروحة في باب التعادل والترجيح، وأخصّ بالذكر فرائد الشيخ، وقد ذكر وجوهاً لهذا النوع من التأخير، وتبعه غيره من الأعلام في نفس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رواية الصفار أنّ البيان لم يتأخر، وإنّما خفي على الناس بعد وروده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الحسن الصفار، عن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جعفر بن بشير، عن الحسين بن مخلد، عن عبدالملك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أبو جعفر عليه السلام بكتاب علي عليه السلام فجاء به جعفر مثل فخذ الرجل مطوياً، فاذا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النساء ليس لهنّ من عقار الرجل إذا 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واللّه خط علي وإملاء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على أنّ تأخير البيان أمر مشترك بين الحرمان مطلقاً أو الحرمان من العين والدفع من القيمة، إذ لم يرد في الرواية بوجه صريح ما يدلّ على حرمانها من الأصل، ودفع سهمها من القيمة، وذلك لأنّ الظاهر من الآيات كونها سهيمة في عين التركة كسائر الورّاث</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6863782_73709187"/>
      <w:bookmarkStart w:id="531" w:name="_Toc198"/>
      <w:bookmarkEnd w:id="530"/>
      <w:r>
        <w:rPr>
          <w:rtl w:val="true"/>
        </w:rPr>
        <w:t>الآن حصص الحق</w:t>
      </w:r>
      <w:bookmarkEnd w:id="531"/>
    </w:p>
    <w:p>
      <w:pPr>
        <w:pStyle w:val="BookText"/>
        <w:rPr/>
      </w:pPr>
      <w:r>
        <w:rPr>
          <w:rFonts w:ascii="Amiri" w:hAnsi="Amiri" w:eastAsia="Amiri" w:cs="Amiri"/>
          <w:color w:val="111111"/>
          <w:sz w:val="28"/>
          <w:sz w:val="28"/>
          <w:szCs w:val="28"/>
          <w:rtl w:val="true"/>
          <w:lang w:bidi="ar-SA"/>
        </w:rPr>
        <w:t>قد ظهر من هذا البحث الضافي أنّ حرمان الزوجة من العقار أمر لا يمكن تجاوزه، وذلك بالوجوه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التفصيل بين الدار والطوب والخشب في الروايات قاطع للشركة، كما 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استخدام النكرة ووقوعها في سياق النفي لا يلائم حرمانها من العين فقط دون القيمة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من رواية يزيد الصائغ أنّ حرمانها من العقار كان أمراً مسلّماً في</w:t>
      </w:r>
    </w:p>
    <w:p>
      <w:pPr>
        <w:pStyle w:val="BookText"/>
        <w:rPr/>
      </w:pPr>
      <w:r>
        <w:rPr>
          <w:rFonts w:ascii="Amiri" w:hAnsi="Amiri" w:eastAsia="Amiri" w:cs="Amiri"/>
          <w:color w:val="111111"/>
          <w:sz w:val="28"/>
          <w:sz w:val="28"/>
          <w:szCs w:val="28"/>
          <w:rtl w:val="true"/>
          <w:lang w:bidi="ar-SA"/>
        </w:rPr>
        <w:t>عصر أئمة أهل البيت عليهم السلام ولذلك يقول الصائغ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لا يرضون بذا،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ولينا فلم يرضوا ضربناهم بالسوط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إعمال السوط أفضل دليل على الحرمان المطلق لا الحرمان من العين دون القيمة، لأنّ كثيراً من الناس يرضون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معتبرة ابن أبي يعفور تدل على أنّ حرمان الزوجة من الأرض كان أمراً مسلّماً عند الراوي وبالتالي عند الشيعة في عصر الإمام الصادق عليه السلام حيث جعل معتقده في المورد أساساً للسؤال عن إرث الزوج من الزوجة، وأنّه هل هو كإرث الزوجة من الزوج في الحرمان من الدار والأرض‌؟</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نرى أنّ أبا جعفر عليه السلام يحلف باللّه في حرمان الزوجة من عقار الرجل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واللّه خط عليّ وإملاء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الحلف يناسب حرمانها على وجه الإطلاق لا حرمانها على الوجه النسبي بأن ترث القيمة دون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كتاب عليّ أفضل دليل على عدم تأخير البيان وإنّما طرأ عليه الخفاء بعد البيان، وقد أظهره الإمام الصادق عليه السلام بعد خفائه فترة من الزمن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مشكلة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مشترك بين القولين، إذ لم يرد في الرواية ما يدل صريحاً على إرثها من قيمة جميع ما تركه الرجل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معتبرة ابن أبي يعفور على عكس المدّعى أدّل، حيث تدلّ على أنّ الرأي السائد بين الشيعة في عصر صدور الرواية هو حرمانها من العقار، أفيمكن أن تكون هذه الشهرة بلا دليل ولا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يكون 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يرثها وترثه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محمولاً على التقية، وليس التقية في باب الفرائض أمراً نادراً، حيث إنّ الإمام اتّقى في رواية عبداللّه بن مُحرز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النصف للبنت والنصف الآخر للعصبة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الإمام علياً عليه السلام بعدما أفتى في مورد الجدّ بشيء، كتب إلى ابن عباس ألّا ينشر ما كتب ويجعل الجد كأحد الأخوة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الشهرة الفتوائية المجردة عن الرواية بين أصحاب الأئمة عليهم السلام فضلاً عمّا إذا كانت مدعمة بالروايات المستفيضة، من مميزات الحجّة عن اللاحجّة، لا من</w:t>
      </w:r>
    </w:p>
    <w:p>
      <w:pPr>
        <w:pStyle w:val="BookText"/>
        <w:rPr/>
      </w:pPr>
      <w:r>
        <w:rPr>
          <w:rFonts w:ascii="Amiri" w:hAnsi="Amiri" w:eastAsia="Amiri" w:cs="Amiri"/>
          <w:color w:val="111111"/>
          <w:sz w:val="28"/>
          <w:sz w:val="28"/>
          <w:szCs w:val="28"/>
          <w:rtl w:val="true"/>
          <w:lang w:bidi="ar-SA"/>
        </w:rPr>
        <w:t>المرجّحات، فلذلك ترى أنّ عبداللّه بن محرز لمّا فهم الرأي السائد بين أصحاب الإمام ترك قول الإمام الذي سمعه مباشرة وتوقّف عن العمل بمناسبة وجود الشهرة على خلاف قوله عليه السلام، إلى أن لقيه في العام القابل وذكر القصة فأفتاه الإمام بالحكم الواقعي، وفي المقام قد عرفت أنّ بعض الروايات يدلّ على وجود الشهرة الفتوائية بين الأصحاب في عصر الأئمة عليهم السلام، وهي حرمان المرأة من العقار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هذه القوة التي هي فوق المرجحات كيف يمكن الإفتاء بالخلاف‌؟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ورد في رواية ميسّر بيّاع الزطّي عن أبي عبداللّه عليه السلام من تعليل الحرمان بأنّه إنّما صار هذا كذا لئلّا تتزوج المرأة فيجيء زوجها أو ولدها من قوم آخرين فيزاحم قوماً آخرين في عقارهم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ربّما يتوهّم اختصاص الحكم بما إذا كان هناك وارث غير الزوجة دونما إذا لم يكن، وارث غيرها، فلا وجه لحرمانها عندئذ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فملحوظ فيه، حيث إنّها من قبيل الحِكَم، لا العلل، كتعليل لزوم الاعتداد للمرأة بالعِلم بحالها من كونها حاملاً أو لا، مع أنّه يجب الاعتداد عليها وإن علمت حالها كما إذا لم يكن هناك لقاء عبر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تعامل الفقهاء مع أمثال هذه العلل، معاملة الحكمة فلا يدور الحكم مدارها ثبوتاً وتعيّناً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ملاحظات متواضعة نقدّمها إليكم راجين إمعان النظر فيها، لعلّ اللّه يحدث بعد ذلك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532" w:name="pg16768_165442"/>
    </w:p>
    <w:p>
      <w:pPr>
        <w:pStyle w:val="Heading3"/>
        <w:numPr>
          <w:ilvl w:val="2"/>
          <w:numId w:val="1"/>
        </w:numPr>
        <w:rPr/>
      </w:pPr>
      <w:bookmarkStart w:id="533" w:name="__RefHeading___Toc6863784_73709187"/>
      <w:bookmarkStart w:id="534" w:name="_Toc199"/>
      <w:bookmarkEnd w:id="532"/>
      <w:bookmarkEnd w:id="533"/>
      <w:r>
        <w:rPr/>
        <w:t>10</w:t>
      </w:r>
      <w:r>
        <w:rPr>
          <w:rtl w:val="true"/>
        </w:rPr>
        <w:t xml:space="preserve"> </w:t>
      </w:r>
      <w:r>
        <w:rPr>
          <w:rtl w:val="true"/>
        </w:rPr>
        <w:t>هل ترك النبي صلى الله عليه و آله من مصادر التشريع</w:t>
      </w:r>
      <w:bookmarkEnd w:id="534"/>
    </w:p>
    <w:p>
      <w:pPr>
        <w:pStyle w:val="Heading4"/>
        <w:numPr>
          <w:ilvl w:val="3"/>
          <w:numId w:val="1"/>
        </w:numPr>
        <w:rPr/>
      </w:pPr>
      <w:bookmarkStart w:id="535" w:name="__RefHeading___Toc6863786_73709187"/>
      <w:bookmarkStart w:id="536" w:name="_Toc200"/>
      <w:bookmarkEnd w:id="535"/>
      <w:r>
        <w:rPr>
          <w:rtl w:val="true"/>
        </w:rPr>
        <w:t>اشارة</w:t>
      </w:r>
      <w:bookmarkEnd w:id="536"/>
    </w:p>
    <w:p>
      <w:pPr>
        <w:pStyle w:val="BookText"/>
        <w:rPr/>
      </w:pPr>
      <w:r>
        <w:rPr>
          <w:rFonts w:ascii="Amiri" w:hAnsi="Amiri" w:eastAsia="Amiri" w:cs="Amiri"/>
          <w:color w:val="111111"/>
          <w:sz w:val="28"/>
          <w:sz w:val="28"/>
          <w:szCs w:val="28"/>
          <w:rtl w:val="true"/>
          <w:lang w:bidi="ar-SA"/>
        </w:rPr>
        <w:t>اتّفق الفقهاء على أنّ السنّة المطهّرة من مصادر التشريع ومبادئه، وقد فسّروها بقول الرسول أو الإمام المعصوم وفعله وتقريره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الأوّلان فحجّيتهما من لوازم عصمته في مجال التبليغ والسلوك، وأمّا الثالث فلو صدر فعل من صحابي بمرأى ومسمع منه ولم ينه عنه، فهذا يلازم كون هذا الفعل سائغاً لا حراماً، وإلّا لما سكت عنه النبي صلى الله عليه و آله بل يزجره وينهاه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يرجع إلى النبي الأكرم صلى الله عليه و آله، وأمّا الصحابي فليس قوله ولا فعله ولا تقريره من السنّة، ما لم يُعلم نسبته إلى المعصوم، وذلك لافتراض أنّه غير معصوم، فربّما يخطئ ولا يصيب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لا يوحى إليه من اللّه، ولا فرق بينه وبين سائر الناس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قول الصحابي ليس بحجّة، فإنّ اللّه سبحانه وتعالى لم يبعث إلى هذه الأُمّة إلّانبينا محمداً صلى الله عليه و آله وليس لنا إلّارسول واحد، والصحابة ومَنْ بعدهم مكلّفون على السواء باتّباع شرعه والكتاب والسنّة، فمن قال إنّه تقوم الحجة في دين اللّه بغيرهما فقد قال في دين اللّه بما لا يثبت، وأثبت شرعاً لم يأمر اللّه به</w:t>
      </w:r>
      <w:r>
        <w:rPr>
          <w:rFonts w:eastAsia="Amiri" w:cs="Amiri" w:ascii="Amiri" w:hAnsi="Amiri"/>
          <w:color w:val="111111"/>
          <w:sz w:val="28"/>
          <w:szCs w:val="28"/>
          <w:rtl w:val="true"/>
          <w:lang w:bidi="ar-SA"/>
        </w:rPr>
        <w:t>.</w:t>
      </w:r>
      <w:r>
        <w:rPr>
          <w:rStyle w:val="FootnoteAnchor"/>
          <w:rtl w:val="true"/>
        </w:rPr>
        <w:footnoteReference w:id="643"/>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ربّما يقال من أنّ الصحابة هم الذين عاصروا رسول اللّه صلى الله عليه و آله ونقلوا أقواله</w:t>
      </w:r>
    </w:p>
    <w:p>
      <w:pPr>
        <w:pStyle w:val="BookText"/>
        <w:rPr/>
      </w:pPr>
      <w:r>
        <w:rPr>
          <w:rFonts w:ascii="Amiri" w:hAnsi="Amiri" w:eastAsia="Amiri" w:cs="Amiri"/>
          <w:color w:val="111111"/>
          <w:sz w:val="28"/>
          <w:sz w:val="28"/>
          <w:szCs w:val="28"/>
          <w:rtl w:val="true"/>
          <w:lang w:bidi="ar-SA"/>
        </w:rPr>
        <w:t>وأفعاله وكانوا أعرف الناس بأسرار التشريع الإسلامي ومصادره وموارده، فمن اتّبعهم من الذين 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اتَّبَعُوهُمْ بِإِحْسانٍ‌</w:t>
      </w:r>
      <w:r>
        <w:rPr>
          <w:rFonts w:eastAsia="Amiri" w:cs="Amiri" w:ascii="Amiri" w:hAnsi="Amiri"/>
          <w:color w:val="111111"/>
          <w:sz w:val="28"/>
          <w:szCs w:val="28"/>
          <w:rtl w:val="true"/>
          <w:lang w:bidi="ar-SA"/>
        </w:rPr>
        <w:t xml:space="preserve">) </w:t>
      </w:r>
      <w:r>
        <w:rPr>
          <w:rStyle w:val="FootnoteAnchor"/>
          <w:rtl w:val="true"/>
        </w:rPr>
        <w:footnoteReference w:id="644"/>
      </w:r>
      <w:r>
        <w:rPr>
          <w:rFonts w:ascii="IRNazanin" w:hAnsi="IRNazanin" w:eastAsia="IRNazanin"/>
          <w:color w:val="111111"/>
          <w:sz w:val="28"/>
          <w:sz w:val="28"/>
          <w:szCs w:val="28"/>
          <w:rtl w:val="true"/>
          <w:lang w:bidi="fa-IR"/>
        </w:rPr>
        <w:t>،</w:t>
      </w:r>
      <w:r>
        <w:rPr>
          <w:rStyle w:val="FootnoteAnchor"/>
          <w:rtl w:val="true"/>
        </w:rPr>
        <w:footnoteReference w:id="645"/>
      </w:r>
      <w:r>
        <w:rPr>
          <w:rFonts w:ascii="Amiri" w:hAnsi="Amiri" w:eastAsia="Amiri" w:cs="Amiri"/>
          <w:color w:val="111111"/>
          <w:sz w:val="28"/>
          <w:sz w:val="28"/>
          <w:szCs w:val="28"/>
          <w:rtl w:val="true"/>
          <w:lang w:bidi="ar-SA"/>
        </w:rPr>
        <w:t>غير تام، لأن ما ذكره من أنّهم أعرف بأسرار التشريع لا يلازم كون فتاواهم أو منقولاتهم هي ممّا وصلهم أو سمعوه عن النبي صلى الله عليه و آله، إذ من المحتمل أنّهم اجتهدوا فيما أفتوا به بوصف أنّهم أعرف بأسرار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وفتوى المجتهد حجة على نفسه لا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هو الاتّباع على النمط الحسن، وهو بعدُ غير ثابت، لاحتمال كون ما رواه الصحابي رأيه، لا قول النبي صلى الله عليه و آله فلا يُعدّ اتّباعه للمجتهد اتّباعاً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السنّة وقد عرفت معناه، ثم إنّه يقع الكلام فيما ظهر أخيراً من الاحتجاج بترك الرسول صلى الله عليه و آله أمراً ما، على لزوم اتّباع النبي صلى الله عليه و آله في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صحّ ذلك لصارت مصاديق السنّة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الإقرار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عجائب القول الذي ظهر بعد أربعة عشر قرناً، ولم ينبس به أحد من القدماء، من غير فرق بين فقيه مذهب وفقيه مذهب آخر، وعلى هذا فهو يُعدّ بدعة ظاهرة في مجال التشريع ومورثاً للجدال والنقاش في حياة المسلمين، ولأجل إيضاح المقام نبحث في موضعين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 في مجال الأُمور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 في مجال العبادات والقربيات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الأُمور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عبارة عن الأُمور الّتي يمارسها الناس في حياتهم الفردية والاجتماعية، وهي بين سائغ ومحظور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حرّمه التشريع فهو حرام إلى يوم القيامة لخلود الشريعة الإسلامية إلى يوم القيامة، وذلك كالخمر والميسر والرشوة والقتل إلى غيرها من كبائر المعاصي وصغائرها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السائغ منها فهو كالسابق حلال إلى يوم القيامة لا يحرمه شيء إلّابعنوان طارئ، ككونه ضاراً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الأُمور العادية لا تبقى على حالها الأوّل، بل أنّها تتكامل وتتطور حسب تكامل حياة البشر وفقاً للتقدّم الحضاري، وهذا واضح للعيان في لباس الإنسان ومسكنه وراحلته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تطوّرت وتكاملت هذه الأُمور من الحالة العادية إلى ما نشاهده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السلف الصالح والخلف من بعدهم لم يجمدوا في حياتهم الاجتماعية على النمط الّذي كانوا يعيشون عليه في عصر صدر الإسلام، بل أخذوا من الحلال حلوه، ومن الجائز صفوته، دون أن يعترض عليهم أحدٌ، ويتّهمهم بالأخذ بمحدثات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محدثة بدعة وكل بدعة ضلالة، وكل ضلالة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لافتراض أنّ هذه الأُمور سائغة وجائزة ومن الطيّبات الّتي أحل اللّه سبحانه لعباده، من غير فرق بين صورتها الأُولى وصورتها الثانية والثالثة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طبيعة الإنسان المتحضّر هي التدرّج في الحضارة والترقّي في مدارجها، وهذا أمر طبيعي فطري لا يمكن إيقافه والمنع عنه، لأنّه يضاد الفطرة الّتي نشأ عليها الإنسان منذ أن وطأت قدماه هذا الكوكب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إمكان الإيقاف وتحريم التطور كان على الشارع إيضاح ذلك والدعوة إلى الجمود وإيقاف الحياة على ما كانت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لهذه الأُمور العادية دليلٌ في التشريع الإسلامي ومسوغ لها</w:t>
      </w:r>
    </w:p>
    <w:p>
      <w:pPr>
        <w:pStyle w:val="BookText"/>
        <w:rPr/>
      </w:pPr>
      <w:r>
        <w:rPr>
          <w:rFonts w:ascii="Amiri" w:hAnsi="Amiri" w:eastAsia="Amiri" w:cs="Amiri"/>
          <w:color w:val="111111"/>
          <w:sz w:val="28"/>
          <w:sz w:val="28"/>
          <w:szCs w:val="28"/>
          <w:rtl w:val="true"/>
          <w:lang w:bidi="ar-SA"/>
        </w:rPr>
        <w:t>فالتطورات صور طارئة عليها، فما لم يكن فيها عنصر محرم أو ملازم للمحرم فهو حلال بلا شك استناداً إلى أصالة الحلية في الأُمور العادية ما لم يدلّ دليل على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بعض المؤرّخين أنّ أوّل تطوّر ظهر في حياة المسلمين دخول المناخل، ولم يكن لهم عهدٌ بها، وهي من أدوات التنعم والترفه في المأكل ممّا لم يكن يعرفه العرب ولا المسلمون من قبل، وقد نظروا إلى المسألة أنّها من الأعراف المرسلة عن قيود الاتّباع وعدمه، وهي من مصاديق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 الطَّيِّباتِ مِنَ الرِّزْقِ‌</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للمكيّين أعراف وعادات نشأوا عليها، فلمّا هاجروا إلى المدينة فوجئوا بعادات أُخرى غير ما مارسوه في بلادهم ممّا يتعلق بالمسكن والملبس والمأكل فاقتبسوا من هذه الأعراف أفضلها وأكملها، ولم يدر بخلد أحد أنّها من محدثات الأُمور</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كل ذلك يدلّ على أنّ ما يرجع إلى العادات المحلّلة بالكتاب والسنّة مطلق مرسل لا يحدد بحدّ وإن تطورت وتكاملت، إلّاإذا انطبق عليه عنوان محرم أو كان ملازماً لأمر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المسلمين فتحوا البلاد وأشاعوا التوحيد بين الأُمم المتحضّرة، وقد كانت لهم أعراف في حياتهم الاجتماعية وآلات وأدوات في التعليم والتعلّم أو فتح البلاد وغزوها، فاستقبلوها برحابة صدر وتعلموها واستخدموها في حياتهم، غير ما كان محرماً بالذات</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الأزقة الضيّقة في مكة المكرمة والمدينة المنورة من الشوارع الواسعة في عواصم العراق والشام‌؟</w:t>
      </w:r>
      <w:r>
        <w:rPr>
          <w:rFonts w:eastAsia="Amiri" w:cs="Amiri" w:ascii="Amiri" w:hAnsi="Amiri"/>
          <w:color w:val="111111"/>
          <w:sz w:val="28"/>
          <w:szCs w:val="28"/>
          <w:rtl w:val="true"/>
          <w:lang w:bidi="ar-SA"/>
        </w:rPr>
        <w:t>!</w:t>
      </w:r>
      <w:bookmarkStart w:id="537" w:name="pg16768_165446"/>
    </w:p>
    <w:p>
      <w:pPr>
        <w:pStyle w:val="BookText"/>
        <w:rPr/>
      </w:pPr>
      <w:bookmarkEnd w:id="537"/>
      <w:r>
        <w:rPr>
          <w:rFonts w:ascii="Amiri" w:hAnsi="Amiri" w:eastAsia="Amiri" w:cs="Amiri"/>
          <w:color w:val="111111"/>
          <w:sz w:val="28"/>
          <w:sz w:val="28"/>
          <w:szCs w:val="28"/>
          <w:rtl w:val="true"/>
          <w:lang w:bidi="ar-SA"/>
        </w:rPr>
        <w:t>أين كوخ الفلاحين في الجزيرة العربية من القصور المشيدة بعد قرن في نفس الجزيرة، ثم أين جشوبة العيش في صحاري الحجاز من العيش الرغيد في البلاد المفتوحة‌؟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حصل بمرأى ومسمع من الصحابة والتابعين والفقهاء ولم يقل أحدٌ بحرمته رغم كونه من الأُمور المحدثة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جرت حياة المسلمين عبر قرون إلى أن انتهى الأمر إلى ركوب السيارات والطائرات واستخدام الإذاعات المسموعة والمرئية ووسائل الإعلام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وهاهم ينشئون مشاريع تجارية وثقافية لم يكن لها نظير في القرون السالفة، كل ذلك شريطة أن لا يكون حراماً بالذات أو مقروناً به</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6863788_73709187"/>
      <w:bookmarkStart w:id="539" w:name="_Toc201"/>
      <w:bookmarkEnd w:id="538"/>
      <w:r>
        <w:rPr>
          <w:rtl w:val="true"/>
        </w:rPr>
        <w:t>حكم العباديات والقربيات</w:t>
      </w:r>
      <w:bookmarkEnd w:id="539"/>
    </w:p>
    <w:p>
      <w:pPr>
        <w:pStyle w:val="Heading5"/>
        <w:numPr>
          <w:ilvl w:val="4"/>
          <w:numId w:val="1"/>
        </w:numPr>
        <w:rPr/>
      </w:pPr>
      <w:bookmarkStart w:id="540" w:name="__RefHeading___Toc6863790_73709187"/>
      <w:bookmarkStart w:id="541" w:name="_Toc202"/>
      <w:bookmarkEnd w:id="540"/>
      <w:r>
        <w:rPr>
          <w:rtl w:val="true"/>
        </w:rPr>
        <w:t>اشارة</w:t>
      </w:r>
      <w:bookmarkEnd w:id="541"/>
    </w:p>
    <w:p>
      <w:pPr>
        <w:pStyle w:val="BookText"/>
        <w:rPr/>
      </w:pPr>
      <w:r>
        <w:rPr>
          <w:rFonts w:ascii="Amiri" w:hAnsi="Amiri" w:eastAsia="Amiri" w:cs="Amiri"/>
          <w:color w:val="111111"/>
          <w:sz w:val="28"/>
          <w:sz w:val="28"/>
          <w:szCs w:val="28"/>
          <w:rtl w:val="true"/>
          <w:lang w:bidi="ar-SA"/>
        </w:rPr>
        <w:t>أمّا العباديات والقربيات فهي من صميم الدين وجوهره، ولا يجوز التصرف فيها بزيادة ونقيصة حيث إنّ ذلك يُعد بدعة ومن محدثات الأُمور في صميم الدين الّتي وضعها النبي الأكرم صلى الله عليه و آله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وإياكم ومحدثات الأُمور، فإنّ كلّ محدثة بدعة، وكلّ بدعة ضلالة، وكل ضلالة في النار</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وهذا ما آمن به عامة المسلمين أخذاً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آللّهُ أَذِنَ لَكُمْ أَمْ عَلَى اللّهِ تَفْتَرُونَ‌</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يَفْتَرِي الْكَذِبَ الَّذِينَ لا يُؤْمِنُونَ بِآياتِ اللّهِ وَ أُولئِكَ هُمُ الْكاذِبُونَ‌</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الآيات والروايات الّتي تحرم التصرف في صميم الدين</w:t>
      </w:r>
    </w:p>
    <w:p>
      <w:pPr>
        <w:pStyle w:val="BookText"/>
        <w:rPr/>
      </w:pPr>
      <w:r>
        <w:rPr>
          <w:rFonts w:ascii="Amiri" w:hAnsi="Amiri" w:eastAsia="Amiri" w:cs="Amiri"/>
          <w:color w:val="111111"/>
          <w:sz w:val="28"/>
          <w:sz w:val="28"/>
          <w:szCs w:val="28"/>
          <w:rtl w:val="true"/>
          <w:lang w:bidi="ar-SA"/>
        </w:rPr>
        <w:t>بنقص أو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لازم الإيمان باللّه سبحانه ورسوله هو التسليم في مقابل الشريعة الّتي جاءنا بها من عند اللّه،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التصرف في التشريع الإسلامي بتحليل الحرام أو تحريم الحلال أو زيادة شيء في العبادات أو النقص من الواجبات يُعدّ تقدماً على اللّه ورسوله،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تُقَدِّمُوا بَيْنَ يَدَيِ اللّهِ وَ رَسُولِهِ وَ اتَّقُوا اللّهَ إِنَّ اللّهَ سَمِيعٌ عَلِيمٌ‌</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ممّا لا سترة عليه، فإنّ حرمة البدعة ثابتة عقلاً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إذا كان أمر ديني أو قربي مشروع بنص الكتاب والسنّة، ولكن لم يرد في الأثر أنّ رسول اللّه صلى الله عليه و آله مارسه، فهل يكون ترك الرسول صلى الله عليه و آله لهذا العمل دليلاً على لزوم اتّباعه في ذلك وبالتالي يصبح هذا الشيء أمراً محرماً لازم الاجتناب‌؟ هذا ما سندرسه تالياً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السنّة عبارة عن قول النبي وفعله 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أحد أنّ ترك الرسول لأمر قربي دليل على حرمته، فإدخال الترك في مصادر التشريع بدعة حصلت في هذا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الترك أمر لبّيّ لا يمكن الوقوف على بواعثه ودوافعه، فلعل الظروف لم تسمح له صلى الله عليه و آله بممارسته بعد أن لم يكن أمراً واجباً معيّناً وإنّما أخذ من الواجب أحد أعدال التخيير أو ترك المستحب لبعض الدوافع، وعلى ذلك فلا يحتج بالترك المجهول دافعه وعلّته بعد وجود الدليل على جواز الشيء وقربيته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يرشدنا إلى ذلك أنّه حصل بين المسلمين أُمور قربية لم يمارسها</w:t>
      </w:r>
      <w:bookmarkStart w:id="542" w:name="pg16768_165448"/>
    </w:p>
    <w:p>
      <w:pPr>
        <w:pStyle w:val="BookText"/>
        <w:rPr/>
      </w:pPr>
      <w:bookmarkEnd w:id="542"/>
      <w:r>
        <w:rPr>
          <w:rFonts w:ascii="Amiri" w:hAnsi="Amiri" w:eastAsia="Amiri" w:cs="Amiri"/>
          <w:color w:val="111111"/>
          <w:sz w:val="28"/>
          <w:sz w:val="28"/>
          <w:szCs w:val="28"/>
          <w:rtl w:val="true"/>
          <w:lang w:bidi="ar-SA"/>
        </w:rPr>
        <w:t>الرسول صلى الله عليه و آله بل ولا كثير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نماذج منها</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6863792_73709187"/>
      <w:bookmarkStart w:id="544" w:name="_Toc203"/>
      <w:bookmarkEnd w:id="543"/>
      <w:r>
        <w:rPr/>
        <w:t>1</w:t>
      </w:r>
      <w:r>
        <w:rPr>
          <w:rtl w:val="true"/>
        </w:rPr>
        <w:t xml:space="preserve">. </w:t>
      </w:r>
      <w:r>
        <w:rPr>
          <w:rtl w:val="true"/>
        </w:rPr>
        <w:t>تنقيط القرآن وإعرابه</w:t>
      </w:r>
      <w:bookmarkEnd w:id="544"/>
    </w:p>
    <w:p>
      <w:pPr>
        <w:pStyle w:val="BookText"/>
        <w:rPr/>
      </w:pPr>
      <w:r>
        <w:rPr>
          <w:rFonts w:ascii="Amiri" w:hAnsi="Amiri" w:eastAsia="Amiri" w:cs="Amiri"/>
          <w:color w:val="111111"/>
          <w:sz w:val="28"/>
          <w:sz w:val="28"/>
          <w:szCs w:val="28"/>
          <w:rtl w:val="true"/>
          <w:lang w:bidi="ar-SA"/>
        </w:rPr>
        <w:t>إنّ القرآن الكريم في عصر الرسول صلى الله عليه و آله لم يكن منقّطاً ولا معرباً ولا مكتوباً على الصحف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المؤرّخون أنّ أوّل من نقّط القرآن هو أبو الأسود الدؤلي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أبي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القرآن مجرداً في المصاحف، فأوّل ما أحدثوا فيه النقط على الباء والتاء والثاء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هو نور به، ثم أحدثوا نقطاً عند منتهى الآية، ثم أحدثوا الفواتح والخواتم</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كما أنّ أوّل من أمر بالتعشير هو المأمون العباسي، وأوّل من أدخل الحركات الإعرابية في المصحف هو أحمد بن خليل الفراهيدي</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6863794_73709187"/>
      <w:bookmarkStart w:id="546" w:name="_Toc204"/>
      <w:bookmarkEnd w:id="545"/>
      <w:r>
        <w:rPr/>
        <w:t>2</w:t>
      </w:r>
      <w:r>
        <w:rPr>
          <w:rtl w:val="true"/>
        </w:rPr>
        <w:t xml:space="preserve">. </w:t>
      </w:r>
      <w:r>
        <w:rPr>
          <w:rtl w:val="true"/>
        </w:rPr>
        <w:t>التطوّر في بناء المساجد</w:t>
      </w:r>
      <w:bookmarkEnd w:id="546"/>
    </w:p>
    <w:p>
      <w:pPr>
        <w:pStyle w:val="BookText"/>
        <w:rPr/>
      </w:pPr>
      <w:r>
        <w:rPr>
          <w:rFonts w:ascii="Amiri" w:hAnsi="Amiri" w:eastAsia="Amiri" w:cs="Amiri"/>
          <w:color w:val="111111"/>
          <w:sz w:val="28"/>
          <w:sz w:val="28"/>
          <w:szCs w:val="28"/>
          <w:rtl w:val="true"/>
          <w:lang w:bidi="ar-SA"/>
        </w:rPr>
        <w:t>بعد أن هاجر النبي صلى الله عليه و آله إلى يثرب، فإنّ أوّل عمل قام به هو بناء مسجد للصلاة فيه، وقد بناه باللبن وسقفه من الحصر والبواري، وترك أرضه متربة يسجدون على التراب وكان المسجد طول حياته الشريفة على هذه الشاكلة، وبعد رحلته صلى الله عليه و آله ضاق المسجد بالمسلمين فقاموا بتوسيعه وبنائه بالحجارة والجصّ‌، وكلّما اتّسعت رقعة الدولة الإسلامية زاد التطوّر في بناء المسجد الحرام والمسجد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وصل الأمر في العصر الراهن إلى ما يراه كل من يقصد الحرمين الشريفين، فهما كوكبان لامعان في قلب العالم الإسلامي، مشيّدان على أحدث طراز وبأحسن المواد الإنشائية، ومزدانان بأحدث الفنون والزخارف الرائعة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وعمارة المسجد من الأُمور القربية،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لِلْمُشْرِكِينَ أَنْ يَعْمُرُوا</w:t>
      </w:r>
      <w:bookmarkStart w:id="547" w:name="pg16768_165449"/>
    </w:p>
    <w:p>
      <w:pPr>
        <w:pStyle w:val="BookText"/>
        <w:rPr/>
      </w:pPr>
      <w:bookmarkEnd w:id="547"/>
      <w:r>
        <w:rPr>
          <w:rFonts w:ascii="Amiri" w:hAnsi="Amiri" w:eastAsia="Amiri" w:cs="Amiri"/>
          <w:color w:val="111111"/>
          <w:sz w:val="28"/>
          <w:sz w:val="28"/>
          <w:szCs w:val="28"/>
          <w:rtl w:val="true"/>
          <w:lang w:bidi="ar-SA"/>
        </w:rPr>
        <w:t xml:space="preserve">مَساجِدَ اللّهِ شاهِدِينَ عَلى أَنْفُسِهِمْ بِالْكُفْرِ أُولئِكَ حَبِطَتْ أَعْمالُهُمْ وَ فِي النّارِ هُمْ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يَعْمُرُ مَساجِدَ اللّهِ مَنْ آمَنَ بِاللّهِ وَ الْيَوْمِ الْآخِرِ وَ أَقامَ الصَّلاةَ وَ آتَى الزَّكاةَ وَ لَمْ يَخْشَ إِلاَّ اللّهَ فَعَسى أُولئِكَ أَنْ يَكُونُوا مِنَ الْمُهْتَدِينَ‌</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8" w:name="__RefHeading___Toc6863796_73709187"/>
      <w:bookmarkStart w:id="549" w:name="_Toc205"/>
      <w:bookmarkEnd w:id="548"/>
      <w:r>
        <w:rPr/>
        <w:t>3</w:t>
      </w:r>
      <w:r>
        <w:rPr>
          <w:rtl w:val="true"/>
        </w:rPr>
        <w:t xml:space="preserve">. </w:t>
      </w:r>
      <w:r>
        <w:rPr>
          <w:rtl w:val="true"/>
        </w:rPr>
        <w:t>المناظرة مع أصحاب المقالات</w:t>
      </w:r>
      <w:bookmarkEnd w:id="549"/>
    </w:p>
    <w:p>
      <w:pPr>
        <w:pStyle w:val="BookText"/>
        <w:rPr/>
      </w:pPr>
      <w:r>
        <w:rPr>
          <w:rFonts w:ascii="Amiri" w:hAnsi="Amiri" w:eastAsia="Amiri" w:cs="Amiri"/>
          <w:color w:val="111111"/>
          <w:sz w:val="28"/>
          <w:sz w:val="28"/>
          <w:szCs w:val="28"/>
          <w:rtl w:val="true"/>
          <w:lang w:bidi="ar-SA"/>
        </w:rPr>
        <w:t xml:space="preserve">اتّسعت رقعة الإسلام ودخلت في حظيرته أُمم مختلفة الثقافة فأثاروا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 لباس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 وإشكالات تمسّ صميم العقيدة من التوحيد وعصمة الأنبياء وغيرها ممّا ورد في الكتب الكلامية، فقام المسلمون وفي مقدّمتهم الإمام علي عليه السلام وأئمّة أهل البيت عليهم السلام بالمناظرة والاحتجاج عليهم بالبرهان الثابت والدليل القاطع، واحتجاجاتهم مبثوثة في كتب التاريخ والحديث والعقائد، نذكر أُنموذجاً واحداً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كلام للإمام علي عليه السلام للسائل الشامي لمّا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مسيرنا إلى الشام بقضاءٍ من اللّه و قدر؟ بعد كلام طويل هذا مختاره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ظَنَنْتَ قَضَاءً لَازِماً، وَقَدَراً حَاتِماً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ذلِك كَذلِك لَبَطَلَ الثَّوَابُ وَالْعِقَابُ‌، وَسَقَطَ الْوَعْدُ وَالْوَعِيدُ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أَمَرَ عِبَادَهُ تَخْيِيراً، وَنَهَاهُمْ تَحْذِيراً، وَكَلَّفَ يَسِيراً، وَلَمْ يُكَلِّفْ عَسِيراً، وَأَعْطَى عَلَى الْقَلِيلِ كَثِيراً؛ وَلَمْ يُعْصَ مَغْلُوباً، وَلَمْ يُطَعْ مُكْرَهاً، وَلَمْ يُرْسِلِ الْأَنْبِيَاءَ لَعِباً، وَلَمْ يُنْزِلِ الْكِتَابَ لِلْعِبَادِ عَبَثاً، ولَا خَلَقَ السَّمَاوَاتِ وَ الْأَرْضَ وَمَا بَيْنَهُمَا بَاطِلاً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ظَنُّ الَّذِينَ كَفَرُوا فَوَيْلٌ لِلَّذِينَ كَفَرُوا مِنَ النّارِ</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6"/>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ناظر النبي صلى الله عليه و آله وجادل أهل الكتاب لكن بصورة قراءة الآيات الواردة في حقّهم، ولم يرد في المأثور أنّه اجتمع للمناظرة مع أصحاب الأهواء والمقالات،</w:t>
      </w:r>
      <w:bookmarkStart w:id="550" w:name="pg16768_165450"/>
    </w:p>
    <w:p>
      <w:pPr>
        <w:pStyle w:val="BookText"/>
        <w:rPr/>
      </w:pPr>
      <w:bookmarkEnd w:id="550"/>
      <w:r>
        <w:rPr>
          <w:rFonts w:ascii="Amiri" w:hAnsi="Amiri" w:eastAsia="Amiri" w:cs="Amiri"/>
          <w:color w:val="111111"/>
          <w:sz w:val="28"/>
          <w:sz w:val="28"/>
          <w:szCs w:val="28"/>
          <w:rtl w:val="true"/>
          <w:lang w:bidi="ar-SA"/>
        </w:rPr>
        <w:t>غير أن القرآن أمرنا بالجدال بالتي هي أحسن،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 الْمَوْعِظَةِ الْحَسَنَةِ وَ جادِلْهُمْ بِالَّتِي هِيَ أَحْسَنُ‌</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1" w:name="__RefHeading___Toc6863798_73709187"/>
      <w:bookmarkStart w:id="552" w:name="_Toc206"/>
      <w:bookmarkEnd w:id="551"/>
      <w:r>
        <w:rPr/>
        <w:t>4</w:t>
      </w:r>
      <w:r>
        <w:rPr>
          <w:rtl w:val="true"/>
        </w:rPr>
        <w:t xml:space="preserve">. </w:t>
      </w:r>
      <w:r>
        <w:rPr>
          <w:rtl w:val="true"/>
        </w:rPr>
        <w:t>كتابة الحديث</w:t>
      </w:r>
      <w:bookmarkEnd w:id="552"/>
    </w:p>
    <w:p>
      <w:pPr>
        <w:pStyle w:val="BookText"/>
        <w:rPr/>
      </w:pPr>
      <w:r>
        <w:rPr>
          <w:rFonts w:ascii="Amiri" w:hAnsi="Amiri" w:eastAsia="Amiri" w:cs="Amiri"/>
          <w:color w:val="111111"/>
          <w:sz w:val="28"/>
          <w:sz w:val="28"/>
          <w:szCs w:val="28"/>
          <w:rtl w:val="true"/>
          <w:lang w:bidi="ar-SA"/>
        </w:rPr>
        <w:t>اتّفقت السلفية على أنّ النبي صلى الله عليه و آله نهى عن كتابة الحديث، ورووا في ذلك روايات مبسوطة في الصحيحين والسنن، حتى أنّ بعض الخلفاء أحرق ما كتبه بعض الصحابة من سنن الرسول صلى الله عليه و آله وصارت كتابة الحديث أمراً متروكاً معرضاً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هوالباعث إلى ترك كتابة الحديث خلال أكثر من قرن فهذا ما لا نخوض فيه، إنّما نتحدث في انقلاب الحال في عهد عمر بن عبدالعزيز، الّذي كتب إلى أبي بكر بن حزم عالم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كان من حديث رسول اللّه فاكتبه، فإنّي خفت دروس العلم وذهاب العلماء، ولا تقبل إلّاأحاديث النبي صلى الله عليه و آله ولتفشوا العلم ولتجلسوا حتى يعلم من لا يعلم، فإنّ العلم لا يهلك حتى يكون سراً</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أفيمكن لأحد أن يمنع عن كتابة الحديث وضبطه وتسجيله ونشره على النحو المعهود، بحجة أنّ النبي صلى الله عليه و آله لم يأمر بكتابته أو أنّ الصحابة لم يمارسوا كتابته</w:t>
      </w:r>
      <w:r>
        <w:rPr>
          <w:rFonts w:eastAsia="Amiri" w:cs="Amiri" w:ascii="Amiri" w:hAnsi="Amiri"/>
          <w:color w:val="111111"/>
          <w:sz w:val="28"/>
          <w:szCs w:val="28"/>
          <w:rtl w:val="true"/>
          <w:lang w:bidi="ar-SA"/>
        </w:rPr>
        <w:t>.</w:t>
      </w:r>
    </w:p>
    <w:p>
      <w:pPr>
        <w:pStyle w:val="Heading5"/>
        <w:numPr>
          <w:ilvl w:val="4"/>
          <w:numId w:val="1"/>
        </w:numPr>
        <w:rPr/>
      </w:pPr>
      <w:bookmarkStart w:id="553" w:name="__RefHeading___Toc6863800_73709187"/>
      <w:bookmarkStart w:id="554" w:name="_Toc207"/>
      <w:bookmarkEnd w:id="553"/>
      <w:r>
        <w:rPr/>
        <w:t>5</w:t>
      </w:r>
      <w:r>
        <w:rPr>
          <w:rtl w:val="true"/>
        </w:rPr>
        <w:t xml:space="preserve">. </w:t>
      </w:r>
      <w:r>
        <w:rPr>
          <w:rtl w:val="true"/>
        </w:rPr>
        <w:t>النبي وحج التمتع</w:t>
      </w:r>
      <w:bookmarkEnd w:id="554"/>
    </w:p>
    <w:p>
      <w:pPr>
        <w:pStyle w:val="BookText"/>
        <w:rPr/>
      </w:pPr>
      <w:r>
        <w:rPr>
          <w:rFonts w:ascii="Amiri" w:hAnsi="Amiri" w:eastAsia="Amiri" w:cs="Amiri"/>
          <w:color w:val="111111"/>
          <w:sz w:val="28"/>
          <w:sz w:val="28"/>
          <w:szCs w:val="28"/>
          <w:rtl w:val="true"/>
          <w:lang w:bidi="ar-SA"/>
        </w:rPr>
        <w:t>إنّ النبي الأكرم صلى الله عليه و آله اعتمر عدّة مرات وحجّ مرة واحدة وهي حجة الوداع، وكان حجّه حج قران لأنّه ساق الهدي، وكلّ من ساق الهدي يكون حجّه حج قران، ولذلك لم يتحلّل بعد العمرة، حتى أنّ علياً لما أَهلّ بتهليل النبي صار حجّه أيضاً حج قران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حج التمتّع ممّا أطبق المسلمون على تشريعه، وهم بين مَن يفضّل التمتّع</w:t>
      </w:r>
      <w:bookmarkStart w:id="555" w:name="pg16768_165451"/>
    </w:p>
    <w:p>
      <w:pPr>
        <w:pStyle w:val="BookText"/>
        <w:rPr/>
      </w:pPr>
      <w:bookmarkEnd w:id="555"/>
      <w:r>
        <w:rPr>
          <w:rFonts w:ascii="Amiri" w:hAnsi="Amiri" w:eastAsia="Amiri" w:cs="Amiri"/>
          <w:color w:val="111111"/>
          <w:sz w:val="28"/>
          <w:sz w:val="28"/>
          <w:szCs w:val="28"/>
          <w:rtl w:val="true"/>
          <w:lang w:bidi="ar-SA"/>
        </w:rPr>
        <w:t>على القسمين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القران والإفراد ومن يعكس، وعلى كل تقدير فلو كان ترك النبي دليلاً على الحرمة أو كراهة الفعل فهل كان لمسلم أن يتفوّه بكراهة حج التمتع مع أنّه صلى الله عليه و آله أمر المسلمين في حجّة الوداع بأن يتحلّلوا ثم يهلّوا للحج حتى يكون حجّهم حج التمتع</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6863802_73709187"/>
      <w:bookmarkStart w:id="557" w:name="_Toc208"/>
      <w:bookmarkEnd w:id="556"/>
      <w:r>
        <w:rPr/>
        <w:t>6</w:t>
      </w:r>
      <w:r>
        <w:rPr>
          <w:rtl w:val="true"/>
        </w:rPr>
        <w:t xml:space="preserve">. </w:t>
      </w:r>
      <w:r>
        <w:rPr>
          <w:rtl w:val="true"/>
        </w:rPr>
        <w:t>صلاة التراويح</w:t>
      </w:r>
      <w:bookmarkEnd w:id="557"/>
    </w:p>
    <w:p>
      <w:pPr>
        <w:pStyle w:val="BookText"/>
        <w:rPr/>
      </w:pPr>
      <w:r>
        <w:rPr>
          <w:rFonts w:ascii="Amiri" w:hAnsi="Amiri" w:eastAsia="Amiri" w:cs="Amiri"/>
          <w:color w:val="111111"/>
          <w:sz w:val="28"/>
          <w:sz w:val="28"/>
          <w:szCs w:val="28"/>
          <w:rtl w:val="true"/>
          <w:lang w:bidi="ar-SA"/>
        </w:rPr>
        <w:t>إنّ التهجّد في ليالي شهر رمضان سنّة مؤكدة وقد جاء فيه في حديث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والتهجّد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ليالي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بنوافلها من أفضل القربات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البخاري عن أبي هريرة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أنّه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إيماناً واحتساباً غفر له ما تقدّم من ذنبه</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إلّا أنّ الرسول صلى الله عليه و آله حثّ على أنّ خير صلاة المرء في بيته إلّاالصلاة المكتوبة، وإنّ للمرء أن يجعل للبيت نصيباً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مسلم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احتجر رسول اللّه حجيرة بخصفة أو حصير فخرج رسول اللّه صلى الله عليه و آله يصلّي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فتتبع إليه رجال وجاءوا يصلّون بصلاته،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جاءوا ليلة فحضروا وأبطأ رسول اللّه صلى الله عليه و آله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يخرج إليهم فرفعوا أصواتهم وحصبوا الباب، فخرج إليهم رسول اللّه صلى الله عليه و آله مغضباً، فقال لهم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مازال بكم صنيعكم حتّى ظننت أنّه سيكتب عليكم، فعليكم بالصلاة في بيوتكم، فإنّ خير صلاة المرء في بيته إلّاالصلاة المكتوبة</w:t>
      </w:r>
      <w:r>
        <w:rPr>
          <w:rFonts w:eastAsia="Amiri" w:cs="Amiri" w:ascii="Amiri" w:hAnsi="Amiri"/>
          <w:color w:val="111111"/>
          <w:sz w:val="28"/>
          <w:szCs w:val="28"/>
          <w:rtl w:val="true"/>
          <w:lang w:bidi="ar-SA"/>
        </w:rPr>
        <w:t>.</w:t>
      </w:r>
      <w:r>
        <w:rPr>
          <w:rStyle w:val="FootnoteAnchor"/>
          <w:rtl w:val="true"/>
        </w:rPr>
        <w:footnoteReference w:id="660"/>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صلاة النبي وصلاة أصحابه في حياته وأنّه لم يصلّ معهم إلّاصلوات معدودة، فأين ما قام به النبي صلى الله عليه و آله من أداء صلاة أو صلاتين من صلاة التراويح الّتي تقام في الحرمين الشريفين وفي عامة المساجد بالنحو المعلوم حيث يختم القرآن</w:t>
      </w:r>
      <w:bookmarkStart w:id="558" w:name="pg16768_165452"/>
    </w:p>
    <w:p>
      <w:pPr>
        <w:pStyle w:val="BookText"/>
        <w:rPr/>
      </w:pPr>
      <w:bookmarkEnd w:id="558"/>
      <w:r>
        <w:rPr>
          <w:rFonts w:ascii="Amiri" w:hAnsi="Amiri" w:eastAsia="Amiri" w:cs="Amiri"/>
          <w:color w:val="111111"/>
          <w:sz w:val="28"/>
          <w:sz w:val="28"/>
          <w:szCs w:val="28"/>
          <w:rtl w:val="true"/>
          <w:lang w:bidi="ar-SA"/>
        </w:rPr>
        <w:t>الكريم خلال هذه الليالي في ستمائة ركعة أو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الجزيري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الشيخان أنّه صلى الله عليه و آله خرج من جوف الليل ليالي من رمضان، وهي ثلاث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الثالث، والخامس، والسابع والعشرين، وصلّى في المسجد، وصلّى الناس بصلاته فيها، وكان يصلّي بهم ثماني ركعات ويكملون باقيها في بيوتهم فكان يسمع لهم أزيز، كأزيز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يتبين انّ النبي صلى الله عليه و آله سنّ لهم التراويح والجماعة فيها، ولكن لم يصلّ بينهم عشرين ركعة كما جرى عليه من عهد الصحابة ومن بعدهم إلى الآن</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كل ذلك يدلّ على أنّ ترك الرسول صلى الله عليه و آله لايدل على التحريم أو التشريع، إلّاإذا كان في الشرع دليل على الجواز أو الاستحباب، وعلى ذلك جرى السلف والخلف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بأنّ الترك دليل على عدم الجواز، من محدثات الأُمور</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6863804_73709187"/>
      <w:bookmarkStart w:id="560" w:name="_Toc209"/>
      <w:bookmarkEnd w:id="559"/>
      <w:r>
        <w:rPr/>
        <w:t>7</w:t>
      </w:r>
      <w:r>
        <w:rPr>
          <w:rtl w:val="true"/>
        </w:rPr>
        <w:t xml:space="preserve">. </w:t>
      </w:r>
      <w:r>
        <w:rPr>
          <w:rtl w:val="true"/>
        </w:rPr>
        <w:t>ترك النبي صلى الله عليه و آله استلام الحجر بيده</w:t>
      </w:r>
      <w:bookmarkEnd w:id="560"/>
    </w:p>
    <w:p>
      <w:pPr>
        <w:pStyle w:val="BookText"/>
        <w:rPr/>
      </w:pPr>
      <w:r>
        <w:rPr>
          <w:rFonts w:ascii="Amiri" w:hAnsi="Amiri" w:eastAsia="Amiri" w:cs="Amiri"/>
          <w:color w:val="111111"/>
          <w:sz w:val="28"/>
          <w:sz w:val="28"/>
          <w:szCs w:val="28"/>
          <w:rtl w:val="true"/>
          <w:lang w:bidi="ar-SA"/>
        </w:rPr>
        <w:t xml:space="preserve">اتّفق الفقهاء على استحباب استلام الحجر الأسود وتقبيله، وعليه جرت سيرة المسلمين عبر قرون في الحج والعمرة، إلّاأنّ الروايات قد تضافرت على أنّ النبي صلى الله عليه و آله لم يستلم الحجر بيده في حجة الوداع وإنّما استلمه بمحجن معه وقبّل رأس المحجن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العصا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يحج النبي صلى الله عليه و آله طيلة رسالته إلّامرة واحدة وهي حجة الوداع في العام العاشر من الهجرة، نعم اعتمر ثلاث أعمار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ومسلم يروي في صحيحه عن جابر بن عبداللّه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رسول اللّه صلى الله عليه و آله بالبيت في حجة الوداع على راحلته، يستلم الحجر بمحجنه، لأن يراه الناس وليشرف وليسألوه فإن الناس غشوه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عن أبي الطفيل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يطوف بالبيت ويستلم الركن بمحجنه ويقبّل المحجن</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ولو صحّ ما روي عن عمر بن الخطاب أنّه قال عند استلامه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لاتضر ولا تنفع ولولا أنّي رأيت رسول اللّه قبّلك لما قبّلتك، فمحمول على تقبيله بواسطة المحجن، أو على تقبيله في أعماره لا في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لم يقبّل النبي صلى الله عليه و آله الحجر، فهل يصحّ لمتفقّه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يفتي بترك الاستلام باليد وتقبيله، بحجّة أنّ النبي صلى الله عليه و آله ترك الاستلام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نماذج ممّا ثبت فيها ترك النبي صلى الله عليه و آله أمراً مندوباً ولكن المسلمون قد مارسوه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الألمعي 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وراء الكواليس شيء، وأنّ الغاية من تلك الأُحدوثة الّتي هي بدعة في عالم الفتوى،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إدّعاء أنّ الاحتفال بمولد النبي صلى الله عليه و آله بدعة بحجة أنّه صلى الله عليه و آله لم يحتفل بذلك، ولا الصحابة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أنّا قد أثبتنا في مقال خاص أن الاحتفال مؤيد بالكتاب والسنّة وإجماع المسلمين عبر قرون، وأنّ الاحتفال من مظاهر الحب والمودّة للرسول الكريم، كما أنّ في ذلك إعلاء لذكره صلى الله عليه و آله انطلاقاً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رَفَعْنا لَكَ ذِكْرَكَ‌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الأدلة الّتي سقناها على استحباب الاحتفال، بما أنّ له أصلاً قرآنياً وحديثياً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إمحاء آثار الرسالة الّتي بقيت بعد هدم كثير منها بمعول الجهل بأحكام الإسلام وسننه، فقد هدموا كثيراً من قبور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وصحابة الرسول صلى الله عليه و آله كما دمروا الآثار الباقية من عهد الصحابة كبيت مضيّف النبي صلى الله عليه و آله،</w:t>
      </w:r>
    </w:p>
    <w:p>
      <w:pPr>
        <w:pStyle w:val="BookText"/>
        <w:rPr/>
      </w:pPr>
      <w:r>
        <w:rPr>
          <w:rFonts w:ascii="Amiri" w:hAnsi="Amiri" w:eastAsia="Amiri" w:cs="Amiri"/>
          <w:color w:val="111111"/>
          <w:sz w:val="28"/>
          <w:sz w:val="28"/>
          <w:szCs w:val="28"/>
          <w:rtl w:val="true"/>
          <w:lang w:bidi="ar-SA"/>
        </w:rPr>
        <w:t>وبعض المساجد الّتي صلى فيها النبي صلى الله عليه و آله أو صحابته وأنصاره، وذلك بحجّة أنّ الرسول لم يذهب إلى زيارة هذه القبور والآثار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لهدم الآثار والمعالم التاريخية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في مهد الإسلام، مكة والمدينة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نتائج ومضاعفات كبيرة وخطيرة على الأجيال اللاحقة، الّتي سوف تأتي ولا تجد أثراً لوقائع التاريخ الإسلامي، وسوف يتسرب الشك إلى نفوسهم بأنّ الإسلام قضية مفتعلة وفكرة مبتدعة ليس لها واقع ولا جذور تاريخية، كما هو الحال في قضية السيد المسيح عليه السلام في نظر الكثير من الغربيين فنراهم ينظرون إليها وكأنّها قضية أُسطورية حاكتها أيدي البابوات والقساوسة، والّذي شجع على هذه العقيدة عدم وجود آثار ملموسة تدلّ على أصالة هذه القضية ووجودها 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من اللّه سبحانه أن يلمّ الشعث ويرأب الصدع ويجمع كلمة المسلمين، حتى يكون الجميع يداً واحدة في مقابل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الّذي بنعمته تتم الصالحات</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من شهور عام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561" w:name="pg16768_165455"/>
    </w:p>
    <w:p>
      <w:pPr>
        <w:pStyle w:val="Heading3"/>
        <w:numPr>
          <w:ilvl w:val="2"/>
          <w:numId w:val="1"/>
        </w:numPr>
        <w:rPr/>
      </w:pPr>
      <w:bookmarkStart w:id="562" w:name="__RefHeading___Toc6863806_73709187"/>
      <w:bookmarkStart w:id="563" w:name="_Toc210"/>
      <w:bookmarkEnd w:id="561"/>
      <w:bookmarkEnd w:id="562"/>
      <w:r>
        <w:rPr>
          <w:rtl w:val="true"/>
        </w:rPr>
        <w:t>نظرة وتعليق على فتاوى القرضاوي الفقهية</w:t>
      </w:r>
      <w:bookmarkEnd w:id="563"/>
    </w:p>
    <w:p>
      <w:pPr>
        <w:pStyle w:val="Heading3"/>
        <w:numPr>
          <w:ilvl w:val="2"/>
          <w:numId w:val="1"/>
        </w:numPr>
        <w:rPr/>
      </w:pPr>
      <w:bookmarkStart w:id="564" w:name="__RefHeading___Toc6863808_73709187"/>
      <w:bookmarkStart w:id="565" w:name="_Toc211"/>
      <w:bookmarkEnd w:id="564"/>
      <w:r>
        <w:rPr/>
        <w:t>11</w:t>
      </w:r>
      <w:r>
        <w:rPr>
          <w:rtl w:val="true"/>
        </w:rPr>
        <w:t xml:space="preserve"> </w:t>
      </w:r>
      <w:r>
        <w:rPr>
          <w:rtl w:val="true"/>
        </w:rPr>
        <w:t xml:space="preserve">ادّعاء تحريم الزواج المؤقت </w:t>
      </w:r>
      <w:r>
        <w:rPr>
          <w:rtl w:val="true"/>
        </w:rPr>
        <w:t>(</w:t>
      </w:r>
      <w:r>
        <w:rPr>
          <w:rtl w:val="true"/>
        </w:rPr>
        <w:t>المتعة</w:t>
      </w:r>
      <w:r>
        <w:rPr>
          <w:rtl w:val="true"/>
        </w:rPr>
        <w:t>)</w:t>
      </w:r>
      <w:bookmarkEnd w:id="565"/>
    </w:p>
    <w:p>
      <w:pPr>
        <w:pStyle w:val="Heading4"/>
        <w:numPr>
          <w:ilvl w:val="3"/>
          <w:numId w:val="1"/>
        </w:numPr>
        <w:rPr/>
      </w:pPr>
      <w:bookmarkStart w:id="566" w:name="__RefHeading___Toc6863810_73709187"/>
      <w:bookmarkStart w:id="567" w:name="_Toc212"/>
      <w:bookmarkEnd w:id="566"/>
      <w:r>
        <w:rPr>
          <w:rtl w:val="true"/>
        </w:rPr>
        <w:t>اشارة</w:t>
      </w:r>
      <w:bookmarkEnd w:id="567"/>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ادّعاء تحريم الزواج المؤقت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تكلّم الشيخ القرضاوي عن الزواج المؤقت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الزواج في الإسلام عقد متين وميثاق غليظ يقوم على نية العشرة المؤبدّة من الطرفين لتحقّق ثمرته النفسية التي ذكرها القرآن من السكن النفسي والمودّة والرحمة، وغايته النوعية العمرانية من استمرار التناسل وامتداد بقاء النوع الإنساني،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جَعَلَ لَكُمْ مِنْ أَنْفُسِكُمْ أَزْواجاً وَ جَعَلَ لَكُمْ مِنْ أَزْواجِكُمْ بَنِينَ وَ حَفَدَةً‌</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زواج المتعة فهو ارتباط الرجل بامرأة لمدة يحدّدانها لقاء أجر معيّن فلا يتحقق فيه المعنى الّذي أشرنا إليه، وقد أجازه الرسول صلى الله عليه و آله قبل أن يستقر التشريع في الإسلام، أجازه في السفر والغزوات ثم نهى عنه وحرّمه على التأبيد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الشيخ إلى الظروف التي رُخّص فيها ثم حُرّم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مسلم في صحيحه عن سيرة الجهني أنّه غزا مع النبي صلى الله عليه و آله في فتح مكة فأذن لهم في متعة النساء، فلم يخرج حتّى حرّمها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من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اللّه حرّم ذلك إلى يوم القيامة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هل هذا التحريم بات كزواج الأُمّهات والبنات، أو تحريم مثل تحريم</w:t>
      </w:r>
      <w:bookmarkStart w:id="568" w:name="pg16768_165456"/>
    </w:p>
    <w:p>
      <w:pPr>
        <w:pStyle w:val="BookText"/>
        <w:rPr/>
      </w:pPr>
      <w:bookmarkEnd w:id="568"/>
      <w:r>
        <w:rPr>
          <w:rFonts w:ascii="Amiri" w:hAnsi="Amiri" w:eastAsia="Amiri" w:cs="Amiri"/>
          <w:color w:val="111111"/>
          <w:sz w:val="28"/>
          <w:sz w:val="28"/>
          <w:szCs w:val="28"/>
          <w:rtl w:val="true"/>
          <w:lang w:bidi="ar-SA"/>
        </w:rPr>
        <w:t>الميتة والدم ولحم الخنزير فيباح عند الضرورة وخوف العنت‌؟ الّذي رآه عامة الصحابة أنّه تحريم باتٌّ حاسم لا رخصة فيه بعد استقرار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وخالفهم ابن عباس فرأى أنّها تباح للضرورة، ولمّا رأى أنّ الناس توسّعوا فيها ولم يقتصروا على موضع الضرورة أمسك عن فتياه ورجع عنها</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اللّه سبحانه المتعة بصورة أنّها دواء لا غذاء، وبقيت على حلّيتها السابقة لتلك الغاية، وهذا ممّا اتّفقت عليه المذاهب الفقهية، وإنّما اختلفوا في استمرار حليتها وكونها منسوخة أو لا، فالشيعة الإمامية ولفيف من الصحابة والتابعين على بقاء الحلية، خلافاً للمذاهب الأربعة فهي على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ولسنا في هذه الرسالة الموجزة بصدد بيان أدلّة حلّيتها وإباحتها من الكتاب والسنة ثم بيان بقاء حلّيتها إلى يومنا هذا، فإنّ ذلك يجبرنا على التوسع في الكلام، وإنّما نعلّق على ما جاء في كلام الشيخ القرضاوي، بوجوه</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6863812_73709187"/>
      <w:bookmarkStart w:id="570" w:name="_Toc213"/>
      <w:bookmarkEnd w:id="569"/>
      <w:r>
        <w:rPr/>
        <w:t>1</w:t>
      </w:r>
      <w:r>
        <w:rPr>
          <w:rtl w:val="true"/>
        </w:rPr>
        <w:t xml:space="preserve">. </w:t>
      </w:r>
      <w:r>
        <w:rPr>
          <w:rtl w:val="true"/>
        </w:rPr>
        <w:t>أخذ التأبيد في تعريف الزواج</w:t>
      </w:r>
      <w:bookmarkEnd w:id="570"/>
    </w:p>
    <w:p>
      <w:pPr>
        <w:pStyle w:val="BookText"/>
        <w:rPr/>
      </w:pPr>
      <w:r>
        <w:rPr>
          <w:rFonts w:ascii="Amiri" w:hAnsi="Amiri" w:eastAsia="Amiri" w:cs="Amiri"/>
          <w:color w:val="111111"/>
          <w:sz w:val="28"/>
          <w:sz w:val="28"/>
          <w:szCs w:val="28"/>
          <w:rtl w:val="true"/>
          <w:lang w:bidi="ar-SA"/>
        </w:rPr>
        <w:t>عرف الشيخ الزواج الدائم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متين وميثاق غليظ يقوم على نيّة العشرة المؤبدة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أخذ التأبيد في تعريف الزواج وهو أوّل الكلام، فإنّ الزواج المؤقت من أقسام الزواج، وهو لا يتم أيضاً إلّابعقد صحيح دال على قصد الزواج جدّاً، وكل مقاربة تحصل بين رجل وامرأة من دون عقد لا تكون متعة حتّى مع التراضي والرغبة، ومتى تمّ العقد كان لازماً يجب الوفاء به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التأبيد من مقومات الزواج فعندئذ تخرج المتعة عن تعريفه ويدخل في الزنا، إذ لا وسطية بين الزواج والزنا فيما لو كانت الزوجة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فلازم</w:t>
      </w:r>
      <w:bookmarkStart w:id="571" w:name="pg16768_165457"/>
    </w:p>
    <w:p>
      <w:pPr>
        <w:pStyle w:val="BookText"/>
        <w:rPr/>
      </w:pPr>
      <w:bookmarkEnd w:id="571"/>
      <w:r>
        <w:rPr>
          <w:rFonts w:ascii="Amiri" w:hAnsi="Amiri" w:eastAsia="Amiri" w:cs="Amiri"/>
          <w:color w:val="111111"/>
          <w:sz w:val="28"/>
          <w:sz w:val="28"/>
          <w:szCs w:val="28"/>
          <w:rtl w:val="true"/>
          <w:lang w:bidi="ar-SA"/>
        </w:rPr>
        <w:t>ذلك أن النبي صلى الله عليه و آله رخّص الزنا لصحابته في الأراضي المقدسة، نعني مكة المكرمة، كما صرّح بذلك الشيخ عند إجابته ناقلاً عن سيرة الجهني أنّه غزا مع النبي صلى الله عليه و آله في فتح مكة فأذن لهم في متعة النساء، أفيصح أن نرمي النبي صلى الله عليه و آله بترخيصه الفحشاء، حيث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الزِّنى إِنَّهُ كانَ فاحِشَةً وَ ساءَ سَبِيلاً</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2" w:name="__RefHeading___Toc6863814_73709187"/>
      <w:bookmarkStart w:id="573" w:name="_Toc214"/>
      <w:bookmarkEnd w:id="572"/>
      <w:r>
        <w:rPr/>
        <w:t>2</w:t>
      </w:r>
      <w:r>
        <w:rPr>
          <w:rtl w:val="true"/>
        </w:rPr>
        <w:t xml:space="preserve">. </w:t>
      </w:r>
      <w:r>
        <w:rPr>
          <w:rtl w:val="true"/>
        </w:rPr>
        <w:t>أهداف الزواج</w:t>
      </w:r>
      <w:bookmarkEnd w:id="573"/>
    </w:p>
    <w:p>
      <w:pPr>
        <w:pStyle w:val="BookText"/>
        <w:rPr/>
      </w:pPr>
      <w:r>
        <w:rPr>
          <w:rFonts w:ascii="Amiri" w:hAnsi="Amiri" w:eastAsia="Amiri" w:cs="Amiri"/>
          <w:color w:val="111111"/>
          <w:sz w:val="28"/>
          <w:sz w:val="28"/>
          <w:szCs w:val="28"/>
          <w:rtl w:val="true"/>
          <w:lang w:bidi="ar-SA"/>
        </w:rPr>
        <w:t>ذكر الشيخ أنّ من أهداف الزواج؛ السكن النفسي والمودّة، والرحمة، وهذه الأهداف تتحقّق في كلا الزواجين خصوصاً إذا كانت المدّة طويلة، فإنّ صون النفس عن الزنا والتوقّي عن اختلاط الأنساب أمر مشترك بين الزواجين، إذ يجب على المتمتع بها الاعتداد بحيضتين حتّى يبرأ رحمها، فإن كانت ذات حمل تخرج من العدّة بوضع الحمل، وإن لم تكن فتخرج بحيضتين أو طهرين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أنّ من أهداف الزواج هوالغاية النوعية العمرانية من استمرار التناسل وبقاء النوع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يتحقق أيضاً في الزواج المؤقت خصوصاً إذا كانت المدة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الدكتور خلط علّة التشريع ومناطه بحكمته، فإنّ تكوين الأُسرة وإيجاد النسل حكمة التشريع التي لا يدور الحكم مدارها، وليست علةً له، والتي يدور الحكم مدارها، ولذلك نرى وجود الزواج الصحيح مع عدم هذه الحكمة، فالزواج صحيح في الصور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زواج العقيم بالمرأة الولود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زواج المرأة العقيم بالرجل المنجب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الزواج من المرأة اليائسة</w:t>
      </w:r>
      <w:r>
        <w:rPr>
          <w:rFonts w:eastAsia="Amiri" w:cs="Amiri" w:ascii="Amiri" w:hAnsi="Amiri"/>
          <w:color w:val="111111"/>
          <w:sz w:val="28"/>
          <w:szCs w:val="28"/>
          <w:rtl w:val="true"/>
          <w:lang w:bidi="ar-SA"/>
        </w:rPr>
        <w:t>.</w:t>
      </w:r>
      <w:bookmarkStart w:id="574" w:name="pg16768_165458"/>
    </w:p>
    <w:p>
      <w:pPr>
        <w:pStyle w:val="BookText"/>
        <w:rPr/>
      </w:pPr>
      <w:bookmarkEnd w:id="57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الزواج من الصغيرة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زواج الشاب من الشابة مع العزم على عدم الإنجاب إلى آخر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أفيصح للأُستاذ أن يشطب على هذه الأنكحة، بسبب عدم انطباق التعريف الّذي اختاره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تبيّن عدم صحة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يتحقّق في زواج المتعة ذلك المعنى الّذي أشرنا إليه</w:t>
      </w:r>
      <w:r>
        <w:rPr>
          <w:rFonts w:eastAsia="Amiri" w:cs="Amiri" w:ascii="Amiri" w:hAnsi="Amiri"/>
          <w:color w:val="111111"/>
          <w:sz w:val="28"/>
          <w:szCs w:val="28"/>
          <w:rtl w:val="true"/>
          <w:lang w:bidi="ar-SA"/>
        </w:rPr>
        <w:t>.</w:t>
      </w:r>
    </w:p>
    <w:p>
      <w:pPr>
        <w:pStyle w:val="Heading4"/>
        <w:numPr>
          <w:ilvl w:val="3"/>
          <w:numId w:val="1"/>
        </w:numPr>
        <w:rPr/>
      </w:pPr>
      <w:bookmarkStart w:id="575" w:name="__RefHeading___Toc6863816_73709187"/>
      <w:bookmarkStart w:id="576" w:name="_Toc215"/>
      <w:bookmarkEnd w:id="575"/>
      <w:r>
        <w:rPr/>
        <w:t>3</w:t>
      </w:r>
      <w:r>
        <w:rPr>
          <w:rtl w:val="true"/>
        </w:rPr>
        <w:t xml:space="preserve">. </w:t>
      </w:r>
      <w:r>
        <w:rPr>
          <w:rtl w:val="true"/>
        </w:rPr>
        <w:t>ادّعاؤه تحريم المتعة على التأبيد</w:t>
      </w:r>
      <w:bookmarkEnd w:id="576"/>
    </w:p>
    <w:p>
      <w:pPr>
        <w:pStyle w:val="BookText"/>
        <w:rPr/>
      </w:pPr>
      <w:r>
        <w:rPr>
          <w:rFonts w:ascii="Amiri" w:hAnsi="Amiri" w:eastAsia="Amiri" w:cs="Amiri"/>
          <w:color w:val="111111"/>
          <w:sz w:val="28"/>
          <w:sz w:val="28"/>
          <w:szCs w:val="28"/>
          <w:rtl w:val="true"/>
          <w:lang w:bidi="ar-SA"/>
        </w:rPr>
        <w:t xml:space="preserve">ذكر الدكتور أنّ الرسول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يستقر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أجازه في السفر والغزوات ثم نهى عنه وحرّمه على التأبيد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الترخيص والتأبيد حسب نقل الدكتور كان في فتح مكة، وقد فُتحت مكة في السنة الثامنة من هجرته الشريفة، وتمّ أمرُ التشريع في النساء قبل سنين من ذلك حيث إنّه سبحانه شرع في بيان ما حرّم اللّه من النساء وما أحلّه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عَلَيْكُمْ أُمَّهاتُكُمْ وَ بَناتُكُمْ وَ أَخَواتُكُمْ وَ عَمّاتُكُمْ وَ خالاتُكُمْ وَ بَناتُ الْأَخِ وَ بَناتُ الْأُخْتِ وَ أُمَّهاتُكُمُ اللاّتِي أَرْضَعْنَكُمْ وَ أَخَواتُكُمْ مِنَ الرَّضاعَةِ وَ أُمَّهاتُ نِسائِكُمْ وَ رَبائِبُكُمُ اللاّتِي فِي حُجُورِكُمْ مِنْ نِسائِكُمُ اللاّتِي دَخَلْتُمْ بِهِنَّ فَإِنْ لَمْ تَكُونُوا دَخَلْتُمْ بِهِنَّ فَلا جُناحَ عَلَيْكُمْ وَ حَلائِلُ أَبْنائِكُمُ الَّذِينَ مِنْ أَصْلابِكُمْ وَ أَنْ تَجْمَعُوا بَيْنَ الْأُخْتَيْنِ إِلاّ ما قَدْ سَلَفَ إِنَّ اللّهَ كانَ غَفُوراً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مِنَ النِّساءِ إِلاّ ما مَلَكَتْ أَيْمانُكُمْ كِتابَ اللّهِ عَلَيْكُمْ وَ أُحِلَّ لَكُمْ ما وَراءَ ذلِكُمْ أَنْ تَبْتَغُوا بِأَمْوالِكُمْ مُحْصِنِينَ غَيْرَ مُسافِحِينَ فَمَا اسْتَمْتَعْتُمْ بِهِ مِنْهُنَّ فَآتُوهُنَّ أُجُورَهُنَّ فَرِيضَةً وَ لا جُناحَ عَلَيْكُمْ فِيما تَراضَيْتُمْ بِهِ مِنْ بَعْدِ الْفَرِيضَةِ إِنَّ اللّهَ كانَ عَلِيماً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يَسْتَطِعْ مِنْكُمْ طَوْلاً أَنْ يَنْكِحَ الْمُحْصَناتِ الْمُؤْمِناتِ فَمِنْ ما مَلَكَتْ أَيْمانُكُمْ مِنْ فَتَياتِكُمُ الْمُؤْمِناتِ وَ اللّهُ أَعْلَمُ بِإِيمانِكُمْ بَعْضُكُمْ مِنْ بَعْضٍ فَانْكِحُوهُنَّ بِإِذْنِ أَهْلِهِنَّ وَ آتُوهُنَّ أُجُورَهُنَّ بِالْمَعْرُوفِ مُحْصَناتٍ غَيْرَ مُسافِحاتٍ وَ لا مُتَّخِذاتِ أَخْدانٍ فَإِذا</w:t>
      </w:r>
      <w:bookmarkStart w:id="577" w:name="pg16768_165459"/>
    </w:p>
    <w:p>
      <w:pPr>
        <w:pStyle w:val="BookText"/>
        <w:rPr/>
      </w:pPr>
      <w:bookmarkEnd w:id="577"/>
      <w:r>
        <w:rPr>
          <w:rFonts w:ascii="Amiri" w:hAnsi="Amiri" w:eastAsia="Amiri" w:cs="Amiri"/>
          <w:color w:val="111111"/>
          <w:sz w:val="28"/>
          <w:sz w:val="28"/>
          <w:szCs w:val="28"/>
          <w:rtl w:val="true"/>
          <w:lang w:bidi="ar-SA"/>
        </w:rPr>
        <w:t xml:space="preserve">أُحْصِنَّ فَإِنْ أَتَيْنَ بِفاحِشَةٍ فَعَلَيْهِنَّ نِصْفُ ما عَلَى الْمُحْصَناتِ مِنَ الْعَذابِ ذلِكَ لِمَنْ خَشِيَ الْعَنَتَ مِنْكُمْ وَ أَنْ تَصْبِرُوا خَيْرٌ لَكُمْ وَ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لِيُبَيِّنَ لَكُمْ وَ يَهْدِيَكُمْ سُنَنَ الَّذِينَ مِنْ قَبْلِكُمْ وَ يَتُوبَ عَلَيْكُمْ وَ اللّهُ عَلِيمٌ حَكِيمٌ‌</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نزلت هذه الآيات قبل فتح مكة بسنين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يثير العجب أنّ الأُستاذ لم يدقّق في الآية الدالّة على حلّيّة المتعة في الآيات الماضية،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ذهب جل المفسرين إلى نزولها في زواج المتعة وإن اختلفوا في نسخها أو بقائها على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ولسنا بصدد بيان دلالة الآية على حكم المتعة، فإنّ ذلك يحوجنا إلى التبسط في الكلام</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6863818_73709187"/>
      <w:bookmarkStart w:id="579" w:name="_Toc216"/>
      <w:bookmarkEnd w:id="578"/>
      <w:r>
        <w:rPr/>
        <w:t>4</w:t>
      </w:r>
      <w:r>
        <w:rPr>
          <w:rtl w:val="true"/>
        </w:rPr>
        <w:t xml:space="preserve">. </w:t>
      </w:r>
      <w:r>
        <w:rPr>
          <w:rtl w:val="true"/>
        </w:rPr>
        <w:t>هل أنّ الرسول صلى الله عليه و آله حرّم المتعة‌؟</w:t>
      </w:r>
      <w:bookmarkEnd w:id="579"/>
    </w:p>
    <w:p>
      <w:pPr>
        <w:pStyle w:val="BookText"/>
        <w:rPr/>
      </w:pPr>
      <w:r>
        <w:rPr>
          <w:rFonts w:ascii="Amiri" w:hAnsi="Amiri" w:eastAsia="Amiri" w:cs="Amiri"/>
          <w:color w:val="111111"/>
          <w:sz w:val="28"/>
          <w:sz w:val="28"/>
          <w:szCs w:val="28"/>
          <w:rtl w:val="true"/>
          <w:lang w:bidi="ar-SA"/>
        </w:rPr>
        <w:t>زعم الدكتور القرضاوي أنّ الرسول الأكرم صلى الله عليه و آله هو الّذي حرّم المتعة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حرّمها رسول اللّه صلى الله عليه و آله وفي لفظ من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حرّم ذلك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ينسب ذلك إلى رسول اللّه صلى الله عليه و آله مع أنّ لفيفاً من أصحابه الكرام قد أفتوا بحلية المتعة إلى يوم القيامة، نذكر منهم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عمر، أخرج الإمام أحمد من حديث عبد 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متعة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كنّا على عهد رسول اللّه صلى الله عليه و آله زانين ولا مسافحين،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ليكونن قبل يوم القيامة المسيح الدجال وكذابون ثلاثون وأكثر</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مسعود، أخرج البخاري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نغزو</w:t>
      </w:r>
      <w:bookmarkStart w:id="580" w:name="pg16768_165460"/>
    </w:p>
    <w:p>
      <w:pPr>
        <w:pStyle w:val="BookText"/>
        <w:rPr/>
      </w:pPr>
      <w:bookmarkEnd w:id="580"/>
      <w:r>
        <w:rPr>
          <w:rFonts w:ascii="Amiri" w:hAnsi="Amiri" w:eastAsia="Amiri" w:cs="Amiri"/>
          <w:color w:val="111111"/>
          <w:sz w:val="28"/>
          <w:sz w:val="28"/>
          <w:szCs w:val="28"/>
          <w:rtl w:val="true"/>
          <w:lang w:bidi="ar-SA"/>
        </w:rPr>
        <w:t>مع رسول اللّه صلى الله عليه و آله وليس لنا شيء،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نستخصي‌؟ فنهانا عن ذلك، ثمّ رخّص لنا أن ننكح المرأة بالثوب إلى أجل معين، ثمّ قرأ علينا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تُحَرِّمُوا طَيِّباتِ ما أَحَلَّ اللّهُ لَكُمْ وَ لا تَعْتَدُوا إِنَّ اللّهَ لا يُحِبُّ الْمُعْتَدِينَ‌</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Pr>
        <w:footnoteReference w:id="670"/>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حصين، أخرج البخاري في صحيحه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آية المتعة في كتاب اللّه ففعلناها مع رسول اللّه صلى الله عليه و آله، ولم ينزل قرآن يحرّمها ولم ينه عنها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برأيه ما شاء</w:t>
      </w:r>
      <w:r>
        <w:rPr>
          <w:rFonts w:eastAsia="Amiri" w:cs="Amiri" w:ascii="Amiri" w:hAnsi="Amiri"/>
          <w:color w:val="111111"/>
          <w:sz w:val="28"/>
          <w:szCs w:val="28"/>
          <w:rtl w:val="true"/>
          <w:lang w:bidi="ar-SA"/>
        </w:rPr>
        <w:t>.</w:t>
      </w:r>
      <w:r>
        <w:rPr>
          <w:rStyle w:val="FootnoteAnchor"/>
          <w:rtl w:val="true"/>
        </w:rPr>
        <w:footnoteReference w:id="67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مسلم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نستمتع بالقبضة من التمر والدقيق الأيام على عهد رسول اللّه صلى الله عليه و آله وأبي بكر حتّى نهى عنه عمر في شأن عمرو بن حريث</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في صحيحه عن أبي نظرة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جابر بن عبداللّه فأتاه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وابن الزبير اختلفا في المتعتين،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فعلانهما مع رسول اللّه صلى الله عليه و آله ثم نهانا عنهما عمر، فلم نعد لهما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هذه نماذج من الروايات الواردة عن الطبقة العليا من أصحاب رسول اللّه صلى الله عليه و آله الذين كانوا يفتون بجواز المتعة، ولو كان الرسول صلى الله عليه و آله محرّماً لها لما خفي عنهم تحريمه لها، ولو علموا لما خالفوه فيها</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6863820_73709187"/>
      <w:bookmarkStart w:id="582" w:name="_Toc217"/>
      <w:bookmarkEnd w:id="581"/>
      <w:r>
        <w:rPr/>
        <w:t>5</w:t>
      </w:r>
      <w:r>
        <w:rPr>
          <w:rtl w:val="true"/>
        </w:rPr>
        <w:t xml:space="preserve">. </w:t>
      </w:r>
      <w:r>
        <w:rPr>
          <w:rtl w:val="true"/>
        </w:rPr>
        <w:t>المحرِّم هو الخليفة نفسه</w:t>
      </w:r>
      <w:bookmarkEnd w:id="582"/>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الدكتور وإن نسب التحريم إلى رسول اللّه صلى الله عليه و آله ولكنّه لو أمعن النظر وسبر غضون الروايات والآثار، لوقف على أنّ المحرِّم هو الخليفة عمر بن الخطاب لا</w:t>
      </w:r>
    </w:p>
    <w:p>
      <w:pPr>
        <w:pStyle w:val="BookText"/>
        <w:rPr/>
      </w:pPr>
      <w:r>
        <w:rPr>
          <w:rFonts w:ascii="Amiri" w:hAnsi="Amiri" w:eastAsia="Amiri" w:cs="Amiri"/>
          <w:color w:val="111111"/>
          <w:sz w:val="28"/>
          <w:sz w:val="28"/>
          <w:szCs w:val="28"/>
          <w:rtl w:val="true"/>
          <w:lang w:bidi="ar-SA"/>
        </w:rPr>
        <w:t>غيره، هذا ما يلمسه كل من نظر إلى المسألة عن كثب، وقد مر عليك في الروايات السابقة نسبة التحريم إليه، وإليك المزيد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علي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أخرجه الطبري بالإسناد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عمر نهى عن المتعة ما زنى إلّاشقي</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وهناك روايات مأثورة عن الخليفة نفسه، تعرب عن أنّ التحريم كان من صميم رأيه، من دون استناد إلى آية أو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نستمتع بالقبضة من التمر والدقيق الأيام على عهد رسول اللّه صلى الله عليه و آله وأبي بكر حتّى نهى عنه عمر في شأن عمرو بن حريث</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في صحيحه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جابر بن عبد اللّه، فأتاه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 ابن الزبير اختلفا في المتعتين،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فعلناهما مع رسول اللّه ثمّ نهانا عنهما عمر فلم نعد لهما</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الترمذي أنّ رجلاً من أهل الشام سأل ابن عمر عن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حلال، 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قد نهى عنها؟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أبي قد نهى عنها وقد صنعها رسول اللّه صلى الله عليه و آله أأمر أبي نتّبع أم أمر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وهذه المأثورات تعرب عن جملة من الملاحظات نجملها بملاحظتين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المتعة كانت باقية على الحل إلى عهد الخليفة عمر بن الخطاب، وبقيت حلالاً في أيامه حتى نهى عنها ومنع</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باجتهاده قام بتحريم ما أحلّه الكتاب والسنة، ومن المعلوم أنّ 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صحّت تسميته بالاجتهاد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على نفسه لا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بوضوح على أنّ الخليفة هو المحرِّم ما ذكره ابن القيّم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تصنعون بما رواه مسلم في صحيحه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نستمتع بالقبضة من التمر والدقيق الأيام على عهد رسول اللّه صلى الله عليه و آله وأبي بكر حتّى نهى عنهما عمر في شأن عمرو بن حريث، وفيما ثبت عن عمر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متعتان كانتا على عهد رسول اللّه صلى الله عليه و آله أنا أنهى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ومتعة الحج‌؟</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هذا طائفتان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هو الّذي حرّمها ونهى عنها وقد أمر رسول اللّه صلى الله عليه و آله باتّباع ما سنَّه الخلفاء الراشدون، ولم تر هذه الطائفة تصحيح حديث سبرة بن معبد في تحريم المتعة عام الفتح فإنّه من رواية عبدالملك بن الربيع بن سبرة عن أبيه عن جده، وقد تكلّم فيه ابن معين ولم ير البخاري إخراج حديثه في صحيحه مع شدّة الحاجة إليه وكونه أصلاً من أُصول الإسلام، ولو صحّ عنده لم يصبر عن إخراجه والإحتجاج 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صحّ حديث سبرة لم يخف على ابن مسعود حتّى يروي أنّهم فعلوها ويحتج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ولو صحّ لم يقل عمر أنّها كانت على عهد رسول اللّه صلى الله عليه و آله وأنا أنهى عنها وأُعاقب عليها، بل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 الله عليه و آله حرّمها ونهى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صحّ لم تفعل على عهد الصديق وهو عهد خلافة النبوة حقاً</w:t>
      </w:r>
      <w:r>
        <w:rPr>
          <w:rFonts w:eastAsia="Amiri" w:cs="Amiri" w:ascii="Amiri" w:hAnsi="Amiri"/>
          <w:color w:val="111111"/>
          <w:sz w:val="28"/>
          <w:szCs w:val="28"/>
          <w:rtl w:val="true"/>
          <w:lang w:bidi="ar-SA"/>
        </w:rPr>
        <w:t>.</w:t>
      </w:r>
      <w:r>
        <w:rPr>
          <w:rStyle w:val="FootnoteAnchor"/>
          <w:rtl w:val="true"/>
        </w:rPr>
        <w:footnoteReference w:id="677"/>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الخليفة العباسي المأمون أوشك أن يُنادى في أيّام حكمه، بتحليل المتعة إلّا أنّه توقف خوفاً من الفتنة وتفرق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خلكان، نقلاً عن محمد بن منصور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المأمون في طريق الشام فأمر فنودي بتحليل المتعة، فقال يحيى بن أكثم لي ولأبي العيناء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 غداً إليه، فإن رأيتما للقول وجهاً فقولا، وإلّا فاسكتا إلى أن أدخل،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عليه وهو يستاك ويقول وهو مغتاظ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متعتان كانتا على عهد رسول اللّه صلى الله عليه و آله وعلى عهد أبي بكر وأنا أنهى عنهما، ومن أنت يا</w:t>
      </w:r>
    </w:p>
    <w:p>
      <w:pPr>
        <w:pStyle w:val="BookText"/>
        <w:rPr/>
      </w:pPr>
      <w:r>
        <w:rPr>
          <w:rFonts w:ascii="Amiri" w:hAnsi="Amiri" w:eastAsia="Amiri" w:cs="Amiri"/>
          <w:color w:val="111111"/>
          <w:sz w:val="28"/>
          <w:sz w:val="28"/>
          <w:szCs w:val="28"/>
          <w:rtl w:val="true"/>
          <w:lang w:bidi="ar-SA"/>
        </w:rPr>
        <w:t>جُعَل حتى تنهى عما فعله رسول اللّه صلى الله عليه و آله وأبو بكر؟ فأومأ أبو العيناء إلى محمد ابن منصور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يقول في عمر بن الخطاب ما يقول نكلمه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فأمسكنا، فجاء يحيى بن أكثم فجلس وجلسنا، فقال المأمون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متغيّراً؟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غم يا أمير المؤمنين لما حدث في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حدث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بتحليل الزنا،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المتعة 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قلت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اللّه عزّوجلّ‌، وحديث رسول اللّه صلى الله عليه و آله،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ابْتَغى وَراءَ ذلِكَ فَأُولئِكَ هُمُ العادُونَ‌</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يا أمير المؤمنين زوجة المتعة ملك يمين‌؟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الزوجة التي عند اللّه ترث وتورث وتلحق الولد ولها شرائطها؟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صار متجاوز هذين من العادين</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عزب عن ابن أكثم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ممّن يكنّ العداء لآل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المتعة داخلة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عَلى 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عدم الوراثة تخصيص في الحكم، وهو لا ينافي ثبوت الزوجيّة، وكم لها من نظير، فالكافرة لا ترث الزوج المسلم، وبالعكس، كما أنّ القاتلة لا ترث وهكذا العكس، وأمّا الولد في زواج المتعة فيلحق قطعاً، ونفي اللحوق ناشئ إمّا من الجهل بحكمها أو التجاهل به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أقبح كلامه حيث فسر المتعة بالزنا وقد أصفقت الأُمّة على تحليلها في عصر الرسول صلى الله عليه و آله والخليفة الأوّل، أفحسب ابن أكثم أنّ الرسول صلى الله عليه و آله حلّل الزنا ولو مدة قصيرة‌؟</w:t>
      </w:r>
      <w:r>
        <w:rPr>
          <w:rFonts w:eastAsia="Amiri" w:cs="Amiri" w:ascii="Amiri" w:hAnsi="Amiri"/>
          <w:color w:val="111111"/>
          <w:sz w:val="28"/>
          <w:szCs w:val="28"/>
          <w:rtl w:val="true"/>
          <w:lang w:bidi="ar-SA"/>
        </w:rPr>
        <w:t>!</w:t>
      </w:r>
      <w:bookmarkStart w:id="583" w:name="pg16768_165464"/>
    </w:p>
    <w:p>
      <w:pPr>
        <w:pStyle w:val="Heading3"/>
        <w:numPr>
          <w:ilvl w:val="2"/>
          <w:numId w:val="1"/>
        </w:numPr>
        <w:rPr/>
      </w:pPr>
      <w:bookmarkStart w:id="584" w:name="__RefHeading___Toc6863822_73709187"/>
      <w:bookmarkStart w:id="585" w:name="_Toc218"/>
      <w:bookmarkEnd w:id="583"/>
      <w:bookmarkEnd w:id="584"/>
      <w:r>
        <w:rPr/>
        <w:t>12</w:t>
      </w:r>
      <w:r>
        <w:rPr>
          <w:rtl w:val="true"/>
        </w:rPr>
        <w:t xml:space="preserve"> </w:t>
      </w:r>
      <w:r>
        <w:rPr>
          <w:rtl w:val="true"/>
        </w:rPr>
        <w:t>عدم كفاية التسمية عند الأكل</w:t>
      </w:r>
      <w:bookmarkEnd w:id="585"/>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كفاية التسمية عند الأكل</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الذكاة الشرعية المطلوبة تتم بشروط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اسم اللّه تعالى على الذبيحة،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ذُكِرَ اسْمُ اللّهِ عَلَيْهِ إِنْ كُنْتُمْ بِآياتِهِ مُؤْمِنِينَ‌</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مِمّا لَمْ يُذْكَرِ اسْمُ اللّهِ عَلَيْهِ وَ إِنَّهُ لَفِسْقٌ‌</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 ولا شبهة في هذا الشرط، وعلى هذا لا تحل ذبيحة الكتابي بدليل أنّهم لا يسمّون عند الذبح، مضافاً إلى أنّ من الشروط كون الذابح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ابتليت بلاد الإسلام باستيراد اللحوم من الدول الكافرة والتي نعلم بعدم حصول التسمية على الذبائح فيها، ولذا قام بعض من يحاول تسهيل الإسلام على الجيل الحاضر فأفتى بكفاية التسمية عند الأكل ممّا علم ترك التسمية عليه، وهذا ما نقله الشيخ القرضاوي والظاهرمنه رضاه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بعض العلماء إلى أنّ ذكر اسم اللّه لا بدَّ منه، ولكنّه ليس من اللازم أن يكون ذلك عند الذبح، بل يجزئ عنه أن يذكره عند الأكل، فإنّه إذا سمّى عند الأكل على ما يأكله، لم يكن آكلاً لما لم يذكر اسم اللّه عليه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حديثي عهد بجاهلية قالوا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يأتوننا باللحمان لا ندري أذكروا اسم اللّه عليها أم لم</w:t>
      </w:r>
    </w:p>
    <w:p>
      <w:pPr>
        <w:pStyle w:val="BookText"/>
        <w:rPr/>
      </w:pPr>
      <w:r>
        <w:rPr>
          <w:rFonts w:ascii="Amiri" w:hAnsi="Amiri" w:eastAsia="Amiri" w:cs="Amiri"/>
          <w:color w:val="111111"/>
          <w:sz w:val="28"/>
          <w:sz w:val="28"/>
          <w:szCs w:val="28"/>
          <w:rtl w:val="true"/>
          <w:lang w:bidi="ar-SA"/>
        </w:rPr>
        <w:t>يذكروا؟ أنأكل منها أم لا؟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اسم اللّه وكلوا</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مِمّا لَمْ يُذْكَرِ اسْمُ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حرمة الأكل إذا لم يذكر اسم اللّه عليه عند الذبح مطلقاً، سواء أذُكر اسمه تعالى عند الأكل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بجواز الأكل لأجل كفاية التسمية عند الأكل مخالف لإطلاق الآية، بل يخالف ما اتفق عليه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بحديث عائشة فيفارق مورده المقام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الذابح هناك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العهد بالاسلام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نجده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حديثي عهد بجاهلية قالوا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يأتوننا باللحمان لا ندري أذكروا اسم اللّه عليها أم لم يذكروا، فإنّ المتبادر أنّ الآتين باللحم من أقوام السائلين كانوا حديثي العهد بالجاهلية وبالتالي فهم 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اللحوم المستوردة حالياً من الخارج هي من ذبائح أهل الكتاب أو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فرض السؤال في الرواية، الشك في التسمية، فيؤكل عندئذ حملاً لعمل المسلم على الصحة، وأين هذا ممّا نحن فيه الّذي نعلم بعدم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فكرة تسهيل الإسلام على الجيل الحاضر فكرة جيّدة، ولكن بشرط أن لا تتجاوز الحدود والأُصول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زعماء الإسلام والمسلمين أن يقوموا بأحد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دعم القطاع الزراعي لانتاج اللحوم من نفس البلاد حتّى يستغنوا عن استيراد اللحوم من البلاد الأجنبية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ولابد فيجب إرسال هيئات شرعية تشرف على الذباحة على أن تكون مطابقة للشروط الإسلامية</w:t>
      </w:r>
      <w:r>
        <w:rPr>
          <w:rFonts w:eastAsia="Amiri" w:cs="Amiri" w:ascii="Amiri" w:hAnsi="Amiri"/>
          <w:color w:val="111111"/>
          <w:sz w:val="28"/>
          <w:szCs w:val="28"/>
          <w:rtl w:val="true"/>
          <w:lang w:bidi="ar-SA"/>
        </w:rPr>
        <w:t>.</w:t>
      </w:r>
      <w:bookmarkStart w:id="586" w:name="pg16768_165466"/>
    </w:p>
    <w:p>
      <w:pPr>
        <w:pStyle w:val="Heading3"/>
        <w:numPr>
          <w:ilvl w:val="2"/>
          <w:numId w:val="1"/>
        </w:numPr>
        <w:rPr/>
      </w:pPr>
      <w:bookmarkStart w:id="587" w:name="__RefHeading___Toc6863824_73709187"/>
      <w:bookmarkStart w:id="588" w:name="_Toc219"/>
      <w:bookmarkEnd w:id="586"/>
      <w:bookmarkEnd w:id="587"/>
      <w:r>
        <w:rPr/>
        <w:t>13</w:t>
      </w:r>
      <w:r>
        <w:rPr>
          <w:rtl w:val="true"/>
        </w:rPr>
        <w:t xml:space="preserve"> </w:t>
      </w:r>
      <w:r>
        <w:rPr>
          <w:rtl w:val="true"/>
        </w:rPr>
        <w:t xml:space="preserve">حرمة الاستمناء </w:t>
      </w:r>
      <w:r>
        <w:rPr>
          <w:rtl w:val="true"/>
        </w:rPr>
        <w:t>(</w:t>
      </w:r>
      <w:r>
        <w:rPr>
          <w:rtl w:val="true"/>
        </w:rPr>
        <w:t>العادة السرّية</w:t>
      </w:r>
      <w:r>
        <w:rPr>
          <w:rtl w:val="true"/>
        </w:rPr>
        <w:t>)</w:t>
      </w:r>
      <w:bookmarkEnd w:id="588"/>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الاستمناء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 السرّية</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يقول الدكتور في حديثه عن موضوع حكم الاستمناء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يثور دم الغريزة في الشاب فيلجأ إلى يده يستخرج بها المني من جسده ليريح أعصابه، ويهدئ من ثورة الغريزة، وهو ما يعرف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بالعادة السرية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حرّمها أكثر العلماء، واستدلّ الإمام مالك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ابْتَغى وَراءَ ذلِكَ فَأُولئِكَ هُمُ العادُونَ‌</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والمستمني بيده قد ابتغى لشهوته شيئاً وراء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الإمام أحمد بن حنبل أنّه اعتبر المني فضلة من فضلات الجسم فجاز إخراجه كالفصد، وهذا ما ذهب إليه وأيّده ابن حزم، وقيّد فقهاء الحنابلة الجواز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خشية الوقوع في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استطاعة الزواج</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نأخذ برأي الإمام أحمد في حالات ثوران الغريزة وخشية الوقوع في الحرام، كشاب يتعلّم أو يعمل غريباً عن وطنه، وأسباب الإغراء أمامه كثيرة،</w:t>
      </w:r>
    </w:p>
    <w:p>
      <w:pPr>
        <w:pStyle w:val="BookText"/>
        <w:rPr/>
      </w:pPr>
      <w:r>
        <w:rPr>
          <w:rFonts w:ascii="Amiri" w:hAnsi="Amiri" w:eastAsia="Amiri" w:cs="Amiri"/>
          <w:color w:val="111111"/>
          <w:sz w:val="28"/>
          <w:sz w:val="28"/>
          <w:szCs w:val="28"/>
          <w:rtl w:val="true"/>
          <w:lang w:bidi="ar-SA"/>
        </w:rPr>
        <w:t>ويخشى على نفسه العنت، فلا حرج عليه أن يلجأ إلى هذه الوسيلة يطفئ بها ثوران الغريزة، على ألّا يسرف فيها ويتّخذها ديدناً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وأفضل من ذلك ما أرشد إليه الرسول الكريم صلى الله عليه و آله الشاب المسلم الذي يعجز من الزواج، أن يستعين بكثرة الصوم، الذي يُربّي الإرادة، ويعلّم الصبر، ويقوّي ملكة التقوى ومراقبة اللّه تعالى في نفس المسلم وذلك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الشباب من استطاع منكم الباءة فليتزوج فإنّه أغض للبصر، وأحصن للفرج، ومن لم يستطع فعليه بالصوم فإنّه له 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رواه البخاري</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بحلية الاستمناء أو العادة السرية مخالف للذكر الحكيم، والشهرة المحقّقة في المذاهب الفقهية، وما عليه أئمة أهل البيت عليهم السلام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الذكر الحكيم، فقد نقله الشيخ في كلامه فلا حاجة إلى الإيضاح، حيث إنّه سبحانه أمر بحفظ الفروج في كلّ الحالات إلّابالنسبة إلى الزوجة وملك اليمين، فإذا تجاوز هاتين الحالتين واستمنى كان من العادين المتجاوزين ما أحل اللّه لهم إلى ما حرّمه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الشهرة المحقّقة، فقد ذهب المالكية والشافعية والزيدية إلى تحريمه، أخذاً بالحصر الوارد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الحصر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عَلى أَزْواجِهِمْ أَوْ ما مَلَكَتْ أَيْمانُهُمْ‌</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ابْتَغى وَراءَ ذلِكَ فَأُولئِكَ هُمُ العادُونَ‌</w:t>
      </w:r>
      <w:r>
        <w:rPr>
          <w:rFonts w:eastAsia="Amiri" w:cs="Amiri" w:ascii="Amiri" w:hAnsi="Amiri"/>
          <w:color w:val="111111"/>
          <w:sz w:val="28"/>
          <w:szCs w:val="28"/>
          <w:rtl w:val="true"/>
          <w:lang w:bidi="ar-SA"/>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موقف أئمة أهل البيت عليهم السلام فقد روى طلحة بن زيد، عن أبي عبداللّه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 عليه السلام أُتي برجل عبث بذكره، فضرب يده حتى احمرّت ثم زوّجه من بيت المال</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وروى عمّار بن موسى، عن الإمام الصادق عليه السلام في الرجل ينكح بهيمة‌؟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أنزل به الرجل ماءَه من هذا وشبهه فهو زنا</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إلى غير ذلك من الروايات الدالّة على حرمة العمل على وجه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الدكتور من أنّه لا حرج أن يلجأ إلى هذه الوسيلة بحيث لا يسرف فيها ولا يتّخذها ديدناً، فعجيب جدّاً، فإنّ العادة السرية أسهل شيء للالتذاذ الجنسي، فكيف يمكن للشاب أن لا يسرف فيها ولا يتّخذها ديدناً؟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الأضرار التي يذكرها الأطباء في من اعتاد على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نقله عن الإمام أحمد حيث 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إلى هذه الوسيلة ويطفأ بها ثوران الغريزة عند خشية الوقوع في الزنا فممّا لا يمكن المساعدة عليه، فلعلّ مصدر كلامه القاعدة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الضرورات تبيح المحظورات، ومن المعلوم أنّ مصبّ القاعدة هو ابتلاء الإنسان بها، من غير اختيار، فعندئذ يجوز الارتكاب باختيار أقل الضررين، أو أخفّ الحرامين، كما إذا ابتلي الصائم بالعطش المهلك، فيجوز له دفع العطش بشرب الماء لحفظ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فيما لو توقّفت نجاة الإنسان الغريق على التصرف في مال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توقّفت الحياة على أكل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الموارد تطبق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الضرورات تبيح المحظورات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بشرط أن لا يكون الإنسان عاملاً مؤثراً في إيجاد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فالواجب عليه كبح النفس والاجتناب عما حرّم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فلوكان ثوران الغريزة وخشية الوقوع في الحرام سبباً لارتكاب الزنا بذات البعل فهل يمكن الإفتاء بجواز الأخفّ منه‌؟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والطريق الأفضل هو ما أرشد إليه رسول اللّه صلى الله عليه و آله كما نقله المجيب، وأن يتذكر عقوبة اللّه تبارك وتعالى على تلك المعاصي</w:t>
      </w:r>
      <w:r>
        <w:rPr>
          <w:rFonts w:eastAsia="Amiri" w:cs="Amiri" w:ascii="Amiri" w:hAnsi="Amiri"/>
          <w:color w:val="111111"/>
          <w:sz w:val="28"/>
          <w:szCs w:val="28"/>
          <w:rtl w:val="true"/>
          <w:lang w:bidi="ar-SA"/>
        </w:rPr>
        <w:t>.</w:t>
      </w:r>
      <w:bookmarkStart w:id="589" w:name="pg16768_165469"/>
    </w:p>
    <w:p>
      <w:pPr>
        <w:pStyle w:val="Heading3"/>
        <w:numPr>
          <w:ilvl w:val="2"/>
          <w:numId w:val="1"/>
        </w:numPr>
        <w:rPr/>
      </w:pPr>
      <w:bookmarkStart w:id="590" w:name="__RefHeading___Toc6863826_73709187"/>
      <w:bookmarkStart w:id="591" w:name="_Toc220"/>
      <w:bookmarkEnd w:id="589"/>
      <w:bookmarkEnd w:id="590"/>
      <w:r>
        <w:rPr/>
        <w:t>14</w:t>
      </w:r>
      <w:r>
        <w:rPr>
          <w:rtl w:val="true"/>
        </w:rPr>
        <w:t xml:space="preserve"> </w:t>
      </w:r>
      <w:r>
        <w:rPr>
          <w:rtl w:val="true"/>
        </w:rPr>
        <w:t>الغناء والموسيقى‌</w:t>
      </w:r>
      <w:bookmarkEnd w:id="591"/>
    </w:p>
    <w:p>
      <w:pPr>
        <w:pStyle w:val="Heading4"/>
        <w:numPr>
          <w:ilvl w:val="3"/>
          <w:numId w:val="1"/>
        </w:numPr>
        <w:rPr/>
      </w:pPr>
      <w:bookmarkStart w:id="592" w:name="__RefHeading___Toc6863828_73709187"/>
      <w:bookmarkStart w:id="593" w:name="_Toc221"/>
      <w:bookmarkEnd w:id="592"/>
      <w:r>
        <w:rPr>
          <w:rtl w:val="true"/>
        </w:rPr>
        <w:t>اشارة</w:t>
      </w:r>
      <w:bookmarkEnd w:id="593"/>
    </w:p>
    <w:p>
      <w:pPr>
        <w:pStyle w:val="BookText"/>
        <w:rPr/>
      </w:pPr>
      <w:r>
        <w:rPr>
          <w:rFonts w:ascii="Amiri" w:hAnsi="Amiri" w:eastAsia="Amiri" w:cs="Amiri"/>
          <w:color w:val="111111"/>
          <w:sz w:val="28"/>
          <w:sz w:val="28"/>
          <w:szCs w:val="28"/>
          <w:rtl w:val="true"/>
          <w:lang w:bidi="ar-SA"/>
        </w:rPr>
        <w:t>في الكتاب والسنّة</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من المسائل التي خالف فيها الدكتور القرضاوي ما هو المشهور بين فقهاء الأُمّة هي مسألة الغناء والموسيقى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اللهو الذي تستريح إليه النفوس، وتطرب له القلوب، وتنعم به 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أباحه الإسلام ما لم يشتمل على فحش أو خنا أو تحريض على إثم، ولا بأس بأن تصحبه الموسيقى غير المثيرة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في المناسبات السارّة، إشاعة للسرور، وترويحاً للنفوس وذلك كأيام العيد والعرس وقدوم الغائب، وفي وقت الوليمة، والعقيقة، وعند ولادة المولود</w:t>
      </w:r>
      <w:r>
        <w:rPr>
          <w:rFonts w:eastAsia="Amiri" w:cs="Amiri" w:ascii="Amiri" w:hAnsi="Amiri"/>
          <w:color w:val="111111"/>
          <w:sz w:val="28"/>
          <w:szCs w:val="28"/>
          <w:rtl w:val="true"/>
          <w:lang w:bidi="ar-SA"/>
        </w:rPr>
        <w:t>.</w:t>
      </w:r>
      <w:r>
        <w:rPr>
          <w:rStyle w:val="FootnoteAnchor"/>
          <w:rtl w:val="true"/>
        </w:rPr>
        <w:footnoteReference w:id="691"/>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طبعة أُخرى لكتابه هذا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أراه أنّ الغناء في ذاته لا حرج فيه وهو داخل في جملة الطيبات التي أباحها الإسلام، وأنّ الإثم إنّما هو فيما يشتمل عليه أو يقترن به، من العوارض التي تنقله من دائرة الحل إلى الحرمة، أو الكراهة التحريمية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الدكتور في كتاب آخر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الفقيه الذي يبحث في القضية أن يراعي هذه الآفاق كلها، ولايركز نظره على جانب واحد، وفئة واحدة، ناسياً أن إفريقيا كلها لا تستغني عن الغناء وتوابعه، وأن أوروبا كلها، بل الغرب كله يعتبرون الموسيقى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بعض أنواع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للسمو بالروح والوجدان</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ثمّ إنّه يقول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اليوم نريد أن نعرض الإسلام على العالم، وأنْ تبلغ دعوته إلى الأُممّ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أُمم وشعوب ترى الغناء والموسيقى والرقص والطرب جزءاً لا يتجزأ من حياتها، لا تعيش بدونه، ولا تهنأ لها حياة إذا حُرمت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نرغّبهم في الإسلام ونحن نحرّم عليهم الغناء والموسيقى، ونتوعدهم بالرصاص المذاب يصبُّ في آذانهم يوم القيامة، وبغيره من ألوان العذاب المهين، في حين أنّهم يعتبرون الموسيقى غذاء الروح</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وقد استدل الشيخ على فتواه بروايات تشهد متون كلها أوجلّها على أنّها مكذوبة على نبيّ العظمة والقداسة، وسوف نرجع لمناقشتها، والكلام مركز الآن فيما وجّه به حلية الغناء والموسيقى في كتابه الثاني حيث جعل ترغيب غير المسلمين بالإسلام سبباً لتحليل الغناء والموسيقى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نرغّبهم بالإسلام ونحن نحرّم عليهم الغناء والموسيقى؟</w:t>
      </w:r>
    </w:p>
    <w:p>
      <w:pPr>
        <w:pStyle w:val="BookText"/>
        <w:rPr/>
      </w:pPr>
      <w:r>
        <w:rPr>
          <w:rFonts w:ascii="Amiri" w:hAnsi="Amiri" w:eastAsia="Amiri" w:cs="Amiri"/>
          <w:color w:val="111111"/>
          <w:sz w:val="28"/>
          <w:sz w:val="28"/>
          <w:szCs w:val="28"/>
          <w:rtl w:val="true"/>
          <w:lang w:bidi="ar-SA"/>
        </w:rPr>
        <w:t>فلو كان هذا السبب للإفتاء بالحلية فليكن أيضاً سبباً في حلية الخمر، والرقص بأنواعه حيث إنّهم يعتبرونهما من ضروريات الحياة، حتى أنّ الطبقة التي تسمّى بالآباء الروحانيين تنظر إلى الخمر بهذه النظرة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وإنّي لمّا قرأت هذه الفتوى للشيخ القرضاوي خطر ببالي ما رواه ابن الأثير في ترجمة تميم بن جراشة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النبي صلى الله عليه و آله في وفد ثقيف فأسلمنا وسألناه أن يكتب لنا كتاباً فيه شروط،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ما بدا لكم ثم آتوني به، فسألناه</w:t>
      </w:r>
      <w:bookmarkStart w:id="594" w:name="pg16768_165471"/>
    </w:p>
    <w:p>
      <w:pPr>
        <w:pStyle w:val="BookText"/>
        <w:rPr/>
      </w:pPr>
      <w:bookmarkEnd w:id="594"/>
      <w:r>
        <w:rPr>
          <w:rFonts w:ascii="Amiri" w:hAnsi="Amiri" w:eastAsia="Amiri" w:cs="Amiri"/>
          <w:color w:val="111111"/>
          <w:sz w:val="28"/>
          <w:sz w:val="28"/>
          <w:szCs w:val="28"/>
          <w:rtl w:val="true"/>
          <w:lang w:bidi="ar-SA"/>
        </w:rPr>
        <w:t xml:space="preserve">في كتابه أن يُحلّ لنا الربا والزنا، فأبى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لنا، فسألناه خالد بن سعيد بن العاص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ما تكتب‌؟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ما قالوا ورسول اللّه صلى الله عليه و آله أولى بأمره، فذهبنا بالكتاب إلى رسول اللّه صلى الله عليه و آله فقال للقارئ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إلى الربا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يدي عليها في الكتاب، فوضع 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ذَرُوا ما بَقِيَ مِنَ الرِّبا</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 ثم محاها، وألقيت علينا السكينة فما راجعناه، فلما بلغ الزنا وضع يده عليها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الزِّنى إِنَّهُ كانَ فاحِشَةً‌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محاه وأمر بكتابنا أن ينسخ لنا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6863830_73709187"/>
      <w:bookmarkStart w:id="596" w:name="_Toc222"/>
      <w:bookmarkEnd w:id="595"/>
      <w:r>
        <w:rPr>
          <w:rtl w:val="true"/>
        </w:rPr>
        <w:t>حرمة الغناء في الكتاب والسنّة وأقوال الفقهاء</w:t>
      </w:r>
      <w:bookmarkEnd w:id="59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الغناء ممّا اتّفق أغلب فقهاء الإسلام وعلى رأسهم أئمة أهل البيت عليهم السلام على حرمته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علي بن جعفر، عن أخيه الإمام الكاظم موسى بن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يتعمد الغناء، يجلس إليه‌؟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موثقة عبداللّه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الغناء وقلت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يزعمون أنَّ رسول اللّه صلى الله عليه و آله رخَّص في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جئناكم، جئناكم، حيُّونا، حيُّونا جئناكم‌؟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خَلَقْنَا السَّماءَ وَ الْأَرْضَ وَ ما بَيْنَهُما لاعِبِينَ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أَرَدْنا أَنْ نَتَّخِذَ لَهْواً لاَتَّخَذْناهُ مِنْ لَدُنّا إِنْ كُنّا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عَلَى الْباطِلِ فَيَدْمَغُهُ فَإِذا هُوَ زاهِقٌ وَ لَكُمُ الْوَيْلُ مِمّا تَصِفُونَ‌</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 لفلان ممّا يصف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رجل لم يحضر المجلس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الروايات التي نقلها صاحب الوسائل في موسوعته الحديثية</w:t>
      </w:r>
    </w:p>
    <w:p>
      <w:pPr>
        <w:pStyle w:val="BookText"/>
        <w:rPr/>
      </w:pPr>
      <w:r>
        <w:rPr>
          <w:rFonts w:ascii="Amiri" w:hAnsi="Amiri" w:eastAsia="Amiri" w:cs="Amiri"/>
          <w:color w:val="111111"/>
          <w:sz w:val="28"/>
          <w:sz w:val="28"/>
          <w:szCs w:val="28"/>
          <w:rtl w:val="true"/>
          <w:lang w:bidi="ar-SA"/>
        </w:rPr>
        <w:t>وهي تناهز ثلاثين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حكمه عند فقهاء السنة فقد ذهب عبداللّه بن مسعود إلى تحريمه، وتابعه على ذلك جمهور علماء أهل العراق،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النخعي، وعامر الشعبي، وحمّاد بن أبي سليمان، وسفيان الثوري، والحسن البصري، والحنفية، وبعض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الشافعية، والمالكية، وبعض الحنابلة إلى أنّه مكروه، فإن كان سماعه من امرأة أجنبية فهو أشد كراهة، وعلل المالكية الكراهة بأنّ سماعه مخلّ بالمروءة، وعلّلها الشافعية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وعلّلها الإمام أحمد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يعجبني الغناء لأنّه ينبت النفاق في القلب</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ولعل الكراهة في كلامهم كراهة تحريمية لا تنزيهيّة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الأقوال في المسألة والمهم ما جاء في الشريعة المقدّسة من المأثورات، وإليك ما دل على تحريم الغناء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ابن أبي أُمامة، قال النبي الأكرم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تبيعوا القينات ولا تشروهن ولا تعلموهن، ولا خير في تجارة فيهن، وثمنهن حرام، وفي مثل هذا أُنزلت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يَشْتَرِي لَهْوَ الْحَدِيثِ لِيُضِلَّ عَنْ سَبِيلِ اللّهِ بِغَيْرِ عِلْمٍ وَ يَتَّخِذَها هُزُواً أُولئِكَ لَهُمْ عَذابٌ مُهِينٌ‌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من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والترمذي وابن ماجة وابن أبي شيبة والبيهقي وغيرهم</w:t>
      </w:r>
      <w:r>
        <w:rPr>
          <w:rFonts w:eastAsia="Amiri" w:cs="Amiri" w:ascii="Amiri" w:hAnsi="Amiri"/>
          <w:color w:val="111111"/>
          <w:sz w:val="28"/>
          <w:szCs w:val="28"/>
          <w:rtl w:val="true"/>
          <w:lang w:bidi="ar-SA"/>
        </w:rPr>
        <w:t>.</w:t>
      </w:r>
      <w:r>
        <w:rPr>
          <w:rStyle w:val="FootnoteAnchor"/>
          <w:rtl w:val="true"/>
        </w:rPr>
        <w:footnoteReference w:id="698"/>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 عدد من المفسرين كالطبري والشوكاني وغيرهما عند تفسيرهم لهذه</w:t>
      </w:r>
      <w:bookmarkStart w:id="597" w:name="pg16768_165473"/>
    </w:p>
    <w:p>
      <w:pPr>
        <w:pStyle w:val="BookText"/>
        <w:rPr/>
      </w:pPr>
      <w:bookmarkEnd w:id="597"/>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وإطلاق الحديث يعم كلّ أقسام الغناء، سواء أكان مضمونه مثيراً للفتنة أو كان 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فَمِنْ هذَا الْحَدِيثِ تَعْجَبُونَ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تَضْحَكُونَ وَ لا تَبْكُونَ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سامِدُونَ‌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الغناء بلغة حِمْيَر،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سمّد لنا،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 لنا، ويقال للقينة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أسمدينا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ألهينا بالغناء</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ابن أبي الدنيا وابن مردويه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رفع أحدٌ صوته بغناء إلّابعث اللّه تعالى إليه شيطانين يجلسان على منكبيه، يضربان بأعقابهما على صدره حتى يمسك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هذا بعض ما أُثر عن النبي حول الغناء ولو نقلنا جميع ما ورد عنه صلى الله عليه و آله لربّما ناهز عدده إلى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ونعتقد أنّ في ما ذكرنا كفاية لمن ألقى السمع وهو شهيد</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6863832_73709187"/>
      <w:bookmarkStart w:id="599" w:name="_Toc223"/>
      <w:bookmarkEnd w:id="598"/>
      <w:r>
        <w:rPr>
          <w:rtl w:val="true"/>
        </w:rPr>
        <w:t>حرمة المعازف في السنّة</w:t>
      </w:r>
      <w:bookmarkEnd w:id="599"/>
    </w:p>
    <w:p>
      <w:pPr>
        <w:pStyle w:val="BookText"/>
        <w:rPr/>
      </w:pPr>
      <w:r>
        <w:rPr>
          <w:rFonts w:ascii="Amiri" w:hAnsi="Amiri" w:eastAsia="Amiri" w:cs="Amiri"/>
          <w:color w:val="111111"/>
          <w:sz w:val="28"/>
          <w:sz w:val="28"/>
          <w:szCs w:val="28"/>
          <w:rtl w:val="true"/>
          <w:lang w:bidi="ar-SA"/>
        </w:rPr>
        <w:t>هذا كله حول الغناء، وأمّا المعازف فيكفي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البخاري في صحيحه عن عبد الرحمن بن غَنْم الأشعري،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أبوعامر أو أبو مالك الأشعري، واللّهِ ما كَذَبني، سَمِعَ النبي صلى الله عليه و آله يقول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ليكونن مِنْ أُمَّتي أقوامٌ يستحلون الحِرَ، والحرير، والخمْرَ، والمعازف، ولينزلن</w:t>
      </w:r>
    </w:p>
    <w:p>
      <w:pPr>
        <w:pStyle w:val="BookText"/>
        <w:rPr/>
      </w:pPr>
      <w:r>
        <w:rPr>
          <w:rFonts w:ascii="Amiri" w:hAnsi="Amiri" w:eastAsia="Amiri" w:cs="Amiri"/>
          <w:color w:val="111111"/>
          <w:sz w:val="28"/>
          <w:sz w:val="28"/>
          <w:szCs w:val="28"/>
          <w:rtl w:val="true"/>
          <w:lang w:bidi="ar-SA"/>
        </w:rPr>
        <w:t>أقوامٌ إلى جنب علم تَروحُ عليهم سارحة لهم فيأتيهم رجل لحاجة،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إلينا غداً، فيبيتهم اللّه فيضع العلم ويمسخ آخرين قردة وخنازير إلى يوم القيامة</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لا أظن أنّ أحداً يشك في دلالة الحديث، وهو صريح في تحريم المعازف وهي آلات الموسيقى، وذلك لأنّ النبي صلى الله عليه و آله أخبر أنّه سيكون من أُمّته مَن يستحل ما حرّم اللّه عليهم من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كناية عن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والحرير، والخمر والمعازف، والأخير هو آلات الملاهي كالدف والعود والطبل والمزمار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 الإمام أحمد في مسنده عن ابن عباس عن رسول اللّه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حَرَّم عليكم الخمر، والميسر، والكوبة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سند الحديث فقد صحّحه الشيخ أحمد شاكر في تعليقه على مسند أحمد في موضعين</w:t>
      </w:r>
      <w:r>
        <w:rPr>
          <w:rStyle w:val="FootnoteAnchor"/>
          <w:rtl w:val="true"/>
        </w:rPr>
        <w:footnoteReference w:id="703"/>
      </w:r>
      <w:r>
        <w:rPr>
          <w:rFonts w:ascii="Amiri" w:hAnsi="Amiri" w:eastAsia="Amiri" w:cs="Amiri"/>
          <w:color w:val="111111"/>
          <w:sz w:val="28"/>
          <w:sz w:val="28"/>
          <w:szCs w:val="28"/>
          <w:rtl w:val="true"/>
          <w:lang w:bidi="ar-SA"/>
        </w:rPr>
        <w:t>، والشيخ الألباني في كتابه تحريم آلات الطرب</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وأمّا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فالكوبة هي الطبل، فقد نقل ذلك ابن منظور في لسان العرب عن ابن الأعرابي، وابن دريد في الجمهرة في اللغة، والجوهري في الصحاح في اللغة، وابن فارس في مقاييس اللغة، وابن سيدة في المخصص في اللغة</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الطبراني باسناده عن عامر بن سعد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مسعود وأُبيّ بن كعب، وثابت بن زياد، وجَواري يضربن بدُفٍّ لهُنّ ويغنّين،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أتُقِرّون بذا، وأنتم أصحاب محمد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رَخَّص لنا في العرس، والبُكاء على الميّت في غير نوح</w:t>
      </w:r>
      <w:r>
        <w:rPr>
          <w:rFonts w:eastAsia="Amiri" w:cs="Amiri" w:ascii="Amiri" w:hAnsi="Amiri"/>
          <w:color w:val="111111"/>
          <w:sz w:val="28"/>
          <w:szCs w:val="28"/>
          <w:rtl w:val="true"/>
          <w:lang w:bidi="ar-SA"/>
        </w:rPr>
        <w:t>».</w:t>
      </w:r>
      <w:r>
        <w:rPr>
          <w:rStyle w:val="FootnoteAnchor"/>
          <w:rtl w:val="true"/>
        </w:rPr>
        <w:footnoteReference w:id="706"/>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والتعبير بالترخيص في الموضعين خير شاهد على أنّ الأصل هو الحرمة في</w:t>
      </w:r>
      <w:bookmarkStart w:id="600" w:name="pg16768_165475"/>
    </w:p>
    <w:p>
      <w:pPr>
        <w:pStyle w:val="BookText"/>
        <w:rPr/>
      </w:pPr>
      <w:bookmarkEnd w:id="600"/>
      <w:r>
        <w:rPr>
          <w:rFonts w:ascii="Amiri" w:hAnsi="Amiri" w:eastAsia="Amiri" w:cs="Amiri"/>
          <w:color w:val="111111"/>
          <w:sz w:val="28"/>
          <w:sz w:val="28"/>
          <w:szCs w:val="28"/>
          <w:rtl w:val="true"/>
          <w:lang w:bidi="ar-SA"/>
        </w:rPr>
        <w:t>عامة الأحوال والأشخاص، غير أنّه خرج ما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فيما ذكرنا من الأدلّة كفاية لمن يطلب الحق ليتبعه</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6863834_73709187"/>
      <w:bookmarkStart w:id="602" w:name="_Toc224"/>
      <w:bookmarkEnd w:id="601"/>
      <w:r>
        <w:rPr>
          <w:rtl w:val="true"/>
        </w:rPr>
        <w:t>دليل القائل بالجواز</w:t>
      </w:r>
      <w:bookmarkEnd w:id="602"/>
    </w:p>
    <w:p>
      <w:pPr>
        <w:pStyle w:val="BookText"/>
        <w:rPr/>
      </w:pPr>
      <w:r>
        <w:rPr>
          <w:rFonts w:ascii="Amiri" w:hAnsi="Amiri" w:eastAsia="Amiri" w:cs="Amiri"/>
          <w:color w:val="111111"/>
          <w:sz w:val="28"/>
          <w:sz w:val="28"/>
          <w:szCs w:val="28"/>
          <w:rtl w:val="true"/>
          <w:lang w:bidi="ar-SA"/>
        </w:rPr>
        <w:t>استدلّ القائل بجواز الغناء والموسيقى بروايات في متونها من الإشكال والهوان ما يغني الفقيه عن الفحص في صحة سندها، وإليك نماذج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الترمذي في سننه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جالساً فسمعنا لغطاً وصوت صبيان، فقام رسول اللّه صلى الله عليه و آله فإذا حبشية تزفن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والصبيان حولها،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تعالي فانظري، فجئت فوضعت لحيي على منكب رسول اللّه صلى الله عليه و آله فجعلت أنظر إليها ما بين المنكب إلى رأسه،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شبعتِ؟ أما شبعتِ؟ فجعلت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لأنظر منزلتي عنده، إذ طلع عمر فارفضّ الناس عنها،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لأنظر إلى شياطين الجنّ والإنس قد فرّوا من عمر،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مهما كان سنده صحيحاً، فلا يصح متنه ومضمونه، فالنبي الأعظم صلى الله عليه و آله أجلّ وأعلى من أن ينظر إلى هذه المناظر، وأن يدعو عائشة لذلك، وهناك كلمة للعلّامة الأميني حول هذه الرواية،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ماتحرّوه من إثبات فضيلة للخليفة الثاني يجلب الفضائح إلى ساحة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تقدّست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نبي هذا يروقه النظر إلى الراقصات والاستماع لأهازيجهنّوشهود المعازف، ولا يقنعه ذلك كله حتّى يُطلع عليها حليلته عائشة، والناس ينظرون إليهما من كثب، وهو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شبعت‌؟ شبعت‌؟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لعرفان منزلتها عنده، ولا تزعه أُبهة النبوّة عن أن يقف مع الصبيان للتطلّع على مشاهد اللهو شأن الذُنابى والأوباش وأهل الخلاعة والمجون، وقد جاءت شريعته المقدّسة بتحريم كل ذلك بالكتاب</w:t>
      </w:r>
    </w:p>
    <w:p>
      <w:pPr>
        <w:pStyle w:val="BookText"/>
        <w:rPr/>
      </w:pPr>
      <w:r>
        <w:rPr>
          <w:rFonts w:ascii="Amiri" w:hAnsi="Amiri" w:eastAsia="Amiri" w:cs="Amiri"/>
          <w:color w:val="111111"/>
          <w:sz w:val="28"/>
          <w:sz w:val="28"/>
          <w:szCs w:val="28"/>
          <w:rtl w:val="true"/>
          <w:lang w:bidi="ar-SA"/>
        </w:rPr>
        <w:t>والسنة الشريفة</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في بعض مغازيه، فلمّا انصرف جاءت جارية سوداء،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كنت نذرت إن ردّك اللّه صالحاً أن أضرب بين يديك بالدف وأتغنّى،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نذرتِ فاضربي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فجعلت تضرب فدخل أبو بكر وهي تضرب، ثم دخل علي وهي تضرب، ثم دخل عثمان وهي تضرب، ثم دخل عمر فألقت الدفّ تحت إستها ثمّ قعدت عليه،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ليخاف منك يا عمر، إنّي كنت جالساً وهي تضرب، فدخل أبو بكر وهي تضرب، ثمّ دخل عليّ وهي تضرب، ثمّ دخل عثمان وهي تضرب، فلمّا دخلتَ أنت يا عمر ألقت الدفّ‌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ليفرق منك يا عمر</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لا يحتج به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نقله أحمد بن حنبل في مسنده بصور مختلفة فتارة نقل دف الجارية على رأس النبي صلى الله عليه و آله فقط، دون أن يذكر شيئاً من دخول أبي بكر وعمر وعثمان عليه صلى الله عليه و آله</w:t>
      </w:r>
      <w:r>
        <w:rPr>
          <w:rStyle w:val="FootnoteAnchor"/>
          <w:rtl w:val="true"/>
        </w:rPr>
        <w:footnoteReference w:id="709"/>
      </w:r>
      <w:r>
        <w:rPr>
          <w:rFonts w:ascii="Amiri" w:hAnsi="Amiri" w:eastAsia="Amiri" w:cs="Amiri"/>
          <w:color w:val="111111"/>
          <w:sz w:val="28"/>
          <w:sz w:val="28"/>
          <w:szCs w:val="28"/>
          <w:rtl w:val="true"/>
          <w:lang w:bidi="ar-SA"/>
        </w:rPr>
        <w:t>، وأُخرى دف الجارية مع دخول أبي بكر ثم عمر دون أن يذكر دخول علي وعثمان</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الفقهاء على لزوم كون المنذور أمراً راجحاً لا محرّماً ولا مكروهاً فلا ينعقد النذر إذا كان المنذور مكروهاً فضلاً عن كونه حراماً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والضرب بالدف إمّا مكروه أو حرام، فكيف أجاز لها النبي الضرب بالدفِّ عند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 أحمد عن أبي أُمامة،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تبيت طائفة من أُمّتي على أكل وشرب ولهو ولعب ثمّ يصبحون قردة وخنازير، فيُبعث على أحياء من</w:t>
      </w:r>
    </w:p>
    <w:p>
      <w:pPr>
        <w:pStyle w:val="BookText"/>
        <w:rPr/>
      </w:pPr>
      <w:r>
        <w:rPr>
          <w:rFonts w:ascii="Amiri" w:hAnsi="Amiri" w:eastAsia="Amiri" w:cs="Amiri"/>
          <w:color w:val="111111"/>
          <w:sz w:val="28"/>
          <w:sz w:val="28"/>
          <w:szCs w:val="28"/>
          <w:rtl w:val="true"/>
          <w:lang w:bidi="ar-SA"/>
        </w:rPr>
        <w:t>أحيائهم ريح فتنسفهم كما نسفت من كان قبلهم باستحلالهم الخمور وضربهم بالدفوف واتخاذهم القينات</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على أنّ الظاهر من الحديث أنّ الضرب بالدفّ كان أمراً قبيحاً، ولذلك لمّا دخل عمر ألقت الجارية الدفَّ تحت إستها ثمّ قعدت عليه لتخفيه عن عمر، فالنبي صلى الله عليه و آله أولى بأن ينهاها عن ذلك الأمر القبيح ولا يسمح لها بالدفِّ على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الرواية أنّ عثمان دخل وهي تضرب وجلس دون أن تمسك الجارية، وهي تخالف ما رواه ابن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أبو بكر على النبي صلى الله عليه و آله وجارية تضرب الدف فدخل، ثمّ استأذن عمر فدخل، ثمّ استأذن عثمان فأمسكت،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رجل حييّ‌</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النبي الأكرم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ليخاف منك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بأنّه فعل الشيطان، وتفضيل لعمر على النبي صلى الله عليه و آله ومَن حضره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أبو نصر الطوسي في اللمع أنّ النبي صلى الله عليه و آله دخل بيت عائشة فوجد فيه جاريتين تغنيان وتضربان بالدف، فلم ينههما عن ذلك، وقال عمر بن الخطاب حين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أمزمار الشيطان في بيت رسول اللّه‌؟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دعهما يا عمر فإنّ لكل قوم عيداً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يلاحظ على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كلام عمر أنّ الدف من مزمار الشيطان، فيكون استعماله أمراً حراماً، ومع ذلك كيف رضي رسول اللّه صلى الله عليه و آله بوجوده في بيته بحجة أنّ لكل قوم عيداً، مع أنّ عيد المسلمين معروف ومحدّد، واحتمال أن يكون ذلك اليوم يوم عيد أمر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تقدير فلو استثني فإنّما استثني في العيد لا مطلقاً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وأظن أنّ الراوي كان بصدد بيان فضائل الخليفة الثاني، غافلاً عن أنّ مثل هذه</w:t>
      </w:r>
    </w:p>
    <w:p>
      <w:pPr>
        <w:pStyle w:val="BookText"/>
        <w:rPr/>
      </w:pPr>
      <w:r>
        <w:rPr>
          <w:rFonts w:ascii="Amiri" w:hAnsi="Amiri" w:eastAsia="Amiri" w:cs="Amiri"/>
          <w:color w:val="111111"/>
          <w:sz w:val="28"/>
          <w:sz w:val="28"/>
          <w:szCs w:val="28"/>
          <w:rtl w:val="true"/>
          <w:lang w:bidi="ar-SA"/>
        </w:rPr>
        <w:t>الروايات لا تنسجم مع قداسة ساحة النبوة وعظمتها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النوع من الروايات نظائر 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أحمد في مسنده من حديث أبي هريرة، بينما الحبشة يلعبون عند رسول اللّه صلى الله عليه و آله بحرابهم، دخل عمر فأهوى إلى الحصباء يحصبهم بها، فقال له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دعهم يا عمر</w:t>
      </w:r>
      <w:r>
        <w:rPr>
          <w:rFonts w:eastAsia="Amiri" w:cs="Amiri" w:ascii="Amiri" w:hAnsi="Amiri"/>
          <w:color w:val="111111"/>
          <w:sz w:val="28"/>
          <w:szCs w:val="28"/>
          <w:rtl w:val="true"/>
          <w:lang w:bidi="ar-SA"/>
        </w:rPr>
        <w:t>».</w:t>
      </w:r>
      <w:r>
        <w:rPr>
          <w:rStyle w:val="FootnoteAnchor"/>
          <w:rtl w:val="true"/>
        </w:rPr>
        <w:footnoteReference w:id="713"/>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فيما ذكرنا حول هذا الموضوع غنى وكفاية لمن طلب الحقّ ليتّبعه</w:t>
      </w:r>
      <w:r>
        <w:rPr>
          <w:rFonts w:eastAsia="Amiri" w:cs="Amiri" w:ascii="Amiri" w:hAnsi="Amiri"/>
          <w:color w:val="111111"/>
          <w:sz w:val="28"/>
          <w:szCs w:val="28"/>
          <w:rtl w:val="true"/>
          <w:lang w:bidi="ar-SA"/>
        </w:rPr>
        <w:t>.</w:t>
      </w:r>
      <w:bookmarkStart w:id="603" w:name="pg16768_165479"/>
    </w:p>
    <w:p>
      <w:pPr>
        <w:pStyle w:val="Heading3"/>
        <w:numPr>
          <w:ilvl w:val="2"/>
          <w:numId w:val="1"/>
        </w:numPr>
        <w:rPr/>
      </w:pPr>
      <w:bookmarkStart w:id="604" w:name="__RefHeading___Toc6863836_73709187"/>
      <w:bookmarkStart w:id="605" w:name="_Toc225"/>
      <w:bookmarkEnd w:id="603"/>
      <w:bookmarkEnd w:id="604"/>
      <w:r>
        <w:rPr/>
        <w:t>15</w:t>
      </w:r>
      <w:r>
        <w:rPr>
          <w:rtl w:val="true"/>
        </w:rPr>
        <w:t xml:space="preserve"> </w:t>
      </w:r>
      <w:r>
        <w:rPr>
          <w:rtl w:val="true"/>
        </w:rPr>
        <w:t>في عدم مساواة دية المرأة لدية الرجل</w:t>
      </w:r>
      <w:bookmarkEnd w:id="605"/>
    </w:p>
    <w:p>
      <w:pPr>
        <w:pStyle w:val="Heading4"/>
        <w:numPr>
          <w:ilvl w:val="3"/>
          <w:numId w:val="1"/>
        </w:numPr>
        <w:rPr/>
      </w:pPr>
      <w:bookmarkStart w:id="606" w:name="__RefHeading___Toc6863838_73709187"/>
      <w:bookmarkStart w:id="607" w:name="_Toc226"/>
      <w:bookmarkEnd w:id="606"/>
      <w:r>
        <w:rPr>
          <w:rtl w:val="true"/>
        </w:rPr>
        <w:t>اشارة</w:t>
      </w:r>
      <w:bookmarkEnd w:id="607"/>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مساواة دية المرأة لدية الرجل</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اطّلعنا على العدد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صفر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الغرّاء، ووجدنا فيه فتوى للشيخ يوسف القرضاوي تتضمن القول بأنّ دية المرأة تساوي دية الرجل، وأنّ الحكم بأنّ دية المرأة على النصف من دية الرجل لا يسنده نص صريح من القرآن الكريم ولا من السنّة المطهّرة، كما لا يؤيده إجماع ولا قياس ولا مصلحة معتبرة، وأنّ رأيه في مساواة الديتين تعضده آراء علماء سابقين منهم صاحب المنار والشيخ محمود شلتوت والشيخ أبو زهرة والشيخ محمد الغزالي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اعتذر عن فتوى العلماء في القرون السابقة بالنصف بأنَّ قتل المرأة خطأ أو شبه عمد في الأزمنة الماضية، كان من الندرة فلم تعد مشكلة حول الموضوع حتّى تستدعي اجتهاداً جديداً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نقدر الاجتهاد الحرّ الخارج عن إطار المذاهب المعيّنة، فإنّ الاجتهاد رمز خلود الإسلام واستمرار شريعته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نؤكّد على لزوم اعتماد الاجتهاد الحر على الكتاب والسنّة المطهّرة والإجماع وسائر الأُصول المعتبرة وعدم الخروج عن مقتضاها قيد شعرة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عادت دراسة دية الحرة المسلمة إلى الساحة لأجل أنّ طابع العصر</w:t>
      </w:r>
      <w:bookmarkStart w:id="608" w:name="pg16768_165480"/>
    </w:p>
    <w:p>
      <w:pPr>
        <w:pStyle w:val="BookText"/>
        <w:rPr/>
      </w:pPr>
      <w:bookmarkEnd w:id="608"/>
      <w:r>
        <w:rPr>
          <w:rFonts w:ascii="Amiri" w:hAnsi="Amiri" w:eastAsia="Amiri" w:cs="Amiri"/>
          <w:color w:val="111111"/>
          <w:sz w:val="28"/>
          <w:sz w:val="28"/>
          <w:szCs w:val="28"/>
          <w:rtl w:val="true"/>
          <w:lang w:bidi="ar-SA"/>
        </w:rPr>
        <w:t>الحاضر هو طابع العطف والحنان على النساء، بزعم أنّهنّ كنّ مهضومات الحقوق في الأدوار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مؤسسات وتشكّلت جمعيات لإحياء حقوقهن، وإخراجهن من زي الرقّية للرجال، إلى الاستقلال والحرية، وربّما يتصوّر أنّ في القول بأنّ ديتها نصف دية الرجل، هضماً لحقوقها وإضعافاً وإهانة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كلّه ففي المسألة دليل قاطع من السنة المطهرة وإجماع المسلمين على النصف</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6863840_73709187"/>
      <w:bookmarkStart w:id="610" w:name="_Toc227"/>
      <w:bookmarkEnd w:id="609"/>
      <w:r>
        <w:rPr>
          <w:rtl w:val="true"/>
        </w:rPr>
        <w:t>اتّفاق الفقهاء على النصف</w:t>
      </w:r>
      <w:bookmarkEnd w:id="610"/>
    </w:p>
    <w:p>
      <w:pPr>
        <w:pStyle w:val="BookText"/>
        <w:rPr/>
      </w:pPr>
      <w:r>
        <w:rPr>
          <w:rFonts w:ascii="Amiri" w:hAnsi="Amiri" w:eastAsia="Amiri" w:cs="Amiri"/>
          <w:color w:val="111111"/>
          <w:sz w:val="28"/>
          <w:sz w:val="28"/>
          <w:szCs w:val="28"/>
          <w:rtl w:val="true"/>
          <w:lang w:bidi="ar-SA"/>
        </w:rPr>
        <w:t>أمّا الإجماع فقد اتفقت كلمات الفقهاء على النصف عبر أربعة عشر قرناً ولم يخالفهم إلّارجلين لا اعتبار لخلافهما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قدامة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المنذر وابن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أهل العلم على أنّ دية المرأة نصف دية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غيرهما عن ابن عُليَّة والأصمّ أنّهما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ديتها كدية الرجل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النفس المؤمنة مائة من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قول شاذ يخالف إجماع الصحابة وسنّة النبي صلى الله عليه و آله فإنّ في كتاب عمرو 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المرأة على النصف من دية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أخص ممّا ذكروه، وهما في كتاب واحد فيكون ما ذكرنا مفسِّراً ما ذكروه، ومخصصاً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نساء كلّ أهل دين، على النصف من دية رجالهم على ما قدّمنا في موضعه</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وقال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اتفقوا على أنّ دية المرأة نصف دية الرجل والنفس</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وقال شمس الدين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عن علي عليه السلام أنّه قال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دية المرأة على النصف من دية الرجل في النفس وما دونها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الأعضاء</w:t>
      </w:r>
    </w:p>
    <w:p>
      <w:pPr>
        <w:pStyle w:val="BookText"/>
        <w:rPr/>
      </w:pPr>
      <w:r>
        <w:rPr>
          <w:rFonts w:ascii="IRNazanin" w:hAnsi="IRNazanin" w:eastAsia="IRNazanin"/>
          <w:color w:val="111111"/>
          <w:sz w:val="28"/>
          <w:sz w:val="28"/>
          <w:szCs w:val="28"/>
          <w:rtl w:val="true"/>
          <w:lang w:bidi="fa-IR"/>
        </w:rPr>
        <w:t>والجراح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نأخذ</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ومن رجع إلى الكتب الفقهية يجد نظير هذه الكلمات فلا حاجة إلى نقل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نلفت إليه نظر الأُستاذ أنّه لم يخالف ذلك القول في العصور الماضية إلّارجلان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إسماعيل بن إبراهيم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مقيماً في بغداد وولي المظالم فيها في آخر خلافة الرشيد، وكفى في سقوط رأيه أنّه سيِّئ الأخلاق والسلوك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له عبداللّه بن مبارك أبياتاً مستهلها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جاعل الدين له بازيا يصطاد أموال المساكين</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الأصمّ عبدالرحمن بن كيسان المعتزلي صاحب المقالات في الأُصول، والمعتزلة يعتمدون على العقل أكثر ممّا يعتمدون على النقل، ولذلك لا يطلق عليهم أهل السنّة في مصطلح أهل الحديث والأشاعرة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إجماع أعظم وأتقن من اتفاق الفقهاء على حكم مضت عليه قرون متمادية لم ينبس فيها أحد ببنت شفة إلّارجلان قد علمت حالهما، والعجب أنّ الدكتور في صدر كلامه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يؤيده إجماع ولا قياس ولا مصلحة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ونقرأ في آخر الخبر أنّ المعلّق قد كتب أنّ رأي الدكتور القرضاوي هذا يأتي مخالفاً لآراء الفقهاء أصحاب المذاهب الأربعة الشهيرة، والمذهب الظاهري والزيدي والمذهب الجعفري والمذهب الأباضي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حاول بذلك إعطاء أهمية لهذا البحث</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يمكن ذكره عن الإجماع، وأمّا السنّة</w:t>
      </w:r>
      <w:r>
        <w:rPr>
          <w:rFonts w:eastAsia="Amiri" w:cs="Amiri" w:ascii="Amiri" w:hAnsi="Amiri"/>
          <w:color w:val="111111"/>
          <w:sz w:val="28"/>
          <w:szCs w:val="28"/>
          <w:rtl w:val="true"/>
          <w:lang w:bidi="ar-SA"/>
        </w:rPr>
        <w:t>:</w:t>
      </w:r>
      <w:bookmarkStart w:id="611" w:name="pg16768_165482"/>
    </w:p>
    <w:p>
      <w:pPr>
        <w:pStyle w:val="Heading4"/>
        <w:numPr>
          <w:ilvl w:val="3"/>
          <w:numId w:val="1"/>
        </w:numPr>
        <w:rPr/>
      </w:pPr>
      <w:bookmarkStart w:id="612" w:name="__RefHeading___Toc6863842_73709187"/>
      <w:bookmarkStart w:id="613" w:name="_Toc228"/>
      <w:bookmarkEnd w:id="611"/>
      <w:bookmarkEnd w:id="612"/>
      <w:r>
        <w:rPr>
          <w:rtl w:val="true"/>
        </w:rPr>
        <w:t>تضافر السنّة على النصف</w:t>
      </w:r>
      <w:bookmarkEnd w:id="6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البيهقي بسندين في أحدهما ضعف دون الآخر،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المرأة على النصف من دية الرجل</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البيهقي بسنده عن مكحول وعطاء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أدركنا الناس على أنّ دية المسلم الحرّ على عهد النبي صلى الله عليه و آله مائة من الإبل، فقوّم عمر بن الخطاب تلك الدية على أهل القرى ألف دينار أو اثني عشر ألف درهم، ودية الحرّة المسلمة إذا كانت من أهل القرى خمسمائة دينار أو ستة آلاف درهم، فإذا كان الّذي أصابها من الأعراب فديتها خمسون من الإبل، ودية الأعرابية إذا أصابها الأعرابي خمسون من الإبل لا يُكلّف الأعرابي الذهب ولا الورق</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البيهقي عن حمّاد عن إبراهيم، عن علي بن أبي طالب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عقل المرأة على النصف من دية عقل الرجل من النفس وفيما دونها</w:t>
      </w:r>
      <w:r>
        <w:rPr>
          <w:rStyle w:val="FootnoteAnchor"/>
          <w:rtl w:val="true"/>
        </w:rPr>
        <w:footnoteReference w:id="721"/>
      </w:r>
      <w:r>
        <w:rPr>
          <w:rFonts w:ascii="Amiri" w:hAnsi="Amiri" w:eastAsia="Amiri" w:cs="Amiri"/>
          <w:color w:val="111111"/>
          <w:sz w:val="28"/>
          <w:sz w:val="28"/>
          <w:szCs w:val="28"/>
          <w:rtl w:val="true"/>
          <w:lang w:bidi="ar-SA"/>
        </w:rPr>
        <w:t xml:space="preserve">والمراد بإبراهيم، هو إبراهيم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 يدرك عليّ بن أبي طالب، والسند منقطع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النسائي والدارقطني، وصحّحه ابن خزيمة،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 المرأة مثل عقل الرجل حتّى يبلغ الثلث من ديته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4" w:name="__RefHeading___Toc6863844_73709187"/>
      <w:bookmarkStart w:id="615" w:name="_Toc229"/>
      <w:bookmarkEnd w:id="614"/>
      <w:r>
        <w:rPr>
          <w:rtl w:val="true"/>
        </w:rPr>
        <w:t>التنصيف في دية الأعضاء</w:t>
      </w:r>
      <w:bookmarkEnd w:id="615"/>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دية النفس وهكذا الكلام في دية الأعضاء والجراحات، إذ اتفق الفقهاء على أنّ دية المرأة تساوي دية الرجل في الأُروش المقدرة إلى حدّ خاص، فإذا انتهت إليه فعلى النصف، وهذه الضابطة أمر متفق عليه، غير أنّ الاختلافِ في</w:t>
      </w:r>
      <w:bookmarkStart w:id="616" w:name="pg16768_165483"/>
    </w:p>
    <w:p>
      <w:pPr>
        <w:pStyle w:val="BookText"/>
        <w:rPr/>
      </w:pPr>
      <w:bookmarkEnd w:id="616"/>
      <w:r>
        <w:rPr>
          <w:rFonts w:ascii="Amiri" w:hAnsi="Amiri" w:eastAsia="Amiri" w:cs="Amiri"/>
          <w:color w:val="111111"/>
          <w:sz w:val="28"/>
          <w:sz w:val="28"/>
          <w:szCs w:val="28"/>
          <w:rtl w:val="true"/>
          <w:lang w:bidi="ar-SA"/>
        </w:rPr>
        <w:t>الحدّ الّذي إذا بلغته الدية، تكون على النصف والضابطة نفسها تؤيد الكبرى الكلّية في أنّ دية المرأة، نصف دية الرجل، والاختلاف في الحدّ الّذي إذا بلغته ترجع إلى النصف لا يضرّ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أنّ المرأة تعاقل الرجل في دية الأعضاء والجراحات إلى ثلث الدّية فاذا تجاوزت الثلث رجعت إلى النصف، روى عمرو بن شعيب عن أبيه عن جدّه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تعاقل الرجل إلى ثلث 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في إصبع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إصبعين‌؟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أربع‌؟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عظمت مصيبتها قلّ عقلها؟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أنّه أراد سنّة النبي صلى الله عليه و آله وإجماع الصحابة والتابعين</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وقد أخرج البيهقي بسند متصل إلى زيد بن ثابت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جراحات الرجال والنساء سواء إلى الثلث وما زاد فعلى النصف</w:t>
      </w:r>
      <w:r>
        <w:rPr>
          <w:rFonts w:eastAsia="Amiri" w:cs="Amiri" w:ascii="Amiri" w:hAnsi="Amiri"/>
          <w:color w:val="111111"/>
          <w:sz w:val="28"/>
          <w:szCs w:val="28"/>
          <w:rtl w:val="true"/>
          <w:lang w:bidi="ar-SA"/>
        </w:rPr>
        <w:t>.</w:t>
      </w:r>
      <w:r>
        <w:rPr>
          <w:rStyle w:val="FootnoteAnchor"/>
          <w:rtl w:val="true"/>
        </w:rPr>
        <w:footnoteReference w:id="723"/>
      </w:r>
    </w:p>
    <w:p>
      <w:pPr>
        <w:pStyle w:val="Heading4"/>
        <w:numPr>
          <w:ilvl w:val="3"/>
          <w:numId w:val="1"/>
        </w:numPr>
        <w:rPr/>
      </w:pPr>
      <w:bookmarkStart w:id="617" w:name="__RefHeading___Toc6863846_73709187"/>
      <w:bookmarkStart w:id="618" w:name="_Toc230"/>
      <w:bookmarkEnd w:id="617"/>
      <w:r>
        <w:rPr>
          <w:rtl w:val="true"/>
        </w:rPr>
        <w:t>ما هي المصلحة في تنصيف الدية‌؟</w:t>
      </w:r>
      <w:bookmarkEnd w:id="618"/>
    </w:p>
    <w:p>
      <w:pPr>
        <w:pStyle w:val="BookText"/>
        <w:rPr/>
      </w:pPr>
      <w:r>
        <w:rPr>
          <w:rFonts w:ascii="Amiri" w:hAnsi="Amiri" w:eastAsia="Amiri" w:cs="Amiri"/>
          <w:color w:val="111111"/>
          <w:sz w:val="28"/>
          <w:sz w:val="28"/>
          <w:szCs w:val="28"/>
          <w:rtl w:val="true"/>
          <w:lang w:bidi="ar-SA"/>
        </w:rPr>
        <w:t>يقول الشيخ القرضاوي من أنّ التنصيف لا تؤيده 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عَنْى أنّ التفريق بين الديتين تفريق بلا سبب ولا 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هناك مصلحة نشير إليها، وهي</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لا شك في أنّ المرأة المسلمة كالرجل المسلم من حيث دورها وأهميتها في المجتمع، وليس الاختلاف في الدية دليلاً على نقصان في كرامتها، وإنّما شرعت الدية لسدّ الضرر المالي الوارد على الأُسرة بسبب قتل النفس، ومن المعلوم أنّ الضرر المالي والخلل الاقتصادي الّذي يصيب العائلة بفقد الرجل أكثر</w:t>
      </w:r>
    </w:p>
    <w:p>
      <w:pPr>
        <w:pStyle w:val="BookText"/>
        <w:rPr/>
      </w:pPr>
      <w:r>
        <w:rPr>
          <w:rFonts w:ascii="Amiri" w:hAnsi="Amiri" w:eastAsia="Amiri" w:cs="Amiri"/>
          <w:color w:val="111111"/>
          <w:sz w:val="28"/>
          <w:sz w:val="28"/>
          <w:szCs w:val="28"/>
          <w:rtl w:val="true"/>
          <w:lang w:bidi="ar-SA"/>
        </w:rPr>
        <w:t>منه في حالة فقدان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أصبحت دية المرأة نصف دية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حسب طبيعة المجتمع الإسلامي الّذي حمّل الرجل مسؤولية إدارة الأُسرة والقيمومة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شبهات وشكوك حول التنصيف تركنا التعرض لها روماً للاختصار</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نرجو من الأُستاذ إن كان قد اطّلع على ما لم نطّلع عليه من الأدلّة الشرعية الدالة على التساوي فليُدل بدليله</w:t>
      </w:r>
      <w:r>
        <w:rPr>
          <w:rFonts w:eastAsia="Amiri" w:cs="Amiri" w:ascii="Amiri" w:hAnsi="Amiri"/>
          <w:color w:val="111111"/>
          <w:sz w:val="28"/>
          <w:szCs w:val="28"/>
          <w:rtl w:val="true"/>
          <w:lang w:bidi="ar-SA"/>
        </w:rPr>
        <w:t>.</w:t>
      </w:r>
      <w:bookmarkStart w:id="619" w:name="pg16768_165485"/>
    </w:p>
    <w:p>
      <w:pPr>
        <w:pStyle w:val="Heading2"/>
        <w:numPr>
          <w:ilvl w:val="1"/>
          <w:numId w:val="1"/>
        </w:numPr>
        <w:rPr/>
      </w:pPr>
      <w:bookmarkStart w:id="620" w:name="__RefHeading___Toc6863848_73709187"/>
      <w:bookmarkStart w:id="621" w:name="_Toc231"/>
      <w:bookmarkEnd w:id="619"/>
      <w:bookmarkEnd w:id="620"/>
      <w:r>
        <w:rPr>
          <w:rtl w:val="true"/>
        </w:rPr>
        <w:t>الفصل الثالث</w:t>
      </w:r>
      <w:r>
        <w:rPr>
          <w:rtl w:val="true"/>
        </w:rPr>
        <w:t xml:space="preserve">: </w:t>
      </w:r>
      <w:r>
        <w:rPr>
          <w:rtl w:val="true"/>
        </w:rPr>
        <w:t>مقالات تقريبية</w:t>
      </w:r>
      <w:bookmarkEnd w:id="621"/>
    </w:p>
    <w:p>
      <w:pPr>
        <w:pStyle w:val="Heading3"/>
        <w:numPr>
          <w:ilvl w:val="2"/>
          <w:numId w:val="1"/>
        </w:numPr>
        <w:rPr/>
      </w:pPr>
      <w:bookmarkStart w:id="622" w:name="__RefHeading___Toc6863850_73709187"/>
      <w:bookmarkStart w:id="623" w:name="_Toc232"/>
      <w:bookmarkEnd w:id="622"/>
      <w:r>
        <w:rPr>
          <w:rtl w:val="true"/>
        </w:rPr>
        <w:t>اشارة</w:t>
      </w:r>
      <w:bookmarkEnd w:id="6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أهل البيت عليهم السلام بين أهل السنّة والشيعة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التشيّع تاريخاً وعقيدة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الأواصر العلمية بين علماء الشيعة والسنّة، خطوة نحو التقريب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مفتوحة إلى الدكتور يوسف القرضاوي والرد على ادّعاءاته ضد الشيعة والتشيع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إلى الدكتور عيسى بن مانع الحميري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إلى الدكتور عبد الرحمن الصالح المحمود والرد على اتهامه الشيعة في مسألة الإسناد وعلم الرجال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الاحتفال بالمولد النبوي الشريف</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إلى أحد أعلام التقريب من أهل السنّة حول تكفير أتباع أهل البيت عليهم السلام من قبل بعض الخطباء والوعّاظ</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ادانة مثيري الفتنة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ادانة إهانة القرآن الكريم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إلى الدكتور الشيخ أحمد الطيب شيخ الأزهر</w:t>
      </w:r>
      <w:bookmarkStart w:id="624" w:name="pg16768_165487"/>
    </w:p>
    <w:p>
      <w:pPr>
        <w:pStyle w:val="Heading3"/>
        <w:numPr>
          <w:ilvl w:val="2"/>
          <w:numId w:val="1"/>
        </w:numPr>
        <w:rPr/>
      </w:pPr>
      <w:bookmarkStart w:id="625" w:name="__RefHeading___Toc6863852_73709187"/>
      <w:bookmarkStart w:id="626" w:name="_Toc233"/>
      <w:bookmarkEnd w:id="624"/>
      <w:bookmarkEnd w:id="625"/>
      <w:r>
        <w:rPr/>
        <w:t>1</w:t>
      </w:r>
      <w:r>
        <w:rPr>
          <w:rtl w:val="true"/>
        </w:rPr>
        <w:t xml:space="preserve"> </w:t>
      </w:r>
      <w:r>
        <w:rPr>
          <w:rtl w:val="true"/>
        </w:rPr>
        <w:t>فقه أهل البيت عليهم السلام بين أهل السنّة والشيعة</w:t>
      </w:r>
      <w:bookmarkEnd w:id="626"/>
    </w:p>
    <w:p>
      <w:pPr>
        <w:pStyle w:val="Heading4"/>
        <w:numPr>
          <w:ilvl w:val="3"/>
          <w:numId w:val="1"/>
        </w:numPr>
        <w:rPr/>
      </w:pPr>
      <w:bookmarkStart w:id="627" w:name="__RefHeading___Toc6863854_73709187"/>
      <w:bookmarkStart w:id="628" w:name="_Toc234"/>
      <w:bookmarkEnd w:id="627"/>
      <w:r>
        <w:rPr>
          <w:rtl w:val="true"/>
        </w:rPr>
        <w:t>اشارة</w:t>
      </w:r>
      <w:bookmarkEnd w:id="62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وخاتم رسله محمد المصطفى‌، وعلى آله الطيبين الطاهرين، وصحبه الميامين وعباد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نتقدم بالشكر الوافر إلى كافة المشاركين في هذا المحفل العلمي الكريم</w:t>
      </w:r>
      <w:r>
        <w:rPr>
          <w:rStyle w:val="FootnoteAnchor"/>
          <w:rtl w:val="true"/>
        </w:rPr>
        <w:footnoteReference w:id="724"/>
      </w:r>
      <w:r>
        <w:rPr>
          <w:rFonts w:ascii="Amiri" w:hAnsi="Amiri" w:eastAsia="Amiri" w:cs="Amiri"/>
          <w:color w:val="111111"/>
          <w:sz w:val="28"/>
          <w:sz w:val="28"/>
          <w:szCs w:val="28"/>
          <w:rtl w:val="true"/>
          <w:lang w:bidi="ar-SA"/>
        </w:rPr>
        <w:t>، ونخصّ بالذكر الأخوة المشرفين، ومسؤولي جامعة قطر العامرة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 الّذي نحن بصدد دراسته، يحتل أهمية بارزة على صعيد الوحدة الإسلامية المنشودة، وسنبحثه في فصلين بينهما ارتباط وثيق،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التعرّف على أهل البيت عليهم السلام وفقههم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التعرّف على المدرسة الفقهية للشيعة الإمامية، المقتبسة من أهل البيت عليهم السلام وفقههم</w:t>
      </w:r>
      <w:r>
        <w:rPr>
          <w:rFonts w:eastAsia="Amiri" w:cs="Amiri" w:ascii="Amiri" w:hAnsi="Amiri"/>
          <w:color w:val="111111"/>
          <w:sz w:val="28"/>
          <w:szCs w:val="28"/>
          <w:rtl w:val="true"/>
          <w:lang w:bidi="ar-SA"/>
        </w:rPr>
        <w:t>.</w:t>
      </w:r>
      <w:bookmarkStart w:id="629" w:name="pg16768_165488"/>
    </w:p>
    <w:p>
      <w:pPr>
        <w:pStyle w:val="Heading4"/>
        <w:numPr>
          <w:ilvl w:val="3"/>
          <w:numId w:val="1"/>
        </w:numPr>
        <w:rPr/>
      </w:pPr>
      <w:bookmarkStart w:id="630" w:name="__RefHeading___Toc6863856_73709187"/>
      <w:bookmarkStart w:id="631" w:name="_Toc235"/>
      <w:bookmarkEnd w:id="629"/>
      <w:bookmarkEnd w:id="630"/>
      <w:r>
        <w:rPr>
          <w:rtl w:val="true"/>
        </w:rPr>
        <w:t>الفصل الأوّل التعرّف على أهل البيت عليهم السلام وفقههم</w:t>
      </w:r>
      <w:bookmarkEnd w:id="631"/>
    </w:p>
    <w:p>
      <w:pPr>
        <w:pStyle w:val="Heading5"/>
        <w:numPr>
          <w:ilvl w:val="4"/>
          <w:numId w:val="1"/>
        </w:numPr>
        <w:rPr/>
      </w:pPr>
      <w:bookmarkStart w:id="632" w:name="__RefHeading___Toc6863858_73709187"/>
      <w:bookmarkStart w:id="633" w:name="_Toc236"/>
      <w:bookmarkEnd w:id="632"/>
      <w:r>
        <w:rPr>
          <w:rtl w:val="true"/>
        </w:rPr>
        <w:t>اشارة</w:t>
      </w:r>
      <w:bookmarkEnd w:id="633"/>
    </w:p>
    <w:p>
      <w:pPr>
        <w:pStyle w:val="BookText"/>
        <w:rPr/>
      </w:pPr>
      <w:r>
        <w:rPr>
          <w:rFonts w:ascii="Amiri" w:hAnsi="Amiri" w:eastAsia="Amiri" w:cs="Amiri"/>
          <w:color w:val="111111"/>
          <w:sz w:val="28"/>
          <w:sz w:val="28"/>
          <w:szCs w:val="28"/>
          <w:rtl w:val="true"/>
          <w:lang w:bidi="ar-SA"/>
        </w:rPr>
        <w:t>هذا الفصل يشتمل على محاور ثلاثة وخاتمة، والمحاور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أهل البيت‌؟</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الدليل على حجّية فتاواهم على المسلمين كافة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فتاواهم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فلندرس هذه المحاور واحداً تلو الآخر، فنقول</w:t>
      </w:r>
      <w:r>
        <w:rPr>
          <w:rFonts w:eastAsia="IRNazanin" w:cs="IRNazanin"/>
          <w:color w:val="111111"/>
          <w:sz w:val="28"/>
          <w:szCs w:val="28"/>
          <w:rtl w:val="true"/>
          <w:lang w:bidi="fa-IR"/>
        </w:rPr>
        <w:t>:</w:t>
      </w:r>
    </w:p>
    <w:p>
      <w:pPr>
        <w:pStyle w:val="Heading5"/>
        <w:numPr>
          <w:ilvl w:val="4"/>
          <w:numId w:val="1"/>
        </w:numPr>
        <w:rPr/>
      </w:pPr>
      <w:bookmarkStart w:id="634" w:name="__RefHeading___Toc6863860_73709187"/>
      <w:bookmarkStart w:id="635" w:name="_Toc237"/>
      <w:bookmarkEnd w:id="634"/>
      <w:r>
        <w:rPr>
          <w:rtl w:val="true"/>
        </w:rPr>
        <w:t>المحور الأوّل مَنْ هم أهل البيت‌؟</w:t>
      </w:r>
      <w:bookmarkEnd w:id="635"/>
    </w:p>
    <w:p>
      <w:pPr>
        <w:pStyle w:val="Heading6"/>
        <w:numPr>
          <w:ilvl w:val="5"/>
          <w:numId w:val="1"/>
        </w:numPr>
        <w:rPr/>
      </w:pPr>
      <w:bookmarkStart w:id="636" w:name="__RefHeading___Toc6863862_73709187"/>
      <w:bookmarkStart w:id="637" w:name="_Toc238"/>
      <w:bookmarkEnd w:id="636"/>
      <w:r>
        <w:rPr>
          <w:rtl w:val="true"/>
        </w:rPr>
        <w:t>اشارة</w:t>
      </w:r>
      <w:bookmarkEnd w:id="637"/>
    </w:p>
    <w:p>
      <w:pPr>
        <w:pStyle w:val="BookText"/>
        <w:rPr/>
      </w:pPr>
      <w:r>
        <w:rPr>
          <w:rFonts w:ascii="Amiri" w:hAnsi="Amiri" w:eastAsia="Amiri" w:cs="Amiri"/>
          <w:color w:val="111111"/>
          <w:sz w:val="28"/>
          <w:sz w:val="28"/>
          <w:szCs w:val="28"/>
          <w:rtl w:val="true"/>
          <w:lang w:bidi="ar-SA"/>
        </w:rPr>
        <w:t xml:space="preserve">إنّ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مركبة من كلمتين؛ الأهل والبيت، وكل منهما واضح المعنى‌، إنّما الكلام فيما إذا أضيف الأهل إلى البيت أو إلى الرجل فماذا يراد منها؟</w:t>
      </w:r>
    </w:p>
    <w:p>
      <w:pPr>
        <w:pStyle w:val="BookText"/>
        <w:rPr/>
      </w:pPr>
      <w:r>
        <w:rPr>
          <w:rFonts w:ascii="Amiri" w:hAnsi="Amiri" w:eastAsia="Amiri" w:cs="Amiri"/>
          <w:color w:val="111111"/>
          <w:sz w:val="28"/>
          <w:sz w:val="28"/>
          <w:szCs w:val="28"/>
          <w:rtl w:val="true"/>
          <w:lang w:bidi="ar-SA"/>
        </w:rPr>
        <w:t>ثمة آراء ثلاثة في تفسير المراد من هذه العبارة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أنّها تشمل كل من له صلة وطيدة مؤكدة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نسب أو سبب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بالبيت والرجل، من غير فرق بين الأزواج والأولاد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هذا من كتب اللغة وموارد استعمال هذه العبارة في الكتاب والسنّة، وما ورثناه من الأدب والشعر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أنّها تخصّ الزوجات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أنّها تخصّ الأولاد</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من الرأيين الأخيرين شاذ، يخالف نصوص القرآن والسنة، فالقرآن الكريم استعمل الأهل في زوجة موسى،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قَضى مُوسَى الْأَجَلَ‌</w:t>
      </w:r>
      <w:bookmarkStart w:id="638" w:name="pg16768_165489"/>
    </w:p>
    <w:p>
      <w:pPr>
        <w:pStyle w:val="BookText"/>
        <w:rPr/>
      </w:pPr>
      <w:bookmarkEnd w:id="638"/>
      <w:r>
        <w:rPr>
          <w:rFonts w:ascii="Amiri" w:hAnsi="Amiri" w:eastAsia="Amiri" w:cs="Amiri"/>
          <w:color w:val="111111"/>
          <w:sz w:val="28"/>
          <w:sz w:val="28"/>
          <w:szCs w:val="28"/>
          <w:rtl w:val="true"/>
          <w:lang w:bidi="ar-SA"/>
        </w:rPr>
        <w:t>وَ سارَ بِأَهْلِهِ آنَسَ مِنْ جانِبِ الطُّورِ ناراً</w:t>
      </w:r>
      <w:r>
        <w:rPr>
          <w:rFonts w:eastAsia="Amiri" w:cs="Amiri" w:ascii="Amiri" w:hAnsi="Amiri"/>
          <w:color w:val="111111"/>
          <w:sz w:val="28"/>
          <w:szCs w:val="28"/>
          <w:rtl w:val="true"/>
          <w:lang w:bidi="ar-SA"/>
        </w:rPr>
        <w:t>)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واستعملها أيضاً في الأولاد، قال سبحانه حاكياً عن نوح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مِنْ أَهْلِي وَ إِنَّ وَعْدَكَ الْحَقُّ‌</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أَهْلِكَ إِنَّهُ عَمَلٌ غَيْرُ صالِحٍ‌</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كما هو واضح لمن تدبر في خطاب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دلائل متوفرة في استعمال الأهل المضاف إلى البيت والرجل في كلا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يتعلّق بتحديد المفهوم، وهناك بحث آخر، وهو أنّه هل أُريد من آية التطهير كل من انتمى إلى البيت من أزواج وأولاد، أو أنّ هناك قرائن خاصّة على أنّ المقصود قسمٌ من المنتمين إليه‌؟ وليس الثاني أمراً غريباً لأنّ المفهوم العام، قد يُطلق ويراد به جميع المنتمين، وقد يطلق ويراد به بعضهم، ونحن نعتقد بالثاني، وأنّ المراد غير 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على ذلك القرينتان التاليتان</w:t>
      </w:r>
      <w:r>
        <w:rPr>
          <w:rFonts w:eastAsia="Amiri" w:cs="Amiri" w:ascii="Amiri" w:hAnsi="Amiri"/>
          <w:color w:val="111111"/>
          <w:sz w:val="28"/>
          <w:szCs w:val="28"/>
          <w:rtl w:val="true"/>
          <w:lang w:bidi="ar-SA"/>
        </w:rPr>
        <w:t>:</w:t>
      </w:r>
    </w:p>
    <w:p>
      <w:pPr>
        <w:pStyle w:val="Heading6"/>
        <w:numPr>
          <w:ilvl w:val="5"/>
          <w:numId w:val="1"/>
        </w:numPr>
        <w:rPr/>
      </w:pPr>
      <w:bookmarkStart w:id="639" w:name="__RefHeading___Toc6863864_73709187"/>
      <w:bookmarkStart w:id="640" w:name="_Toc239"/>
      <w:bookmarkEnd w:id="639"/>
      <w:r>
        <w:rPr>
          <w:rtl w:val="true"/>
        </w:rPr>
        <w:t>الأُولى</w:t>
      </w:r>
      <w:r>
        <w:rPr>
          <w:rtl w:val="true"/>
        </w:rPr>
        <w:t xml:space="preserve">: </w:t>
      </w:r>
      <w:r>
        <w:rPr>
          <w:rtl w:val="true"/>
        </w:rPr>
        <w:t>إفراد البيت في مقابل البيوت</w:t>
      </w:r>
      <w:bookmarkEnd w:id="640"/>
    </w:p>
    <w:p>
      <w:pPr>
        <w:pStyle w:val="BookText"/>
        <w:rPr/>
      </w:pPr>
      <w:r>
        <w:rPr>
          <w:rFonts w:ascii="Amiri" w:hAnsi="Amiri" w:eastAsia="Amiri" w:cs="Amiri"/>
          <w:color w:val="111111"/>
          <w:sz w:val="28"/>
          <w:sz w:val="28"/>
          <w:szCs w:val="28"/>
          <w:rtl w:val="true"/>
          <w:lang w:bidi="ar-SA"/>
        </w:rPr>
        <w:t xml:space="preserve">نرى أنّ سبحانه في سورة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يخاطب نساء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بصيغة الجمع،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قَرْنَ فِي بُيُوتِكُنَّ‌</w:t>
      </w:r>
      <w:r>
        <w:rPr>
          <w:rFonts w:eastAsia="Amiri" w:cs="Amiri" w:ascii="Amiri" w:hAnsi="Amiri"/>
          <w:color w:val="111111"/>
          <w:sz w:val="28"/>
          <w:szCs w:val="28"/>
          <w:rtl w:val="true"/>
          <w:lang w:bidi="ar-SA"/>
        </w:rPr>
        <w:t>)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اذْكُرْنَ ما يُتْلى فِي بُيُوتِكُنَّ‌</w:t>
      </w:r>
      <w:r>
        <w:rPr>
          <w:rFonts w:eastAsia="Amiri" w:cs="Amiri" w:ascii="Amiri" w:hAnsi="Amiri"/>
          <w:color w:val="111111"/>
          <w:sz w:val="28"/>
          <w:szCs w:val="28"/>
          <w:rtl w:val="true"/>
          <w:lang w:bidi="ar-SA"/>
        </w:rPr>
        <w:t>)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وعندما يصل إلى آل النبي يأتي بصيغة المفرد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يدل على أنّ أهل البيوت بصيغة الجمع غير أهل البيت بصيغة المفرد</w:t>
      </w:r>
      <w:r>
        <w:rPr>
          <w:rFonts w:eastAsia="Amiri" w:cs="Amiri" w:ascii="Amiri" w:hAnsi="Amiri"/>
          <w:color w:val="111111"/>
          <w:sz w:val="28"/>
          <w:szCs w:val="28"/>
          <w:rtl w:val="true"/>
          <w:lang w:bidi="ar-SA"/>
        </w:rPr>
        <w:t>.</w:t>
      </w:r>
      <w:bookmarkStart w:id="641" w:name="pg16768_165490"/>
    </w:p>
    <w:p>
      <w:pPr>
        <w:pStyle w:val="BookText"/>
        <w:rPr/>
      </w:pPr>
      <w:bookmarkEnd w:id="641"/>
      <w:r>
        <w:rPr>
          <w:rFonts w:ascii="Amiri" w:hAnsi="Amiri" w:eastAsia="Amiri" w:cs="Amiri"/>
          <w:color w:val="111111"/>
          <w:sz w:val="28"/>
          <w:sz w:val="28"/>
          <w:szCs w:val="28"/>
          <w:rtl w:val="true"/>
          <w:lang w:bidi="ar-SA"/>
        </w:rPr>
        <w:t>فلو كان المراد من أهل البيت نساءه وأزوجه لما عدل عن صيغة الجمع الّتي أتى بها مرتين في آية بعد آية، إلى الإفراد</w:t>
      </w:r>
      <w:r>
        <w:rPr>
          <w:rFonts w:eastAsia="Amiri" w:cs="Amiri" w:ascii="Amiri" w:hAnsi="Amiri"/>
          <w:color w:val="111111"/>
          <w:sz w:val="28"/>
          <w:szCs w:val="28"/>
          <w:rtl w:val="true"/>
          <w:lang w:bidi="ar-SA"/>
        </w:rPr>
        <w:t>.</w:t>
      </w:r>
    </w:p>
    <w:p>
      <w:pPr>
        <w:pStyle w:val="Heading6"/>
        <w:numPr>
          <w:ilvl w:val="5"/>
          <w:numId w:val="1"/>
        </w:numPr>
        <w:rPr/>
      </w:pPr>
      <w:bookmarkStart w:id="642" w:name="__RefHeading___Toc6863866_73709187"/>
      <w:bookmarkStart w:id="643" w:name="_Toc240"/>
      <w:bookmarkEnd w:id="642"/>
      <w:r>
        <w:rPr>
          <w:rtl w:val="true"/>
        </w:rPr>
        <w:t>الثانية</w:t>
      </w:r>
      <w:r>
        <w:rPr>
          <w:rtl w:val="true"/>
        </w:rPr>
        <w:t xml:space="preserve">: </w:t>
      </w:r>
      <w:r>
        <w:rPr>
          <w:rtl w:val="true"/>
        </w:rPr>
        <w:t>اللام في أهل البيت للعهد</w:t>
      </w:r>
      <w:bookmarkEnd w:id="643"/>
    </w:p>
    <w:p>
      <w:pPr>
        <w:pStyle w:val="BookText"/>
        <w:rPr/>
      </w:pPr>
      <w:r>
        <w:rPr>
          <w:rFonts w:ascii="Amiri" w:hAnsi="Amiri" w:eastAsia="Amiri" w:cs="Amiri"/>
          <w:color w:val="111111"/>
          <w:sz w:val="28"/>
          <w:sz w:val="28"/>
          <w:szCs w:val="28"/>
          <w:rtl w:val="true"/>
          <w:lang w:bidi="ar-SA"/>
        </w:rPr>
        <w:t>إنّ اللام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احتمالات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للجنس 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وهذا الاحتمال منتفٍ قطعاً على وجه لا يحتاج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الاستغراق، وهذا الاحتمال كسابقه، إذ ليست الآية بصدد بيان جميع البيوت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فتعين الثالث وهو أن تكون مشيرة إلى بيت واحد معهود بين المتكلم والمخاطب، ولذا يجب التعرّف على ذلك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في بادئ النظر يحتمل أحد بيوت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للنبي بيت خاصّ مستقلّ عن بيوت أزواجه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الآية مشيرة إلى بيت واحد من بيوت أزواجه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الآية مشيرة إلى بيت فاطمة الّتي هي من أهله وأولاده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سبيل للأوّل إذ لم يكن للنبي بيت مستقل، وإنّما كان بيته هو بيوت أزواجه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الثاني كالأوّل لعدم تحقق العهدية في أحدها، لأنّ بيوت الأزواج كانت عند النبي على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لواحد منها خصوصية تميّزه عن غيره حتّى تشير الآية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فتعيّن الاحتمال الثالث وهو بيت أولاده، وهو بيت فاطمة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كان لفاطمة بيت بجوار بيوت أزواجه تسكن فيه مع ولديها وزوجها</w:t>
      </w:r>
      <w:r>
        <w:rPr>
          <w:rFonts w:eastAsia="Amiri" w:cs="Amiri" w:ascii="Amiri" w:hAnsi="Amiri"/>
          <w:color w:val="111111"/>
          <w:sz w:val="28"/>
          <w:szCs w:val="28"/>
          <w:rtl w:val="true"/>
          <w:lang w:bidi="ar-SA"/>
        </w:rPr>
        <w:t>.</w:t>
      </w:r>
      <w:bookmarkStart w:id="644" w:name="pg16768_165491"/>
    </w:p>
    <w:p>
      <w:pPr>
        <w:pStyle w:val="BookText"/>
        <w:rPr/>
      </w:pPr>
      <w:bookmarkEnd w:id="644"/>
      <w:r>
        <w:rPr>
          <w:rFonts w:ascii="Amiri" w:hAnsi="Amiri" w:eastAsia="Amiri" w:cs="Amiri"/>
          <w:color w:val="111111"/>
          <w:sz w:val="28"/>
          <w:sz w:val="28"/>
          <w:szCs w:val="28"/>
          <w:rtl w:val="true"/>
          <w:lang w:bidi="ar-SA"/>
        </w:rPr>
        <w:t xml:space="preserve">وفي الآية احتمال آخر وهو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البيت المبنيّ من الأحجار والأخشاب، تشبيهاً للمعقول بالمحسوس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وعندئذٍ لا يمكن أن يُعدّ من أهله، كل من انتمى إلى النبي صلى الله عليه و آله عن طريق السبب والنسب فقط، بل مَن انتمى إليه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أحد هذين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بوشائج معنوية خاصّة على وجه يصحّ عند ملاحظتها، عدُّهم أهلاً لذلك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الوشائج عبارة عن النزاهة في الروح والفكر، والصلاح والتُّقى في مقام العمل، وعلى ضوء هذا لا يصحّ تفسير الآية بكل المنتسبين إليه صلى الله عليه و آله عن طريق الأواصر المادّية والروابط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أخذنا بهذا التفسير، فالقدر المتيقّن ممّن ينتمي إلى ذلك البيت الشامخ، هو علي وفاطمة وابناهما، الذين شهد التاريخ بسموّ منزلتهم وشموخ فكرهم ونزاهة آرائهم ونُشدانهم لرضا اللّه سبحانه في أقوالهم وأفعالهم، إلى غير ذلك من المناقب والفضائل الّتي اكتسبوها من النبي صلى الله عليه و آله فصاروا كمرايا له، يحكون صفاته وأخلاقه وسجاياه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مشكلة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هذه الآية جاءت في ثنايا خطابه سبحانه لنساء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عنها موكول إلى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نكتفي في إيضاح الآية واختصاصها ببيت فاطمة وولديها وزوجها بهاتين القرينتين، وهناك قرائن أُخرى طوينا عنها الكلام رأفة بالوقت</w:t>
      </w:r>
      <w:r>
        <w:rPr>
          <w:rFonts w:eastAsia="Amiri" w:cs="Amiri" w:ascii="Amiri" w:hAnsi="Amiri"/>
          <w:color w:val="111111"/>
          <w:sz w:val="28"/>
          <w:szCs w:val="28"/>
          <w:rtl w:val="true"/>
          <w:lang w:bidi="ar-SA"/>
        </w:rPr>
        <w:t>.</w:t>
      </w:r>
    </w:p>
    <w:p>
      <w:pPr>
        <w:pStyle w:val="Heading6"/>
        <w:numPr>
          <w:ilvl w:val="5"/>
          <w:numId w:val="1"/>
        </w:numPr>
        <w:rPr/>
      </w:pPr>
      <w:bookmarkStart w:id="645" w:name="__RefHeading___Toc6863868_73709187"/>
      <w:bookmarkStart w:id="646" w:name="_Toc241"/>
      <w:bookmarkEnd w:id="645"/>
      <w:r>
        <w:rPr>
          <w:rtl w:val="true"/>
        </w:rPr>
        <w:t>أهل البيت عليهم السلام في لسان النبي الأكرم صلى الله عليه و آله</w:t>
      </w:r>
      <w:bookmarkEnd w:id="64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توصّلنا إليه في كلامنا المتقدّم، هو من معطيات الآية الكريمة فقط، مع غضّ النظر عما ورد حولها من السنّة الشريفة، ولكنّنا إذا ارتَدْنا هذا الحقل، فسنجد في هذا الصدد خمساً وثلاثين رواية تنتهي أسانيدها إلى أقطاب الحديث من الصحابة،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 وأنس بن مالك، وابن عباس، وأبو هريرة،</w:t>
      </w:r>
    </w:p>
    <w:p>
      <w:pPr>
        <w:pStyle w:val="BookText"/>
        <w:rPr/>
      </w:pPr>
      <w:r>
        <w:rPr>
          <w:rFonts w:ascii="Amiri" w:hAnsi="Amiri" w:eastAsia="Amiri" w:cs="Amiri"/>
          <w:color w:val="111111"/>
          <w:sz w:val="28"/>
          <w:sz w:val="28"/>
          <w:szCs w:val="28"/>
          <w:rtl w:val="true"/>
          <w:lang w:bidi="ar-SA"/>
        </w:rPr>
        <w:t>وسعد بن أبي وقاص،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وللنبيّ صلى الله عليه و آله أساليب مختلفة في التعريف بأهل البيت، كما تكشف عن ذلك هذه الروايات فتارة يصرّح صلى الله عليه و آله بأسماء من نزلت الآية في حقهم حتّى يتعين المنزول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يلجأ إلى أسلوب عمليّ للتعريف بهم، فيجلّلهم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وحدهم بكساء ويمنع غيرهم من الدخول فيه، ثم يشير بيده إلى السماء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لكلّ نبي أهل بيت، وهؤلاء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أنّه صلى الله عليه و آله يرمي من وراء ذلك، تأكيد اختصاص الآية بهؤلاء المجلّلين بالكساء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أسلوب آخر، عرضته لنا الروايات، وهو أنّه صلى الله عليه و آله كان يمر ببيت فاطمة عدة شهور كلما خرج إلى الصلاة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أهل البيت، ويتلو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الأُستاذ عبد الفتاح عبد المقصود، وهو يعلّق على فعل الرسول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أنّ النبيّ كان في مستهلّ كل يوم، يردّد ويكرّر ما يردّد ويكرّر، لكي يحفر في القلوب والأذهان أنّ آل بيته هؤلاء هم أعلى مقاماً، وآثر على اللّه ورسوله، وأحقّ بالمودّة والرعاية والاتّباع من الخلق أجمعين</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وإليك روايتين فقط ممّا ورد في هذا المجال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مسلم في صحيحه 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النبي صلى الله عليه و آله غداة وعليه مِرط مُرحّل من شعر أسود، فجاء الحسن بن علي فأدخله، ثم جاء الحسين فدخل معه، ثم جاءت فاطمة فأدخلها، ثم جاء علي فأدخله،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r>
        <w:rPr>
          <w:rStyle w:val="FootnoteAnchor"/>
          <w:rtl w:val="true"/>
        </w:rPr>
        <w:footnoteReference w:id="7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الترمذي في سننه عن عمر بن أبي سلمة ربيب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على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w:t>
      </w:r>
      <w:bookmarkStart w:id="647" w:name="pg16768_165493"/>
    </w:p>
    <w:p>
      <w:pPr>
        <w:pStyle w:val="BookText"/>
        <w:rPr/>
      </w:pPr>
      <w:bookmarkEnd w:id="647"/>
      <w:r>
        <w:rPr>
          <w:rFonts w:ascii="Amiri" w:hAnsi="Amiri" w:eastAsia="Amiri" w:cs="Amiri"/>
          <w:color w:val="111111"/>
          <w:sz w:val="28"/>
          <w:sz w:val="28"/>
          <w:szCs w:val="28"/>
          <w:rtl w:val="true"/>
          <w:lang w:bidi="ar-SA"/>
        </w:rPr>
        <w:t>وَ يُطَهِّرَكُمْ تَطْهِيراً</w:t>
      </w:r>
      <w:r>
        <w:rPr>
          <w:rFonts w:eastAsia="Amiri" w:cs="Amiri" w:ascii="Amiri" w:hAnsi="Amiri"/>
          <w:color w:val="111111"/>
          <w:sz w:val="28"/>
          <w:szCs w:val="28"/>
          <w:rtl w:val="true"/>
          <w:lang w:bidi="ar-SA"/>
        </w:rPr>
        <w:t xml:space="preserve">) </w:t>
      </w:r>
      <w:r>
        <w:rPr>
          <w:rStyle w:val="FootnoteAnchor"/>
          <w:rtl w:val="true"/>
        </w:rPr>
        <w:footnoteReference w:id="732"/>
      </w:r>
      <w:r>
        <w:rPr>
          <w:rFonts w:ascii="Amiri" w:hAnsi="Amiri" w:eastAsia="Amiri" w:cs="Amiri"/>
          <w:color w:val="111111"/>
          <w:sz w:val="28"/>
          <w:sz w:val="28"/>
          <w:szCs w:val="28"/>
          <w:rtl w:val="true"/>
          <w:lang w:bidi="ar-SA"/>
        </w:rPr>
        <w:t>في بيت أُم سلمة فدعا فاطمة وحسناً وحسيناً فجللهم بكساء، وعليّ خلف ظهره فجللهم بكساء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يا نبي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على مكانك وأنت على خير</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إلى هنا يتم الكلام في الصغرى أي من هم أهل البيت، وحان الوقت للتعرّف على حجّية فتاواهم، وهو المحور الثاني في هذا الفصل</w:t>
      </w:r>
      <w:r>
        <w:rPr>
          <w:rFonts w:eastAsia="Amiri" w:cs="Amiri" w:ascii="Amiri" w:hAnsi="Amiri"/>
          <w:color w:val="111111"/>
          <w:sz w:val="28"/>
          <w:szCs w:val="28"/>
          <w:rtl w:val="true"/>
          <w:lang w:bidi="ar-SA"/>
        </w:rPr>
        <w:t>.</w:t>
      </w:r>
    </w:p>
    <w:p>
      <w:pPr>
        <w:pStyle w:val="Heading5"/>
        <w:numPr>
          <w:ilvl w:val="4"/>
          <w:numId w:val="1"/>
        </w:numPr>
        <w:rPr/>
      </w:pPr>
      <w:bookmarkStart w:id="648" w:name="__RefHeading___Toc6863870_73709187"/>
      <w:bookmarkStart w:id="649" w:name="_Toc242"/>
      <w:bookmarkEnd w:id="648"/>
      <w:r>
        <w:rPr>
          <w:rtl w:val="true"/>
        </w:rPr>
        <w:t>المحور الثاني الدليل على حجّية فتاواهم على المسلمين كافة</w:t>
      </w:r>
      <w:bookmarkEnd w:id="649"/>
    </w:p>
    <w:p>
      <w:pPr>
        <w:pStyle w:val="BookText"/>
        <w:rPr/>
      </w:pPr>
      <w:r>
        <w:rPr>
          <w:rFonts w:ascii="Amiri" w:hAnsi="Amiri" w:eastAsia="Amiri" w:cs="Amiri"/>
          <w:color w:val="111111"/>
          <w:sz w:val="28"/>
          <w:sz w:val="28"/>
          <w:szCs w:val="28"/>
          <w:rtl w:val="true"/>
          <w:lang w:bidi="ar-SA"/>
        </w:rPr>
        <w:t>هذا هو المحور الثاني في مقالنا، وهو بيت القصيد،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الدليل على حجّية فقههم وفتاواهم على عامّة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المسلمين وإن اختلفوا بعد رحيل الرسول صلى الله عليه و آله في صيغة الخلافة وأنّها هل هي منصب تنصيصيّ أو منصب انتخابيّ‌، ولكل من الطائفتين رأي ونظر ودليل، ونحن لا نحوم حول هذا الموضوع، ولكن الّذي أُحبُّ أن أُنوّه عليه، هو أنّه على الرغم من الخلاف المذكور، فإنّهم متفقون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الحديث المتضافر، بل المتواتر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أهل البيت عليهم السلام هم المرجع الفكري والعلمي والشرعي لهم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محيص للمسلم من الرجوع إليهم وأخذ دينه وشريعته عنهم، استجابة لوصيّة النبي الأكرم صلى الله عليه و آله الّذي جعلهم المفزع بعده، مبيّناً أنّ الكتاب والعترة توأمان</w:t>
      </w:r>
    </w:p>
    <w:p>
      <w:pPr>
        <w:pStyle w:val="BookText"/>
        <w:rPr/>
      </w:pPr>
      <w:r>
        <w:rPr>
          <w:rFonts w:ascii="Amiri" w:hAnsi="Amiri" w:eastAsia="Amiri" w:cs="Amiri"/>
          <w:color w:val="111111"/>
          <w:sz w:val="28"/>
          <w:sz w:val="28"/>
          <w:szCs w:val="28"/>
          <w:rtl w:val="true"/>
          <w:lang w:bidi="ar-SA"/>
        </w:rPr>
        <w:t>لا يفترقان، وهنا نشير إلى بعض ألفاظ حديث الثقلين كما وردت في الصحاح والمسانيد، ولا يمكننا في هذه العجالة الإشارة إلى أسماء من روى هذا الحديث عبر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مسلم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يوماً فينا خطيباً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وأنا تارك فيكم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 فيه الهدى والنور فخذوا بكتاب اللّه، واستمسكوا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 على كتاب اللّه ورغّب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أخرج الترمذي عن جابر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رسول اللّه صلى الله عليه و آله في حجّته يوم عرفة وهو على ناقته القصواء يخطب،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إنّي تركت فيكم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وأخرج الترمذي أيضاً عن زيد بن أرقم أنّه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تركت ما إن تمسكتم به لن تضلّوا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وعترتي أهل بيتي، ولن يفترقا حتّى يردا عليّ الحوض، فانظروا كيف تخلفوني فيهما</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وروى أحمد في مسنده أنّ النبي الأكرم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خليفتين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اللّه حبل ممدود ما بين السماء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السماء 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وعترتي أهل بيتي، وأنّهما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737"/>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أحمد في مسنده من حديث أبي سعيد الخدري أنّه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أُوشك أن أُدعى فأُجيب، وإنّي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 وجلّ‌، وعترتي؛ كتاب اللّه حبل ممدود من السماء إلى الأرض، وعترتي أهل بيتي، وأنّ اللطيف</w:t>
      </w:r>
    </w:p>
    <w:p>
      <w:pPr>
        <w:pStyle w:val="BookText"/>
        <w:rPr/>
      </w:pPr>
      <w:r>
        <w:rPr>
          <w:rFonts w:ascii="Amiri" w:hAnsi="Amiri" w:eastAsia="Amiri" w:cs="Amiri"/>
          <w:color w:val="111111"/>
          <w:sz w:val="28"/>
          <w:sz w:val="28"/>
          <w:szCs w:val="28"/>
          <w:rtl w:val="true"/>
          <w:lang w:bidi="ar-SA"/>
        </w:rPr>
        <w:t>الخبير أخبرني أنّهما لن يفترقا حتّى يردا عليّ الحوض، فانظروا كيف تخلفوني فيهما</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وروى الحاكم في مستدركه على الصحيحين عن زيد بن أرقم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وأهل بيتي، وأنّهما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وأخرج الحاكم في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زيد بن أرقم أنّه صلى الله عليه و آله قال في منصرفه من حجة الوداع ونزوله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دعيت فأجبت، إنّي قد تركت فيكم الثقلين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فانظروا كيف تخلّفوني فيهما، فإنّهما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يستفاد من حديث الثقلين أُمور مهمة، لو اعتنت بها الأُمّة لاجتمعت على مائدة أهل البيت عليهم السلام، واستطابت ألوآنها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اقتران العترة الطاهرة بالقرآن الكريم فيه إشارة إلى أنّهم يعلمون من القرآن ما يليق بشأنه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التمسّك بالكتاب والعترة يعصم من الضلالة ولا يغني أحدهما عن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يحرم التقدّم على العترة كما يحرم الابتعاد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العترة لا تفارق الكتاب، وانّهما مستمرّان إلى يوم القيامة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 بعد نقل حديث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أحاديث الحث على التمسّك بأهل البيت إشارة إلى عدم انقطاع متأهل منهم للتمسك به إلى يوم القيامة، كما أنّ الكتاب العزيز كذلك، ولهذا كانوا أماناً لأهل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من يُتمسّك منهم إمامهم وعالمهم علي بن أبي طالب كرم اللّه وجهه، لما قدّمناه من مزيد علمه</w:t>
      </w:r>
      <w:bookmarkStart w:id="650" w:name="pg16768_165496"/>
    </w:p>
    <w:p>
      <w:pPr>
        <w:pStyle w:val="BookText"/>
        <w:rPr/>
      </w:pPr>
      <w:bookmarkEnd w:id="650"/>
      <w:r>
        <w:rPr>
          <w:rFonts w:ascii="IRNazanin" w:hAnsi="IRNazanin" w:eastAsia="IRNazanin"/>
          <w:color w:val="111111"/>
          <w:sz w:val="28"/>
          <w:sz w:val="28"/>
          <w:szCs w:val="28"/>
          <w:rtl w:val="true"/>
          <w:lang w:bidi="fa-IR"/>
        </w:rPr>
        <w:t>ودقائق مستنبطه</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إنّ الإمعان في حديث الثقلين يثبت بوضوح حجية فتاواهم وآرائهم وأقوالهم، وأنّ من أخذ بها فقد أخذ من معين صافٍ‌، كيف لا وأهل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يفيد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قرناء القرآن وأعداله، لا يختلفان ولا يفترقان، فكما يُعصَم من تمسك بالقرآن من الغيّ والضلال، فكذلك يُعصَم منهما من تمسك بأهل البيت، وكما أنّ القرآن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الناصحُ الّذي لا يغُشّ‌، والهادي الّذي لا يُضلّ‌، والمحدِّث الّذي لا يكذب</w:t>
      </w:r>
      <w:r>
        <w:rPr>
          <w:rFonts w:eastAsia="Amiri" w:cs="Amiri" w:ascii="Amiri" w:hAnsi="Amiri"/>
          <w:color w:val="111111"/>
          <w:sz w:val="28"/>
          <w:szCs w:val="28"/>
          <w:rtl w:val="true"/>
          <w:lang w:bidi="ar-SA"/>
        </w:rPr>
        <w:t>)</w:t>
      </w:r>
      <w:r>
        <w:rPr>
          <w:rStyle w:val="FootnoteAnchor"/>
          <w:rtl w:val="true"/>
        </w:rPr>
        <w:footnoteReference w:id="742"/>
      </w:r>
      <w:r>
        <w:rPr>
          <w:rFonts w:ascii="Amiri" w:hAnsi="Amiri" w:eastAsia="Amiri" w:cs="Amiri"/>
          <w:color w:val="111111"/>
          <w:sz w:val="28"/>
          <w:sz w:val="28"/>
          <w:szCs w:val="28"/>
          <w:rtl w:val="true"/>
          <w:lang w:bidi="ar-SA"/>
        </w:rPr>
        <w:t xml:space="preserve">، فإنّ أهل البيت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أزمّة الحقّ‌، وأعلام الدين، وألسنة الصدق</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ولا نريد أن نتكلم في دلالة حديث الثقلين، ولنكتفِ بما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هذه مكانة أهل البيت ومنزلتهم في حديث الرسول صلى الله عليه و آله فما هو مصدر علومهم وفتاواهم في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سنبحثه الآن، وهو المحور الثالث للفصل الأوّل</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6863872_73709187"/>
      <w:bookmarkStart w:id="652" w:name="_Toc243"/>
      <w:bookmarkEnd w:id="651"/>
      <w:r>
        <w:rPr>
          <w:rtl w:val="true"/>
        </w:rPr>
        <w:t>المحور الثالث مصادر فتاواهم</w:t>
      </w:r>
      <w:bookmarkEnd w:id="652"/>
    </w:p>
    <w:p>
      <w:pPr>
        <w:pStyle w:val="Heading6"/>
        <w:numPr>
          <w:ilvl w:val="5"/>
          <w:numId w:val="1"/>
        </w:numPr>
        <w:rPr/>
      </w:pPr>
      <w:bookmarkStart w:id="653" w:name="__RefHeading___Toc6863874_73709187"/>
      <w:bookmarkStart w:id="654" w:name="_Toc244"/>
      <w:bookmarkEnd w:id="653"/>
      <w:r>
        <w:rPr>
          <w:rtl w:val="true"/>
        </w:rPr>
        <w:t>اشارة</w:t>
      </w:r>
      <w:bookmarkEnd w:id="654"/>
    </w:p>
    <w:p>
      <w:pPr>
        <w:pStyle w:val="BookText"/>
        <w:rPr/>
      </w:pPr>
      <w:r>
        <w:rPr>
          <w:rFonts w:ascii="Amiri" w:hAnsi="Amiri" w:eastAsia="Amiri" w:cs="Amiri"/>
          <w:color w:val="111111"/>
          <w:sz w:val="28"/>
          <w:sz w:val="28"/>
          <w:szCs w:val="28"/>
          <w:rtl w:val="true"/>
          <w:lang w:bidi="ar-SA"/>
        </w:rPr>
        <w:t>إنّ لعلوم أهل البيت عليهم السلام مصادر نشير إلى أبرزها</w:t>
      </w:r>
      <w:r>
        <w:rPr>
          <w:rFonts w:eastAsia="Amiri" w:cs="Amiri" w:ascii="Amiri" w:hAnsi="Amiri"/>
          <w:color w:val="111111"/>
          <w:sz w:val="28"/>
          <w:szCs w:val="28"/>
          <w:rtl w:val="true"/>
          <w:lang w:bidi="ar-SA"/>
        </w:rPr>
        <w:t>:</w:t>
      </w:r>
    </w:p>
    <w:p>
      <w:pPr>
        <w:pStyle w:val="Heading6"/>
        <w:numPr>
          <w:ilvl w:val="5"/>
          <w:numId w:val="1"/>
        </w:numPr>
        <w:rPr/>
      </w:pPr>
      <w:bookmarkStart w:id="655" w:name="__RefHeading___Toc6863876_73709187"/>
      <w:bookmarkStart w:id="656" w:name="_Toc245"/>
      <w:bookmarkEnd w:id="655"/>
      <w:r>
        <w:rPr/>
        <w:t>1</w:t>
      </w:r>
      <w:r>
        <w:rPr>
          <w:rtl w:val="true"/>
        </w:rPr>
        <w:t xml:space="preserve">. </w:t>
      </w:r>
      <w:r>
        <w:rPr>
          <w:rtl w:val="true"/>
        </w:rPr>
        <w:t>استنطاق كتاب اللّه العزيز</w:t>
      </w:r>
      <w:bookmarkEnd w:id="656"/>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آتى اللّه سبحانه أئمة أهل البيت فهماً خاصاً لكتاب اللّه العزيز يستنبطون</w:t>
      </w:r>
    </w:p>
    <w:p>
      <w:pPr>
        <w:pStyle w:val="BookText"/>
        <w:rPr/>
      </w:pPr>
      <w:r>
        <w:rPr>
          <w:rFonts w:ascii="Amiri" w:hAnsi="Amiri" w:eastAsia="Amiri" w:cs="Amiri"/>
          <w:color w:val="111111"/>
          <w:sz w:val="28"/>
          <w:sz w:val="28"/>
          <w:szCs w:val="28"/>
          <w:rtl w:val="true"/>
          <w:lang w:bidi="ar-SA"/>
        </w:rPr>
        <w:t>منه أحكاماً شرعية، قلّما يتفق لغيرهم مثلها، ونذكر في المقام نموذجين حتّى تُعرف بهما نظائرهما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عهد الخلافة، أُتي بامرأة قد ولدت لستة أشهر فأُمر بها أن تُرجم فقال علي بن أبي طالب عليه السلام ليس ذلك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الْوالِداتُ يُرْضِعْنَ أَوْلادَهُنَّ حَوْلَيْنِ كامِلَيْنِ‌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فالرضاعة أربعة وعشرون شهراً والحمل ستة أشهر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نرى هنا أنّ الإمام علي عليه السلام قد استنطق كتاب اللّه في مدة أقل الحمل واستخرجها من ضم آية إلى آية أُخرى، وهذا هو المعروف في ألسن الأُصوليين بدلالة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المحدّث الطائر الصيت ابن شهر آشوب المازندراني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إلى المتوكل رجل نصراني فجر بامرأة مسلمة فأراد أن يقيم عليه الحد، فأسلم، فقال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يمحو ماقبله،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ثلاثة حدود، فكتب المتوكّل إلى الإمام علي الهادي عليه السلام يسأله، فلمّا قرأ الكتاب،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حتى يموت، فأنكر الفقهاء ذلك، فكتب إليه يسأله عن العلة، فكتب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بَأْسَنا قالُوا آمَنّا بِاللّهِ وَحْدَهُ وَ كَفَرْنا بِما كُنّا بِهِ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إِيمانُهُمْ لَمّا رَأَوْا بَأْسَنا سُنَّتَ اللّهِ الَّتِي قَدْ خَلَتْ فِي عِبادِهِ وَ خَسِرَ هُنالِكَ الْكافِرُونَ‌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فأمر به المتوكل فضرب حتى مات</w:t>
      </w:r>
      <w:r>
        <w:rPr>
          <w:rFonts w:eastAsia="Amiri" w:cs="Amiri" w:ascii="Amiri" w:hAnsi="Amiri"/>
          <w:color w:val="111111"/>
          <w:sz w:val="28"/>
          <w:szCs w:val="28"/>
          <w:rtl w:val="true"/>
          <w:lang w:bidi="ar-SA"/>
        </w:rPr>
        <w:t>.</w:t>
      </w:r>
      <w:r>
        <w:rPr>
          <w:rStyle w:val="FootnoteAnchor"/>
          <w:rtl w:val="true"/>
        </w:rPr>
        <w:footnoteReference w:id="744"/>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 الهادي عليه السلام ببيانه هذا قد شقّ طريقاً خاصّاً لاستنباط الأحكام من</w:t>
      </w:r>
      <w:bookmarkStart w:id="657" w:name="pg16768_165498"/>
    </w:p>
    <w:p>
      <w:pPr>
        <w:pStyle w:val="BookText"/>
        <w:rPr/>
      </w:pPr>
      <w:bookmarkEnd w:id="657"/>
      <w:r>
        <w:rPr>
          <w:rFonts w:ascii="Amiri" w:hAnsi="Amiri" w:eastAsia="Amiri" w:cs="Amiri"/>
          <w:color w:val="111111"/>
          <w:sz w:val="28"/>
          <w:sz w:val="28"/>
          <w:szCs w:val="28"/>
          <w:rtl w:val="true"/>
          <w:lang w:bidi="ar-SA"/>
        </w:rPr>
        <w:t>الذكر الحكيم، طريقاً لم يكن يحلم به فقهاء عصره، وكانوا يزعمون أنّ مصادر الأحكام الشرعية هي الآيات الشرعية هي الآيات الواضحة في مجال الفقه الّتي تبلغ قرابة ثلاثمائة آية، وبذلك أبان للقرآن وجهاً خاصّاً لدلالته، لا يلتفت إليه إلّا من نزل القرآن في بيته</w:t>
      </w:r>
      <w:r>
        <w:rPr>
          <w:rFonts w:eastAsia="Amiri" w:cs="Amiri" w:ascii="Amiri" w:hAnsi="Amiri"/>
          <w:color w:val="111111"/>
          <w:sz w:val="28"/>
          <w:szCs w:val="28"/>
          <w:rtl w:val="true"/>
          <w:lang w:bidi="ar-SA"/>
        </w:rPr>
        <w:t>.</w:t>
      </w:r>
    </w:p>
    <w:p>
      <w:pPr>
        <w:pStyle w:val="Heading6"/>
        <w:numPr>
          <w:ilvl w:val="5"/>
          <w:numId w:val="1"/>
        </w:numPr>
        <w:rPr/>
      </w:pPr>
      <w:bookmarkStart w:id="658" w:name="__RefHeading___Toc6863878_73709187"/>
      <w:bookmarkStart w:id="659" w:name="_Toc246"/>
      <w:bookmarkEnd w:id="658"/>
      <w:r>
        <w:rPr/>
        <w:t>2</w:t>
      </w:r>
      <w:r>
        <w:rPr>
          <w:rtl w:val="true"/>
        </w:rPr>
        <w:t xml:space="preserve">. </w:t>
      </w:r>
      <w:r>
        <w:rPr>
          <w:rtl w:val="true"/>
        </w:rPr>
        <w:t>سنة رسول اللّه صلى الله عليه و آله</w:t>
      </w:r>
      <w:bookmarkEnd w:id="659"/>
    </w:p>
    <w:p>
      <w:pPr>
        <w:pStyle w:val="BookText"/>
        <w:rPr/>
      </w:pPr>
      <w:r>
        <w:rPr>
          <w:rFonts w:ascii="Amiri" w:hAnsi="Amiri" w:eastAsia="Amiri" w:cs="Amiri"/>
          <w:color w:val="111111"/>
          <w:sz w:val="28"/>
          <w:sz w:val="28"/>
          <w:szCs w:val="28"/>
          <w:rtl w:val="true"/>
          <w:lang w:bidi="ar-SA"/>
        </w:rPr>
        <w:t>إنّ المصدر الثاني لفقه أهل البيت عليهم السلام هو سنة رسول اللّه صلى الله عليه و آله الّتي وصلتهم عن طريقين رئيسيين هما</w:t>
      </w:r>
      <w:r>
        <w:rPr>
          <w:rFonts w:eastAsia="Amiri" w:cs="Amiri" w:ascii="Amiri" w:hAnsi="Amiri"/>
          <w:color w:val="111111"/>
          <w:sz w:val="28"/>
          <w:szCs w:val="28"/>
          <w:rtl w:val="true"/>
          <w:lang w:bidi="ar-SA"/>
        </w:rPr>
        <w:t>:</w:t>
      </w:r>
    </w:p>
    <w:p>
      <w:pPr>
        <w:pStyle w:val="Heading6"/>
        <w:numPr>
          <w:ilvl w:val="5"/>
          <w:numId w:val="1"/>
        </w:numPr>
        <w:rPr/>
      </w:pPr>
      <w:bookmarkStart w:id="660" w:name="__RefHeading___Toc6863880_73709187"/>
      <w:bookmarkStart w:id="661" w:name="_Toc247"/>
      <w:bookmarkEnd w:id="660"/>
      <w:r>
        <w:rPr>
          <w:rtl w:val="true"/>
        </w:rPr>
        <w:t>أ</w:t>
      </w:r>
      <w:r>
        <w:rPr>
          <w:rtl w:val="true"/>
        </w:rPr>
        <w:t xml:space="preserve">. </w:t>
      </w:r>
      <w:r>
        <w:rPr>
          <w:rtl w:val="true"/>
        </w:rPr>
        <w:t>السماع عنه صلى الله عليه و آله</w:t>
      </w:r>
      <w:bookmarkEnd w:id="661"/>
    </w:p>
    <w:p>
      <w:pPr>
        <w:pStyle w:val="BookText"/>
        <w:rPr/>
      </w:pPr>
      <w:r>
        <w:rPr>
          <w:rFonts w:ascii="Amiri" w:hAnsi="Amiri" w:eastAsia="Amiri" w:cs="Amiri"/>
          <w:color w:val="111111"/>
          <w:sz w:val="28"/>
          <w:sz w:val="28"/>
          <w:szCs w:val="28"/>
          <w:rtl w:val="true"/>
          <w:lang w:bidi="ar-SA"/>
        </w:rPr>
        <w:t>يروي أئمة أهل البيت كثيراً من سنة النبي الأكرم صلى الله عليه و آله عن طريق السماع كابراً عن كابر، فمثلاً يروي الإمام الصادق عن أبيه الباقر عن أبيه زين العابدين إلى أن ينتهي السند إلى النبي الأكرم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النوع من الرواية هو المعين الصافي الّذي لم يكدّره الشك والترديد في الصحة والضبط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أبو نُعيم الأصبهاني بعد أن روى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رواه الإمام عليّ الرضا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ثابت مشهور بهذا الإسناد من رواية الطاهرين عن آبائهم الطيّبين، وكان بعض سلفنا من المحدّثين إذا روى 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قرئ هذا الإسناد على مجنون لأفاق</w:t>
      </w:r>
      <w:r>
        <w:rPr>
          <w:rFonts w:eastAsia="Amiri" w:cs="Amiri" w:ascii="Amiri" w:hAnsi="Amiri"/>
          <w:color w:val="111111"/>
          <w:sz w:val="28"/>
          <w:szCs w:val="28"/>
          <w:rtl w:val="true"/>
          <w:lang w:bidi="ar-SA"/>
        </w:rPr>
        <w:t>.</w:t>
      </w:r>
      <w:r>
        <w:rPr>
          <w:rStyle w:val="FootnoteAnchor"/>
          <w:rtl w:val="true"/>
        </w:rPr>
        <w:footnoteReference w:id="745"/>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وقصة هذا الحديث، هو أنّ الرضا عليه السلام لمّا وافى نيسابور، وأراد أن يخرج منها إلى المأمون العباسي، ازدحم عليه أصحاب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طليعتهم إسحاق بن راهويه، ومحمد بن رافع القشيري، ويحيى بن يحيى النيسابوري، وأحمد بن</w:t>
      </w:r>
      <w:bookmarkStart w:id="662" w:name="pg16768_165499"/>
    </w:p>
    <w:p>
      <w:pPr>
        <w:pStyle w:val="BookText"/>
        <w:rPr/>
      </w:pPr>
      <w:bookmarkEnd w:id="662"/>
      <w:r>
        <w:rPr>
          <w:rFonts w:ascii="Amiri" w:hAnsi="Amiri" w:eastAsia="Amiri" w:cs="Amiri"/>
          <w:color w:val="111111"/>
          <w:sz w:val="28"/>
          <w:sz w:val="28"/>
          <w:szCs w:val="28"/>
          <w:rtl w:val="true"/>
          <w:lang w:bidi="ar-SA"/>
        </w:rPr>
        <w:t>حرب،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وطلبوا منه أن يُملي عليهم حديثاً،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حدّثني أبي جعفر بن محمد، حدّثني أبي محمد بن علي، حدّثني أبي علي بن الحسين بن علي، حدّثني أبي علي بن أبي طالب رضي اللّه تعالى عنهم، حدّثنا رسول اللّه صلى الله عليه و آله عن جبريل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أنا اللّه لا إله إلّاأنا فاعبدوني، من جاءني منكم بشهادة أن لا إله إلّااللّه بالإخلاص، دخل في حصني، ومن دخل في حصني أمن من عذابي</w:t>
      </w:r>
      <w:r>
        <w:rPr>
          <w:rFonts w:eastAsia="Amiri" w:cs="Amiri" w:ascii="Amiri" w:hAnsi="Amiri"/>
          <w:color w:val="111111"/>
          <w:sz w:val="28"/>
          <w:szCs w:val="28"/>
          <w:rtl w:val="true"/>
          <w:lang w:bidi="ar-SA"/>
        </w:rPr>
        <w:t>».</w:t>
      </w:r>
      <w:r>
        <w:rPr>
          <w:rStyle w:val="FootnoteAnchor"/>
          <w:rtl w:val="true"/>
        </w:rPr>
        <w:footnoteReference w:id="746"/>
      </w:r>
    </w:p>
    <w:p>
      <w:pPr>
        <w:pStyle w:val="Heading6"/>
        <w:numPr>
          <w:ilvl w:val="5"/>
          <w:numId w:val="1"/>
        </w:numPr>
        <w:rPr/>
      </w:pPr>
      <w:bookmarkStart w:id="663" w:name="__RefHeading___Toc6863882_73709187"/>
      <w:bookmarkStart w:id="664" w:name="_Toc248"/>
      <w:bookmarkEnd w:id="663"/>
      <w:r>
        <w:rPr>
          <w:rtl w:val="true"/>
        </w:rPr>
        <w:t>ب</w:t>
      </w:r>
      <w:r>
        <w:rPr>
          <w:rtl w:val="true"/>
        </w:rPr>
        <w:t xml:space="preserve">. </w:t>
      </w:r>
      <w:r>
        <w:rPr>
          <w:rtl w:val="true"/>
        </w:rPr>
        <w:t>كتاب علي عليه السلام</w:t>
      </w:r>
      <w:bookmarkEnd w:id="664"/>
    </w:p>
    <w:p>
      <w:pPr>
        <w:pStyle w:val="BookText"/>
        <w:rPr/>
      </w:pPr>
      <w:r>
        <w:rPr>
          <w:rFonts w:ascii="Amiri" w:hAnsi="Amiri" w:eastAsia="Amiri" w:cs="Amiri"/>
          <w:color w:val="111111"/>
          <w:sz w:val="28"/>
          <w:sz w:val="28"/>
          <w:szCs w:val="28"/>
          <w:rtl w:val="true"/>
          <w:lang w:bidi="ar-SA"/>
        </w:rPr>
        <w:t xml:space="preserve">لقد كان لعلي عليه السلام كتاب خاص بإملاء رسول اللّه صلى الله عليه و آله وقد حفظته العترة الطاهرة، وصدرت عنه في مواضع كثيرة ونُقلت نصوصه في موضوعات شتى‌، وقد بثّ الحر العاملي في موسوعته الحديثية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وسائل الشيعة إلى تحصيل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ذلك الكتاب حسب الأبواب الفقهية المختلفة من الطهارة إلى الديات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كلام الإمام الحسن المجتبى عليه السلام في حق هذا الكتاب،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 فينا ونحن أهله وهو عندنا مجموع كلّه بحذافيره، ومنه لا يحدث شيء إلى يوم القيامة حتّى أرش الخدش إلّاوهو عندنا مكتوب بإملاء رسول اللّه صلى الله عليه و آله وخط علي عليه السلام بيده</w:t>
      </w:r>
      <w:r>
        <w:rPr>
          <w:rFonts w:eastAsia="Amiri" w:cs="Amiri" w:ascii="Amiri" w:hAnsi="Amiri"/>
          <w:color w:val="111111"/>
          <w:sz w:val="28"/>
          <w:szCs w:val="28"/>
          <w:rtl w:val="true"/>
          <w:lang w:bidi="ar-SA"/>
        </w:rPr>
        <w:t>».</w:t>
      </w:r>
      <w:r>
        <w:rPr>
          <w:rStyle w:val="FootnoteAnchor"/>
          <w:rtl w:val="true"/>
        </w:rPr>
        <w:footnoteReference w:id="747"/>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ولأئمة أهل البيت عليهم السلام كلمات ضافية حول هذا الكتاب لا يسع المجال لذكرها</w:t>
      </w:r>
      <w:r>
        <w:rPr>
          <w:rFonts w:eastAsia="Amiri" w:cs="Amiri" w:ascii="Amiri" w:hAnsi="Amiri"/>
          <w:color w:val="111111"/>
          <w:sz w:val="28"/>
          <w:szCs w:val="28"/>
          <w:rtl w:val="true"/>
          <w:lang w:bidi="ar-SA"/>
        </w:rPr>
        <w:t>.</w:t>
      </w:r>
      <w:bookmarkStart w:id="665" w:name="pg16768_165500"/>
    </w:p>
    <w:p>
      <w:pPr>
        <w:pStyle w:val="Heading6"/>
        <w:numPr>
          <w:ilvl w:val="5"/>
          <w:numId w:val="1"/>
        </w:numPr>
        <w:rPr/>
      </w:pPr>
      <w:bookmarkStart w:id="666" w:name="__RefHeading___Toc6863884_73709187"/>
      <w:bookmarkStart w:id="667" w:name="_Toc249"/>
      <w:bookmarkEnd w:id="665"/>
      <w:bookmarkEnd w:id="666"/>
      <w:r>
        <w:rPr/>
        <w:t>3</w:t>
      </w:r>
      <w:r>
        <w:rPr>
          <w:rtl w:val="true"/>
        </w:rPr>
        <w:t xml:space="preserve">. </w:t>
      </w:r>
      <w:r>
        <w:rPr>
          <w:rtl w:val="true"/>
        </w:rPr>
        <w:t>العلم الموهوب</w:t>
      </w:r>
      <w:bookmarkEnd w:id="667"/>
    </w:p>
    <w:p>
      <w:pPr>
        <w:pStyle w:val="BookText"/>
        <w:rPr/>
      </w:pPr>
      <w:r>
        <w:rPr>
          <w:rFonts w:ascii="Amiri" w:hAnsi="Amiri" w:eastAsia="Amiri" w:cs="Amiri"/>
          <w:color w:val="111111"/>
          <w:sz w:val="28"/>
          <w:sz w:val="28"/>
          <w:szCs w:val="28"/>
          <w:rtl w:val="true"/>
          <w:lang w:bidi="ar-SA"/>
        </w:rPr>
        <w:t>ربّما تشمل عناية اللّه سبحانه بعض عباده الصالحين فيجعلهم علماء فهماء من عنده، من دون أن يدرسوا على يد أحد، وهذا ليس بأمر غريب وله نظائر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سبحانه يصف مصاحب موسى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فَوَجَدا عَبْداً مِنْ عِبادِنا آتَيْناهُ رَحْمَةً مِنْ عِنْدِنا وَ عَلَّمْناهُ مِنْ لَدُنّا عِلْماً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فقد ذكر سبحانه في حقه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آتَيْناهُ رَحْمَةً مِنْ عِنْدِنا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عَلَّمْناهُ مِنْ لَدُنّا عِلْماً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فنالته رحمة اللّه وعنايته فصار عالماً بتعليم منه سبحانه، من دون أن يكون نبياً بل كان إنساناً مثالياً وولياً من أولياء اللّه سبحانه بلغ من العلم والمعرفة مكانة دعت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نبي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يطلب العلم منه حيث خاطبه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أَتَّبِعُكَ عَلى أَنْ تُعَلِّمَنِ مِمّا عُلِّمْتَ رُشْداً</w:t>
      </w:r>
      <w:r>
        <w:rPr>
          <w:rFonts w:eastAsia="Amiri" w:cs="Amiri" w:ascii="Amiri" w:hAnsi="Amiri"/>
          <w:color w:val="111111"/>
          <w:sz w:val="28"/>
          <w:szCs w:val="28"/>
          <w:rtl w:val="true"/>
          <w:lang w:bidi="ar-SA"/>
        </w:rPr>
        <w:t>) .</w:t>
      </w:r>
      <w:r>
        <w:rPr>
          <w:rStyle w:val="FootnoteAnchor"/>
          <w:rtl w:val="true"/>
        </w:rPr>
        <w:footnoteReference w:id="7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سبحانه أعطى لجليس سليمان عليه السلام علماً من الكتاب أقدره ذلك العلم على خرق العادة، كما وصفه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 عِنْدَهُ عِلْمٌ مِنَ الْكِتابِ أَنَا آتِيكَ بِهِ قَبْلَ أَنْ يَرْتَدَّ إِلَيْكَ طَرْفُكَ فَلَمّا رَآهُ مُسْتَقِرًّا عِنْدَهُ قالَ هذا مِنْ فَضْلِ 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وهذا الجليس لم يكن نبياً ولكن كان عنده علم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 يَنلْه بالطرق العادية الّتي يتدرج عليها الصبيان والشباب في المدارس والجامعات، بل كان علماً إلهياً أفيض عليه لصفاء قلبه وروحه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ذكرناه نماذج لمن شملتهم العناية الإلهية فصاروا علماء فقهاء حكماء من عند اللّه تبارك وتعالى</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فلنعطف نظرنا إلى الأئمة الاثني عشر فبما أنّهم قد أُنيطت بهم عزة الدين كما في حديث الرسول صلى الله عليه و آله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الإسلام عزيزاً منيعاً إلى اثني عشر خليفة</w:t>
      </w:r>
      <w:r>
        <w:rPr>
          <w:rFonts w:eastAsia="Amiri" w:cs="Amiri" w:ascii="Amiri" w:hAnsi="Amiri"/>
          <w:color w:val="111111"/>
          <w:sz w:val="28"/>
          <w:szCs w:val="28"/>
          <w:rtl w:val="true"/>
          <w:lang w:bidi="ar-SA"/>
        </w:rPr>
        <w:t>»</w:t>
      </w:r>
      <w:bookmarkStart w:id="668" w:name="pg16768_165501"/>
    </w:p>
    <w:p>
      <w:pPr>
        <w:pStyle w:val="BookText"/>
        <w:rPr/>
      </w:pPr>
      <w:bookmarkEnd w:id="668"/>
      <w:r>
        <w:rPr>
          <w:rFonts w:ascii="Amiri" w:hAnsi="Amiri" w:eastAsia="Amiri" w:cs="Amiri"/>
          <w:color w:val="111111"/>
          <w:sz w:val="28"/>
          <w:sz w:val="28"/>
          <w:szCs w:val="28"/>
          <w:rtl w:val="true"/>
          <w:lang w:bidi="ar-SA"/>
        </w:rPr>
        <w:t>وهو ما رواه مسلم في صحيحه</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كما أُنيطت بهم الهداية كما في حديث الثقلين حيث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فأئمة أهل البيت ليسوا بأقل شأناً ومكانة من مصاحب موسى أو جليس سليمان، فأي وازع من أن يحيطوا بسنن النبي وعلوم الشريعة بعلم موهوب من دون أن يكونوا أنبياء بل أنّهم عيبة علم الرسول ورواة سننه بواسطة هذا المنهج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يعبر عن أسباب العلم الموهوب بكون الرجل محدَّثاً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استفاضت الروايات بوجود رجال محدَّثين في الأُمّة الإسلامية يُلهَمون ويُلقى في روعهم شيء من العلم على وجه الإلهام والمكاشفة من المبدأ الأعلى، أو أن تُنكت لهم في قلوبهم حقائق تخفى على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حفلت المصادر الحديثية بالعديد من الروايات المؤيدة لهذه الحقيقة</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هذا والتاريخ أصدق شاهد على علومهم في مجالي العقيدة والشريعة فقد رجع إليهم المسلمون وعلى رأسهم الفقهاء في القرون الثلاثة، وأشادوا بعلوّ كعبهم في العلم والفقه، من غير فرق بين الأئمة الأربعة وغيرهم</w:t>
      </w:r>
      <w:r>
        <w:rPr>
          <w:rFonts w:eastAsia="Amiri" w:cs="Amiri" w:ascii="Amiri" w:hAnsi="Amiri"/>
          <w:color w:val="111111"/>
          <w:sz w:val="28"/>
          <w:szCs w:val="28"/>
          <w:rtl w:val="true"/>
          <w:lang w:bidi="ar-SA"/>
        </w:rPr>
        <w:t>.</w:t>
      </w:r>
    </w:p>
    <w:p>
      <w:pPr>
        <w:pStyle w:val="Heading5"/>
        <w:numPr>
          <w:ilvl w:val="4"/>
          <w:numId w:val="1"/>
        </w:numPr>
        <w:rPr/>
      </w:pPr>
      <w:bookmarkStart w:id="669" w:name="__RefHeading___Toc6863886_73709187"/>
      <w:bookmarkStart w:id="670" w:name="_Toc250"/>
      <w:bookmarkEnd w:id="669"/>
      <w:r>
        <w:rPr>
          <w:rtl w:val="true"/>
        </w:rPr>
        <w:t>خاتمة المطاف رجوع كبار الفقهاء إلى أئمة أهل البيت عليهم السلام</w:t>
      </w:r>
      <w:bookmarkEnd w:id="670"/>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أئمة أهل البيت عليهم السلام في عصر الصحابة والتابعين ومن بعدهم منائر العلم يستضيء بأنوار علومهم، كل من أراد الفقه والفقاهة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ابن أبي الحديد أنّ علياً عليه السلام هو أساس الفقه الإسلامي، الّذي حمل لواءه أئمة المذاهب، ثم بيّن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أصحاب أبي حنيفة كمحمد بن الحسن، وأبي يوسف، فقد أخذوا عن أبي حنيفة، وقد قرأ الشافعي على محمد بن الحسن الشيباني تلميذ أبي حنيفة، فيرجع الشافعي بهذه الواسطة إلى أبي حنيفة، وقرأ أحمد بن حنبل على الشافعي، فيرجع في فقهه إلى أبي حنيفة، وأبو حنيفة تتلمذ على الإمام جعفر بن محمد، وجعفر بن محمد ينتهي في علمه وفقهه إلى جدّه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مالك، فقد قرأ على ربيعة الرأي، وربيعة أخذ عن عكرمة، وعكرمة أخذ عن عبد اللّه بن العباس، وعبد اللّه مصدره الإمام علي بن أبي طالب</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وقال الشيخ محمد زاهد الكوثري، وهو يتحدث عن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وارث علوم أصحاب ابن مسعود، وعلي بن أبي طالب رضي اللّه عنهما، الذين كانت الكوفة امتلأت بهم</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وقال الكوثري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ابن مسعود بتفقيه أهل الكوفة، حتّى امتلأت الكوفة بالفقهاء، ولما انتقل علي بن أبي طالب كرم اللّه وجهه إلى الكوفة سُرّ من كثرة فقهائها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ووالى باب مدينة العلم تفقيههم، إلى أن أصبحت الكوفة لا مثيل لها في أمصار المسلمين في كثرة فقهائها ومحدثيها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فكبار أصحاب عليّ‌، وابن مسعود رضي اللّه عنهما بها لو دوّنت تراجمهم في كتاب خاص لأتى كتاباً ضخماً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 شتات علوم هؤلاء إبراهيم بن يزيد النخعيّ‌</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إبراهيم النخعي، أخذ حمّاد بن أبي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وعن حمّاد أخذ أبو حنيفة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مالك بن أنس، فقد أخذ عن جعفر الصادق، وروى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أربعة عشر موضعاً</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ولأجل بيان مكانة أئمة أهل البيت في دنيا العلم والفقه، نورد هنا كلمات بعض الأعلام في حق عدد منهم عليهم السلام، فالبحث لا يتسع لأكثر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 في ترجمة محمد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عابداً ثقة، وروى عنه الأئمة أبو حنيفة وغيره</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وقال أبو حنيفة عقب إجابة جعفر الصادق عليه السلام عن أربعين مسألة هيّأها له بطلب من المنصور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أفقه من جعفر بن محمد</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وقال فخر الدين الرازي عند تفسير سورة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أهل البيت كان فيهم من الأكابر من العلماء كالباقر والصادق والكاظم والرضا عليهم السلام والنفس الزكية</w:t>
      </w:r>
      <w:r>
        <w:rPr>
          <w:rStyle w:val="FootnoteAnchor"/>
          <w:rtl w:val="true"/>
        </w:rPr>
        <w:footnoteReference w:id="757"/>
      </w:r>
      <w:r>
        <w:rPr>
          <w:rFonts w:ascii="IRNazanin" w:hAnsi="IRNazanin" w:eastAsia="IRNazanin"/>
          <w:color w:val="111111"/>
          <w:sz w:val="28"/>
          <w:sz w:val="28"/>
          <w:szCs w:val="28"/>
          <w:rtl w:val="true"/>
          <w:lang w:bidi="fa-IR"/>
        </w:rPr>
        <w:t>وأمثالهم</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وقال الشيخ محمد أبو زهرة عند ذكر 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نستطيع في هذه العجالة أن نخوض في فقه الإمام جعفر، فإن أُستاذ مالك وأبي حنيفة وسفيان بن عُيَينة، لا يمكن أن يُدرس فقهه في مثل هذه الإلمامة</w:t>
      </w:r>
      <w:r>
        <w:rPr>
          <w:rFonts w:eastAsia="Amiri" w:cs="Amiri" w:ascii="Amiri" w:hAnsi="Amiri"/>
          <w:color w:val="111111"/>
          <w:sz w:val="28"/>
          <w:szCs w:val="28"/>
          <w:rtl w:val="true"/>
          <w:lang w:bidi="ar-SA"/>
        </w:rPr>
        <w:t>.</w:t>
      </w:r>
      <w:r>
        <w:rPr>
          <w:rStyle w:val="FootnoteAnchor"/>
          <w:rtl w:val="true"/>
        </w:rPr>
        <w:footnoteReference w:id="759"/>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الدكتور مصطفى الشِّيبي، وهو يتحدث عن عليّ 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الرضا من قوة الشخصية، وسموّ المكانة، أن التفّ حوله المرجئة، وأهل الحديث، والزيدية</w:t>
      </w:r>
      <w:r>
        <w:rPr>
          <w:rFonts w:eastAsia="Amiri" w:cs="Amiri" w:ascii="Amiri" w:hAnsi="Amiri"/>
          <w:color w:val="111111"/>
          <w:sz w:val="28"/>
          <w:szCs w:val="28"/>
          <w:rtl w:val="true"/>
          <w:lang w:bidi="ar-SA"/>
        </w:rPr>
        <w:t>.</w:t>
      </w:r>
      <w:r>
        <w:rPr>
          <w:rStyle w:val="FootnoteAnchor"/>
          <w:rtl w:val="true"/>
        </w:rPr>
        <w:footnoteReference w:id="760"/>
      </w:r>
      <w:bookmarkStart w:id="671" w:name="pg16768_165504"/>
    </w:p>
    <w:p>
      <w:pPr>
        <w:pStyle w:val="Heading4"/>
        <w:numPr>
          <w:ilvl w:val="3"/>
          <w:numId w:val="1"/>
        </w:numPr>
        <w:rPr/>
      </w:pPr>
      <w:bookmarkStart w:id="672" w:name="__RefHeading___Toc6863888_73709187"/>
      <w:bookmarkStart w:id="673" w:name="_Toc251"/>
      <w:bookmarkEnd w:id="671"/>
      <w:bookmarkEnd w:id="672"/>
      <w:r>
        <w:rPr>
          <w:rtl w:val="true"/>
        </w:rPr>
        <w:t>الفصل الثاني المدرسة الفقهية للشيعة الإمامية</w:t>
      </w:r>
      <w:bookmarkEnd w:id="673"/>
    </w:p>
    <w:p>
      <w:pPr>
        <w:pStyle w:val="Heading5"/>
        <w:numPr>
          <w:ilvl w:val="4"/>
          <w:numId w:val="1"/>
        </w:numPr>
        <w:rPr/>
      </w:pPr>
      <w:bookmarkStart w:id="674" w:name="__RefHeading___Toc6863890_73709187"/>
      <w:bookmarkStart w:id="675" w:name="_Toc252"/>
      <w:bookmarkEnd w:id="674"/>
      <w:r>
        <w:rPr>
          <w:rtl w:val="true"/>
        </w:rPr>
        <w:t>المصادر والخصائص</w:t>
      </w:r>
      <w:bookmarkEnd w:id="675"/>
    </w:p>
    <w:p>
      <w:pPr>
        <w:pStyle w:val="BookText"/>
        <w:rPr/>
      </w:pPr>
      <w:r>
        <w:rPr>
          <w:rFonts w:ascii="Amiri" w:hAnsi="Amiri" w:eastAsia="Amiri" w:cs="Amiri"/>
          <w:color w:val="111111"/>
          <w:sz w:val="28"/>
          <w:sz w:val="28"/>
          <w:szCs w:val="28"/>
          <w:rtl w:val="true"/>
          <w:lang w:bidi="ar-SA"/>
        </w:rPr>
        <w:t>وفيه بحوث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مصادر الفقه عند الشيعة الإمامية</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الشريفة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فقه الإمامية ومميزاته</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العدالة في عامة سند الرواية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العمل بالقياس بموارد خاصّة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انفتاح باب الاجتهاد</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واقعة حكم شرعي عند اللّه</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تصويب في آراء المجتهدين</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الأحكام إلى واقعية وظاهرية</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العناوين الثانوية فيه تحديد الأحكام الأولية</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صلاحيات الفقيه الجامع للشرائط</w:t>
      </w:r>
    </w:p>
    <w:p>
      <w:pPr>
        <w:pStyle w:val="BookText"/>
        <w:rPr/>
      </w:pPr>
      <w:r>
        <w:rPr>
          <w:rFonts w:ascii="Amiri" w:hAnsi="Amiri" w:eastAsia="Amiri" w:cs="Amiri"/>
          <w:color w:val="111111"/>
          <w:sz w:val="28"/>
          <w:sz w:val="28"/>
          <w:szCs w:val="28"/>
          <w:rtl w:val="true"/>
          <w:lang w:bidi="ar-SA"/>
        </w:rPr>
        <w:t>يُعدّ فقه الإمامية مرآة تعكس فقه أهل البيت وآراءهم، فهو حصيلة جهود ضخمة لفطاحل علمائهم، الذين مارسوا الاجتهاد في نطاق ما روي عن أهل البيت، وهنا لابدّ من التعرّض لأمرين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الّتي يصدر عنها الإمامية في فقههم</w:t>
      </w:r>
      <w:r>
        <w:rPr>
          <w:rFonts w:eastAsia="Amiri" w:cs="Amiri" w:ascii="Amiri" w:hAnsi="Amiri"/>
          <w:color w:val="111111"/>
          <w:sz w:val="28"/>
          <w:szCs w:val="28"/>
          <w:rtl w:val="true"/>
          <w:lang w:bidi="ar-SA"/>
        </w:rPr>
        <w:t>.</w:t>
      </w:r>
      <w:bookmarkStart w:id="676" w:name="pg16768_165505"/>
    </w:p>
    <w:p>
      <w:pPr>
        <w:pStyle w:val="BookText"/>
        <w:rPr/>
      </w:pPr>
      <w:bookmarkEnd w:id="676"/>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فقههم ومميزاته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توضيحاً لكلا الأمرين</w:t>
      </w:r>
      <w:r>
        <w:rPr>
          <w:rFonts w:eastAsia="Amiri" w:cs="Amiri" w:ascii="Amiri" w:hAnsi="Amiri"/>
          <w:color w:val="111111"/>
          <w:sz w:val="28"/>
          <w:szCs w:val="28"/>
          <w:rtl w:val="true"/>
          <w:lang w:bidi="ar-SA"/>
        </w:rPr>
        <w:t>:</w:t>
      </w:r>
    </w:p>
    <w:p>
      <w:pPr>
        <w:pStyle w:val="Heading5"/>
        <w:numPr>
          <w:ilvl w:val="4"/>
          <w:numId w:val="1"/>
        </w:numPr>
        <w:rPr/>
      </w:pPr>
      <w:bookmarkStart w:id="677" w:name="__RefHeading___Toc6863892_73709187"/>
      <w:bookmarkStart w:id="678" w:name="_Toc253"/>
      <w:bookmarkEnd w:id="677"/>
      <w:r>
        <w:rPr>
          <w:rtl w:val="true"/>
        </w:rPr>
        <w:t>الأمر الأوّل</w:t>
      </w:r>
      <w:r>
        <w:rPr>
          <w:rtl w:val="true"/>
        </w:rPr>
        <w:t xml:space="preserve">: </w:t>
      </w:r>
      <w:r>
        <w:rPr>
          <w:rtl w:val="true"/>
        </w:rPr>
        <w:t>مصادر الفقه عند الشيعة الإمامية</w:t>
      </w:r>
      <w:bookmarkEnd w:id="678"/>
    </w:p>
    <w:p>
      <w:pPr>
        <w:pStyle w:val="Heading6"/>
        <w:numPr>
          <w:ilvl w:val="5"/>
          <w:numId w:val="1"/>
        </w:numPr>
        <w:rPr/>
      </w:pPr>
      <w:bookmarkStart w:id="679" w:name="__RefHeading___Toc6863894_73709187"/>
      <w:bookmarkStart w:id="680" w:name="_Toc254"/>
      <w:bookmarkEnd w:id="679"/>
      <w:r>
        <w:rPr>
          <w:rtl w:val="true"/>
        </w:rPr>
        <w:t>اشارة</w:t>
      </w:r>
      <w:bookmarkEnd w:id="680"/>
    </w:p>
    <w:p>
      <w:pPr>
        <w:pStyle w:val="BookText"/>
        <w:rPr/>
      </w:pPr>
      <w:r>
        <w:rPr>
          <w:rFonts w:ascii="Amiri" w:hAnsi="Amiri" w:eastAsia="Amiri" w:cs="Amiri"/>
          <w:color w:val="111111"/>
          <w:sz w:val="28"/>
          <w:sz w:val="28"/>
          <w:szCs w:val="28"/>
          <w:rtl w:val="true"/>
          <w:lang w:bidi="ar-SA"/>
        </w:rPr>
        <w:t>اتّفقت الشيعة الإمامية على أنّ منابع الفقه ومصادره لا تتجاوز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اللّه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 المطهرة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العقل</w:t>
      </w:r>
    </w:p>
    <w:p>
      <w:pPr>
        <w:pStyle w:val="BookText"/>
        <w:rPr/>
      </w:pPr>
      <w:r>
        <w:rPr>
          <w:rFonts w:ascii="Amiri" w:hAnsi="Amiri" w:eastAsia="Amiri" w:cs="Amiri"/>
          <w:color w:val="111111"/>
          <w:sz w:val="28"/>
          <w:sz w:val="28"/>
          <w:szCs w:val="28"/>
          <w:rtl w:val="true"/>
          <w:lang w:bidi="ar-SA"/>
        </w:rPr>
        <w:t xml:space="preserve">قال الفقيه الكبير محمد بن إدريس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ديباجة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الحق لا يعدو أربع طرق؛ إمّا كتاب اللّه سبحانه، أو سنة رسوله المتواترة المتفق عليها، أو الإجماع، أو دليل العقل، فإذا فقدت الثلاثة فالمعتمد في المسائل الشرعية عند المحققين الباحثين عن مآخذ الشريعة التمسك بدليل العقل</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وقد ذكرنا كلام هذا الفقيه، ليعلم أنّ حصر المنابع الفقهية بهذه الأُمور الأربعة ليس شيئاً جديداً بين فقهاء الإمامية وإنّما هو أمر كان عليه فقهاؤهم منذ قرون عديدة</w:t>
      </w:r>
      <w:r>
        <w:rPr>
          <w:rFonts w:eastAsia="Amiri" w:cs="Amiri" w:ascii="Amiri" w:hAnsi="Amiri"/>
          <w:color w:val="111111"/>
          <w:sz w:val="28"/>
          <w:szCs w:val="28"/>
          <w:rtl w:val="true"/>
          <w:lang w:bidi="ar-SA"/>
        </w:rPr>
        <w:t>.</w:t>
      </w:r>
    </w:p>
    <w:p>
      <w:pPr>
        <w:pStyle w:val="Heading6"/>
        <w:numPr>
          <w:ilvl w:val="5"/>
          <w:numId w:val="1"/>
        </w:numPr>
        <w:rPr/>
      </w:pPr>
      <w:bookmarkStart w:id="681" w:name="__RefHeading___Toc6863896_73709187"/>
      <w:bookmarkStart w:id="682" w:name="_Toc255"/>
      <w:bookmarkEnd w:id="681"/>
      <w:r>
        <w:rPr>
          <w:rtl w:val="true"/>
        </w:rPr>
        <w:t>المصدر الأوّل</w:t>
      </w:r>
      <w:r>
        <w:rPr>
          <w:rtl w:val="true"/>
        </w:rPr>
        <w:t xml:space="preserve">: </w:t>
      </w:r>
      <w:r>
        <w:rPr>
          <w:rtl w:val="true"/>
        </w:rPr>
        <w:t>القرآن الكريم</w:t>
      </w:r>
      <w:bookmarkEnd w:id="682"/>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كتاب اللّه العزيز فلا يُعدل عنه إلى غيره مطلقاً، وله مكانة عظيمة عندهم حتّى أنّ قسماً من المحقّقين لا يجوِّزون تخصيص الكتاب بالخبر الواحد، وإنّما يجوِّزون تخصيص الكتاب العزيز بالمتواتر المتضافر</w:t>
      </w:r>
      <w:r>
        <w:rPr>
          <w:rFonts w:eastAsia="Amiri" w:cs="Amiri" w:ascii="Amiri" w:hAnsi="Amiri"/>
          <w:color w:val="111111"/>
          <w:sz w:val="28"/>
          <w:szCs w:val="28"/>
          <w:rtl w:val="true"/>
          <w:lang w:bidi="ar-SA"/>
        </w:rPr>
        <w:t>.</w:t>
      </w:r>
      <w:bookmarkStart w:id="683" w:name="pg16768_165506"/>
    </w:p>
    <w:p>
      <w:pPr>
        <w:pStyle w:val="BookText"/>
        <w:rPr/>
      </w:pPr>
      <w:bookmarkEnd w:id="683"/>
      <w:r>
        <w:rPr>
          <w:rFonts w:ascii="Amiri" w:hAnsi="Amiri" w:eastAsia="Amiri" w:cs="Amiri"/>
          <w:color w:val="111111"/>
          <w:sz w:val="28"/>
          <w:sz w:val="28"/>
          <w:szCs w:val="28"/>
          <w:rtl w:val="true"/>
          <w:lang w:bidi="ar-SA"/>
        </w:rPr>
        <w:t xml:space="preserve">وقد اتفقت كلمة محقّقي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تاريخهم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كتاب اللّه الموجود عند عامة المسلمين هو نفسه الّذي نزل به الروح الأمين على قلب سيد المرسلين لم تتطرق إليه زيادة ولا نقص، وأنّ ما ورد من الروايات حول ذلك فهي إمّا مؤولة أو مطروحة</w:t>
      </w:r>
      <w:r>
        <w:rPr>
          <w:rFonts w:eastAsia="Amiri" w:cs="Amiri" w:ascii="Amiri" w:hAnsi="Amiri"/>
          <w:color w:val="111111"/>
          <w:sz w:val="28"/>
          <w:szCs w:val="28"/>
          <w:rtl w:val="true"/>
          <w:lang w:bidi="ar-SA"/>
        </w:rPr>
        <w:t>.</w:t>
      </w:r>
    </w:p>
    <w:p>
      <w:pPr>
        <w:pStyle w:val="Heading6"/>
        <w:numPr>
          <w:ilvl w:val="5"/>
          <w:numId w:val="1"/>
        </w:numPr>
        <w:rPr/>
      </w:pPr>
      <w:bookmarkStart w:id="684" w:name="__RefHeading___Toc6863898_73709187"/>
      <w:bookmarkStart w:id="685" w:name="_Toc256"/>
      <w:bookmarkEnd w:id="684"/>
      <w:r>
        <w:rPr>
          <w:rtl w:val="true"/>
        </w:rPr>
        <w:t>المصدر الثاني</w:t>
      </w:r>
      <w:r>
        <w:rPr>
          <w:rtl w:val="true"/>
        </w:rPr>
        <w:t xml:space="preserve">: </w:t>
      </w:r>
      <w:r>
        <w:rPr>
          <w:rtl w:val="true"/>
        </w:rPr>
        <w:t>السنّة الشريفة</w:t>
      </w:r>
      <w:bookmarkEnd w:id="685"/>
    </w:p>
    <w:p>
      <w:pPr>
        <w:pStyle w:val="BookText"/>
        <w:rPr/>
      </w:pPr>
      <w:r>
        <w:rPr>
          <w:rFonts w:ascii="Amiri" w:hAnsi="Amiri" w:eastAsia="Amiri" w:cs="Amiri"/>
          <w:color w:val="111111"/>
          <w:sz w:val="28"/>
          <w:sz w:val="28"/>
          <w:szCs w:val="28"/>
          <w:rtl w:val="true"/>
          <w:lang w:bidi="ar-SA"/>
        </w:rPr>
        <w:t>وأمّا السنة الشريفة فقد خصّ اللّه تعالى بها المسلمين دون سائر الأُمم، وقد اهتم المسلمون بنقل ما أُثر عن النبي صلى الله عليه و آله من قول وفعل وتقرير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أكد أئمة أهل البيت عليهم السلام على أنّ السنة الشريفة هي المصدر الرئيسي بعد الكتاب، وأنّ جميع ما يحتاج الناس إليه قد بيّنه سبحانه في الذكر الحكيم وورد في سنة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لم يدع شيئاً تحتاج إليه الأُمّة إلّا أنزله في كتابه وبيّنه لرسوله، وجعل لكلّ شيء حدّاً، وجعل عليه دليلاً يدل عليه، وجعل على من تعدّى ذلك الحد حدّاً</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وقال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إلّاوفيه كتاب أو سنّة</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روى أبو حمزة الثُّماليّ عن الإمام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في خطبته في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اتقوا اللّه ما من شيء يقربكم من الجنة ويباعدكم من النار إلّاوقد نهيتكم عنه وأمرتكم به</w:t>
      </w:r>
      <w:r>
        <w:rPr>
          <w:rFonts w:eastAsia="Amiri" w:cs="Amiri" w:ascii="Amiri" w:hAnsi="Amiri"/>
          <w:color w:val="111111"/>
          <w:sz w:val="28"/>
          <w:szCs w:val="28"/>
          <w:rtl w:val="true"/>
          <w:lang w:bidi="ar-SA"/>
        </w:rPr>
        <w:t>».</w:t>
      </w:r>
      <w:r>
        <w:rPr>
          <w:rStyle w:val="FootnoteAnchor"/>
          <w:rtl w:val="true"/>
        </w:rPr>
        <w:footnoteReference w:id="764"/>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 المتضافرة عن أئمة أهل البيت عليهم السلام، الّتي تؤكد على الاهتمام بالسنة والركون إليها</w:t>
      </w:r>
      <w:r>
        <w:rPr>
          <w:rFonts w:eastAsia="Amiri" w:cs="Amiri" w:ascii="Amiri" w:hAnsi="Amiri"/>
          <w:color w:val="111111"/>
          <w:sz w:val="28"/>
          <w:szCs w:val="28"/>
          <w:rtl w:val="true"/>
          <w:lang w:bidi="ar-SA"/>
        </w:rPr>
        <w:t>.</w:t>
      </w:r>
      <w:bookmarkStart w:id="686" w:name="pg16768_165507"/>
    </w:p>
    <w:p>
      <w:pPr>
        <w:pStyle w:val="Heading6"/>
        <w:numPr>
          <w:ilvl w:val="5"/>
          <w:numId w:val="1"/>
        </w:numPr>
        <w:rPr/>
      </w:pPr>
      <w:bookmarkStart w:id="687" w:name="__RefHeading___Toc6863900_73709187"/>
      <w:bookmarkStart w:id="688" w:name="_Toc257"/>
      <w:bookmarkEnd w:id="686"/>
      <w:bookmarkEnd w:id="687"/>
      <w:r>
        <w:rPr>
          <w:rtl w:val="true"/>
        </w:rPr>
        <w:t>المصدر الثالث</w:t>
      </w:r>
      <w:r>
        <w:rPr>
          <w:rtl w:val="true"/>
        </w:rPr>
        <w:t xml:space="preserve">: </w:t>
      </w:r>
      <w:r>
        <w:rPr>
          <w:rtl w:val="true"/>
        </w:rPr>
        <w:t>الإجماع</w:t>
      </w:r>
      <w:bookmarkEnd w:id="688"/>
    </w:p>
    <w:p>
      <w:pPr>
        <w:pStyle w:val="BookText"/>
        <w:rPr/>
      </w:pPr>
      <w:r>
        <w:rPr>
          <w:rFonts w:ascii="Amiri" w:hAnsi="Amiri" w:eastAsia="Amiri" w:cs="Amiri"/>
          <w:color w:val="111111"/>
          <w:sz w:val="28"/>
          <w:sz w:val="28"/>
          <w:szCs w:val="28"/>
          <w:rtl w:val="true"/>
          <w:lang w:bidi="ar-SA"/>
        </w:rPr>
        <w:t xml:space="preserve">عدّ الأُصوليون من فقهاء السنّة الإجماع من مصادر الفقه، بمعنى أنّ اتفاق الأئمة في عصر على حكم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مستنداً إلى دليل ما حتّى ولو كان دليلاً ظنيّاً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 حكماً شرعياً قطعياً إلهياً، وإن لم ينزل به الوحي، فلذلك وصف الإجماع بأنّه من مصادر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في مدرسة أهل البيت، فهو بما هو هو ليس من مصادر التشريع، وإنّما يكشف عن وجود الدليل، فالاتفاق مهما كان واسعاً لا يؤثر في جعل حكم ظني حكماً شرعياً قطعياً إلهياً، وإنّما المؤثر في ذلك المجال نزول الوحي به، فلو نزل به الوحي يكون المجمع عليه حكماً شرعياً، ولو لم ينزل به الوحي فالإجماع لا يضفي عليه الصفة الشرعية، فغاية ما يمكن أن يقوم به الإجماع، هو الكشف عن وجود الدليل في المسألة وإن لم يصل إلينا، إذ من البعيد اتفاق أُمّة كبيرة على الحكم إذا لم يكن في متناولهم دليل شرعي</w:t>
      </w:r>
      <w:r>
        <w:rPr>
          <w:rFonts w:eastAsia="Amiri" w:cs="Amiri" w:ascii="Amiri" w:hAnsi="Amiri"/>
          <w:color w:val="111111"/>
          <w:sz w:val="28"/>
          <w:szCs w:val="28"/>
          <w:rtl w:val="true"/>
          <w:lang w:bidi="ar-SA"/>
        </w:rPr>
        <w:t>.</w:t>
      </w:r>
    </w:p>
    <w:p>
      <w:pPr>
        <w:pStyle w:val="Heading6"/>
        <w:numPr>
          <w:ilvl w:val="5"/>
          <w:numId w:val="1"/>
        </w:numPr>
        <w:rPr/>
      </w:pPr>
      <w:bookmarkStart w:id="689" w:name="__RefHeading___Toc6863902_73709187"/>
      <w:bookmarkStart w:id="690" w:name="_Toc258"/>
      <w:bookmarkEnd w:id="689"/>
      <w:r>
        <w:rPr>
          <w:rtl w:val="true"/>
        </w:rPr>
        <w:t>المصدر الرابع</w:t>
      </w:r>
      <w:r>
        <w:rPr>
          <w:rtl w:val="true"/>
        </w:rPr>
        <w:t xml:space="preserve">: </w:t>
      </w:r>
      <w:r>
        <w:rPr>
          <w:rtl w:val="true"/>
        </w:rPr>
        <w:t>العقل</w:t>
      </w:r>
      <w:bookmarkEnd w:id="690"/>
    </w:p>
    <w:p>
      <w:pPr>
        <w:pStyle w:val="BookText"/>
        <w:rPr/>
      </w:pPr>
      <w:r>
        <w:rPr>
          <w:rFonts w:ascii="Amiri" w:hAnsi="Amiri" w:eastAsia="Amiri" w:cs="Amiri"/>
          <w:color w:val="111111"/>
          <w:sz w:val="28"/>
          <w:sz w:val="28"/>
          <w:szCs w:val="28"/>
          <w:rtl w:val="true"/>
          <w:lang w:bidi="ar-SA"/>
        </w:rPr>
        <w:t>لقد تضافرت الروايات عن أئمة أهل البيت عليهم السلام على حجية العقل، 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اللّه على العباد النبي، والحجة فيما بين العباد وبين اللّه العقل</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وقال الإمام موسى بن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هشام بن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إنّ للّه على الناس حجتين، حجة ظاهرية وحجة باطنية، فأمّا الظاهرة فالرسل والأنبياء والأئمة، وأمّا الباطنة فالعقول</w:t>
      </w:r>
      <w:r>
        <w:rPr>
          <w:rFonts w:eastAsia="Amiri" w:cs="Amiri" w:ascii="Amiri" w:hAnsi="Amiri"/>
          <w:color w:val="111111"/>
          <w:sz w:val="28"/>
          <w:szCs w:val="28"/>
          <w:rtl w:val="true"/>
          <w:lang w:bidi="ar-SA"/>
        </w:rPr>
        <w:t>».</w:t>
      </w:r>
      <w:r>
        <w:rPr>
          <w:rStyle w:val="FootnoteAnchor"/>
          <w:rtl w:val="true"/>
        </w:rPr>
        <w:footnoteReference w:id="766"/>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العقل كالإجماع ليس من مصادر التشريع بل هو من كواشفه، بمعنى أنّه يكشف عن حكم اللّه سبحانه بالطريق الّذي سنذكره، كما يكشف الإجماع عن</w:t>
      </w:r>
    </w:p>
    <w:p>
      <w:pPr>
        <w:pStyle w:val="BookText"/>
        <w:rPr/>
      </w:pPr>
      <w:r>
        <w:rPr>
          <w:rFonts w:ascii="Amiri" w:hAnsi="Amiri" w:eastAsia="Amiri" w:cs="Amiri"/>
          <w:color w:val="111111"/>
          <w:sz w:val="28"/>
          <w:sz w:val="28"/>
          <w:szCs w:val="28"/>
          <w:rtl w:val="true"/>
          <w:lang w:bidi="ar-SA"/>
        </w:rPr>
        <w:t>وجود دليل لفظي صادر عن صاحب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استكشاف العقل عن حكم اللّه سبحانه يعتمد على أصلين قطعيين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التحسين والتقبيح العقليّان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الملازمات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للعقل قابلية على معرفة حسن الأفعال وقبحها، إذ هو بنفسه يدرك حسن الإحسان وحسن مجازاة الإحسان بمثله، وحسن العمل بالميثاق،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يدرك من صميم ذاته قبح الظلم وقبح مجازاة الإحسان بالإساءة، وقبح نقض الميثاق، إلى غير ذلك من الأفعال الّتي يدرك العقل الحصيف المنقطع عن كل شيء حسنها أو قبحها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والذكر الحكيم يشهد على تلك القابلية حيث يخاطب الإنسان بما تقتضي به فطرته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فَنَجْعَلُ الْمُسْلِمِينَ كَالْمُجْرِمِينَ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767"/>
      </w:r>
      <w:r>
        <w:rPr>
          <w:rFonts w:ascii="Amiri" w:hAnsi="Amiri" w:eastAsia="Amiri" w:cs="Amiri"/>
          <w:color w:val="111111"/>
          <w:sz w:val="28"/>
          <w:sz w:val="28"/>
          <w:szCs w:val="28"/>
          <w:rtl w:val="true"/>
          <w:lang w:bidi="ar-SA"/>
        </w:rPr>
        <w:t>، ويقول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الَّذِينَ اجْتَرَحُوا السَّيِّئاتِ أَنْ نَجْعَلَهُمْ كَالَّذِينَ آمَنُوا وَ عَمِلُوا الصّالِحاتِ سَواءً مَحْياهُمْ وَ مَماتُهُمْ ساءَ ما يَحْكُمُونَ‌</w:t>
      </w:r>
      <w:r>
        <w:rPr>
          <w:rFonts w:eastAsia="Amiri" w:cs="Amiri" w:ascii="Amiri" w:hAnsi="Amiri"/>
          <w:color w:val="111111"/>
          <w:sz w:val="28"/>
          <w:szCs w:val="28"/>
          <w:rtl w:val="true"/>
          <w:lang w:bidi="ar-SA"/>
        </w:rPr>
        <w:t>)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الَّذِينَ آمَنُوا وَ عَمِلُوا الصّالِحاتِ كَالْمُفْسِدِينَ فِي الْأَرْضِ أَمْ نَجْعَلُ الْمُتَّقِينَ كَالْفُجّارِ</w:t>
      </w:r>
      <w:r>
        <w:rPr>
          <w:rFonts w:eastAsia="Amiri" w:cs="Amiri" w:ascii="Amiri" w:hAnsi="Amiri"/>
          <w:color w:val="111111"/>
          <w:sz w:val="28"/>
          <w:szCs w:val="28"/>
          <w:rtl w:val="true"/>
          <w:lang w:bidi="ar-SA"/>
        </w:rPr>
        <w:t>)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وهذه الآيات تتخذ من وجدان الإنسان شاهداً على عدم التسوية، وتدل بالتالي على أنّ الإنسان قادر بفطرته الإلهية على درك حسن الأفعال وقبحها، ولما كانت التسوية بين الطائفتين قبيحة عند العقل، ذَكر سبحانه أنّ ساحته أيضاً منزّهةً عنها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فالقول بالتحسين والتقبيح العقليين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أساس في باب المعارف</w:t>
      </w:r>
      <w:bookmarkStart w:id="691" w:name="pg16768_165509"/>
    </w:p>
    <w:p>
      <w:pPr>
        <w:pStyle w:val="BookText"/>
        <w:rPr/>
      </w:pPr>
      <w:bookmarkEnd w:id="691"/>
      <w:r>
        <w:rPr>
          <w:rFonts w:ascii="Amiri" w:hAnsi="Amiri" w:eastAsia="Amiri" w:cs="Amiri"/>
          <w:color w:val="111111"/>
          <w:sz w:val="28"/>
          <w:sz w:val="28"/>
          <w:szCs w:val="28"/>
          <w:rtl w:val="true"/>
          <w:lang w:bidi="ar-SA"/>
        </w:rPr>
        <w:t xml:space="preserve">والعقائد أيضاً وهو خارج عن موضوع بحثنا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لاستنباط فروع فقهية في حقول خاصّة، أوضحها أصل البراءة من التكليف، وعدم وجوب الاحتياط عند الشك في التكليف لاستقلال العقل بقبح العقاب بلا بيان، فإذا لم يجد المستنبط دليلاً شرعياً على الحكم الشرعي، فالعقل يستقل بالبراءة من التكليف من غير فرق بين كون المحتمل وجوباً أو تحريماً، ومن حسن الحظ أنّ الشرع أيضاً عزّزه،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كُنّا مُعَذِّبِينَ حَتّى نَبْعَثَ رَسُولاً</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 وبعث الرسول كناية عن بيان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العقل يستقل بحسن الاحتياط ووجوبه فيما إذا عُلم التكليف وجُهل المكلف به وتردد بين أمرين، فالعقل يحكم بالاحتياط لأنّ الاشتغال اليقيني بالحكم يقتضي البراءة اليقينية، إمّا بإتيان الأمرين إذا علم الوجوب وتردد المكلف به بين أمرين أو أكثر، أو ترك الأمرين إذا علمت الحرمة ولم يعلم المكلف به معيّناً، إلى غير ذلك من الآثار الشرعية للقول بالحسن والقبح العقليين</w:t>
      </w:r>
      <w:r>
        <w:rPr>
          <w:rFonts w:eastAsia="Amiri" w:cs="Amiri" w:ascii="Amiri" w:hAnsi="Amiri"/>
          <w:color w:val="111111"/>
          <w:sz w:val="28"/>
          <w:szCs w:val="28"/>
          <w:rtl w:val="true"/>
          <w:lang w:bidi="ar-SA"/>
        </w:rPr>
        <w:t>.</w:t>
      </w:r>
    </w:p>
    <w:p>
      <w:pPr>
        <w:pStyle w:val="Heading6"/>
        <w:numPr>
          <w:ilvl w:val="5"/>
          <w:numId w:val="1"/>
        </w:numPr>
        <w:rPr/>
      </w:pPr>
      <w:bookmarkStart w:id="692" w:name="__RefHeading___Toc6863904_73709187"/>
      <w:bookmarkStart w:id="693" w:name="_Toc259"/>
      <w:bookmarkEnd w:id="692"/>
      <w:r>
        <w:rPr>
          <w:rtl w:val="true"/>
        </w:rPr>
        <w:t>إزاحة شبهة</w:t>
      </w:r>
      <w:bookmarkEnd w:id="693"/>
    </w:p>
    <w:p>
      <w:pPr>
        <w:pStyle w:val="BookText"/>
        <w:rPr/>
      </w:pPr>
      <w:r>
        <w:rPr>
          <w:rFonts w:ascii="Amiri" w:hAnsi="Amiri" w:eastAsia="Amiri" w:cs="Amiri"/>
          <w:color w:val="111111"/>
          <w:sz w:val="28"/>
          <w:sz w:val="28"/>
          <w:szCs w:val="28"/>
          <w:rtl w:val="true"/>
          <w:lang w:bidi="ar-SA"/>
        </w:rPr>
        <w:t>ربّما يُتصوَّر أنّ القول بالتحسين والتقبيح العقليين يلازم التحكم على اللّه سبحانه، وأنّه يجب عليه أن يفعل كذا لحسنه أو أن لا يفعل كذا لقبحه، ومن المعلوم أنّ التحكم من العبد الذليل بالنسبة إلى المولى العزيز أمر قبيح جدّاً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المستشكل لم يفرق بين الإيجاب المولوي والإيجاب الاستكشافي، والباطل هو الأوّل فإنّه سبحانه مولى الجميع والناس عباد له، وليس لأحد أن يحكم عليه سبحانه بشيء إذ هو مختار على الإطلاق، وأمّا الإيجاب الاستكشافي فهو بمعنى أنّ العقل يستكشف من خلال صفاته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ككونه حكيماً عادلاً</w:t>
      </w:r>
    </w:p>
    <w:p>
      <w:pPr>
        <w:pStyle w:val="BookText"/>
        <w:rPr/>
      </w:pPr>
      <w:r>
        <w:rPr>
          <w:rFonts w:ascii="Amiri" w:hAnsi="Amiri" w:eastAsia="Amiri" w:cs="Amiri"/>
          <w:color w:val="111111"/>
          <w:sz w:val="28"/>
          <w:sz w:val="28"/>
          <w:szCs w:val="28"/>
          <w:rtl w:val="true"/>
          <w:lang w:bidi="ar-SA"/>
        </w:rPr>
        <w:t xml:space="preserve">قديراً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يعذّب البريء، فالقول بأنّه يجب على اللّه سبحانه بمعنى الملازمة بين حكمته وعدله وعدم تعذيب البريء، وليس استكشاف العقل في المقام بأقلّ من استكشاف الأحكام الكونية، حيث يحكم بأنّ زوايا المثلث تكون قائمتين، فزوايا المثلث في الخارج موصوفة بهذا المقدار، ولكن العقل يستكشف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وللقول بالتحسين والتقبيح العقليين آثار كثيرة في الفقه الإمامي نذكر منها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الإتيان بالمأمور به مجز عن الإعادة والقضاء، لقبح بقاء الأمر بعد الامتثال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مرجّحات باب التزاحم الّتي تُبنى على تقديم الأهم على المهم، والحاكم بالتقديم هو العقل لقبح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باب الملازمات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باب الملازمات هو المجال الثاني لحكم العقل، فإذا أدرك العقل الملازمة بين الوجوبين أو الحرمتين وورد أحد الوجوبين في الشرع دون الآخر، يحكم العقل بالوجوب الثاني بناء على وجود الملازمة بين الحكمين، فاستكشاف الحكم الشرعي رهن ثبوت الملازمة بين الحكمين، وإليك نماذج من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الملازمة بين الوجوبين، كوجوب الشيء ووجوب مقدّمته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الملازمة بين الحرمتين، كحرمة الشيء وحرمة مقدّمته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الملازمة بين وجوب الشيء وحرمة ضدّه، كوجوب المضيّق وحرمة الموسّع عند التزاحم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الملازمة بين النهي عن العبادة وفسادها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الملازمة بين النهي عن المعاملة وفسادها في موارد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الملازمة بين وجود الحكم لدى وجود الشرط والوصف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والانتفاء لدى الانتفاء</w:t>
      </w:r>
      <w:r>
        <w:rPr>
          <w:rFonts w:eastAsia="Amiri" w:cs="Amiri" w:ascii="Amiri" w:hAnsi="Amiri"/>
          <w:color w:val="111111"/>
          <w:sz w:val="28"/>
          <w:szCs w:val="28"/>
          <w:rtl w:val="true"/>
          <w:lang w:bidi="ar-SA"/>
        </w:rPr>
        <w:t>.</w:t>
      </w:r>
      <w:bookmarkStart w:id="694" w:name="pg16768_165511"/>
    </w:p>
    <w:p>
      <w:pPr>
        <w:pStyle w:val="BookText"/>
        <w:rPr/>
      </w:pPr>
      <w:bookmarkEnd w:id="694"/>
      <w:r>
        <w:rPr>
          <w:rFonts w:ascii="Amiri" w:hAnsi="Amiri" w:eastAsia="Amiri" w:cs="Amiri"/>
          <w:color w:val="111111"/>
          <w:sz w:val="28"/>
          <w:sz w:val="28"/>
          <w:szCs w:val="28"/>
          <w:rtl w:val="true"/>
          <w:lang w:bidi="ar-SA"/>
        </w:rPr>
        <w:t>إلى غير ذلك ممّا يدخل في أبواب الملازمة الموصوفة عندهم بالملازمات غير المستقلة، فإنّ الحكم المستكشف في هذه الموارد عن طريق الملازمة، حكم شرعي، نظير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مقدّمة الواجب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مقدّمة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الضدّ الموسّع المزاحم للمضيّق، كالصلاة عند الابتلاء بإزالة النجاسة عن المسجد، أو أداء الدين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فساد العبادة المنهي عنها، كالصوم في السفر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فساد المعاملات المنهي عنها كبيع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الموارد الّتي توصف بغير المستقلات العقلية، وفي الفقه الشيعي وعلم الأُصول دور كبير لباب الملازمات، فمن مثبت ونافٍ ومفصِّل</w:t>
      </w:r>
      <w:r>
        <w:rPr>
          <w:rFonts w:eastAsia="Amiri" w:cs="Amiri" w:ascii="Amiri" w:hAnsi="Amiri"/>
          <w:color w:val="111111"/>
          <w:sz w:val="28"/>
          <w:szCs w:val="28"/>
          <w:rtl w:val="true"/>
          <w:lang w:bidi="ar-SA"/>
        </w:rPr>
        <w:t>.</w:t>
      </w:r>
    </w:p>
    <w:p>
      <w:pPr>
        <w:pStyle w:val="Heading5"/>
        <w:numPr>
          <w:ilvl w:val="4"/>
          <w:numId w:val="1"/>
        </w:numPr>
        <w:rPr/>
      </w:pPr>
      <w:bookmarkStart w:id="695" w:name="__RefHeading___Toc6863906_73709187"/>
      <w:bookmarkStart w:id="696" w:name="_Toc260"/>
      <w:bookmarkEnd w:id="695"/>
      <w:r>
        <w:rPr>
          <w:rtl w:val="true"/>
        </w:rPr>
        <w:t>الأمر الثاني</w:t>
      </w:r>
      <w:r>
        <w:rPr>
          <w:rtl w:val="true"/>
        </w:rPr>
        <w:t xml:space="preserve">: </w:t>
      </w:r>
      <w:r>
        <w:rPr>
          <w:rtl w:val="true"/>
        </w:rPr>
        <w:t>خصائص فقه الإمامية ومميزاته</w:t>
      </w:r>
      <w:bookmarkEnd w:id="696"/>
    </w:p>
    <w:p>
      <w:pPr>
        <w:pStyle w:val="Heading6"/>
        <w:numPr>
          <w:ilvl w:val="5"/>
          <w:numId w:val="1"/>
        </w:numPr>
        <w:rPr/>
      </w:pPr>
      <w:bookmarkStart w:id="697" w:name="__RefHeading___Toc6863908_73709187"/>
      <w:bookmarkStart w:id="698" w:name="_Toc261"/>
      <w:bookmarkEnd w:id="697"/>
      <w:r>
        <w:rPr>
          <w:rtl w:val="true"/>
        </w:rPr>
        <w:t>اشارة</w:t>
      </w:r>
      <w:bookmarkEnd w:id="698"/>
    </w:p>
    <w:p>
      <w:pPr>
        <w:pStyle w:val="BookText"/>
        <w:rPr/>
      </w:pPr>
      <w:r>
        <w:rPr>
          <w:rFonts w:ascii="Amiri" w:hAnsi="Amiri" w:eastAsia="Amiri" w:cs="Amiri"/>
          <w:color w:val="111111"/>
          <w:sz w:val="28"/>
          <w:sz w:val="28"/>
          <w:szCs w:val="28"/>
          <w:rtl w:val="true"/>
          <w:lang w:bidi="ar-SA"/>
        </w:rPr>
        <w:t>إنّ لكلّ مدرسة فقهية خصائص ومميزات تفترق بها عن سائر المدارس، ومدرسة أهل البيت الفقهية مع أنّها تشارك بقية المدارس في كثير من الأُمور بحيث لا يجد الفقيه مسألة من المسائل الخلافية عندهم إلّاووافقهم فيها أحد المذاهب الفقهية السائدة أو البائدة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إذا راجعنا كتاب الخلاف للشيخ الطوسي، نجد أنّ ما من مسألة تضاربت فيها الآراء والأفكار إلّاوللشيعة فيها قول ورأي يوافقهم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المذاهب</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ذلك نشير إلى خصائص فقههم</w:t>
      </w:r>
      <w:r>
        <w:rPr>
          <w:rFonts w:eastAsia="Amiri" w:cs="Amiri" w:ascii="Amiri" w:hAnsi="Amiri"/>
          <w:color w:val="111111"/>
          <w:sz w:val="28"/>
          <w:szCs w:val="28"/>
          <w:rtl w:val="true"/>
          <w:lang w:bidi="ar-SA"/>
        </w:rPr>
        <w:t>.</w:t>
      </w:r>
      <w:bookmarkStart w:id="699" w:name="pg16768_165512"/>
    </w:p>
    <w:p>
      <w:pPr>
        <w:pStyle w:val="Heading6"/>
        <w:numPr>
          <w:ilvl w:val="5"/>
          <w:numId w:val="1"/>
        </w:numPr>
        <w:rPr/>
      </w:pPr>
      <w:bookmarkStart w:id="700" w:name="__RefHeading___Toc6863910_73709187"/>
      <w:bookmarkStart w:id="701" w:name="_Toc262"/>
      <w:bookmarkEnd w:id="699"/>
      <w:bookmarkEnd w:id="700"/>
      <w:r>
        <w:rPr>
          <w:rtl w:val="true"/>
        </w:rPr>
        <w:t>الأُولى</w:t>
      </w:r>
      <w:r>
        <w:rPr>
          <w:rtl w:val="true"/>
        </w:rPr>
        <w:t xml:space="preserve">: </w:t>
      </w:r>
      <w:r>
        <w:rPr>
          <w:rtl w:val="true"/>
        </w:rPr>
        <w:t>إحراز العدالة في عامة سند الرواية</w:t>
      </w:r>
      <w:bookmarkEnd w:id="701"/>
    </w:p>
    <w:p>
      <w:pPr>
        <w:pStyle w:val="BookText"/>
        <w:rPr/>
      </w:pPr>
      <w:r>
        <w:rPr>
          <w:rFonts w:ascii="Amiri" w:hAnsi="Amiri" w:eastAsia="Amiri" w:cs="Amiri"/>
          <w:color w:val="111111"/>
          <w:sz w:val="28"/>
          <w:sz w:val="28"/>
          <w:szCs w:val="28"/>
          <w:rtl w:val="true"/>
          <w:lang w:bidi="ar-SA"/>
        </w:rPr>
        <w:t>قد عرفت أنّ السنّة الشريفة هي المصدر الثاني للتشريع، والشيعة يعملون بكل ما روي عن النبي الأكرم صلى الله عليه و آله سواء أوصل إليهم عن طريق أئمة أهل البيت أو عن طريق آخر، بشرط إحراز العدالة أو الوثاقة في عامة رجال السند، ولا يعتقدون بالعدالة الجماعية في طائفة من الطوائف</w:t>
      </w:r>
      <w:r>
        <w:rPr>
          <w:rFonts w:eastAsia="Amiri" w:cs="Amiri" w:ascii="Amiri" w:hAnsi="Amiri"/>
          <w:color w:val="111111"/>
          <w:sz w:val="28"/>
          <w:szCs w:val="28"/>
          <w:rtl w:val="true"/>
          <w:lang w:bidi="ar-SA"/>
        </w:rPr>
        <w:t>.</w:t>
      </w:r>
    </w:p>
    <w:p>
      <w:pPr>
        <w:pStyle w:val="Heading6"/>
        <w:numPr>
          <w:ilvl w:val="5"/>
          <w:numId w:val="1"/>
        </w:numPr>
        <w:rPr/>
      </w:pPr>
      <w:bookmarkStart w:id="702" w:name="__RefHeading___Toc6863912_73709187"/>
      <w:bookmarkStart w:id="703" w:name="_Toc263"/>
      <w:bookmarkEnd w:id="702"/>
      <w:r>
        <w:rPr>
          <w:rtl w:val="true"/>
        </w:rPr>
        <w:t>الثانية</w:t>
      </w:r>
      <w:r>
        <w:rPr>
          <w:rtl w:val="true"/>
        </w:rPr>
        <w:t xml:space="preserve">: </w:t>
      </w:r>
      <w:r>
        <w:rPr>
          <w:rtl w:val="true"/>
        </w:rPr>
        <w:t>تقييد العمل بالقياس</w:t>
      </w:r>
      <w:bookmarkEnd w:id="703"/>
    </w:p>
    <w:p>
      <w:pPr>
        <w:pStyle w:val="BookText"/>
        <w:rPr/>
      </w:pPr>
      <w:r>
        <w:rPr>
          <w:rFonts w:ascii="Amiri" w:hAnsi="Amiri" w:eastAsia="Amiri" w:cs="Amiri"/>
          <w:color w:val="111111"/>
          <w:sz w:val="28"/>
          <w:sz w:val="28"/>
          <w:szCs w:val="28"/>
          <w:rtl w:val="true"/>
          <w:lang w:bidi="ar-SA"/>
        </w:rPr>
        <w:t>إنّ كثرة الروايات الفقهية المروية عن أهل البيت عليهم السلام أغنت فقهاء الشيعة عن اللجوء إلى القياس فضلاً عن الاستحسان، فالمرجع عندهم هو المصادر الأربعة، وأمّا القياس فيعملون به في إطار خاص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منصوص العلّة في نفس الدليل، فيُعمل به في كل مورد عمّه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ليس هذا عملاً بالقياس بل عمل بنفس الدليل،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الّتي تعمّم الحكم وتخصّصه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الأولوية، وربّما يسمى بتنبيه الخطاب ومفهوم الموافقة، وهو إثبات حكم المنطوق به للمسكوت عنه بطريق أولى،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فإذا حرم التأفيف، حرم الشتم والضرب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المناط، وهو فيما لو اقترن الموضوع في لسان الدليل بأوصاف وخصوصيات لا يراها العرف دخيلة في الموضوع، كما إذا قال في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شك في المسجد بين الثلاث والأربع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فالعرف يتلقى تلك القيود مثالاً لا قيداً في الحكم، فيعمّ الرجل والأُنثى ومن شك في المسجد والبيت</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القبيل قصة الأعرابي،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يا رسول اللّه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bookmarkStart w:id="704" w:name="pg16768_165513"/>
    </w:p>
    <w:p>
      <w:pPr>
        <w:pStyle w:val="BookText"/>
        <w:rPr/>
      </w:pPr>
      <w:bookmarkEnd w:id="704"/>
      <w:r>
        <w:rPr>
          <w:rFonts w:ascii="Amiri" w:hAnsi="Amiri" w:eastAsia="Amiri" w:cs="Amiri"/>
          <w:color w:val="111111"/>
          <w:sz w:val="28"/>
          <w:sz w:val="28"/>
          <w:szCs w:val="28"/>
          <w:rtl w:val="true"/>
          <w:lang w:bidi="ar-SA"/>
        </w:rPr>
        <w:t>أهلكك‌؟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واقعت امرأتي في نهار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فالعرف يساعد على إلغاء القيدين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أعرابياً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مواقعة الأهل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فيعم البدوي والقروي، ومواقعة الأهل وغيرها، فيكون هو حكم من أفطر بالوقاع في صوم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القبيل قوله سبحانه في مورد صلاة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فَاسْعَوْا إِلى ذِكْرِ اللّهِ وَ ذَرُوا الْبَيْعَ‌</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 ومن المعلوم أنّ ذكر البيع من باب المثال، فلا فرق بين البيع والإجارة والرهن، بل كل فعل يشغل الإنسان عن أداء الصلاة، ولهذا النوع أمثلة كثيرة في الفقه</w:t>
      </w:r>
      <w:r>
        <w:rPr>
          <w:rFonts w:eastAsia="Amiri" w:cs="Amiri" w:ascii="Amiri" w:hAnsi="Amiri"/>
          <w:color w:val="111111"/>
          <w:sz w:val="28"/>
          <w:szCs w:val="28"/>
          <w:rtl w:val="true"/>
          <w:lang w:bidi="ar-SA"/>
        </w:rPr>
        <w:t>.</w:t>
      </w:r>
    </w:p>
    <w:p>
      <w:pPr>
        <w:pStyle w:val="Heading6"/>
        <w:numPr>
          <w:ilvl w:val="5"/>
          <w:numId w:val="1"/>
        </w:numPr>
        <w:rPr/>
      </w:pPr>
      <w:bookmarkStart w:id="705" w:name="__RefHeading___Toc6863914_73709187"/>
      <w:bookmarkStart w:id="706" w:name="_Toc264"/>
      <w:bookmarkEnd w:id="705"/>
      <w:r>
        <w:rPr>
          <w:rtl w:val="true"/>
        </w:rPr>
        <w:t>تخريج المناط</w:t>
      </w:r>
      <w:bookmarkEnd w:id="706"/>
    </w:p>
    <w:p>
      <w:pPr>
        <w:pStyle w:val="BookText"/>
        <w:rPr/>
      </w:pPr>
      <w:r>
        <w:rPr>
          <w:rFonts w:ascii="Amiri" w:hAnsi="Amiri" w:eastAsia="Amiri" w:cs="Amiri"/>
          <w:color w:val="111111"/>
          <w:sz w:val="28"/>
          <w:sz w:val="28"/>
          <w:szCs w:val="28"/>
          <w:rtl w:val="true"/>
          <w:lang w:bidi="ar-SA"/>
        </w:rPr>
        <w:t>إذا قضى الشارع بحكم في محل من دون أن ينص على مناطه، ولم يكن العرف مساعداً لكون القيد الوارد فيه من باب المثال، كما إذا حرمت المعاوضة في الحنطة إلّامثلاً بمثل، فهل يصح تعميم الحكم إلى سائر الحبوب بتخريج المناط؟</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ما يميّز الفقه الإمامي عن غيره، فهم يقولون بأنّ التشابه في الموضوع لا يكون سبباً لإسراء الحكم، فإن تخريج المناط في الموارد الّتي يعمل بها بالقياس تخريجات ظنية، ولعل المناط الّذي استخرجه الفقيه غير المناط عند الشرع، فما لم يكن المناط المستخرج، مناطاً قطعيّاً، لا يسوغ العمل به، وللتفصيل في هذا الموضوع مكان آخر</w:t>
      </w:r>
      <w:r>
        <w:rPr>
          <w:rFonts w:eastAsia="Amiri" w:cs="Amiri" w:ascii="Amiri" w:hAnsi="Amiri"/>
          <w:color w:val="111111"/>
          <w:sz w:val="28"/>
          <w:szCs w:val="28"/>
          <w:rtl w:val="true"/>
          <w:lang w:bidi="ar-SA"/>
        </w:rPr>
        <w:t>.</w:t>
      </w:r>
      <w:bookmarkStart w:id="707" w:name="pg16768_165514"/>
    </w:p>
    <w:p>
      <w:pPr>
        <w:pStyle w:val="Heading6"/>
        <w:numPr>
          <w:ilvl w:val="5"/>
          <w:numId w:val="1"/>
        </w:numPr>
        <w:rPr/>
      </w:pPr>
      <w:bookmarkStart w:id="708" w:name="__RefHeading___Toc6863916_73709187"/>
      <w:bookmarkStart w:id="709" w:name="_Toc265"/>
      <w:bookmarkEnd w:id="707"/>
      <w:bookmarkEnd w:id="708"/>
      <w:r>
        <w:rPr>
          <w:rtl w:val="true"/>
        </w:rPr>
        <w:t>الثالثة</w:t>
      </w:r>
      <w:r>
        <w:rPr>
          <w:rtl w:val="true"/>
        </w:rPr>
        <w:t xml:space="preserve">: </w:t>
      </w:r>
      <w:r>
        <w:rPr>
          <w:rtl w:val="true"/>
        </w:rPr>
        <w:t>انفتاح باب الاجتهاد</w:t>
      </w:r>
      <w:bookmarkEnd w:id="709"/>
    </w:p>
    <w:p>
      <w:pPr>
        <w:pStyle w:val="BookText"/>
        <w:rPr/>
      </w:pPr>
      <w:r>
        <w:rPr>
          <w:rFonts w:ascii="Amiri" w:hAnsi="Amiri" w:eastAsia="Amiri" w:cs="Amiri"/>
          <w:color w:val="111111"/>
          <w:sz w:val="28"/>
          <w:sz w:val="28"/>
          <w:szCs w:val="28"/>
          <w:rtl w:val="true"/>
          <w:lang w:bidi="ar-SA"/>
        </w:rPr>
        <w:t>إنّ الفقه الإمامي يتبنى فتح باب الاجتهاد بعد رحيل الرسول صلى الله عليه و آله إلى يومنا هذا، فإنّ الاجتهاد رمز بقاء الشريعة وسرّ خاتمية الدين الإسلامي، فالأُمّة الإسلامية كانت تواجه بعد رحيل قائدها حوادث مستجدّة لابدّ من الإجابة عنها ولم يكن لهم بد من استنطاق الكتاب والسنة مع سائر الأدلّة في الحصول على الجواب عنها، وهذا الداعي كان سائداً ومستمراً إلى يومنا هذا، وقد حثّ الإمامان الصادق والرضا عليهما السلام أصحابهما على الاجتهاد 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علينا إلقاء الأُصول وعليكم التفريع</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وفي ظل هذه الميزة كان الفقه الإمامي متطوراً نامياً في كل عصر وزمان، وقد نتج عن ذلك تأليف موسوعات فقهية ضخمة على مر العصور</w:t>
      </w:r>
      <w:r>
        <w:rPr>
          <w:rFonts w:eastAsia="Amiri" w:cs="Amiri" w:ascii="Amiri" w:hAnsi="Amiri"/>
          <w:color w:val="111111"/>
          <w:sz w:val="28"/>
          <w:szCs w:val="28"/>
          <w:rtl w:val="true"/>
          <w:lang w:bidi="ar-SA"/>
        </w:rPr>
        <w:t>.</w:t>
      </w:r>
    </w:p>
    <w:p>
      <w:pPr>
        <w:pStyle w:val="Heading6"/>
        <w:numPr>
          <w:ilvl w:val="5"/>
          <w:numId w:val="1"/>
        </w:numPr>
        <w:rPr/>
      </w:pPr>
      <w:bookmarkStart w:id="710" w:name="__RefHeading___Toc6863918_73709187"/>
      <w:bookmarkStart w:id="711" w:name="_Toc266"/>
      <w:bookmarkEnd w:id="710"/>
      <w:r>
        <w:rPr>
          <w:rtl w:val="true"/>
        </w:rPr>
        <w:t>الرابعة</w:t>
      </w:r>
      <w:r>
        <w:rPr>
          <w:rtl w:val="true"/>
        </w:rPr>
        <w:t xml:space="preserve">: </w:t>
      </w:r>
      <w:r>
        <w:rPr>
          <w:rtl w:val="true"/>
        </w:rPr>
        <w:t>لكل واقعة حكم</w:t>
      </w:r>
      <w:bookmarkEnd w:id="711"/>
    </w:p>
    <w:p>
      <w:pPr>
        <w:pStyle w:val="BookText"/>
        <w:rPr/>
      </w:pPr>
      <w:r>
        <w:rPr>
          <w:rFonts w:ascii="Amiri" w:hAnsi="Amiri" w:eastAsia="Amiri" w:cs="Amiri"/>
          <w:color w:val="111111"/>
          <w:sz w:val="28"/>
          <w:sz w:val="28"/>
          <w:szCs w:val="28"/>
          <w:rtl w:val="true"/>
          <w:lang w:bidi="ar-SA"/>
        </w:rPr>
        <w:t>إنّ للّه سبحانه في كل واقعة حكماً شرعياً واحداً، وقد ورد عن النبي الأكرم صلى الله عليه و آله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اتقوا اللّه ما من شيء يقربكم من الجنة ويباعدكم عن النار إلّا وقد نهيتكم عنه أو أمرتكم به</w:t>
      </w:r>
      <w:r>
        <w:rPr>
          <w:rFonts w:eastAsia="Amiri" w:cs="Amiri" w:ascii="Amiri" w:hAnsi="Amiri"/>
          <w:color w:val="111111"/>
          <w:sz w:val="28"/>
          <w:szCs w:val="28"/>
          <w:rtl w:val="true"/>
          <w:lang w:bidi="ar-SA"/>
        </w:rPr>
        <w:t>».</w:t>
      </w:r>
      <w:r>
        <w:rPr>
          <w:rStyle w:val="FootnoteAnchor"/>
          <w:rtl w:val="true"/>
        </w:rPr>
        <w:footnoteReference w:id="775"/>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ضوء هذا فليس هناك واقعة لم يكتب حكمها حتّى يترك حكمها إلى أصحاب الاجتهاد والآراء، غير أنّ الحكم الواقعي تارة يكون واضحاً، وأُخرى يحتاج إلى بذل جهود ليصل إليه المستنبط</w:t>
      </w:r>
      <w:r>
        <w:rPr>
          <w:rFonts w:eastAsia="Amiri" w:cs="Amiri" w:ascii="Amiri" w:hAnsi="Amiri"/>
          <w:color w:val="111111"/>
          <w:sz w:val="28"/>
          <w:szCs w:val="28"/>
          <w:rtl w:val="true"/>
          <w:lang w:bidi="ar-SA"/>
        </w:rPr>
        <w:t>.</w:t>
      </w:r>
      <w:bookmarkStart w:id="712" w:name="pg16768_165515"/>
    </w:p>
    <w:p>
      <w:pPr>
        <w:pStyle w:val="Heading6"/>
        <w:numPr>
          <w:ilvl w:val="5"/>
          <w:numId w:val="1"/>
        </w:numPr>
        <w:rPr/>
      </w:pPr>
      <w:bookmarkStart w:id="713" w:name="__RefHeading___Toc6863920_73709187"/>
      <w:bookmarkStart w:id="714" w:name="_Toc267"/>
      <w:bookmarkEnd w:id="712"/>
      <w:bookmarkEnd w:id="713"/>
      <w:r>
        <w:rPr>
          <w:rtl w:val="true"/>
        </w:rPr>
        <w:t>الخامسة</w:t>
      </w:r>
      <w:r>
        <w:rPr>
          <w:rtl w:val="true"/>
        </w:rPr>
        <w:t xml:space="preserve">: </w:t>
      </w:r>
      <w:r>
        <w:rPr>
          <w:rtl w:val="true"/>
        </w:rPr>
        <w:t>التصويب والتخطئة</w:t>
      </w:r>
      <w:bookmarkEnd w:id="714"/>
    </w:p>
    <w:p>
      <w:pPr>
        <w:pStyle w:val="BookText"/>
        <w:rPr/>
      </w:pPr>
      <w:r>
        <w:rPr>
          <w:rFonts w:ascii="Amiri" w:hAnsi="Amiri" w:eastAsia="Amiri" w:cs="Amiri"/>
          <w:color w:val="111111"/>
          <w:sz w:val="28"/>
          <w:sz w:val="28"/>
          <w:szCs w:val="28"/>
          <w:rtl w:val="true"/>
          <w:lang w:bidi="ar-SA"/>
        </w:rPr>
        <w:t>من مميزات الفقه الإمامي هو أنّ الحق في الشريعة أمر واحد وما سواه خطأ محض، من غير فرق بين الأحكام والموضوعات، وذلك لما مرّ من أنّ للّه سبحانه في كل واقعة من الوقائع حكماً شرعياً واحداً، فإن وافقه المجتهد في استنباطه، فقد أصاب وإن خالفه، فقد أخطأ، وليس هناك واقعة واحدة لم يكن لها حكم في الشريعة، ويُترك حكمها إلى الفقهاء حتّى يكون الجميع مصيبين</w:t>
      </w:r>
      <w:r>
        <w:rPr>
          <w:rFonts w:eastAsia="Amiri" w:cs="Amiri" w:ascii="Amiri" w:hAnsi="Amiri"/>
          <w:color w:val="111111"/>
          <w:sz w:val="28"/>
          <w:szCs w:val="28"/>
          <w:rtl w:val="true"/>
          <w:lang w:bidi="ar-SA"/>
        </w:rPr>
        <w:t>.</w:t>
      </w:r>
    </w:p>
    <w:p>
      <w:pPr>
        <w:pStyle w:val="Heading6"/>
        <w:numPr>
          <w:ilvl w:val="5"/>
          <w:numId w:val="1"/>
        </w:numPr>
        <w:rPr/>
      </w:pPr>
      <w:bookmarkStart w:id="715" w:name="__RefHeading___Toc6863922_73709187"/>
      <w:bookmarkStart w:id="716" w:name="_Toc268"/>
      <w:bookmarkEnd w:id="715"/>
      <w:r>
        <w:rPr>
          <w:rtl w:val="true"/>
        </w:rPr>
        <w:t>السادسة</w:t>
      </w:r>
      <w:r>
        <w:rPr>
          <w:rtl w:val="true"/>
        </w:rPr>
        <w:t xml:space="preserve">: </w:t>
      </w:r>
      <w:r>
        <w:rPr>
          <w:rtl w:val="true"/>
        </w:rPr>
        <w:t>تقسيم الأحكام الشرعية إلى واقعية وظاهرية</w:t>
      </w:r>
      <w:bookmarkEnd w:id="716"/>
    </w:p>
    <w:p>
      <w:pPr>
        <w:pStyle w:val="BookText"/>
        <w:rPr/>
      </w:pPr>
      <w:r>
        <w:rPr>
          <w:rFonts w:ascii="Amiri" w:hAnsi="Amiri" w:eastAsia="Amiri" w:cs="Amiri"/>
          <w:color w:val="111111"/>
          <w:sz w:val="28"/>
          <w:sz w:val="28"/>
          <w:szCs w:val="28"/>
          <w:rtl w:val="true"/>
          <w:lang w:bidi="ar-SA"/>
        </w:rPr>
        <w:t>من خصائص هذه المدرسة تقسيم الأحكام الشرعية إلى حكم واقعي، وحكم ظاهري، وهذا بحسب لسان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ملاك حجّية شيء كونه طريقاً إلى الواقع ومرشداً إليه، كما هو الحال في الوارد في الكتاب والسنة، مثل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التراب أحد الطهورين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الأرض مسجداً وطهوراً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فالحكم المستفاد منها حكم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الدليل المأخوذ في لسانه الشك، كما إذا ورد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شككت فاعمل بهذا الدليل، فيكون الحكم المستفاد منه حكماً ظاهرياً كما هو الحال في الأُصول العملية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البراءة، والاحتياط، والتخيير، والاستصحاب، فالشك مأخوذ في لسان الدليل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الاحتفاظ بالشك يأمر بالعمل على وفق الحالة السابقة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تأخّر مرتبة الأحكام الظاهرية عن الأحكام الواقعية، فالعبرة بالثانية بعد عدم الدليل على الأُولى، ويعبّر عمّا يدلّ على الحكم الواقعي بالدليل الاجتهادي، ويعبّر عمّا يدلّ على الحكم الظاهري بالدليل الفقاهتي، ويترتّب على ذلك عدم حجّية الأُصول العملية مع وجود الأدلّة الاجتهادية</w:t>
      </w:r>
      <w:r>
        <w:rPr>
          <w:rFonts w:eastAsia="Amiri" w:cs="Amiri" w:ascii="Amiri" w:hAnsi="Amiri"/>
          <w:color w:val="111111"/>
          <w:sz w:val="28"/>
          <w:szCs w:val="28"/>
          <w:rtl w:val="true"/>
          <w:lang w:bidi="ar-SA"/>
        </w:rPr>
        <w:t>.</w:t>
      </w:r>
      <w:bookmarkStart w:id="717" w:name="pg16768_165516"/>
    </w:p>
    <w:p>
      <w:pPr>
        <w:pStyle w:val="Heading6"/>
        <w:numPr>
          <w:ilvl w:val="5"/>
          <w:numId w:val="1"/>
        </w:numPr>
        <w:rPr/>
      </w:pPr>
      <w:bookmarkStart w:id="718" w:name="__RefHeading___Toc6863924_73709187"/>
      <w:bookmarkStart w:id="719" w:name="_Toc269"/>
      <w:bookmarkEnd w:id="717"/>
      <w:bookmarkEnd w:id="718"/>
      <w:r>
        <w:rPr>
          <w:rtl w:val="true"/>
        </w:rPr>
        <w:t>السابعة</w:t>
      </w:r>
      <w:r>
        <w:rPr>
          <w:rtl w:val="true"/>
        </w:rPr>
        <w:t xml:space="preserve">: </w:t>
      </w:r>
      <w:r>
        <w:rPr>
          <w:rtl w:val="true"/>
        </w:rPr>
        <w:t>تقسيم الموضوعات إلى أوّلية وثانوية</w:t>
      </w:r>
      <w:bookmarkEnd w:id="719"/>
    </w:p>
    <w:p>
      <w:pPr>
        <w:pStyle w:val="BookText"/>
        <w:rPr/>
      </w:pPr>
      <w:r>
        <w:rPr>
          <w:rFonts w:ascii="Amiri" w:hAnsi="Amiri" w:eastAsia="Amiri" w:cs="Amiri"/>
          <w:color w:val="111111"/>
          <w:sz w:val="28"/>
          <w:sz w:val="28"/>
          <w:szCs w:val="28"/>
          <w:rtl w:val="true"/>
          <w:lang w:bidi="ar-SA"/>
        </w:rPr>
        <w:t>إنّ العناوين المتعلّقة بالأحكام تنقسم إلى عنوان أوّلي، وعنوان ثانوي، فالعنوان المأخوذ في الموضوع مع قطع النظر عن العوارض والطوارئ يسمّى عنواناً أوّلياً، كلحم الميتة بالنسبة إلى حكمه أي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الموضوع إذا طرأ عليه عنوان آخر في مرحلة ثانية كالاضطرار لأجل المجاعة، يقال له عنوان ثانوي، ربّما يصير مغيّراً لحكم العنوان الأوّلي، فلحم الميتة بما هوهو حرام، وبالنظر إلى العنوان الثانوي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حلال إلى حدّ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الحياة المعاصرة مشاكل بيئية واجتماعية تحيط بالإنسان وتجعل الحياة مرة في مذاقه، ولكن اللّه سبحانه أعطى لحكام الشرع صلاحية حلّ هذه المشاكل عن طريق أحد العناوين الثانوية، وبذلك ضمن للشريعة الإسلامية، الخاتمية والاستمرار حتّى قيام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نشير إلى العناوين الثانوية الّتي لها دور في تعديل الأحكام الشرعية المتعلّقة بالعناوين الأوّلية</w:t>
      </w:r>
      <w:r>
        <w:rPr>
          <w:rFonts w:eastAsia="Amiri" w:cs="Amiri" w:ascii="Amiri" w:hAnsi="Amiri"/>
          <w:color w:val="111111"/>
          <w:sz w:val="28"/>
          <w:szCs w:val="28"/>
          <w:rtl w:val="true"/>
          <w:lang w:bidi="ar-SA"/>
        </w:rPr>
        <w:t>:</w:t>
      </w:r>
    </w:p>
    <w:p>
      <w:pPr>
        <w:pStyle w:val="Heading6"/>
        <w:numPr>
          <w:ilvl w:val="5"/>
          <w:numId w:val="1"/>
        </w:numPr>
        <w:rPr/>
      </w:pPr>
      <w:bookmarkStart w:id="720" w:name="__RefHeading___Toc6863926_73709187"/>
      <w:bookmarkStart w:id="721" w:name="_Toc270"/>
      <w:bookmarkEnd w:id="720"/>
      <w:r>
        <w:rPr/>
        <w:t>1</w:t>
      </w:r>
      <w:r>
        <w:rPr>
          <w:rtl w:val="true"/>
        </w:rPr>
        <w:t xml:space="preserve">. </w:t>
      </w:r>
      <w:r>
        <w:rPr>
          <w:rtl w:val="true"/>
        </w:rPr>
        <w:t>الضرورة والاضطرار</w:t>
      </w:r>
      <w:bookmarkEnd w:id="721"/>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اقتضت الضرورة واضطر الإنسان إلى استعمال محرّم، يكون للعنوان الثانوي حكومة على العنوان الأوّلي، وقد أُشير إلى 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لَكُمْ أَلاّ تَأْكُلُوا مِمّا ذُكِرَ اسْمُ اللّهِ عَلَيْهِ وَ قَدْ فَصَّلَ لَكُمْ ما حَرَّمَ عَلَيْكُمْ إِلاّ مَا اضْطُرِرْتُمْ إِلَيْهِ‌</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ومورد الآية وإن كان هو اللحوم ولكن العرف يساعد على إلغاء الخصوصية، فيشمل المأكولات والمشروبات جميعاً، وبالتالي يكون للعنوان الثاني حكومة على الحكم الوارد بالعنوان الأوّلي</w:t>
      </w:r>
      <w:r>
        <w:rPr>
          <w:rFonts w:eastAsia="Amiri" w:cs="Amiri" w:ascii="Amiri" w:hAnsi="Amiri"/>
          <w:color w:val="111111"/>
          <w:sz w:val="28"/>
          <w:szCs w:val="28"/>
          <w:rtl w:val="true"/>
          <w:lang w:bidi="ar-SA"/>
        </w:rPr>
        <w:t>.</w:t>
      </w:r>
      <w:bookmarkStart w:id="722" w:name="pg16768_165517"/>
    </w:p>
    <w:p>
      <w:pPr>
        <w:pStyle w:val="BookText"/>
        <w:rPr/>
      </w:pPr>
      <w:bookmarkEnd w:id="722"/>
      <w:r>
        <w:rPr>
          <w:rFonts w:ascii="Amiri" w:hAnsi="Amiri" w:eastAsia="Amiri" w:cs="Amiri"/>
          <w:color w:val="111111"/>
          <w:sz w:val="28"/>
          <w:sz w:val="28"/>
          <w:szCs w:val="28"/>
          <w:rtl w:val="true"/>
          <w:lang w:bidi="ar-SA"/>
        </w:rPr>
        <w:t>روى سماعة عن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ممّا حرّم اللّه إلّاوقد أحلّه لمن اضطُر إليه</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وأمّا ما هو الاضطرار وما حدّه، فالبحث فيه موكول إلى محله</w:t>
      </w:r>
      <w:r>
        <w:rPr>
          <w:rFonts w:eastAsia="Amiri" w:cs="Amiri" w:ascii="Amiri" w:hAnsi="Amiri"/>
          <w:color w:val="111111"/>
          <w:sz w:val="28"/>
          <w:szCs w:val="28"/>
          <w:rtl w:val="true"/>
          <w:lang w:bidi="ar-SA"/>
        </w:rPr>
        <w:t>.</w:t>
      </w:r>
    </w:p>
    <w:p>
      <w:pPr>
        <w:pStyle w:val="Heading6"/>
        <w:numPr>
          <w:ilvl w:val="5"/>
          <w:numId w:val="1"/>
        </w:numPr>
        <w:rPr/>
      </w:pPr>
      <w:bookmarkStart w:id="723" w:name="__RefHeading___Toc6863928_73709187"/>
      <w:bookmarkStart w:id="724" w:name="_Toc271"/>
      <w:bookmarkEnd w:id="723"/>
      <w:r>
        <w:rPr/>
        <w:t>2</w:t>
      </w:r>
      <w:r>
        <w:rPr>
          <w:rtl w:val="true"/>
        </w:rPr>
        <w:t xml:space="preserve">. </w:t>
      </w:r>
      <w:r>
        <w:rPr>
          <w:rtl w:val="true"/>
        </w:rPr>
        <w:t>الضَّرر والضِّرار</w:t>
      </w:r>
      <w:bookmarkEnd w:id="724"/>
    </w:p>
    <w:p>
      <w:pPr>
        <w:pStyle w:val="BookText"/>
        <w:rPr/>
      </w:pPr>
      <w:r>
        <w:rPr>
          <w:rFonts w:ascii="Amiri" w:hAnsi="Amiri" w:eastAsia="Amiri" w:cs="Amiri"/>
          <w:color w:val="111111"/>
          <w:sz w:val="28"/>
          <w:sz w:val="28"/>
          <w:szCs w:val="28"/>
          <w:rtl w:val="true"/>
          <w:lang w:bidi="ar-SA"/>
        </w:rPr>
        <w:t>إنّ الضرر والضرار من العناوين الثانوية الّتي تتغير بها أحكام العناوين الأوّلية، مثلاً أنّه لا شكّ في وجوب الوضوء بالماء، كتاباً وسنّة، لكن إذا طرأ هناك طارئ وصار استعمال الماء مضراً بالمتوضئ يجب عليه العدول إلى البدل، وهذه قاعدة تامّة باسم الضرر والضرار، وللقاعدة جذور في الكتاب العزيز والسنة النبوية،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 وَ لا مَوْلُودٌ لَهُ بِوَلَدِهِ‌</w:t>
      </w:r>
      <w:r>
        <w:rPr>
          <w:rFonts w:eastAsia="Amiri" w:cs="Amiri" w:ascii="Amiri" w:hAnsi="Amiri"/>
          <w:color w:val="111111"/>
          <w:sz w:val="28"/>
          <w:szCs w:val="28"/>
          <w:rtl w:val="true"/>
          <w:lang w:bidi="ar-SA"/>
        </w:rPr>
        <w:t>)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وأمّا السنّة فقد تضافر عن رسول اللّه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p>
    <w:p>
      <w:pPr>
        <w:pStyle w:val="Heading6"/>
        <w:numPr>
          <w:ilvl w:val="5"/>
          <w:numId w:val="1"/>
        </w:numPr>
        <w:rPr/>
      </w:pPr>
      <w:bookmarkStart w:id="725" w:name="__RefHeading___Toc6863930_73709187"/>
      <w:bookmarkStart w:id="726" w:name="_Toc272"/>
      <w:bookmarkEnd w:id="725"/>
      <w:r>
        <w:rPr/>
        <w:t>3</w:t>
      </w:r>
      <w:r>
        <w:rPr>
          <w:rtl w:val="true"/>
        </w:rPr>
        <w:t xml:space="preserve">. </w:t>
      </w:r>
      <w:r>
        <w:rPr>
          <w:rtl w:val="true"/>
        </w:rPr>
        <w:t>العسر والحرج</w:t>
      </w:r>
      <w:bookmarkEnd w:id="726"/>
    </w:p>
    <w:p>
      <w:pPr>
        <w:pStyle w:val="BookText"/>
        <w:rPr/>
      </w:pPr>
      <w:r>
        <w:rPr>
          <w:rFonts w:ascii="Amiri" w:hAnsi="Amiri" w:eastAsia="Amiri" w:cs="Amiri"/>
          <w:color w:val="111111"/>
          <w:sz w:val="28"/>
          <w:sz w:val="28"/>
          <w:szCs w:val="28"/>
          <w:rtl w:val="true"/>
          <w:lang w:bidi="ar-SA"/>
        </w:rPr>
        <w:t xml:space="preserve">إنّ عنوان العسر والحرج من العناوين الثانوية الطارئة على العناوين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فرضنا أنّ الاغتسال بالماء البارد أو الخروج من المنزل للاغتسال صار أمراً حرجياً وإن لم يكن ضررياً، فيقدّم حكم العنوان الثانوي على العنوان الأوّلي، أخذاً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 .</w:t>
      </w:r>
      <w:r>
        <w:rPr>
          <w:rStyle w:val="FootnoteAnchor"/>
          <w:rtl w:val="true"/>
        </w:rPr>
        <w:footnoteReference w:id="779"/>
      </w:r>
    </w:p>
    <w:p>
      <w:pPr>
        <w:pStyle w:val="Heading6"/>
        <w:numPr>
          <w:ilvl w:val="5"/>
          <w:numId w:val="1"/>
        </w:numPr>
        <w:rPr/>
      </w:pPr>
      <w:bookmarkStart w:id="727" w:name="__RefHeading___Toc6863932_73709187"/>
      <w:bookmarkStart w:id="728" w:name="_Toc273"/>
      <w:bookmarkEnd w:id="727"/>
      <w:r>
        <w:rPr/>
        <w:t>4</w:t>
      </w:r>
      <w:r>
        <w:rPr>
          <w:rtl w:val="true"/>
        </w:rPr>
        <w:t xml:space="preserve">. </w:t>
      </w:r>
      <w:r>
        <w:rPr>
          <w:rtl w:val="true"/>
        </w:rPr>
        <w:t>قاعدة الأهم والمهم عند التزاحم</w:t>
      </w:r>
      <w:bookmarkEnd w:id="728"/>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توقّف إنقاذ الغريق على اجتياز الأرض المغصوبة، يُقدَّم وجوب إنقاذ الغريق على حرمة التصرّف بالمغصوب، أخذاً بالأهم عند التزاحم بالمهم</w:t>
      </w:r>
      <w:r>
        <w:rPr>
          <w:rFonts w:eastAsia="Amiri" w:cs="Amiri" w:ascii="Amiri" w:hAnsi="Amiri"/>
          <w:color w:val="111111"/>
          <w:sz w:val="28"/>
          <w:szCs w:val="28"/>
          <w:rtl w:val="true"/>
          <w:lang w:bidi="ar-SA"/>
        </w:rPr>
        <w:t>.</w:t>
      </w:r>
      <w:bookmarkStart w:id="729" w:name="pg16768_165518"/>
    </w:p>
    <w:p>
      <w:pPr>
        <w:pStyle w:val="BookText"/>
        <w:rPr/>
      </w:pPr>
      <w:bookmarkEnd w:id="729"/>
      <w:r>
        <w:rPr>
          <w:rFonts w:ascii="Amiri" w:hAnsi="Amiri" w:eastAsia="Amiri" w:cs="Amiri"/>
          <w:color w:val="111111"/>
          <w:sz w:val="28"/>
          <w:sz w:val="28"/>
          <w:szCs w:val="28"/>
          <w:rtl w:val="true"/>
          <w:lang w:bidi="ar-SA"/>
        </w:rPr>
        <w:t>ونظيره حفظ النفس في المجاعة بالتصرّف في طعام الغير، فلا مانع من أكل مال الغير لحفظ النفس مع الضمان، وكم لهذا الحكم من فروع في الفقه</w:t>
      </w:r>
      <w:r>
        <w:rPr>
          <w:rFonts w:eastAsia="Amiri" w:cs="Amiri" w:ascii="Amiri" w:hAnsi="Amiri"/>
          <w:color w:val="111111"/>
          <w:sz w:val="28"/>
          <w:szCs w:val="28"/>
          <w:rtl w:val="true"/>
          <w:lang w:bidi="ar-SA"/>
        </w:rPr>
        <w:t>.</w:t>
      </w:r>
    </w:p>
    <w:p>
      <w:pPr>
        <w:pStyle w:val="Heading6"/>
        <w:numPr>
          <w:ilvl w:val="5"/>
          <w:numId w:val="1"/>
        </w:numPr>
        <w:rPr/>
      </w:pPr>
      <w:bookmarkStart w:id="730" w:name="__RefHeading___Toc6863934_73709187"/>
      <w:bookmarkStart w:id="731" w:name="_Toc274"/>
      <w:bookmarkEnd w:id="730"/>
      <w:r>
        <w:rPr/>
        <w:t>5</w:t>
      </w:r>
      <w:r>
        <w:rPr>
          <w:rtl w:val="true"/>
        </w:rPr>
        <w:t xml:space="preserve">. </w:t>
      </w:r>
      <w:r>
        <w:rPr>
          <w:rtl w:val="true"/>
        </w:rPr>
        <w:t>صلاحيات الفقيه الجامع للشرائط</w:t>
      </w:r>
      <w:bookmarkEnd w:id="731"/>
    </w:p>
    <w:p>
      <w:pPr>
        <w:pStyle w:val="BookText"/>
        <w:rPr/>
      </w:pPr>
      <w:r>
        <w:rPr>
          <w:rFonts w:ascii="Amiri" w:hAnsi="Amiri" w:eastAsia="Amiri" w:cs="Amiri"/>
          <w:color w:val="111111"/>
          <w:sz w:val="28"/>
          <w:sz w:val="28"/>
          <w:szCs w:val="28"/>
          <w:rtl w:val="true"/>
          <w:lang w:bidi="ar-SA"/>
        </w:rPr>
        <w:t>إنّ للفقيه المجتهد الجامع للشرائط صلاحيات في تدبير المجتمع وإدارته في فقه أهل البيت عليهم السلام، عن طريق تنفيذ أحكام الشرع وتطبيقها وحل المعضلات والمشاكل، وحفظ المصالح العامّة حسب الضوابط الشرعية المقرّرة، فليس ولاية الفقيه بمعنى الاستبداد بالحكم كيفما أراد، بل المراد بها إجراء الأحكام الشرعية حسب ما أمر به الشارع المقدّس مع تقديم الأصلح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فالفقيه في مقام إجراء الأحكام الشرعية ينفذ أحكامه في ظل العناوين الثانوية، وبذلك يصبح المجتمع مجتمعاً إلهياً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ولنمثل لذلك ببعض الأمثلة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 سبحانه فرض الجهاد على كافة المسلمين، ولكن إذا اقتضت المصلحة فرض الجندية على الشباب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أو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للتدريب والدفاع عن حدود بلاد المسلمين وصارت المصلحة العامة في ذلك، فينفذ هذا الأمر بحكم الفقيه تقديماً للأصلح على الصالح، ويكون الوجوب حكماً ولائياً، لا حكماً شرعياً أوّلياً، ويكون الحكم هذا باقياً ما بقي ملاكه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اقتضت المصلحة العامة فتح شوارع، ولكن بعد هدم بيوت الناس ولا يوجد بديل عن ذلك فيسوغ تخريب البيوت مع التعويض، تحقيقاً لمصالح المجتمع في ظل تشخيص الفقيه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اقتضت المصلحة قطع العلاقات مع أحد الدول أو وصلها وتقويتها، فيجب على الحكومة القطع أو الوصل تنفيذاً لحكم الفقيه النابع من أحد العناوين الثانوية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تضافرت الروايات عن أئمة أهل البيت عليهم السلام حول ولاية الفقيه بالمعنى</w:t>
      </w:r>
    </w:p>
    <w:p>
      <w:pPr>
        <w:pStyle w:val="BookText"/>
        <w:rPr/>
      </w:pPr>
      <w:r>
        <w:rPr>
          <w:rFonts w:ascii="Amiri" w:hAnsi="Amiri" w:eastAsia="Amiri" w:cs="Amiri"/>
          <w:color w:val="111111"/>
          <w:sz w:val="28"/>
          <w:sz w:val="28"/>
          <w:szCs w:val="28"/>
          <w:rtl w:val="true"/>
          <w:lang w:bidi="ar-SA"/>
        </w:rPr>
        <w:t>الّذي عرفت، ولا يسع المقام للتعرض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هناك عناوين ثانوية أُخرى كالنذر والعهد والقسم وأمر الوالد ونهيه، وهي ممّا له دور في تغيير أحكام العناوين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أنّ الفقيه الشيعي استغنى عن بعض القواعد المعروفة كفتح الذرائع وسدها والمصالح المرسلة، لأنّ في تحكيم العناوين الثانوية على العناوين الأوّلية غنى عن إعمال هذه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أمرين لهما دور واسع في الفقه الإمامي إلّاوهما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العرف والعادة والسيرة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مقاصد الشريعة وأهدافها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وللاختصار طوينا الكلام عنهما، وقد شرحناهما في كتبنا الأُصولية</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مؤسسة الإمام الصادق عليه السلام</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732" w:name="pg16768_165520"/>
    </w:p>
    <w:p>
      <w:pPr>
        <w:pStyle w:val="Heading3"/>
        <w:numPr>
          <w:ilvl w:val="2"/>
          <w:numId w:val="1"/>
        </w:numPr>
        <w:rPr/>
      </w:pPr>
      <w:bookmarkStart w:id="733" w:name="__RefHeading___Toc6863936_73709187"/>
      <w:bookmarkStart w:id="734" w:name="_Toc275"/>
      <w:bookmarkEnd w:id="732"/>
      <w:bookmarkEnd w:id="733"/>
      <w:r>
        <w:rPr/>
        <w:t>2</w:t>
      </w:r>
      <w:r>
        <w:rPr>
          <w:rtl w:val="true"/>
        </w:rPr>
        <w:t xml:space="preserve"> </w:t>
      </w:r>
      <w:r>
        <w:rPr>
          <w:rtl w:val="true"/>
        </w:rPr>
        <w:t>التشيّع تاريخاً وعقيدة</w:t>
      </w:r>
      <w:bookmarkEnd w:id="734"/>
    </w:p>
    <w:p>
      <w:pPr>
        <w:pStyle w:val="Heading4"/>
        <w:numPr>
          <w:ilvl w:val="3"/>
          <w:numId w:val="1"/>
        </w:numPr>
        <w:rPr/>
      </w:pPr>
      <w:bookmarkStart w:id="735" w:name="__RefHeading___Toc6863938_73709187"/>
      <w:bookmarkStart w:id="736" w:name="_Toc276"/>
      <w:bookmarkEnd w:id="735"/>
      <w:r>
        <w:rPr>
          <w:rtl w:val="true"/>
        </w:rPr>
        <w:t>اشارة</w:t>
      </w:r>
      <w:bookmarkEnd w:id="736"/>
    </w:p>
    <w:p>
      <w:pPr>
        <w:pStyle w:val="BookText"/>
        <w:rPr/>
      </w:pPr>
      <w:r>
        <w:rPr>
          <w:rFonts w:ascii="Amiri" w:hAnsi="Amiri" w:eastAsia="Amiri" w:cs="Amiri"/>
          <w:color w:val="111111"/>
          <w:sz w:val="28"/>
          <w:sz w:val="28"/>
          <w:szCs w:val="28"/>
          <w:rtl w:val="true"/>
          <w:lang w:bidi="ar-SA"/>
        </w:rPr>
        <w:t>الشيعة لغة هم الجماعة المتعاونون على أمر واحد في قضاياهم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تشايَع القومُ إذا تعاونوا، وربما يطلق على مطلق التابع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شِيعَتِهِ لَإِبْراهِيمَ‌</w:t>
      </w:r>
      <w:r>
        <w:rPr>
          <w:rFonts w:eastAsia="Amiri" w:cs="Amiri" w:ascii="Amiri" w:hAnsi="Amiri"/>
          <w:color w:val="111111"/>
          <w:sz w:val="28"/>
          <w:szCs w:val="28"/>
          <w:rtl w:val="true"/>
          <w:lang w:bidi="ar-SA"/>
        </w:rPr>
        <w:t xml:space="preserve">) </w:t>
      </w:r>
      <w:r>
        <w:rPr>
          <w:rStyle w:val="FootnoteAnchor"/>
          <w:rtl w:val="true"/>
        </w:rPr>
        <w:footnoteReference w:id="781"/>
      </w:r>
      <w:r>
        <w:rPr>
          <w:rFonts w:ascii="Amiri" w:hAnsi="Amiri" w:eastAsia="Amiri" w:cs="Amiri"/>
          <w:color w:val="111111"/>
          <w:sz w:val="28"/>
          <w:sz w:val="28"/>
          <w:szCs w:val="28"/>
          <w:rtl w:val="true"/>
          <w:lang w:bidi="ar-SA"/>
        </w:rPr>
        <w:t>وتستعمل اللفظة في الجماعة التابعة لرئيس لهم، وأمّا اصطلاحاً فلها إطلاقات عديدة بملاكات 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وأولاده باعتبار أنّهم أهل بيت النبي الذين فرض اللّه سبحانه مودّتهم،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والشيعة بهذا المعنى تعمّ جميع المسلمين إلّاالنواصب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يفضّل عليّاً على الخليفة الثالث أو عامّة الخلفاء، مع الاعتقاد بأنّه رابع الخلفاء، وإنّما يقدّم لاستفاضة مناقبه وفضائله عن الرسول صلى الله عليه و آله والّتي دوّنها أصحاب الحديث في مسانيدهم وصحاحهم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الشيعة من يشايع عليّاً وأولاده باعتبار أنّهم خلفاء الرسول صلى الله عليه و آله وأئمّة الدين بعده، نصبهم لهذا المقام بأمر من اللّه سبحانه وقد اشتهر أنّ عليّاً هو الوصي، حتّى صار من ألقابه</w:t>
      </w:r>
      <w:r>
        <w:rPr>
          <w:rFonts w:eastAsia="Amiri" w:cs="Amiri" w:ascii="Amiri" w:hAnsi="Amiri"/>
          <w:color w:val="111111"/>
          <w:sz w:val="28"/>
          <w:szCs w:val="28"/>
          <w:rtl w:val="true"/>
          <w:lang w:bidi="ar-SA"/>
        </w:rPr>
        <w:t>.</w:t>
      </w:r>
      <w:bookmarkStart w:id="737" w:name="pg16768_165521"/>
    </w:p>
    <w:p>
      <w:pPr>
        <w:pStyle w:val="BookText"/>
        <w:rPr/>
      </w:pPr>
      <w:bookmarkEnd w:id="737"/>
      <w:r>
        <w:rPr>
          <w:rFonts w:ascii="Amiri" w:hAnsi="Amiri" w:eastAsia="Amiri" w:cs="Amiri"/>
          <w:color w:val="111111"/>
          <w:sz w:val="28"/>
          <w:sz w:val="28"/>
          <w:szCs w:val="28"/>
          <w:rtl w:val="true"/>
          <w:lang w:bidi="ar-SA"/>
        </w:rPr>
        <w:t>وبعبارة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الشيعة ويراد بها كلّ من يقول بأنّ قيادة الأمّة لعليّ بعد الرسول صلى الله عليه و آله وأنّه يقوم مقامه في كلّ ما يمت إليه بصلة سوى النبوة ونزول الوحي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بأمر من اللّه وتعيين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والمقوّم للتشيّع وركنه الركين هو القول بالوصاية والقيادة بجميع شؤونها للإمام علي عليه السلام وأولاده الطاهرين، وأمّا ما سوى ذلك فليس مقوّماً لمفهوم التشيّع ولا يدور عليه اطلاق الشيعة وإنّما هو مسائل كلامية، أو فقهية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ما ذكرناه فالتشيّع يركز بوضوح على الاعتقاد باستمرار القيادة الإسلامية في قالب الوصاية لعليّ وعترته، وأنّ هذه الفكرة غرست بيد النبي صلى الله عليه و آله في أيام حياته وتبنّاها لفيف من المهاجرين والأنصار في عصر الرسول وبقوا عليها بعد حياته واقتدى بهم لفيف من التابعين لهم باحسان وتواصل الاعتقاد بها عبر العصور إلى العصر الحاضر، وهذا هو الذي تدّعيه الشيعة، وعليه بُني صرح التشيّع وأمّا ما سوى ذلك من الآراء والعقائد في مجالي العقيدة والشريعة فليست داخلة في صميم التشيّع، ويعم الإمامية الإثني عشرية والزيدية والإسماعيلية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أنّ التشيّع ليس من افرازات الصراعات السياسية ولا من نتاج الجدال الكلامي والصراع الفكري، ولا وليد احداث وتطورات أدّت إلى تكوين هذا المذهب، فلا يزيد على صميم الإسلام بشيء قيد شعرة حتّى يكون له نشوء بعد رحيل الرسول صلى الله عليه و آله، غير أنّ الشيعة تركّز على شيءٍ واحد وهو استمرار القيادة بأهل بيت النبي صلى الله عليه و آله بأمر من اللّه سبحانه وتبليغ الرسول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738" w:name="__RefHeading___Toc6863940_73709187"/>
      <w:bookmarkStart w:id="739" w:name="_Toc277"/>
      <w:bookmarkEnd w:id="738"/>
      <w:r>
        <w:rPr>
          <w:rtl w:val="true"/>
        </w:rPr>
        <w:t>التسمية من النبي الأعظم صلى الله عليه و آله</w:t>
      </w:r>
      <w:bookmarkEnd w:id="739"/>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الآثار المرويّة عن لسان النبي الأكرم صلى الله عليه و آله في حقّ الإمام علي عليه السلام تعرب عن التفاف قسم من المهاجرين والأنصار حول الوصيّ‌، وكانوا معروفين بشيعة علي في عصر الرسالة وأنّ الرسول سماهم بها و وصفهم بأنّهم هم الفائزون وقد</w:t>
      </w:r>
    </w:p>
    <w:p>
      <w:pPr>
        <w:pStyle w:val="BookText"/>
        <w:rPr/>
      </w:pPr>
      <w:r>
        <w:rPr>
          <w:rFonts w:ascii="Amiri" w:hAnsi="Amiri" w:eastAsia="Amiri" w:cs="Amiri"/>
          <w:color w:val="111111"/>
          <w:sz w:val="28"/>
          <w:sz w:val="28"/>
          <w:szCs w:val="28"/>
          <w:rtl w:val="true"/>
          <w:lang w:bidi="ar-SA"/>
        </w:rPr>
        <w:t>تضافرت النصوص على ذلك ولا مجال لذكرها هنا، فالقارئ الكريم يرجع في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إلى التفاسير الأثرية كتفسير الطبري والثعلبي والسيوطي وغيرها، نقتصر بنص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ابن عساكر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صلى الله عليه و آله فأقبل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نفسي بيده إنّ هذا وشيعته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أصحاب النبي إذا أقبل علي عليه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النص وما يضاهيه البالغ عدده إلى أربعين نصّاً في هذا المضمار، يعرب عن كون علي عليه السلام متميّزاً بين أصحاب النبي بأنّ له شيعة وأتباعاً ولهم مواصفات وصفات كانوا مشهورين بها في حياة النبي وبعدها، وكان يشيد بهم ويبشرهم بفوزهم،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خارجين عن الخطّ النبوي المبارك قيد أنملة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حسن الحظّ أنّ قسماً كبيراً من أصحاب المقالات والفرق صرّحوا بذلك نذكر منهم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أبو الحسن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قيل لهم الشيعة لأنّهم شايعوا علياً ويقدمونه على سائر أصحاب الرسول</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وقال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وافق الشيعة في أنّ علياً أفضل الناس بعد رسول اللّه وأحقهم بالإمامة وولده من بعده، فهو شيعي وإن خالفهم فيما عدا ذلك مما اختلف فيه المسلمون، وإن خالفهم فيما ذكرنا فليس شيعياً</w:t>
      </w:r>
      <w:r>
        <w:rPr>
          <w:rFonts w:eastAsia="Amiri" w:cs="Amiri" w:ascii="Amiri" w:hAnsi="Amiri"/>
          <w:color w:val="111111"/>
          <w:sz w:val="28"/>
          <w:szCs w:val="28"/>
          <w:rtl w:val="true"/>
          <w:lang w:bidi="ar-SA"/>
        </w:rPr>
        <w:t>.</w:t>
      </w:r>
      <w:r>
        <w:rPr>
          <w:rStyle w:val="FootnoteAnchor"/>
          <w:rtl w:val="true"/>
        </w:rPr>
        <w:footnoteReference w:id="784"/>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هم الذين شايعوا علياً على الخصوص وقالوا بإمامته وخلافته نصّاً ووصيّة</w:t>
      </w:r>
      <w:r>
        <w:rPr>
          <w:rFonts w:eastAsia="Amiri" w:cs="Amiri" w:ascii="Amiri" w:hAnsi="Amiri"/>
          <w:color w:val="111111"/>
          <w:sz w:val="28"/>
          <w:szCs w:val="28"/>
          <w:rtl w:val="true"/>
          <w:lang w:bidi="ar-SA"/>
        </w:rPr>
        <w:t>.</w:t>
      </w:r>
      <w:r>
        <w:rPr>
          <w:rStyle w:val="FootnoteAnchor"/>
          <w:rtl w:val="true"/>
        </w:rPr>
        <w:footnoteReference w:id="785"/>
      </w:r>
      <w:bookmarkStart w:id="740" w:name="pg16768_165523"/>
    </w:p>
    <w:p>
      <w:pPr>
        <w:pStyle w:val="BookText"/>
        <w:rPr/>
      </w:pPr>
      <w:bookmarkEnd w:id="740"/>
      <w:r>
        <w:rPr>
          <w:rFonts w:ascii="Amiri" w:hAnsi="Amiri" w:eastAsia="Amiri" w:cs="Amiri"/>
          <w:color w:val="111111"/>
          <w:sz w:val="28"/>
          <w:sz w:val="28"/>
          <w:szCs w:val="28"/>
          <w:rtl w:val="true"/>
          <w:lang w:bidi="ar-SA"/>
        </w:rPr>
        <w:t>وهذه هي حقيقة التشيّع وصميمه وقوامه وما سوى ذلك فالكل مسائل كلاميّة أو فقهية، أو تاريخيّة</w:t>
      </w:r>
      <w:r>
        <w:rPr>
          <w:rFonts w:eastAsia="Amiri" w:cs="Amiri" w:ascii="Amiri" w:hAnsi="Amiri"/>
          <w:color w:val="111111"/>
          <w:sz w:val="28"/>
          <w:szCs w:val="28"/>
          <w:rtl w:val="true"/>
          <w:lang w:bidi="ar-SA"/>
        </w:rPr>
        <w:t>.</w:t>
      </w:r>
    </w:p>
    <w:p>
      <w:pPr>
        <w:pStyle w:val="Heading4"/>
        <w:numPr>
          <w:ilvl w:val="3"/>
          <w:numId w:val="1"/>
        </w:numPr>
        <w:rPr/>
      </w:pPr>
      <w:bookmarkStart w:id="741" w:name="__RefHeading___Toc6863942_73709187"/>
      <w:bookmarkStart w:id="742" w:name="_Toc278"/>
      <w:bookmarkEnd w:id="741"/>
      <w:r>
        <w:rPr>
          <w:rtl w:val="true"/>
        </w:rPr>
        <w:t>الأُصول المشتركة بين الشيعة والسنّة</w:t>
      </w:r>
      <w:bookmarkEnd w:id="742"/>
    </w:p>
    <w:p>
      <w:pPr>
        <w:pStyle w:val="BookText"/>
        <w:rPr/>
      </w:pPr>
      <w:r>
        <w:rPr>
          <w:rFonts w:ascii="Amiri" w:hAnsi="Amiri" w:eastAsia="Amiri" w:cs="Amiri"/>
          <w:color w:val="111111"/>
          <w:sz w:val="28"/>
          <w:sz w:val="28"/>
          <w:szCs w:val="28"/>
          <w:rtl w:val="true"/>
          <w:lang w:bidi="ar-SA"/>
        </w:rPr>
        <w:t xml:space="preserve">الأدلّة الّتي تعتمد عليها الشيعة في معارف الإسلام وأصوله وأحكامه هي الكتاب والسنّة والعقل الحصيف وما أجمع عليه المسلمون عبر الزمان، فإذا كانت هذه مصادر العقيدة والشريعة، فهم يشاركون عامّة المسلمين في أكثر الأصول والفروع، والعقائد والأحكام ويؤمنون بما جاء في الكتاب العزيز والسنّة الصحيحة وادراكات العقل واتفاق المسلمين بلا ترديد، فالنبي الأكرم صلى الله عليه و آله عندهم خاتم الأنبياء ورسالته خاتمة الرسالات، وشريعته خاتمة الشرائع، وكتابه خاتم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Fonts w:eastAsia="Amiri" w:cs="Amiri" w:ascii="Amiri" w:hAnsi="Amiri"/>
          <w:color w:val="111111"/>
          <w:sz w:val="28"/>
          <w:szCs w:val="28"/>
          <w:rtl w:val="true"/>
          <w:lang w:bidi="ar-SA"/>
        </w:rPr>
        <w:t>)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فالسنة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أنقلت عن طريق الصحابة أو عن طريق أئمة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ثان لعامة المسلمين في حقلي العقيدة والشريعة إذا كان النقل للشرائط المحرّرة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العقل الحصيف الذي به عرفناه سبحانه كما عرفنا به أنبياءه ورسله وكتبه، هو المصدر الثالث الذي يعتمد عليه عامّة المسلمين تقريباً بلا فرق بين الشيعة والسنة، وأعطف عليه ما اتّفق عليه المسلمون في ضروريات العقائد والأحكام على نحو لا يدخل فيه ريب ولا شك</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كانت هذه هي مصادر العقيدة والشريعة، وهي معتبرة عند الجميع فالمشتركات عندهم أكثر من المتفرقات في المسائل النظرية التي طبيعتها</w:t>
      </w:r>
      <w:bookmarkStart w:id="743" w:name="pg16768_165524"/>
    </w:p>
    <w:p>
      <w:pPr>
        <w:pStyle w:val="BookText"/>
        <w:rPr/>
      </w:pPr>
      <w:bookmarkEnd w:id="743"/>
      <w:r>
        <w:rPr>
          <w:rFonts w:ascii="Amiri" w:hAnsi="Amiri" w:eastAsia="Amiri" w:cs="Amiri"/>
          <w:color w:val="111111"/>
          <w:sz w:val="28"/>
          <w:sz w:val="28"/>
          <w:szCs w:val="28"/>
          <w:rtl w:val="true"/>
          <w:lang w:bidi="ar-SA"/>
        </w:rPr>
        <w:t>اختلاف النظر فيها وتعدّد الفكر، ونعم ما قال الفقيه الرائد السيد عبد الحسين شرف الدين العاملي رحمه الله مخاطباً لعلماء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يجمعنا أكثر ممّا يفرّقنا، ولنعم ما قال شاعر الأهرام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لتجمعنا العقيدة أمّة ويضمّنا دين الهدى أتباعاً</w:t>
      </w:r>
    </w:p>
    <w:p>
      <w:pPr>
        <w:pStyle w:val="BookText"/>
        <w:rPr/>
      </w:pPr>
      <w:r>
        <w:rPr>
          <w:rFonts w:ascii="Amiri" w:hAnsi="Amiri" w:eastAsia="Amiri" w:cs="Amiri"/>
          <w:color w:val="111111"/>
          <w:sz w:val="28"/>
          <w:sz w:val="28"/>
          <w:szCs w:val="28"/>
          <w:rtl w:val="true"/>
          <w:lang w:bidi="ar-SA"/>
        </w:rPr>
        <w:t>ويؤلّف الإسلام بين قلوبنا مهما ذهبنا في الهوى أشياعاً</w:t>
      </w:r>
    </w:p>
    <w:p>
      <w:pPr>
        <w:pStyle w:val="BookText"/>
        <w:rPr/>
      </w:pPr>
      <w:r>
        <w:rPr>
          <w:rFonts w:ascii="Amiri" w:hAnsi="Amiri" w:eastAsia="Amiri" w:cs="Amiri"/>
          <w:color w:val="111111"/>
          <w:sz w:val="28"/>
          <w:sz w:val="28"/>
          <w:szCs w:val="28"/>
          <w:rtl w:val="true"/>
          <w:lang w:bidi="ar-SA"/>
        </w:rPr>
        <w:t>ومع ذلك كلّه فلكل فرقة من الفرق الإسلامية أُصول كلامية تمتاز بها عن الفرق الأُخرى، وبما أنّ مشاهير الفرق هم الأشاعرة والمعتزلة، نذكر بعض الفوارق الكلامية بينهم وبين الشيعة</w:t>
      </w:r>
      <w:r>
        <w:rPr>
          <w:rFonts w:eastAsia="Amiri" w:cs="Amiri" w:ascii="Amiri" w:hAnsi="Amiri"/>
          <w:color w:val="111111"/>
          <w:sz w:val="28"/>
          <w:szCs w:val="28"/>
          <w:rtl w:val="true"/>
          <w:lang w:bidi="ar-SA"/>
        </w:rPr>
        <w:t>.</w:t>
      </w:r>
    </w:p>
    <w:p>
      <w:pPr>
        <w:pStyle w:val="Heading4"/>
        <w:numPr>
          <w:ilvl w:val="3"/>
          <w:numId w:val="1"/>
        </w:numPr>
        <w:rPr/>
      </w:pPr>
      <w:bookmarkStart w:id="744" w:name="__RefHeading___Toc6863944_73709187"/>
      <w:bookmarkStart w:id="745" w:name="_Toc279"/>
      <w:bookmarkEnd w:id="744"/>
      <w:r>
        <w:rPr>
          <w:rtl w:val="true"/>
        </w:rPr>
        <w:t>الفوارق بين الإمامية والأشاعرة</w:t>
      </w:r>
      <w:bookmarkEnd w:id="745"/>
    </w:p>
    <w:p>
      <w:pPr>
        <w:pStyle w:val="BookText"/>
        <w:rPr/>
      </w:pPr>
      <w:r>
        <w:rPr>
          <w:rFonts w:ascii="Amiri" w:hAnsi="Amiri" w:eastAsia="Amiri" w:cs="Amiri"/>
          <w:color w:val="111111"/>
          <w:sz w:val="28"/>
          <w:sz w:val="28"/>
          <w:szCs w:val="28"/>
          <w:rtl w:val="true"/>
          <w:lang w:bidi="ar-SA"/>
        </w:rPr>
        <w:t>وافقت الشيعة الإماميةُ الأشاعرةَ في أُصول كثيرة لا حاجة لذكرها، وفارقتهم في الأصول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اتحاد صفاته سبحانه الذاتية مع الذات، فالعلم أو القدرة عند الشيعة الإمامية عين ذاته سبحانه، وهي زائدة عليها عند الأشاعرة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الصفات الخبرية الواردة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كالوجه والأيدي والاستواء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تفسّر بالمفهوم التصديقي للجملة لا بالمفهوم التصوري للمفردات، فمعنى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يَداهُ مَبْسُوطَتانِ يُنْفِقُ كَيْفَ يَشاءُ‌</w:t>
      </w:r>
      <w:r>
        <w:rPr>
          <w:rFonts w:eastAsia="Amiri" w:cs="Amiri" w:ascii="Amiri" w:hAnsi="Amiri"/>
          <w:color w:val="111111"/>
          <w:sz w:val="28"/>
          <w:szCs w:val="28"/>
          <w:rtl w:val="true"/>
          <w:lang w:bidi="ar-SA"/>
        </w:rPr>
        <w:t xml:space="preserve">) </w:t>
      </w:r>
      <w:r>
        <w:rPr>
          <w:rStyle w:val="FootnoteAnchor"/>
          <w:rtl w:val="true"/>
        </w:rPr>
        <w:footnoteReference w:id="787"/>
      </w:r>
      <w:r>
        <w:rPr>
          <w:rFonts w:ascii="Amiri" w:hAnsi="Amiri" w:eastAsia="Amiri" w:cs="Amiri"/>
          <w:color w:val="111111"/>
          <w:sz w:val="28"/>
          <w:sz w:val="28"/>
          <w:szCs w:val="28"/>
          <w:rtl w:val="true"/>
          <w:lang w:bidi="ar-SA"/>
        </w:rPr>
        <w:t>أنّه بريء من البخل باذل وسخّي وقادر على البذل، وأمّا الأشاعرة فهم يفسّرونها بالمفهوم التصوري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سبحانه يدين لكن بلا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على ما ذكرنا سائر الصفات الخبرية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أفعال العباد عند الإمامية صادرة عن نفس العباد صدوراً حقيقياً فالإنسان هو الضارب، هو الآكل، هو الشارب، هو المصلّي، كل ذلك بقدرة مكتسبة من اللّه</w:t>
      </w:r>
      <w:r>
        <w:rPr>
          <w:rFonts w:eastAsia="Amiri" w:cs="Amiri" w:ascii="Amiri" w:hAnsi="Amiri"/>
          <w:color w:val="111111"/>
          <w:sz w:val="28"/>
          <w:szCs w:val="28"/>
          <w:rtl w:val="true"/>
          <w:lang w:bidi="ar-SA"/>
        </w:rPr>
        <w:t>.</w:t>
      </w:r>
      <w:bookmarkStart w:id="746" w:name="pg16768_165525"/>
    </w:p>
    <w:p>
      <w:pPr>
        <w:pStyle w:val="BookText"/>
        <w:rPr/>
      </w:pPr>
      <w:bookmarkEnd w:id="746"/>
      <w:r>
        <w:rPr>
          <w:rFonts w:ascii="Amiri" w:hAnsi="Amiri" w:eastAsia="Amiri" w:cs="Amiri"/>
          <w:color w:val="111111"/>
          <w:sz w:val="28"/>
          <w:sz w:val="28"/>
          <w:szCs w:val="28"/>
          <w:rtl w:val="true"/>
          <w:lang w:bidi="ar-SA"/>
        </w:rPr>
        <w:t>وأمّا الأشاعرة فذهبوا إلى أنّ أفعال العباد مخلوقة للّه سبحانه وليس للإنسان فيها صنع ولا دور، وليس لقدرة العبد أيّ تأثير في تحقّق الفعل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رؤية اللّه سبحانه في الدنيا والآخرة مستحيلة، ولكنّها عند الأشاعرة محققة في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استطاعة الانسان على فعل من الأفعال تقارنه تارة وتتقدم عليه أخرى، خلافاً للأشاعرة، فقالوا بالتقارن مطلقاً وفي الوقت نفسه غير مؤثرة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كلامه سبحانه عند الشيعة الإمامية هو فعله فهو حادث لا قديم، خلافاً للأشاعرة فكلامه عبارة عن الكلام النفسي القائم بذاته، فهو قديم كقدم الذات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التحسين والتقبيح العقليان، من الأمور الواضحة عند الشيعة الإمامية حيث إنّ العقل يدرك حسن بعض الأفعال وقبحها من أيّ فاعل صدر، خلافاً للأشاعرة فقد عزلوا العقل عن إدراك حسن الأفعال وقبحها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استحالة التكليف بغير المقدور من الأُصول المسلّمة عند الشيعة الإمامية وخالفهم الأشاعرة فجوّزوا التكليف بالممتنع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الأصول الكلامية التي هي نتاج بحوث وسجالات بين المتكلمين شيعة وسنّة</w:t>
      </w:r>
      <w:r>
        <w:rPr>
          <w:rFonts w:eastAsia="Amiri" w:cs="Amiri" w:ascii="Amiri" w:hAnsi="Amiri"/>
          <w:color w:val="111111"/>
          <w:sz w:val="28"/>
          <w:szCs w:val="28"/>
          <w:rtl w:val="true"/>
          <w:lang w:bidi="ar-SA"/>
        </w:rPr>
        <w:t>.</w:t>
      </w:r>
    </w:p>
    <w:p>
      <w:pPr>
        <w:pStyle w:val="Heading4"/>
        <w:numPr>
          <w:ilvl w:val="3"/>
          <w:numId w:val="1"/>
        </w:numPr>
        <w:rPr/>
      </w:pPr>
      <w:bookmarkStart w:id="747" w:name="__RefHeading___Toc6863946_73709187"/>
      <w:bookmarkStart w:id="748" w:name="_Toc280"/>
      <w:bookmarkEnd w:id="747"/>
      <w:r>
        <w:rPr>
          <w:rtl w:val="true"/>
        </w:rPr>
        <w:t>الفوارق بين الشيعة والمعتزلة</w:t>
      </w:r>
      <w:bookmarkEnd w:id="748"/>
    </w:p>
    <w:p>
      <w:pPr>
        <w:pStyle w:val="BookText"/>
        <w:rPr/>
      </w:pPr>
      <w:r>
        <w:rPr>
          <w:rFonts w:ascii="Amiri" w:hAnsi="Amiri" w:eastAsia="Amiri" w:cs="Amiri"/>
          <w:color w:val="111111"/>
          <w:sz w:val="28"/>
          <w:sz w:val="28"/>
          <w:szCs w:val="28"/>
          <w:rtl w:val="true"/>
          <w:lang w:bidi="ar-SA"/>
        </w:rPr>
        <w:t>قد ثبت في محلّه أنّ المعتزلة أخذوا أُصولهم عن الإمام علي عليه السلام وأولاده، ومع ذلك فهناك فوارق بين الشيعة والمعتزلة، نشير إلى أهمّها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مرتكب الكبيرة عند الإمامية والأشاعرة، مؤمن فاسق والمعتزلة على أنّه منزلة بين المنزلتين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الجنّة والنار عند الإمامية والأشاعرة مخلوقتان الآن بدلالة الشرع على ذلك، وأكثر المعتزلة على أنّهما غير مخلوقتين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الشفاعة ممّا اتفق على ثبوتها عامّة المسلمين غير أنّ الإمامية والأشاعرة فسّروها باسقاط العقاب عن المسيئين أو إنقاذهم من النار، وفسرها المعتزلة بترفيع درجة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الاحباط بمعنى بطلان الأعمال ممّا اتفق الإمامية والأشاعرة على عدم صحّته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عمل حسابه الخاص، بخلاف المعتزلة فانّهم قالوا إنّ المعصية المتأخرة تحبط الثواب المتقدّم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غلت المعتزلة في تمسكهم بالعقل وغلا أهل الظاهر في جمودهم على ظاهر النص، وخالفهم الإمامية والأشاعرة فأعطوا للعقل سهماً فيما له مجال القضاء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أعطت الإمامية للعقل مجالاً أوسع ممّا أعطته الأشاعرة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اتّفقت الإمامية والأشاعرة على أنّ قبول التوبة بفضل من اللّه ولا يجب عقلاً على اللّه سبحانه قبولها وبالتالي اسقاطه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المعتزلة إنّ التوبة مسقطة للعقاب على وجه الوجوب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اتفقت الإمامية على أنّ الأنبياء أفضل من الملائكة وأجمعت المعتزلة على خلاف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اتفقت الإمامية على أنّ الإنسان غير مسيّر ولا مفوّض إليه بل هو في ذلك المجال،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والتفويض، وأجمعت المعتزلة على التفويض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اتفقت الإمامية والأشاعرة على أنّه لابدّ في بدء التكليف من بعث الرسول، وخالفت المعتزلة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العقول تغني بمجردّها عن السمع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عصمة الإمام الذي يقود الأُمّة عند الإمامية خلافاً لغيرهم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اتفق المسلمون على وجوب الأمر بالمعروف والنهي عن المنكر فقال أكثر الإمامية والأشاعرة، يجبان سمعاً، خلافاً للمعتزلة، فقالوا بوجوبهما عقلاً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مرتكب الكبيرة غير مخلد في النار عند الإمامية والأشاعرة خلافاً للمعتزلة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بعض ما تمتاز الشيعة به عن المعتزلة</w:t>
      </w:r>
      <w:r>
        <w:rPr>
          <w:rFonts w:eastAsia="Amiri" w:cs="Amiri" w:ascii="Amiri" w:hAnsi="Amiri"/>
          <w:color w:val="111111"/>
          <w:sz w:val="28"/>
          <w:szCs w:val="28"/>
          <w:rtl w:val="true"/>
          <w:lang w:bidi="ar-SA"/>
        </w:rPr>
        <w:t>.</w:t>
      </w:r>
      <w:bookmarkStart w:id="749" w:name="pg16768_165527"/>
    </w:p>
    <w:p>
      <w:pPr>
        <w:pStyle w:val="BookText"/>
        <w:rPr/>
      </w:pPr>
      <w:bookmarkEnd w:id="749"/>
      <w:r>
        <w:rPr>
          <w:rFonts w:ascii="Amiri" w:hAnsi="Amiri" w:eastAsia="Amiri" w:cs="Amiri"/>
          <w:color w:val="111111"/>
          <w:sz w:val="28"/>
          <w:sz w:val="28"/>
          <w:szCs w:val="28"/>
          <w:rtl w:val="true"/>
          <w:lang w:bidi="ar-SA"/>
        </w:rPr>
        <w:t>ودراسة هذه الأصول تثبت أنّ هذه المسائل نتاج صراعات كلامية وسجالات فكريّة لا تصلح أن تكون حجاباً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مفرقة لصفوفهم ومبددة لشملهم</w:t>
      </w:r>
      <w:r>
        <w:rPr>
          <w:rFonts w:eastAsia="Amiri" w:cs="Amiri" w:ascii="Amiri" w:hAnsi="Amiri"/>
          <w:color w:val="111111"/>
          <w:sz w:val="28"/>
          <w:szCs w:val="28"/>
          <w:rtl w:val="true"/>
          <w:lang w:bidi="ar-SA"/>
        </w:rPr>
        <w:t>.</w:t>
      </w:r>
    </w:p>
    <w:p>
      <w:pPr>
        <w:pStyle w:val="Heading4"/>
        <w:numPr>
          <w:ilvl w:val="3"/>
          <w:numId w:val="1"/>
        </w:numPr>
        <w:rPr/>
      </w:pPr>
      <w:bookmarkStart w:id="750" w:name="__RefHeading___Toc6863948_73709187"/>
      <w:bookmarkStart w:id="751" w:name="_Toc281"/>
      <w:bookmarkEnd w:id="750"/>
      <w:r>
        <w:rPr>
          <w:rtl w:val="true"/>
        </w:rPr>
        <w:t>الشيعة الإمامية والأحكام الفرعيّة</w:t>
      </w:r>
      <w:bookmarkEnd w:id="751"/>
    </w:p>
    <w:p>
      <w:pPr>
        <w:pStyle w:val="BookText"/>
        <w:rPr/>
      </w:pPr>
      <w:r>
        <w:rPr>
          <w:rFonts w:ascii="Amiri" w:hAnsi="Amiri" w:eastAsia="Amiri" w:cs="Amiri"/>
          <w:color w:val="111111"/>
          <w:sz w:val="28"/>
          <w:sz w:val="28"/>
          <w:szCs w:val="28"/>
          <w:rtl w:val="true"/>
          <w:lang w:bidi="ar-SA"/>
        </w:rPr>
        <w:t xml:space="preserve">إذا كان المصدر لبيان التشريع الإسلامي هو الكتاب والسنّة، فلازم ذلك مشاركة الفرق الإسلامية في أكثر الأحكام، ومن حسن الحظ أنّه ما من فرع من الفروع الفقهية إلّاوالشيعة تتفق فيه مع المذاهب الفقهية أو بعضها، ومن قرأ كتاب الخلاف لفقيه الإسلام الشيخ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على اتفاق الشيعة في عامّة أبواب الفقه مع سائر الفقهاء إلّاقليلاً من الأحكام التي انفردت بها، ونشير إلى مهمّاتها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جواز المسح على الخفين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مسح الأرجل مكان غسلها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الجهر بالبسملة في الصلاة وجزئيتها لكلّ سورة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سدل اليدين في الصلاة ويوافقهم المالكية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السجود على الأرض أو ما نبت منها وعدم جوازه على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 الجمع بين صلاتي الظهر والعصر والمغرب والعشاء من غير سفر ولا مطر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بطلان صلاة التراويح جماعة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قصر الصلاة في السفر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الافطار في السفر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شرطية العدالة في إمام الجمعة والجماعة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الخمس في أرباح المكاسب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جواز الجهاد الابتدائي إلّابأمر من إمام معصوم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اشهاد العدلين في صحة الطلاق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صحة نكاح المتعة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بطلان الطلاق الثلاث في مجلس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شرطية كون الطلاق في غير طهر المواقعة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بطلان طلاق الحائض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بطلان الطلاق المعلّق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 الوصية للوارث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بطلان العول والتعصيب وتقديم الأولى بالميت على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وراثة المسلم من الكافر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ندعو عامّة المسلمين وفي طليعتهم العلماء وأصحاب الأقلام إلى التمسّك بحبل اللّه المتين الذي أمرنا اللّه به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 والآية تدلّ على أنّ الأُمّة المتفرقة كالمتردّي في بئر فلا يكتب النجاة له إلّابالتمسك بالحبل الموصول إليه، فهكذا الأُمة الإسلامية لا تكتب النجاة لها إلّابالتمسك بوحدة الكلمة وتوحيدها في المجالات الاجتماعية والسياسية والاقتصادية وليتركوا هذه الخلافات الكلامية والفقهية إلى أهلها فهم يتدارسونها في مدارسهم ومراكزهم برحابة صدر دون أن يثيروا عداء ويسفكوا دماء، وهذا هو خُلُق العلماء الواعين عبر القرون، ونعم 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العلماء في أخلاقهم يتباعدون ويلتقون سراعا</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صفرالمظفر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bookmarkStart w:id="752" w:name="pg16768_165529"/>
    </w:p>
    <w:p>
      <w:pPr>
        <w:pStyle w:val="Heading3"/>
        <w:numPr>
          <w:ilvl w:val="2"/>
          <w:numId w:val="1"/>
        </w:numPr>
        <w:rPr/>
      </w:pPr>
      <w:bookmarkStart w:id="753" w:name="__RefHeading___Toc6863950_73709187"/>
      <w:bookmarkStart w:id="754" w:name="_Toc282"/>
      <w:bookmarkEnd w:id="752"/>
      <w:bookmarkEnd w:id="753"/>
      <w:r>
        <w:rPr/>
        <w:t>3</w:t>
      </w:r>
      <w:r>
        <w:rPr>
          <w:rtl w:val="true"/>
        </w:rPr>
        <w:t xml:space="preserve"> </w:t>
      </w:r>
      <w:r>
        <w:rPr>
          <w:rtl w:val="true"/>
        </w:rPr>
        <w:t>الأواصر العلمية بين علماء الشيعة والسنّة</w:t>
      </w:r>
      <w:bookmarkEnd w:id="754"/>
    </w:p>
    <w:p>
      <w:pPr>
        <w:pStyle w:val="Heading4"/>
        <w:numPr>
          <w:ilvl w:val="3"/>
          <w:numId w:val="1"/>
        </w:numPr>
        <w:rPr/>
      </w:pPr>
      <w:bookmarkStart w:id="755" w:name="__RefHeading___Toc6863952_73709187"/>
      <w:bookmarkStart w:id="756" w:name="_Toc283"/>
      <w:bookmarkEnd w:id="755"/>
      <w:r>
        <w:rPr>
          <w:rtl w:val="true"/>
        </w:rPr>
        <w:t>اشارة</w:t>
      </w:r>
      <w:bookmarkEnd w:id="756"/>
    </w:p>
    <w:p>
      <w:pPr>
        <w:pStyle w:val="BookText"/>
        <w:rPr/>
      </w:pPr>
      <w:r>
        <w:rPr>
          <w:rFonts w:ascii="Amiri" w:hAnsi="Amiri" w:eastAsia="Amiri" w:cs="Amiri"/>
          <w:color w:val="111111"/>
          <w:sz w:val="28"/>
          <w:sz w:val="28"/>
          <w:szCs w:val="28"/>
          <w:rtl w:val="true"/>
          <w:lang w:bidi="ar-SA"/>
        </w:rPr>
        <w:t>خطوة نحو التقريب</w:t>
      </w:r>
    </w:p>
    <w:p>
      <w:pPr>
        <w:pStyle w:val="BookText"/>
        <w:rPr/>
      </w:pPr>
      <w:r>
        <w:rPr>
          <w:rFonts w:ascii="Amiri" w:hAnsi="Amiri" w:eastAsia="Amiri" w:cs="Amiri"/>
          <w:color w:val="111111"/>
          <w:sz w:val="28"/>
          <w:sz w:val="28"/>
          <w:szCs w:val="28"/>
          <w:rtl w:val="true"/>
          <w:lang w:bidi="ar-SA"/>
        </w:rPr>
        <w:t>جعل اللّه الكعبة البيت الحرام قياماً للناس وجعل الحج موسماً للعبادة وفرصة للقاء بين المسلمين من كل صقع وصوب ليتعارفوا ويطّلعوا على أحوال بعضهم بعضاً، وهذا ما يشير إليه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منفعة بعد العبادة أكبر من أن يلتقي الأُخوة في اللّه في مكان واحد بعيداً عن جميع الاعتبارات الشخصية والاجتماعية والحواجز القومية والإقليمية والعرقية تغمرهم مشاعر المحبة والمودة وتجمعهم روح الأُخوة الصادقة الصافية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مسألة أهم من أن يتعرف المسلمون على الأخطار والمشاكل المحدقة بهم ويتدارسوا حلولها المناسبة ويعملوا معاً بيد واحدة وعزيمة صارمة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وانطلاقاً من هذا المبدأ قمنا بإلقاء كلمة حول الوحدة الوطنية والتضامن الإسلامي شرحنا فيها ما للاتحاد والوحدة من المنافع وما للفرقة والاختلاف من المضار، وأتينا بدلائل على التلاحم الموجود بين السنة والشيعة في الأزمنة السابقة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عن الاتحاد والوحدة لا يحتاج إلى برهنة واستدلال، فكلّ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يتمتع بمعلومات محدودة حول القضايا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أن تلاحم أُمّةٍ‌</w:t>
      </w:r>
    </w:p>
    <w:p>
      <w:pPr>
        <w:pStyle w:val="BookText"/>
        <w:rPr/>
      </w:pPr>
      <w:r>
        <w:rPr>
          <w:rFonts w:ascii="Amiri" w:hAnsi="Amiri" w:eastAsia="Amiri" w:cs="Amiri"/>
          <w:color w:val="111111"/>
          <w:sz w:val="28"/>
          <w:sz w:val="28"/>
          <w:szCs w:val="28"/>
          <w:rtl w:val="true"/>
          <w:lang w:bidi="ar-SA"/>
        </w:rPr>
        <w:t>ما وتضامنها سبب للكثير من الفوائد والخيرات، كما أنّه يعلم أنّ الاختلاف والانقسام لا ينتجان سوى الإخفاقات المتزايدة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ضرورة وحدة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القضايا التي قياساتها معها حسب الاصطلاح المنطقي، أي أنّها ادّعاءٌ يحمل دليله معه، ومن ثم لا يحتاج إلى برهان أو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المقطع الأوّل من مقطعي العنوان أعلاه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الوطنية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الواضح أنّ الوحدة القومية والوطنية تختلف عن النزعة القومية، فالقومية مرفوضة في الإسلام، وقد ذمّ القرآن بشكل واضح هذه النزعة، فقد جاء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 أُنْثى وَ جَعَلْناكُمْ شُعُوباً وَ قَبائِلَ لِتَعارَفُوا إِنَّ أَكْرَمَكُمْ عِنْدَ اللّهِ أَتْقاكُمْ‌</w:t>
      </w:r>
      <w:r>
        <w:rPr>
          <w:rFonts w:eastAsia="Amiri" w:cs="Amiri" w:ascii="Amiri" w:hAnsi="Amiri"/>
          <w:color w:val="111111"/>
          <w:sz w:val="28"/>
          <w:szCs w:val="28"/>
          <w:rtl w:val="true"/>
          <w:lang w:bidi="ar-SA"/>
        </w:rPr>
        <w:t>)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وتحمل النزعة القومية معها معطيات مرفوضة وسلبية، إنّها تعني أفضلية قوم على آخرين؛ للغتهم أو دمهم أو أرضهم أو قوميتهم، إنّهم يفتخرون بذلك، ويمارسون الإذلال والتحقير بحق الشعوب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اللون من التفكير مذموم من جانبي العقل والشريعة الإسلامية المقدّسة، فهو يمثّل نوعاً من التفكير اليهودي الذي يرى بني إسرائيل أُمّةً مختارةً‌، ولهذا فهم ينسبون إلى اللّه أشياء لطالما ردّها القرآن،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لَنْ يَدْخُلَ الْجَنَّةَ إِلاّ مَنْ كانَ هُوداً أَوْ نَصارى‌</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الْيَهُودُ لَيْسَتِ النَّصارى عَلى شَيْ‌ءٍ وَ قالَتِ النَّصارى لَيْسَتِ الْيَهُودُ عَلى شَيْ‌ءٍ‌</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كانَتْ لَكُمُ الدّارُ الْآخِرَةُ عِنْدَ اللّهِ خالِصَةً مِنْ دُونِ النّاسِ فَتَمَنَّوُا الْمَوْتَ‌</w:t>
      </w:r>
      <w:r>
        <w:rPr>
          <w:rFonts w:eastAsia="Amiri" w:cs="Amiri" w:ascii="Amiri" w:hAnsi="Amiri"/>
          <w:color w:val="111111"/>
          <w:sz w:val="28"/>
          <w:szCs w:val="28"/>
          <w:rtl w:val="true"/>
          <w:lang w:bidi="ar-SA"/>
        </w:rPr>
        <w:t>) .</w:t>
      </w:r>
      <w:r>
        <w:rPr>
          <w:rStyle w:val="FootnoteAnchor"/>
          <w:rtl w:val="true"/>
        </w:rPr>
        <w:footnoteReference w:id="792"/>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القومية نوع من عبادة العِرق، ومع الأسف فقد تفشّت هذه النزعة في</w:t>
      </w:r>
    </w:p>
    <w:p>
      <w:pPr>
        <w:pStyle w:val="BookText"/>
        <w:rPr/>
      </w:pPr>
      <w:r>
        <w:rPr>
          <w:rFonts w:ascii="Amiri" w:hAnsi="Amiri" w:eastAsia="Amiri" w:cs="Amiri"/>
          <w:color w:val="111111"/>
          <w:sz w:val="28"/>
          <w:sz w:val="28"/>
          <w:szCs w:val="28"/>
          <w:rtl w:val="true"/>
          <w:lang w:bidi="ar-SA"/>
        </w:rPr>
        <w:t>العالم في القرنين الأخيرين وأفضت إلى نزاعات واضطرابات وحروب عدّة، بينما نرى أنّ منطق الإسلام لا يعطي للقومية والعِرقية أيّ قيمة ولا يعيرها أيّ اهتمام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النزعة القومية مرفوضة قرآنياً وعقلياً؛ لما تحمله من مضمون سلبي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الوحدة الوطنية، فهو مفهوم إيجابي لا يحمل في طيّاته أيّ آثار سلبية، إنّه يعني أنّ الأُمّة التي تعيش على أرضٍ واحدة وتشرب من مياه واحدة، تستفيد منها طوال سنين، فإنّ لهذه الأرض حقّاً عليهم، وهذا الحق يتمثّل في أن يتّحد البشر الساكنين على سطحها ويضعوا يدهم بيد بعضهم بعضاً، يرفعون بذلك نقائص حياتهم، ويتغلّبون على المشاكل والأزمات، دون أن يمارسوا تحقيراً للشعوب الأُخرى أو يقوموا بأذيتها والإضرار بها، إنّ الاتحاد القومي والوطني بهذا المعنى الآنف الذكر فكرٌ فطري؛ فكل إنسان تربطه بوطنه علاقة عاطفية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هاجر النبي الأكرم صلى الله عليه و آله من مكة، وقعت هذه المدينة في ذاكرته وهو في وسط الطريق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يتمكّن من إخفاء مشاعره وحبّه لمسقط رأسه، فامتلأت عيناه بالدموع، وهنا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كذلك وعندما فتح النبي صلى الله عليه و آله مكة بعد عشر سنوات من البُعد عنها ومفارقتها، وطهّر بيت التوحيد من لوث عبادة الأصنام، نزل لدى دخوله إليها نقطةً مرتفعة فيها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وقعت عيناه على الكعبة كما ورد في كتب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اجتاحت قلبه عاصفة من الهم والحزن،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أحبك ولولا أنّي هُجّرتُ لما تركتك</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يتبيّن من هذا أنّ بين الوحدة الوطنية والنزعة القومية فاصلة كبيرة، بل 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والمقارنة بينهما</w:t>
      </w:r>
      <w:r>
        <w:rPr>
          <w:rFonts w:eastAsia="Amiri" w:cs="Amiri" w:ascii="Amiri" w:hAnsi="Amiri"/>
          <w:color w:val="111111"/>
          <w:sz w:val="28"/>
          <w:szCs w:val="28"/>
          <w:rtl w:val="true"/>
          <w:lang w:bidi="ar-SA"/>
        </w:rPr>
        <w:t>.</w:t>
      </w:r>
      <w:bookmarkStart w:id="757" w:name="pg16768_165532"/>
    </w:p>
    <w:p>
      <w:pPr>
        <w:pStyle w:val="Heading4"/>
        <w:numPr>
          <w:ilvl w:val="3"/>
          <w:numId w:val="1"/>
        </w:numPr>
        <w:rPr/>
      </w:pPr>
      <w:bookmarkStart w:id="758" w:name="__RefHeading___Toc6863954_73709187"/>
      <w:bookmarkStart w:id="759" w:name="_Toc284"/>
      <w:bookmarkEnd w:id="757"/>
      <w:bookmarkEnd w:id="758"/>
      <w:r>
        <w:rPr>
          <w:rtl w:val="true"/>
        </w:rPr>
        <w:t>مدح القرآن للاتحاد وذمّه للانقسام والتفرّق</w:t>
      </w:r>
      <w:bookmarkEnd w:id="759"/>
    </w:p>
    <w:p>
      <w:pPr>
        <w:pStyle w:val="BookText"/>
        <w:rPr/>
      </w:pPr>
      <w:r>
        <w:rPr>
          <w:rFonts w:ascii="Amiri" w:hAnsi="Amiri" w:eastAsia="Amiri" w:cs="Amiri"/>
          <w:color w:val="111111"/>
          <w:sz w:val="28"/>
          <w:sz w:val="28"/>
          <w:szCs w:val="28"/>
          <w:rtl w:val="true"/>
          <w:lang w:bidi="ar-SA"/>
        </w:rPr>
        <w:t>كلّما وصل القرآن الكريم إلى الحديث عن الوحدة والاتحاد أردفه بمدحهما، وكلّما مرّ بالحديث عن الاختلاف والانقسام ذمّهما، يقول في الاتحاد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 ولتحقيق هذا الاتحاد اعتبر القرآن المؤمنين إخوةً فيما بينهم،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 وفي الحقيقة فإنّ أقرب علاقة بين شخصين من مستوى واحد هي علاقة الأخوة، ولهذا اعتبر المؤمنون إخوة، فعلاقة الأُبوّة والبنوّة رغم كونها أقوى من علاقة الأُخوّة إلّاأنّ طرفي هذه العلاقة ليسا بمستوى واحد، لهذا لم يوظف القرآن هذه العلاقة، وإنّما استعاض عنها بعلاقة الأُخوّة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لدى حديثه عن الفرقة والانقسام، فنجده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الْقادِرُ عَلى أَنْ يَبْعَثَ عَلَيْكُمْ عَذاباً مِنْ فَوْقِكُمْ أَوْ مِنْ تَحْتِ أَرْجُلِكُمْ أَوْ يَلْبِسَكُمْ شِيَعاً وَ يُذِيقَ بَعْضَكُمْ بَأْسَ بَعْضٍ انْظُرْ كَيْفَ نُصَرِّفُ الْآياتِ لَعَلَّهُمْ يَفْقَهُونَ‌</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فقد عرضت هذه الآية المباركة ثلاثة أنواع من العذاب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العذاب من فوق، كحجارة السماء أو الصاعقة التي تحرق مدينةً كاملة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العذاب من أسفل، كالزلزلة المدمرة والبراكين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عذاب الأُمّة الواحدة التي تتشتت إلى فرق مختلفة تعزف كل واحدةٍ منها على منوال خاصّ بها، وهذا العذاب أسوأ من العذابين السابقين، بشهادة أنّه بعد ذكر العذاب الثالث المشؤوم يذكر نتيجته ألا وهي تعذيب كل واحدٍ بالآخر</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وأُنهي هذا القسم من الموضوع بتحليل آية الاعتصام، حيث إنّ القرآن دعا إلى الوحدة والتمسّك بالحبل الواحد؛ فبدلاً من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تمسّكوا بالقرآن والإسلام، نراه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تمسّكوا بحبل اللّه، وكأنّ الهدف من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أنّ‌</w:t>
      </w:r>
      <w:bookmarkStart w:id="760" w:name="pg16768_165533"/>
    </w:p>
    <w:p>
      <w:pPr>
        <w:pStyle w:val="BookText"/>
        <w:rPr/>
      </w:pPr>
      <w:bookmarkEnd w:id="760"/>
      <w:r>
        <w:rPr>
          <w:rFonts w:ascii="Amiri" w:hAnsi="Amiri" w:eastAsia="Amiri" w:cs="Amiri"/>
          <w:color w:val="111111"/>
          <w:sz w:val="28"/>
          <w:sz w:val="28"/>
          <w:szCs w:val="28"/>
          <w:rtl w:val="true"/>
          <w:lang w:bidi="ar-SA"/>
        </w:rPr>
        <w:t>الإنسان عندما يكون في قعر البئر فإنّ سبيل نجاته الوحيد هو أن يُلقى إليه حبل إلى داخل البئر ليتمسّك به ويصعد بواسطته إلى خارج البئر، وإلّا فإنّ موته في الداخل يغدو محتماً، إنّ الأُمّة المضطربة التي يعزف كل واحدٍ فيها على منواله تشبه ذاك الذي سقط في البئر، ذلك أنّ موتها قطعي ونهايتها محتومة، فما أروع أن نعمل على أن تتوحّد هذه الإيقاعات ونمسك خير إمساك بحبل الوحدة كي نحظى بالنجاة وننعم بالخلاص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هذه كلمات موجزة وإجمالية حول المقطع الأوّل من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الوطنية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ولننتقل الآن إلى شرح المقطع الثاني</w:t>
      </w:r>
      <w:r>
        <w:rPr>
          <w:rFonts w:eastAsia="Amiri" w:cs="Amiri" w:ascii="Amiri" w:hAnsi="Amiri"/>
          <w:color w:val="111111"/>
          <w:sz w:val="28"/>
          <w:szCs w:val="28"/>
          <w:rtl w:val="true"/>
          <w:lang w:bidi="ar-SA"/>
        </w:rPr>
        <w:t>.</w:t>
      </w:r>
    </w:p>
    <w:p>
      <w:pPr>
        <w:pStyle w:val="Heading4"/>
        <w:numPr>
          <w:ilvl w:val="3"/>
          <w:numId w:val="1"/>
        </w:numPr>
        <w:rPr/>
      </w:pPr>
      <w:bookmarkStart w:id="761" w:name="__RefHeading___Toc6863956_73709187"/>
      <w:bookmarkStart w:id="762" w:name="_Toc285"/>
      <w:bookmarkEnd w:id="761"/>
      <w:r>
        <w:rPr>
          <w:rtl w:val="true"/>
        </w:rPr>
        <w:t>الانسجام والتضامن الإسلامي</w:t>
      </w:r>
      <w:bookmarkEnd w:id="762"/>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تعني كلمة الانسجام النظم والانضباط، وهو أحد المحسنّات البديعية في البلاغة، فإنّ الكلام الذي تتّسم مفرداته بالجمالية وتخلو من التعقيد يطلق عليه اسم الكلام المنسجم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والانسجام الإسلامي يختلف عن وحدة المذاهب، وهو معادل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من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للتقريب بين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فوحدة المذاهب أمر غير ممكن التحقّق؛ وذلك لأنّ الاختلافات التي مضى عليها أربعة عشر قرناً لا يمكن أن تزول بأُسبوع واحد أو شهر واحد أو سنوات عدة، إلّاأنّه في الوقت عينه الذي تختلف فيه المذاهب يمكنها استخراج مجموعة من المشتركات الكثيرة فيما بينها لتنطلق منها في تعاون ضروري وتحصل من خلال ذلك على نتائج باهرة، دون أن تمتنع في الوقت عينه عن تداول القضايا الخلافية في المحافل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مقبرة البقيع</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حوارات مثمرة لتحلّ العالق منها أو تجعل الأفكار متقاربة</w:t>
      </w:r>
      <w:r>
        <w:rPr>
          <w:rFonts w:eastAsia="Amiri" w:cs="Amiri" w:ascii="Amiri" w:hAnsi="Amiri"/>
          <w:color w:val="111111"/>
          <w:sz w:val="28"/>
          <w:szCs w:val="28"/>
          <w:rtl w:val="true"/>
          <w:lang w:bidi="ar-SA"/>
        </w:rPr>
        <w:t>.</w:t>
      </w:r>
      <w:bookmarkStart w:id="763" w:name="pg16768_165534"/>
    </w:p>
    <w:p>
      <w:pPr>
        <w:pStyle w:val="Heading4"/>
        <w:numPr>
          <w:ilvl w:val="3"/>
          <w:numId w:val="1"/>
        </w:numPr>
        <w:rPr/>
      </w:pPr>
      <w:bookmarkStart w:id="764" w:name="__RefHeading___Toc6863958_73709187"/>
      <w:bookmarkStart w:id="765" w:name="_Toc286"/>
      <w:bookmarkEnd w:id="763"/>
      <w:bookmarkEnd w:id="764"/>
      <w:r>
        <w:rPr>
          <w:rtl w:val="true"/>
        </w:rPr>
        <w:t>التضامن الإسلامي في ظلال المذاكرة والحوار</w:t>
      </w:r>
      <w:bookmarkEnd w:id="765"/>
    </w:p>
    <w:p>
      <w:pPr>
        <w:pStyle w:val="BookText"/>
        <w:rPr/>
      </w:pPr>
      <w:r>
        <w:rPr>
          <w:rFonts w:ascii="Amiri" w:hAnsi="Amiri" w:eastAsia="Amiri" w:cs="Amiri"/>
          <w:color w:val="111111"/>
          <w:sz w:val="28"/>
          <w:sz w:val="28"/>
          <w:szCs w:val="28"/>
          <w:rtl w:val="true"/>
          <w:lang w:bidi="ar-SA"/>
        </w:rPr>
        <w:t xml:space="preserve">من المناسب أن أنقل هنا قصّة تتصل بموضوعنا، فقبل سبعة وعشرين عاماً انطلق مجلس الخبراء من هذه النقطة بالذات، والتقى نيّف وسبعون شخصاً هنا، وكنت أنا آنذاك في 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الأحوال الشخصية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تشكّل الفصل الأوّل من الدستور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في لجنتنا المولوي عبد العزيز؛ فسألني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بالبداء؟ فأجبت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والبداء بمعنى الظهور بعد الخفاء، لا يمكن نسبته إلى اللّه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للّه‌؟</w:t>
      </w:r>
    </w:p>
    <w:p>
      <w:pPr>
        <w:pStyle w:val="BookText"/>
        <w:rPr/>
      </w:pPr>
      <w:r>
        <w:rPr>
          <w:rFonts w:ascii="Amiri" w:hAnsi="Amiri" w:eastAsia="Amiri" w:cs="Amiri"/>
          <w:color w:val="111111"/>
          <w:sz w:val="28"/>
          <w:sz w:val="28"/>
          <w:szCs w:val="28"/>
          <w:rtl w:val="true"/>
          <w:lang w:bidi="ar-SA"/>
        </w:rPr>
        <w:t>فأجبت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كلمة تستخدم في موردين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البداء في مقام الثبوت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البداء في 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 في مقام الثبوت فيعني أنّ كلّ إنسان يتمكّن من تغيير مصيره بأعماله الصالحة والطالحة، وأن لا يظن بأنّه ليس له سوى مصير واحد، وإنّما يرى أنّ له مصائر عدّة، كي يعرف كيف يحوّل مصيره عبر العمل، فمثلاً هناك عمر محدود للإنسان في لوح المحو والإثبات، إلّاأنّ هذا المصير غير حتمي، إذ بإمكانه تغييره عبر ممارسة صلة الأرحام، فيتمكن من زيادة عمره أو الإنقاص منه بالأعمال التي يقوم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يُكتب في مصير الإنسان بلاء أو مرض إلّاأنّه لا يكون حتمياً، إذ يمكنه أن يرفع هذا البلاء عنه بالصدقة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عدة آيات وروايات تدلّ على هذا النوع من البداء ذي البُعد الثبوتي، كما أنّ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ناظرة إلى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جلال الدين السيوطي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عدداً من الروايات بهذا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أكثر أثر للاعتقاد بالبداء متصل بعالم الثبوت، في مقابل اليهود الذين يعتقدون بعدم إمكان تغيير المصير البشري حتى بالنسبة للّه تعالى، وهذا ما يشير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الْيَهُودُ يَدُ اللّهِ مَغْلُولَةٌ‌</w:t>
      </w:r>
      <w:r>
        <w:rPr>
          <w:rFonts w:eastAsia="Amiri" w:cs="Amiri" w:ascii="Amiri" w:hAnsi="Amiri"/>
          <w:color w:val="111111"/>
          <w:sz w:val="28"/>
          <w:szCs w:val="28"/>
          <w:rtl w:val="true"/>
          <w:lang w:bidi="ar-SA"/>
        </w:rPr>
        <w:t>)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أمّا البداء في مقام الإثبات، فيحمل معنى آخر، وهو أن يُخبر نبيّ أو ولي من أولياء اللّه بخبر ما، غير أنّه لا يتحقق، وهنا لابد أن نعرف أنّ هذا المخبر الإلهي لم يكن كاذباً في خبره، فقد كان مطّلعاً على المقتضيات التي تدفع إلى تحقّق الظاهرة أو الحدث، دون أن يكون مطّلعاً على المانع اللابث في البَيْن، وفي هذا المورد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للّه، تماماً كما في قصة يونس، حيث أخبر بنزول العذاب، وبدت آثاره، عبر ذلك ثبت قول هذا النبي، غير أنّ قوم يونس سلكوا سبيل التوبة بإرشاد من أحد العباد الزاهدين، وتمكّنوا بذلك من إبعاد شبح العذاب الإلهي عنهم، وهذا ما أشارت إليه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كانَتْ قَرْيَةٌ آمَنَتْ فَنَفَعَها إِيمانُها إِلاّ قَوْمَ يُونُسَ لَمّا آمَنُوا كَشَفْنا عَنْهُمْ عَذابَ الْخِزْيِ فِي الْحَياةِ الدُّنْيا وَ مَتَّعْناهُمْ إِلى حِينٍ‌</w:t>
      </w:r>
      <w:r>
        <w:rPr>
          <w:rFonts w:eastAsia="Amiri" w:cs="Amiri" w:ascii="Amiri" w:hAnsi="Amiri"/>
          <w:color w:val="111111"/>
          <w:sz w:val="28"/>
          <w:szCs w:val="28"/>
          <w:rtl w:val="true"/>
          <w:lang w:bidi="ar-SA"/>
        </w:rPr>
        <w:t>) .</w:t>
      </w:r>
      <w:r>
        <w:rPr>
          <w:rStyle w:val="FootnoteAnchor"/>
          <w:rtl w:val="true"/>
        </w:rPr>
        <w:footnoteReference w:id="800"/>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وللبداء في مقام الإثبات موارد معدودة، أحدها ما جرى لقوم يونس، أمّا أنّه لماذا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للّه، فيما كان سبحانه وتعالى مطّلعاً على تمام زوايا الحدث وأطرافه، أي أنّه كان يعلم بتكذيب قوم يونس وبلعنة يونس عليهم وتهديد مظاهر العذاب لحياتهم وعمرانهم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سبحانه يعلم بأنّهم يسلكون سبيل التوبة، وتنزل الرحمة الإلهية عليهم، وفي هذه الحالة لماذا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للّه‌؟ فيما يفترض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أبدى اللّه ما أخفاه‌؟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البشر يتحدّثون عمّا يرونه، فحيث كان هذا الواقع بنظرهم ظهوراً بعد الخفاء، فإنّ الاستنتاج الأوّلي لهم يصوغونه في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للّه، وإلّا لابدّ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انطلاقاً من العقائد والأُصول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النوع من الاستعمالات كثير في القرآن الكريم، ونذكر هنا مورداً واحداً؛ حيث يتحدّث القرآن عن المنافقين،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يَمْكُرُونَ وَ يَمْكُرُ اللّهُ وَ اللّهُ خَيْرُ الْماكِرِينَ‌</w:t>
      </w:r>
      <w:r>
        <w:rPr>
          <w:rFonts w:eastAsia="Amiri" w:cs="Amiri" w:ascii="Amiri" w:hAnsi="Amiri"/>
          <w:color w:val="111111"/>
          <w:sz w:val="28"/>
          <w:szCs w:val="28"/>
          <w:rtl w:val="true"/>
          <w:lang w:bidi="ar-SA"/>
        </w:rPr>
        <w:t xml:space="preserve">) </w:t>
      </w:r>
      <w:r>
        <w:rPr>
          <w:rStyle w:val="FootnoteAnchor"/>
          <w:rtl w:val="true"/>
        </w:rPr>
        <w:footnoteReference w:id="801"/>
      </w:r>
      <w:r>
        <w:rPr>
          <w:rFonts w:ascii="Amiri" w:hAnsi="Amiri" w:eastAsia="Amiri" w:cs="Amiri"/>
          <w:color w:val="111111"/>
          <w:sz w:val="28"/>
          <w:sz w:val="28"/>
          <w:szCs w:val="28"/>
          <w:rtl w:val="true"/>
          <w:lang w:bidi="ar-SA"/>
        </w:rPr>
        <w:t>فمن المسلّم أنّ عمل المشركين كان حيلةً‌، فيما لا يكون عمل اللّه حيلة والعياذ باللّه، وإنّما يبطل سبحانه حيلهم، لكن حيث جرى التعبير عن عملهم بالمكر، بيّن فعل اللّه باستخدام الكلمة نفسها، كي يكون هناك نوع من التناغم والتناسق في الحوار والمجادلة، وهذا ما يسمّى في الاصطلاح البلاغي بالمشاكلة التي تعطي الكلام جماله ورونقه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عندما تحدث رسول اللّه صلى الله عليه و آله عن الأشخاص الثلاثة من بني إسرائيل الذين كانوا يتعذبون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بالقرع وآخر بالعمى، وثالث بالبرص، وأنّ اللّه رفع عن كلّ واحد منهم بلاءه؛ فأعطى الأوّل شعراً جميلاً، والثاني عيوناً ناظرة مبصرة، والثالث جلداً نضراً، وعندما لم يشكر بعضهم هذه النعمة الإلهية أخذها اللّه منه؛ لأنّه لم يكن ليقوم بواجباته ومسؤولياته مقابل هذه النعم الربانية، في هذه القصة نجد رسول اللّه صلى الله عليه و آله يعبّر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 للّه في الأقرع والأبرص</w:t>
      </w:r>
      <w:r>
        <w:rPr>
          <w:rFonts w:eastAsia="Amiri" w:cs="Amiri" w:ascii="Amiri" w:hAnsi="Amiri"/>
          <w:color w:val="111111"/>
          <w:sz w:val="28"/>
          <w:szCs w:val="28"/>
          <w:rtl w:val="true"/>
          <w:lang w:bidi="ar-SA"/>
        </w:rPr>
        <w:t>...»</w:t>
      </w:r>
      <w:r>
        <w:rPr>
          <w:rStyle w:val="FootnoteAnchor"/>
          <w:rtl w:val="true"/>
        </w:rPr>
        <w:footnoteReference w:id="802"/>
      </w:r>
      <w:r>
        <w:rPr>
          <w:rFonts w:ascii="Amiri" w:hAnsi="Amiri" w:eastAsia="Amiri" w:cs="Amiri"/>
          <w:color w:val="111111"/>
          <w:sz w:val="28"/>
          <w:sz w:val="28"/>
          <w:szCs w:val="28"/>
          <w:rtl w:val="true"/>
          <w:lang w:bidi="ar-SA"/>
        </w:rPr>
        <w:t>، والعلّة في هذا التعبير هو ما قلناه قبل قليل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سمع عبد العزيز هذا البيان كلّه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آتني بكتاب من قدماء الإمامية يفسّر البداء بهذا الشكل الذي ذكرته الآن، وفي تلك الأيام، أتيته بكتاب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المفيد، وذلك عارية من مكتبة مسجد چهل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عموداً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طهران، وقدّمته له، وبعد ستة أيام أرجع الكتاب 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البداء بهذا المعنى الذي يقوله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عليه بين علماء أهل السنّة كافة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نستنتج من هذا كلّه، أنّ الحوارات الحميمة الصادقة التي تحكمها الصداقة</w:t>
      </w:r>
      <w:bookmarkStart w:id="766" w:name="pg16768_165537"/>
    </w:p>
    <w:p>
      <w:pPr>
        <w:pStyle w:val="BookText"/>
        <w:rPr/>
      </w:pPr>
      <w:bookmarkEnd w:id="766"/>
      <w:r>
        <w:rPr>
          <w:rFonts w:ascii="Amiri" w:hAnsi="Amiri" w:eastAsia="Amiri" w:cs="Amiri"/>
          <w:color w:val="111111"/>
          <w:sz w:val="28"/>
          <w:sz w:val="28"/>
          <w:szCs w:val="28"/>
          <w:rtl w:val="true"/>
          <w:lang w:bidi="ar-SA"/>
        </w:rPr>
        <w:t>يمكنها أن تقلّص المسافات وترفع الكثير من الستر الذي يحجب رؤية الحقيقة</w:t>
      </w:r>
      <w:r>
        <w:rPr>
          <w:rFonts w:eastAsia="Amiri" w:cs="Amiri" w:ascii="Amiri" w:hAnsi="Amiri"/>
          <w:color w:val="111111"/>
          <w:sz w:val="28"/>
          <w:szCs w:val="28"/>
          <w:rtl w:val="true"/>
          <w:lang w:bidi="ar-SA"/>
        </w:rPr>
        <w:t>.</w:t>
      </w:r>
    </w:p>
    <w:p>
      <w:pPr>
        <w:pStyle w:val="Heading4"/>
        <w:numPr>
          <w:ilvl w:val="3"/>
          <w:numId w:val="1"/>
        </w:numPr>
        <w:rPr/>
      </w:pPr>
      <w:bookmarkStart w:id="767" w:name="__RefHeading___Toc6863960_73709187"/>
      <w:bookmarkStart w:id="768" w:name="_Toc287"/>
      <w:bookmarkEnd w:id="767"/>
      <w:r>
        <w:rPr>
          <w:rtl w:val="true"/>
        </w:rPr>
        <w:t>تعاون علماء الفريقين في العصور السابقة</w:t>
      </w:r>
      <w:bookmarkEnd w:id="768"/>
    </w:p>
    <w:p>
      <w:pPr>
        <w:pStyle w:val="BookText"/>
        <w:rPr/>
      </w:pPr>
      <w:r>
        <w:rPr>
          <w:rFonts w:ascii="Amiri" w:hAnsi="Amiri" w:eastAsia="Amiri" w:cs="Amiri"/>
          <w:color w:val="111111"/>
          <w:sz w:val="28"/>
          <w:sz w:val="28"/>
          <w:szCs w:val="28"/>
          <w:rtl w:val="true"/>
          <w:lang w:bidi="ar-SA"/>
        </w:rPr>
        <w:t>إنّ هذا البُعد والقطيعة الموجودين اليوم بين علماء الشيعة والسنّة كانا أقلّ حجماً في الماضي، وقد ضاعفت العناصر الخارجة عن الأجواء العلمية منها، ووسعت من الانشطار والتشظي، ونمرّ هنا على تاريخ هذا التعاون بين علماء الفريقين</w:t>
      </w:r>
      <w:r>
        <w:rPr>
          <w:rFonts w:eastAsia="Amiri" w:cs="Amiri" w:ascii="Amiri" w:hAnsi="Amiri"/>
          <w:color w:val="111111"/>
          <w:sz w:val="28"/>
          <w:szCs w:val="28"/>
          <w:rtl w:val="true"/>
          <w:lang w:bidi="ar-SA"/>
        </w:rPr>
        <w:t>:</w:t>
      </w:r>
    </w:p>
    <w:p>
      <w:pPr>
        <w:pStyle w:val="Heading4"/>
        <w:numPr>
          <w:ilvl w:val="3"/>
          <w:numId w:val="1"/>
        </w:numPr>
        <w:rPr/>
      </w:pPr>
      <w:bookmarkStart w:id="769" w:name="__RefHeading___Toc6863962_73709187"/>
      <w:bookmarkStart w:id="770" w:name="_Toc288"/>
      <w:bookmarkEnd w:id="769"/>
      <w:r>
        <w:rPr>
          <w:rtl w:val="true"/>
        </w:rPr>
        <w:t>عصر الصادقين عليهما السلام المنير والتضامن الإسلامي</w:t>
      </w:r>
      <w:bookmarkEnd w:id="770"/>
    </w:p>
    <w:p>
      <w:pPr>
        <w:pStyle w:val="BookText"/>
        <w:rPr/>
      </w:pPr>
      <w:r>
        <w:rPr>
          <w:rFonts w:ascii="Amiri" w:hAnsi="Amiri" w:eastAsia="Amiri" w:cs="Amiri"/>
          <w:color w:val="111111"/>
          <w:sz w:val="28"/>
          <w:sz w:val="28"/>
          <w:szCs w:val="28"/>
          <w:rtl w:val="true"/>
          <w:lang w:bidi="ar-SA"/>
        </w:rPr>
        <w:t>يعدّ عصر الإمامين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والصادق عليهما السلام عصر الصراع والتصادم بين الدولتين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الأموية والعباسية، فحينما كان رجال السياسة مشغولين ببعضهم، كان الجو العلمي مفتوحاً أمام التعاون المعرفي، وقد استفاد منهما عليهما السلام عدد كبير من أعظم شخصيّات فقهاء ذلك العصر، نذكر بعضاً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الحنفية، فقد كان ملازماً للإمام الصادق عليه السلام لعامين كاملين في المدينة المنورة، وهو بنفسه يتحدث عن تأثير هذين العامين عليه،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السنتان لهلك النعمان</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مالك بن أنس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المالكية، حيث يقول عن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جعفر بن محمد، وكانت الابتسامة على شفتيه، كان عندما يذكر اسم رسول اللّه صلى الله عليه و آله يتغير لونه ويصفر، ولم ينقل حديثاً عن رسول اللّه صلى الله عليه و آله إلّاوكان على وضوء، لقد كنت لمدة أكرر الذهاب عنده والتردد عليه، فلم أره إلّاعلى إحدى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مصليّاً وإمّا صائماً وإمّا يقرأ القرآن، وكان من العبّاد الزهاد الذين يخشون اللّه تعالى</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سفيان الثوري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مذهب فقهي يُنسب إليه، وقد استمرّ مذهبه قائماً حتى القرن الرابع الهجري، وقد نقل الكثير من الروايات عن الإمام الصادق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سفيان بن عيينة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رؤساء المذاهب التي انقرض أنصارها، وكان ينقل روايات عن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نماذج لما أردنا ذكره، وكتب الرجال والتراجم حافلة بالمزيد</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ولم تكن هذه العلاقة لتربط الفقهاء المعاصرين للإمام الصادق والباقر عليهما السلام وتجعلهم يحملون رواياتهما فقط، وإنّما امتدّت لتشمل الفقهاء الكبار في علاقتهم بتلامذة هذين الإمامين، حيث كانت بين الطرفين علاقات علمية وفكرية، فابن أبي ليلى قصد محمد بن مسلم كي يطلع من خلاله على فتاوى وآراء الإمام الصادق عليه السلام، ليتمكّن عبر ذلك من حلّ مشكلاته الفقهية</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وفي سفر الإمام الرضا عليه السلام من المدينة إلى مرو، كان على مسير نيسابور آلاف المحدّثين ينتظرون الإمام الثامن عليه السلام وفي أيديهم القلم والكاغذ، وهناك بالذات سمعوا حديث السلسلة الذهبية حيث ألقاه الإمام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ويشير الإمام الفخر الرازي في تفسيره لسورة الكوثر إلى نسل السيدة الزهراء عليها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أُسرة نجد علماء كبار مثل الباقر والصادق والكاظم والرضا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المجلّد الأوّل من تفسيره، ولدى بحثه عن جزئية البسملة من كلّ سورة ولزوم الجهر بها، ينقل الفخر الرازي رأي الإمام علي بن أبي طالب عليه السلام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اقتدى في دينه بعلي بن أبي طالب فقد اهتدى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ودليله على ذلك 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أدر الحق معه حيثما دار</w:t>
      </w:r>
      <w:r>
        <w:rPr>
          <w:rFonts w:eastAsia="Amiri" w:cs="Amiri" w:ascii="Amiri" w:hAnsi="Amiri"/>
          <w:color w:val="111111"/>
          <w:sz w:val="28"/>
          <w:szCs w:val="28"/>
          <w:rtl w:val="true"/>
          <w:lang w:bidi="ar-SA"/>
        </w:rPr>
        <w:t>».</w:t>
      </w:r>
      <w:r>
        <w:rPr>
          <w:rStyle w:val="FootnoteAnchor"/>
          <w:rtl w:val="true"/>
        </w:rPr>
        <w:footnoteReference w:id="807"/>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أكتفي هنا بهذا المقدار للتدليل على التعاون المعرفي الذي كان قائماً بين</w:t>
      </w:r>
      <w:bookmarkStart w:id="771" w:name="pg16768_165539"/>
    </w:p>
    <w:p>
      <w:pPr>
        <w:pStyle w:val="BookText"/>
        <w:rPr/>
      </w:pPr>
      <w:bookmarkEnd w:id="771"/>
      <w:r>
        <w:rPr>
          <w:rFonts w:ascii="Amiri" w:hAnsi="Amiri" w:eastAsia="Amiri" w:cs="Amiri"/>
          <w:color w:val="111111"/>
          <w:sz w:val="28"/>
          <w:sz w:val="28"/>
          <w:szCs w:val="28"/>
          <w:rtl w:val="true"/>
          <w:lang w:bidi="ar-SA"/>
        </w:rPr>
        <w:t xml:space="preserve">المذاهب في عصر الأئمة الأربعة، وأسعى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هذا التعاون بين علماء الفريقين في عصر الغيبة، منذ عام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w:t>
      </w:r>
      <w:r>
        <w:rPr>
          <w:rFonts w:eastAsia="Amiri" w:cs="Amiri" w:ascii="Amiri" w:hAnsi="Amiri"/>
          <w:color w:val="111111"/>
          <w:sz w:val="28"/>
          <w:szCs w:val="28"/>
          <w:rtl w:val="true"/>
          <w:lang w:bidi="ar-SA"/>
        </w:rPr>
        <w:t>.</w:t>
      </w:r>
    </w:p>
    <w:p>
      <w:pPr>
        <w:pStyle w:val="Heading4"/>
        <w:numPr>
          <w:ilvl w:val="3"/>
          <w:numId w:val="1"/>
        </w:numPr>
        <w:rPr/>
      </w:pPr>
      <w:bookmarkStart w:id="772" w:name="__RefHeading___Toc6863964_73709187"/>
      <w:bookmarkStart w:id="773" w:name="_Toc289"/>
      <w:bookmarkEnd w:id="772"/>
      <w:r>
        <w:rPr/>
        <w:t>1</w:t>
      </w:r>
      <w:r>
        <w:rPr>
          <w:rtl w:val="true"/>
        </w:rPr>
        <w:t xml:space="preserve">. </w:t>
      </w:r>
      <w:r>
        <w:rPr>
          <w:rtl w:val="true"/>
        </w:rPr>
        <w:t>الكليني في بعلبك</w:t>
      </w:r>
      <w:bookmarkEnd w:id="773"/>
    </w:p>
    <w:p>
      <w:pPr>
        <w:pStyle w:val="BookText"/>
        <w:rPr/>
      </w:pPr>
      <w:r>
        <w:rPr>
          <w:rFonts w:ascii="Amiri" w:hAnsi="Amiri" w:eastAsia="Amiri" w:cs="Amiri"/>
          <w:color w:val="111111"/>
          <w:sz w:val="28"/>
          <w:sz w:val="28"/>
          <w:szCs w:val="28"/>
          <w:rtl w:val="true"/>
          <w:lang w:bidi="ar-SA"/>
        </w:rPr>
        <w:t xml:space="preserve">محمد بن يعقوب الكليني، أحد المحدّثين الشيعة البارزين، ولد حوالي عام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عام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حوالي عشرين سنة، وأخذ عنه القميّون الحديث، ثم عزم السفر إلى بغداد، ليعرض هناك كتابه على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تلك الأيام، كانت بغداد والكوفة مركز التشيع، ومع ذلك لم يكتف الكليني بما فعل، بل واصل سيره نحو دمشق وبعلبك، وهناك في بعلبك بالذات نقل الحديث عن أُستاذين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علي السمرقندي، ومحمد بن أحمد الخفاف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يكتب ابن عساكر في تاريخه أنّ مشايخه ضبطوا الحديث عن الكليني، ويعمد من ثم إلى نقل حديث عنه بسنده إلى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إعجاب المرء بنفسه دليل على ضعف عقله</w:t>
      </w:r>
      <w:r>
        <w:rPr>
          <w:rFonts w:eastAsia="Amiri" w:cs="Amiri" w:ascii="Amiri" w:hAnsi="Amiri"/>
          <w:color w:val="111111"/>
          <w:sz w:val="28"/>
          <w:szCs w:val="28"/>
          <w:rtl w:val="true"/>
          <w:lang w:bidi="ar-SA"/>
        </w:rPr>
        <w:t>».</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لقد كان الجو في بعلبك منفتحاً إلى حدّ أن محدّثي الفريقين كانوا يتبادلون الحديث فيما بينهم، وقد أخذوا الحديث من هذا الشيخ الجليل، دون أن يروا أن تشيّعه مانع من أخذ الحديث عنه</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6863966_73709187"/>
      <w:bookmarkStart w:id="775" w:name="_Toc290"/>
      <w:bookmarkEnd w:id="774"/>
      <w:r>
        <w:rPr/>
        <w:t>2</w:t>
      </w:r>
      <w:r>
        <w:rPr>
          <w:rtl w:val="true"/>
        </w:rPr>
        <w:t xml:space="preserve">. </w:t>
      </w:r>
      <w:r>
        <w:rPr>
          <w:rtl w:val="true"/>
        </w:rPr>
        <w:t>الشيخ الصدوق في بلاد ماوراء النهر</w:t>
      </w:r>
      <w:bookmarkEnd w:id="775"/>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يمّم الشيخ محمد بن علي بن بابويه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بالشيخ الصدوق، شطره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ناحية المشرق الإسلامي، وأقام لسنوات عدة في بلخ وبخارى، ونقل الحديث عن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شيخاً من شيوخ الحديث، وقد كان</w:t>
      </w:r>
      <w:bookmarkStart w:id="776" w:name="pg16768_165540"/>
    </w:p>
    <w:p>
      <w:pPr>
        <w:pStyle w:val="BookText"/>
        <w:rPr/>
      </w:pPr>
      <w:bookmarkEnd w:id="776"/>
      <w:r>
        <w:rPr>
          <w:rFonts w:ascii="Amiri" w:hAnsi="Amiri" w:eastAsia="Amiri" w:cs="Amiri"/>
          <w:color w:val="111111"/>
          <w:sz w:val="28"/>
          <w:sz w:val="28"/>
          <w:szCs w:val="28"/>
          <w:rtl w:val="true"/>
          <w:lang w:bidi="ar-SA"/>
        </w:rPr>
        <w:t>بعضهم من محدثي أهل السنّة، مثل أبي نصر أحمد بن الحسين الضبّي المرواني</w:t>
      </w:r>
      <w:r>
        <w:rPr>
          <w:rStyle w:val="FootnoteAnchor"/>
          <w:rtl w:val="true"/>
        </w:rPr>
        <w:footnoteReference w:id="809"/>
      </w:r>
      <w:r>
        <w:rPr>
          <w:rFonts w:ascii="Amiri" w:hAnsi="Amiri" w:eastAsia="Amiri" w:cs="Amiri"/>
          <w:color w:val="111111"/>
          <w:sz w:val="28"/>
          <w:sz w:val="28"/>
          <w:szCs w:val="28"/>
          <w:rtl w:val="true"/>
          <w:lang w:bidi="ar-SA"/>
        </w:rPr>
        <w:t>، كما نقل عددٌ من محدّثي أهل السنّة عنه الأحاديث، وقد كان بعض مشايخ الخطيب البغدادي، مثل محمد بن طلحة النعالي من تلامذة الشيخ الصدوق، ليس هذا الرجل فحسب، بل هناك آخرون من أهل السنّة أخذوا الحديث عنه</w:t>
      </w:r>
      <w:r>
        <w:rPr>
          <w:rFonts w:eastAsia="Amiri" w:cs="Amiri" w:ascii="Amiri" w:hAnsi="Amiri"/>
          <w:color w:val="111111"/>
          <w:sz w:val="28"/>
          <w:szCs w:val="28"/>
          <w:rtl w:val="true"/>
          <w:lang w:bidi="ar-SA"/>
        </w:rPr>
        <w:t>.</w:t>
      </w:r>
      <w:r>
        <w:rPr>
          <w:rStyle w:val="FootnoteAnchor"/>
          <w:rtl w:val="true"/>
        </w:rPr>
        <w:footnoteReference w:id="810"/>
      </w:r>
    </w:p>
    <w:p>
      <w:pPr>
        <w:pStyle w:val="Heading4"/>
        <w:numPr>
          <w:ilvl w:val="3"/>
          <w:numId w:val="1"/>
        </w:numPr>
        <w:rPr/>
      </w:pPr>
      <w:bookmarkStart w:id="777" w:name="__RefHeading___Toc6863968_73709187"/>
      <w:bookmarkStart w:id="778" w:name="_Toc291"/>
      <w:bookmarkEnd w:id="777"/>
      <w:r>
        <w:rPr/>
        <w:t>3</w:t>
      </w:r>
      <w:r>
        <w:rPr>
          <w:rtl w:val="true"/>
        </w:rPr>
        <w:t xml:space="preserve">. </w:t>
      </w:r>
      <w:r>
        <w:rPr>
          <w:rtl w:val="true"/>
        </w:rPr>
        <w:t>الشيخ المفيد في بغداد</w:t>
      </w:r>
      <w:bookmarkEnd w:id="778"/>
    </w:p>
    <w:p>
      <w:pPr>
        <w:pStyle w:val="BookText"/>
        <w:rPr/>
      </w:pPr>
      <w:r>
        <w:rPr>
          <w:rFonts w:ascii="Amiri" w:hAnsi="Amiri" w:eastAsia="Amiri" w:cs="Amiri"/>
          <w:color w:val="111111"/>
          <w:sz w:val="28"/>
          <w:sz w:val="28"/>
          <w:szCs w:val="28"/>
          <w:rtl w:val="true"/>
          <w:lang w:bidi="ar-SA"/>
        </w:rPr>
        <w:t xml:space="preserve">محمد بن محمد بن النعمان العكبري المعروف بالشيخ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العلماء المشهورين في بغداد، لقد كان مشعلاً يضيء على المحيطين به، وقد استفادت الفرق عامتها منه، يقول ابن الجوزي عن درسه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له مجلس بداره بدرب رباح يحضره كثير من العلماء من سائر الطوائف</w:t>
      </w:r>
      <w:r>
        <w:rPr>
          <w:rFonts w:eastAsia="Amiri" w:cs="Amiri" w:ascii="Amiri" w:hAnsi="Amiri"/>
          <w:color w:val="111111"/>
          <w:sz w:val="28"/>
          <w:szCs w:val="28"/>
          <w:rtl w:val="true"/>
          <w:lang w:bidi="ar-SA"/>
        </w:rPr>
        <w:t>»</w:t>
      </w:r>
      <w:r>
        <w:rPr>
          <w:rStyle w:val="FootnoteAnchor"/>
          <w:rtl w:val="true"/>
        </w:rPr>
        <w:footnoteReference w:id="811"/>
      </w:r>
      <w:r>
        <w:rPr>
          <w:rFonts w:ascii="Amiri" w:hAnsi="Amiri" w:eastAsia="Amiri" w:cs="Amiri"/>
          <w:color w:val="111111"/>
          <w:sz w:val="28"/>
          <w:sz w:val="28"/>
          <w:szCs w:val="28"/>
          <w:rtl w:val="true"/>
          <w:lang w:bidi="ar-SA"/>
        </w:rPr>
        <w:t xml:space="preserve">وما يرشد إلى عمق العلاقة التي كانت تربط الفرق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الشيعة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وحبهم له، ما يقوله عنه كل من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والنجاشي، وهما من تلامذته، يقول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يوم وفاته مشهوراً، وصلى عليه الشريف المرتضى بميدان الإشنان، وضاق على الناس مع كبره</w:t>
      </w:r>
      <w:r>
        <w:rPr>
          <w:rFonts w:eastAsia="Amiri" w:cs="Amiri" w:ascii="Amiri" w:hAnsi="Amiri"/>
          <w:color w:val="111111"/>
          <w:sz w:val="28"/>
          <w:szCs w:val="28"/>
          <w:rtl w:val="true"/>
          <w:lang w:bidi="ar-SA"/>
        </w:rPr>
        <w:t>».</w:t>
      </w:r>
      <w:r>
        <w:rPr>
          <w:rStyle w:val="FootnoteAnchor"/>
          <w:rtl w:val="true"/>
        </w:rPr>
        <w:footnoteReference w:id="812"/>
      </w:r>
      <w:r>
        <w:rPr>
          <w:rFonts w:ascii="Amiri" w:hAnsi="Amiri" w:eastAsia="Amiri" w:cs="Amiri"/>
          <w:color w:val="111111"/>
          <w:sz w:val="28"/>
          <w:sz w:val="28"/>
          <w:szCs w:val="28"/>
          <w:rtl w:val="true"/>
          <w:lang w:bidi="ar-SA"/>
        </w:rPr>
        <w:t>ويصف الشيخ الطوسي يوم وفاته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يوم وفاته يوماً لم يُرَ أعظم منه من كثرة الناس للصلاة عليه، وكثرة البكاء من المخالف والمؤالف</w:t>
      </w:r>
      <w:r>
        <w:rPr>
          <w:rFonts w:eastAsia="Amiri" w:cs="Amiri" w:ascii="Amiri" w:hAnsi="Amiri"/>
          <w:color w:val="111111"/>
          <w:sz w:val="28"/>
          <w:szCs w:val="28"/>
          <w:rtl w:val="true"/>
          <w:lang w:bidi="ar-SA"/>
        </w:rPr>
        <w:t>».</w:t>
      </w:r>
      <w:r>
        <w:rPr>
          <w:rStyle w:val="FootnoteAnchor"/>
          <w:rtl w:val="true"/>
        </w:rPr>
        <w:footnoteReference w:id="813"/>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الشيخ المفيد وكافة علماء بغداد من الفرق المختلفة يكرّمون العلم رغم اختلافهم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تربطهم علاقات وطيدة، فذرف شخص سنّي</w:t>
      </w:r>
      <w:bookmarkStart w:id="779" w:name="pg16768_165541"/>
    </w:p>
    <w:p>
      <w:pPr>
        <w:pStyle w:val="BookText"/>
        <w:rPr/>
      </w:pPr>
      <w:bookmarkEnd w:id="779"/>
      <w:r>
        <w:rPr>
          <w:rFonts w:ascii="Amiri" w:hAnsi="Amiri" w:eastAsia="Amiri" w:cs="Amiri"/>
          <w:color w:val="111111"/>
          <w:sz w:val="28"/>
          <w:sz w:val="28"/>
          <w:szCs w:val="28"/>
          <w:rtl w:val="true"/>
          <w:lang w:bidi="ar-SA"/>
        </w:rPr>
        <w:t>الدموع على موت عالم شيعي كاشف عن عمق العلاقة والارتباط الروحيين</w:t>
      </w:r>
      <w:r>
        <w:rPr>
          <w:rFonts w:eastAsia="Amiri" w:cs="Amiri" w:ascii="Amiri" w:hAnsi="Amiri"/>
          <w:color w:val="111111"/>
          <w:sz w:val="28"/>
          <w:szCs w:val="28"/>
          <w:rtl w:val="true"/>
          <w:lang w:bidi="ar-SA"/>
        </w:rPr>
        <w:t>.</w:t>
      </w:r>
    </w:p>
    <w:p>
      <w:pPr>
        <w:pStyle w:val="Heading4"/>
        <w:numPr>
          <w:ilvl w:val="3"/>
          <w:numId w:val="1"/>
        </w:numPr>
        <w:rPr/>
      </w:pPr>
      <w:bookmarkStart w:id="780" w:name="__RefHeading___Toc6863970_73709187"/>
      <w:bookmarkStart w:id="781" w:name="_Toc292"/>
      <w:bookmarkEnd w:id="780"/>
      <w:r>
        <w:rPr/>
        <w:t>4</w:t>
      </w:r>
      <w:r>
        <w:rPr>
          <w:rtl w:val="true"/>
        </w:rPr>
        <w:t xml:space="preserve">. </w:t>
      </w:r>
      <w:r>
        <w:rPr>
          <w:rtl w:val="true"/>
        </w:rPr>
        <w:t>الشريف المرتضى زعيم أهل العراق</w:t>
      </w:r>
      <w:bookmarkEnd w:id="781"/>
    </w:p>
    <w:p>
      <w:pPr>
        <w:pStyle w:val="BookText"/>
        <w:rPr/>
      </w:pPr>
      <w:r>
        <w:rPr>
          <w:rFonts w:ascii="Amiri" w:hAnsi="Amiri" w:eastAsia="Amiri" w:cs="Amiri"/>
          <w:color w:val="111111"/>
          <w:sz w:val="28"/>
          <w:sz w:val="28"/>
          <w:szCs w:val="28"/>
          <w:rtl w:val="true"/>
          <w:lang w:bidi="ar-SA"/>
        </w:rPr>
        <w:t xml:space="preserve">يعدّ الشريف المرتضى، علي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أركان العلم في العراق، وقد اعترف الجميع له بالإمامة في الكلام والفقه والتفسير والأدب، فابن بسام الأندلسي يمتدحه في أواخر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هذا الشريفُ إمام أئمة العراق بين الاختلاف والاتفاق، إليه فزع علماؤها، وعنه أخذ عظماؤها</w:t>
      </w:r>
      <w:r>
        <w:rPr>
          <w:rFonts w:eastAsia="Amiri" w:cs="Amiri" w:ascii="Amiri" w:hAnsi="Amiri"/>
          <w:color w:val="111111"/>
          <w:sz w:val="28"/>
          <w:szCs w:val="28"/>
          <w:rtl w:val="true"/>
          <w:lang w:bidi="ar-SA"/>
        </w:rPr>
        <w:t>».</w:t>
      </w:r>
      <w:r>
        <w:rPr>
          <w:rStyle w:val="FootnoteAnchor"/>
          <w:rtl w:val="true"/>
        </w:rPr>
        <w:footnoteReference w:id="814"/>
      </w:r>
    </w:p>
    <w:p>
      <w:pPr>
        <w:pStyle w:val="Heading4"/>
        <w:numPr>
          <w:ilvl w:val="3"/>
          <w:numId w:val="1"/>
        </w:numPr>
        <w:rPr/>
      </w:pPr>
      <w:bookmarkStart w:id="782" w:name="__RefHeading___Toc6863972_73709187"/>
      <w:bookmarkStart w:id="783" w:name="_Toc293"/>
      <w:bookmarkEnd w:id="782"/>
      <w:r>
        <w:rPr/>
        <w:t>5</w:t>
      </w:r>
      <w:r>
        <w:rPr>
          <w:rtl w:val="true"/>
        </w:rPr>
        <w:t xml:space="preserve">. </w:t>
      </w:r>
      <w:r>
        <w:rPr>
          <w:rtl w:val="true"/>
        </w:rPr>
        <w:t>الشيخ الطوسي وكرسيّ التدريس</w:t>
      </w:r>
      <w:bookmarkEnd w:id="783"/>
    </w:p>
    <w:p>
      <w:pPr>
        <w:pStyle w:val="BookText"/>
        <w:rPr/>
      </w:pPr>
      <w:r>
        <w:rPr>
          <w:rFonts w:ascii="Amiri" w:hAnsi="Amiri" w:eastAsia="Amiri" w:cs="Amiri"/>
          <w:color w:val="111111"/>
          <w:sz w:val="28"/>
          <w:sz w:val="28"/>
          <w:szCs w:val="28"/>
          <w:rtl w:val="true"/>
          <w:lang w:bidi="ar-SA"/>
        </w:rPr>
        <w:t>وممّا أنتجته يراع الأُستاذين البارزين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والمرتضى، الشيخ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إنّنا نجده ينقل في أسانيده عن عالمين سنيّين أخذ عنهما الرواية،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بن شاذان، وأبو منصور السكّري</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ويصف الذهبي بيته بمعقل السبّاقين إلى العلم، ويكفينا للإشارة إلى عظمته العلمية أن أعطاه الخليفة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كرسي الكلام الإسلامي</w:t>
      </w:r>
      <w:r>
        <w:rPr>
          <w:rFonts w:eastAsia="Amiri" w:cs="Amiri" w:ascii="Amiri" w:hAnsi="Amiri"/>
          <w:color w:val="111111"/>
          <w:sz w:val="28"/>
          <w:szCs w:val="28"/>
          <w:rtl w:val="true"/>
          <w:lang w:bidi="ar-SA"/>
        </w:rPr>
        <w:t>.</w:t>
      </w:r>
      <w:r>
        <w:rPr>
          <w:rStyle w:val="FootnoteAnchor"/>
          <w:rtl w:val="true"/>
        </w:rPr>
        <w:footnoteReference w:id="816"/>
      </w:r>
    </w:p>
    <w:p>
      <w:pPr>
        <w:pStyle w:val="Heading4"/>
        <w:numPr>
          <w:ilvl w:val="3"/>
          <w:numId w:val="1"/>
        </w:numPr>
        <w:rPr/>
      </w:pPr>
      <w:bookmarkStart w:id="784" w:name="__RefHeading___Toc6863974_73709187"/>
      <w:bookmarkStart w:id="785" w:name="_Toc294"/>
      <w:bookmarkEnd w:id="784"/>
      <w:r>
        <w:rPr/>
        <w:t>6</w:t>
      </w:r>
      <w:r>
        <w:rPr>
          <w:rtl w:val="true"/>
        </w:rPr>
        <w:t xml:space="preserve">. </w:t>
      </w:r>
      <w:r>
        <w:rPr>
          <w:rtl w:val="true"/>
        </w:rPr>
        <w:t>ابن إدريس الحلّي والتعاون مع الفقيه الشافعي</w:t>
      </w:r>
      <w:bookmarkEnd w:id="785"/>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يخبرنا محمد بن منصور الحلي، المعروف بابن إدريس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عالم بارز مرموق صاحب رأي ومدرسة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علاقته وتعاونه مع أحد فقهاء الشافعية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 بعضُ فقهاء الشافعية، وكان بيني وبينه مؤانسة ومكاتبة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يقعُ الطلاق الثلاثُ عندكم‌؟ وما القول في ذلك عند</w:t>
      </w:r>
      <w:bookmarkStart w:id="786" w:name="pg16768_165542"/>
    </w:p>
    <w:p>
      <w:pPr>
        <w:pStyle w:val="BookText"/>
        <w:rPr/>
      </w:pPr>
      <w:bookmarkEnd w:id="786"/>
      <w:r>
        <w:rPr>
          <w:rFonts w:ascii="Amiri" w:hAnsi="Amiri" w:eastAsia="Amiri" w:cs="Amiri"/>
          <w:color w:val="111111"/>
          <w:sz w:val="28"/>
          <w:sz w:val="28"/>
          <w:szCs w:val="28"/>
          <w:rtl w:val="true"/>
          <w:lang w:bidi="ar-SA"/>
        </w:rPr>
        <w:t>فقهاء أهل البيت‌؟ فأجبته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عاش ابن إدريس في مدينة الحلّة فيما كان مسكن هذا الفقيه الشافعي هو بغداد أو شمال العراق، إلّاأنّ بُعد المسافة لم يشكل مانعاً من استفادة هذين الفقيهين من بعضهما، ليرجّحا المشتركات على نقاط الخلاف</w:t>
      </w:r>
      <w:r>
        <w:rPr>
          <w:rFonts w:eastAsia="Amiri" w:cs="Amiri" w:ascii="Amiri" w:hAnsi="Amiri"/>
          <w:color w:val="111111"/>
          <w:sz w:val="28"/>
          <w:szCs w:val="28"/>
          <w:rtl w:val="true"/>
          <w:lang w:bidi="ar-SA"/>
        </w:rPr>
        <w:t>.</w:t>
      </w:r>
    </w:p>
    <w:p>
      <w:pPr>
        <w:pStyle w:val="Heading4"/>
        <w:numPr>
          <w:ilvl w:val="3"/>
          <w:numId w:val="1"/>
        </w:numPr>
        <w:rPr/>
      </w:pPr>
      <w:bookmarkStart w:id="787" w:name="__RefHeading___Toc6863976_73709187"/>
      <w:bookmarkStart w:id="788" w:name="_Toc295"/>
      <w:bookmarkEnd w:id="787"/>
      <w:r>
        <w:rPr/>
        <w:t>7</w:t>
      </w:r>
      <w:r>
        <w:rPr>
          <w:rtl w:val="true"/>
        </w:rPr>
        <w:t xml:space="preserve">. </w:t>
      </w:r>
      <w:r>
        <w:rPr>
          <w:rtl w:val="true"/>
        </w:rPr>
        <w:t>الشيخ منتجب الدين الرازي ومديح الرافعي القزويني</w:t>
      </w:r>
      <w:bookmarkEnd w:id="788"/>
    </w:p>
    <w:p>
      <w:pPr>
        <w:pStyle w:val="BookText"/>
        <w:rPr/>
      </w:pPr>
      <w:r>
        <w:rPr>
          <w:rFonts w:ascii="Amiri" w:hAnsi="Amiri" w:eastAsia="Amiri" w:cs="Amiri"/>
          <w:color w:val="111111"/>
          <w:sz w:val="28"/>
          <w:sz w:val="28"/>
          <w:szCs w:val="28"/>
          <w:rtl w:val="true"/>
          <w:lang w:bidi="ar-SA"/>
        </w:rPr>
        <w:t>منتجب الدين أحد علماء القرن السادس، وقد كتب تكملةً على فهرست الشيخ الطوسي، وفي الحقيقة فقد أكمل فهرست الشيخ الطوسي شخصان في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منتجب الدين في الري، وابن شهر آشوب في بغداد أو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الرافعي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المحدّثين الرفيعين لأهل السنّة، ومن مؤرخي القرن السادس، وقد لازم الشيخ منتجب الدين وظل في خدمته فترة طويلة، وأخذ عنه الحديث والعلم، ومن المناسب هنا أن نطالع مكانة هذا العالم الشيعي على لسان تلميذه، إنّه يعرّف أُستاذه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شيخ ريّان من علم الحديث سماعاً وضبطاً، يكتب ما يجد ويسمع ممّن يجد، ويقلّ من يدانيه في هذه الأعصار في كثرة الجمع والسماع والشيوخ الذين سمع منهم وأجاز لهم، وله كتاب الأربعين، وقد قرأته عليه بالريّ سنة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817"/>
      </w:r>
    </w:p>
    <w:p>
      <w:pPr>
        <w:pStyle w:val="Heading4"/>
        <w:numPr>
          <w:ilvl w:val="3"/>
          <w:numId w:val="1"/>
        </w:numPr>
        <w:rPr/>
      </w:pPr>
      <w:bookmarkStart w:id="789" w:name="__RefHeading___Toc6863978_73709187"/>
      <w:bookmarkStart w:id="790" w:name="_Toc296"/>
      <w:bookmarkEnd w:id="789"/>
      <w:r>
        <w:rPr/>
        <w:t>8</w:t>
      </w:r>
      <w:r>
        <w:rPr>
          <w:rtl w:val="true"/>
        </w:rPr>
        <w:t xml:space="preserve">. </w:t>
      </w:r>
      <w:r>
        <w:rPr>
          <w:rtl w:val="true"/>
        </w:rPr>
        <w:t>فخر المحقّقين ومديح صاحب القاموس</w:t>
      </w:r>
      <w:bookmarkEnd w:id="790"/>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 المحقّقين محمد بن الحسن بن يوسف، أحد فقهاء القرن الثامن الكبار، إنّه ابن الحسن بن يوسف المعروف بالعلامة الحلّي، وقد كان هذا الولد عزيزاً ومحترماً جداً عند والده، لهذا كتب الوالدُ جملةً من مؤلفاته بناء على طلبٍ منه ورغبة، وفي آخر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وصيّته لولده وهي وصية تحوز</w:t>
      </w:r>
      <w:bookmarkStart w:id="791" w:name="pg16768_165543"/>
    </w:p>
    <w:p>
      <w:pPr>
        <w:pStyle w:val="BookText"/>
        <w:rPr/>
      </w:pPr>
      <w:bookmarkEnd w:id="791"/>
      <w:r>
        <w:rPr>
          <w:rFonts w:ascii="Amiri" w:hAnsi="Amiri" w:eastAsia="Amiri" w:cs="Amiri"/>
          <w:color w:val="111111"/>
          <w:sz w:val="28"/>
          <w:sz w:val="28"/>
          <w:szCs w:val="28"/>
          <w:rtl w:val="true"/>
          <w:lang w:bidi="ar-SA"/>
        </w:rPr>
        <w:t>على قدر عالٍ من الأهمية من الناحية الاجتماعية والأخلاقية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جانب ومن جانب آخر، يصنّف الفيروزآبادي،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الأدباء اللامعين في القرن الثامن الهجري، ويصنّف كتابه هذا مرجعاً لكتّاب القواميس اللغوية الذين جاؤوا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أجاز الفيروزآبادي لأحد تلامذته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باسم ابن 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ويخبره بأنّه أخذ هذا الكتاب عن أُستاذه ورواه عنه، ذاكراً سنده لمؤلّف التكملة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الحال، يصف الفيروزآبادي فخر المحقّقين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بحر العلوم وطودُ العلى، فخر الدين محمد بن الشيخ الإمام الأعظم برهان علماء الأُمم، جمال الدين أبي منصور الحسن بن يوسف بن المطهّر بحقّ روايته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هناك تبادلاً علمياً وتعاوناً معرفياً أكثر من هذا؟ وهل يمكن أن يكون هناك أوضح من هذا في واقعية تقييم الآخرين‌؟</w:t>
      </w:r>
    </w:p>
    <w:p>
      <w:pPr>
        <w:pStyle w:val="Heading4"/>
        <w:numPr>
          <w:ilvl w:val="3"/>
          <w:numId w:val="1"/>
        </w:numPr>
        <w:rPr/>
      </w:pPr>
      <w:bookmarkStart w:id="792" w:name="__RefHeading___Toc6863980_73709187"/>
      <w:bookmarkStart w:id="793" w:name="_Toc297"/>
      <w:bookmarkEnd w:id="792"/>
      <w:r>
        <w:rPr/>
        <w:t>9</w:t>
      </w:r>
      <w:r>
        <w:rPr>
          <w:rtl w:val="true"/>
        </w:rPr>
        <w:t xml:space="preserve">. </w:t>
      </w:r>
      <w:r>
        <w:rPr>
          <w:rtl w:val="true"/>
        </w:rPr>
        <w:t>الخواجه نصير الدين الطوسي ونجاة العلماء</w:t>
      </w:r>
      <w:bookmarkEnd w:id="793"/>
    </w:p>
    <w:p>
      <w:pPr>
        <w:pStyle w:val="BookText"/>
        <w:rPr/>
      </w:pPr>
      <w:r>
        <w:rPr>
          <w:rFonts w:ascii="Amiri" w:hAnsi="Amiri" w:eastAsia="Amiri" w:cs="Amiri"/>
          <w:color w:val="111111"/>
          <w:sz w:val="28"/>
          <w:sz w:val="28"/>
          <w:szCs w:val="28"/>
          <w:rtl w:val="true"/>
          <w:lang w:bidi="ar-SA"/>
        </w:rPr>
        <w:t xml:space="preserve">نفذ المغول من المشرق إلى داخل البلاد الإسلامية، وشرعوا بحملتهم عام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واحتلوا بغداد عام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ومنذ بداية الحرب خربوا المدن والقرى التي مرّوا بها وارتكبوا فيها المجازر الجماعية، وعلى امتداد مسيرهم أبادوا مظاهر الحضارة الإسلامية، ولذا اختفى الكثير من العلماء والمفكّرين ولجأوا إلى أماكن ونقاط بعيدة قاصية، وعندما وصل المغول إلى بغداد لم يرحموا الصغير ولا الكبير ولا السنّي ولا الشيعي، ولم تمض أيام إلّاوغرقت المنطقة في مسلسل إعدامات واسع النطاق، ورموا بكتب علماء الإسلام في نهر دجلة حتى غدا ماؤه أسود</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الفترة كان نصير الدين الطوسي أسيراً في يد الإسماعيليين عند فتح قلعة ألموت، وسقط أسيراً في يد المغول، وحيث بلغهم علمه بالنجوم والرياضيات، وكانت هذه العلوم مرغوبة لدى هولاكو، حفظوه تحت أيديهم في</w:t>
      </w:r>
    </w:p>
    <w:p>
      <w:pPr>
        <w:pStyle w:val="BookText"/>
        <w:rPr/>
      </w:pPr>
      <w:r>
        <w:rPr>
          <w:rFonts w:ascii="Amiri" w:hAnsi="Amiri" w:eastAsia="Amiri" w:cs="Amiri"/>
          <w:color w:val="111111"/>
          <w:sz w:val="28"/>
          <w:sz w:val="28"/>
          <w:szCs w:val="28"/>
          <w:rtl w:val="true"/>
          <w:lang w:bidi="ar-SA"/>
        </w:rPr>
        <w:t>بغداد، وقدّموا له الاحترام، وقد تمكّن بخبرته ودرايته من دعوة الكثير من العلماء من أماكن اختبائهم، وأعاد بناء الحضارة الإسلامية بتأسيسه مرصداً في مراغة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نصير الدين يعرف في العلاقات العلمية والفكرية سنّياً ولا شيعياً، لأنّه كان لا يميّز بينهما، فقد أخذ العلم من أُستاذٍ سنّي المذهب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ابن موسى، كما تعلّم العديد من علماء أهل السنّة على يديه فبلغوا مكانةً مرموقة في سماء المعرفة، ويكفينا أن نعرف أنّ قطب الدين الشيرازي، وشهاب الدين الكازروني، وأبا الحسن علي بن عمر الكاتبي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الشمسية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خريجي مدرسة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حظي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باهتمام مختصّي علم الكلام الإسلامي، وبعد العلّامة الحلّي الذي يعدّ أوّل شارح لهذا الكتاب، قام عدد من العلماء السنّة بشرحه أيضاً، مثل شمس الدين البيهقي، وشمس الدين الإصفهاني، وعلاء الدين القوشجي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ويكتب ثالث هؤلاء الشراح في مقدّمة شرحه يحدّثنا عن هذا الكتاب بشكل مثير للدهشة، مما يجدر بطلاب المعرفة والراغبين مراجعته، وهذه بعض كلماته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تصنيف مخزون بالعجائب، وتأليف مشحون بالغرائب، فهو وإن كان صغير الحجم وجيز النظم، لكنه كثير العلم، عظيم الاسم، جليل البيان، رفيع المكان، حسن النظام، مقبول الأئمة العظام، لم يظفر بمثله علماء الأعصار، ولم يأت بمثله الفضلاء في القرون والأدوار، مشتمل على إشارات إلى مطالب هي الأُمهات، مشحون بتنبيهات على مباحث هي المهمات، مملوّ بالجواهر كلّها كالفصوص، ومحتوٍ على كلمات يجري أكثرها مجرى النصوص، متضمّن لبيانات معجزة في عبارات موجزة</w:t>
      </w:r>
      <w:r>
        <w:rPr>
          <w:rFonts w:eastAsia="Amiri" w:cs="Amiri" w:ascii="Amiri" w:hAnsi="Amiri"/>
          <w:color w:val="111111"/>
          <w:sz w:val="28"/>
          <w:szCs w:val="28"/>
          <w:rtl w:val="true"/>
          <w:lang w:bidi="ar-SA"/>
        </w:rPr>
        <w:t>...».</w:t>
      </w:r>
      <w:r>
        <w:rPr>
          <w:rStyle w:val="FootnoteAnchor"/>
          <w:rtl w:val="true"/>
        </w:rPr>
        <w:footnoteReference w:id="818"/>
      </w:r>
      <w:bookmarkStart w:id="794" w:name="pg16768_165545"/>
    </w:p>
    <w:p>
      <w:pPr>
        <w:pStyle w:val="Heading4"/>
        <w:numPr>
          <w:ilvl w:val="3"/>
          <w:numId w:val="1"/>
        </w:numPr>
        <w:rPr/>
      </w:pPr>
      <w:bookmarkStart w:id="795" w:name="__RefHeading___Toc6863982_73709187"/>
      <w:bookmarkStart w:id="796" w:name="_Toc298"/>
      <w:bookmarkEnd w:id="794"/>
      <w:bookmarkEnd w:id="795"/>
      <w:r>
        <w:rPr/>
        <w:t>10</w:t>
      </w:r>
      <w:r>
        <w:rPr>
          <w:rtl w:val="true"/>
        </w:rPr>
        <w:t xml:space="preserve">. </w:t>
      </w:r>
      <w:r>
        <w:rPr>
          <w:rtl w:val="true"/>
        </w:rPr>
        <w:t>العلّامة الحلّي ومختصر ابن الحاجب</w:t>
      </w:r>
      <w:bookmarkEnd w:id="796"/>
    </w:p>
    <w:p>
      <w:pPr>
        <w:pStyle w:val="BookText"/>
        <w:rPr/>
      </w:pPr>
      <w:r>
        <w:rPr>
          <w:rFonts w:ascii="Amiri" w:hAnsi="Amiri" w:eastAsia="Amiri" w:cs="Amiri"/>
          <w:color w:val="111111"/>
          <w:sz w:val="28"/>
          <w:sz w:val="28"/>
          <w:szCs w:val="28"/>
          <w:rtl w:val="true"/>
          <w:lang w:bidi="ar-SA"/>
        </w:rPr>
        <w:t xml:space="preserve">يصنّف ابن الحاجب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أُدباء القرن السابع ومن أُصوليّي عصره، وقد غدت ثلاثة من كتبه محاور للتدريس والشرح،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الشافية، في الصرف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الكافية، في النحو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الأُصول، في علم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شرح الكتابين الأوّلين رضي الدين الاسترآبادي، وكان شرحاه لامعين في سماء اللغة والأدب، يقول جلال الدين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الرضي كل من جاء كان يعتاش على فتاته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الثالث لابن الحاجب فقد ظل كتاباً دراسياً في الحوزات الشيعية، وقد درّسه المغفور له المحقق الأردبيلي لتلميذيه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المدارك، وصاحب المعالم، ووقع الكتاب موقع القبول والترغيب من جانب علماء أُصول أهل السنّة، وتعدّت شروحاته الأربعين شرحاً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الوسط الشيعي كانت للعلّامة الحلي مساهمة علمية كريمة، فقد كتب شرحاً علمياً تحقيقياً عليه، يقول فيه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غاية الحسن في حلّ ألفاظه، وتقريب معانيه</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إلى هنا، نكون قد مررنا سريعاً على بعض جوانب التعاون العلمي بين الفريقين، حتى القرن السابع، وقد كان هذا التعاون على مستوى العلماء والمفكرين، رغم أنّه على مستويات أُخرى ثمة من أوقد نار الفتنة فأوجد المشكلات للعلماء أنفسهم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ونكون بما عرضناه قد عرضنا جانباً من مشهد التعاون بين علماء السنّة والشيعة، إلّاأنّ شرح حال هذه العلاقة المتبادلة في القرون اللاحقة يطيل بنا المقام ويزيد في الكلام، لهذا 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عنه، ولنطل على هذا التعاون المعرفي</w:t>
      </w:r>
    </w:p>
    <w:p>
      <w:pPr>
        <w:pStyle w:val="BookText"/>
        <w:rPr/>
      </w:pPr>
      <w:r>
        <w:rPr>
          <w:rFonts w:ascii="Amiri" w:hAnsi="Amiri" w:eastAsia="Amiri" w:cs="Amiri"/>
          <w:color w:val="111111"/>
          <w:sz w:val="28"/>
          <w:sz w:val="28"/>
          <w:szCs w:val="28"/>
          <w:rtl w:val="true"/>
          <w:lang w:bidi="ar-SA"/>
        </w:rPr>
        <w:t>بين الفريقين في القرن الرابع عشر الهجري، وبشكل موجز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هبة الدين الشهرستاني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لهذا السيد الجليل خدمات جليلة في نشر الإسلام عن طريق الرسائل والمقالات والكتب والموسوعات، ومن آثاره القيّمة كتابه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بحق أثر جليل وتصنيف بلا مثيل، كشف فيه الغطاء عن نظرية الإسلام فيما يتعلّق بشأن الأرض والسماء، وقد كان الفلكيون من المسلمين معتقدين بما جاء به بطليموس في ذلك المجال وصاروا يفسرون الآيات والروايات وفقاً لهذه النظرية، ويواجهون في ذلك صعوبة لا توصف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هيمنة النظرية البطليموسية حاجبة بينهم وبين الرؤية الواقعية للإسلام في مجال الفلكيات، إلّاأنّ السيد الشهرستاني رحمه الله تجرد عن تلك النظرية ونظر إلى الآيات والروايات متخلّياً عن رأي مسبق فرأى أنّ ما جاء به الإسلام في الكتاب والسنّة هونفس ما أثبته العلم الحديث بفضل المراصد والحسابات الرياضية الفلكية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خرج الكتاب من الطبع وانتشر في العراق وخارجه تواترت التقاريظ وكتب الثناء والتقدير على الكتاب ومؤلّفه من علماء الإسلام كافة، وممّن قرّظه من علماء السنّة في العراق، شيخ علماء بغداد في عصره، وكبير أعلام أهل السنّة في مصره، العلّامة السيد محمود شكري بن عبداللّه بن أبي الثناء الآلوسي البغدادي</w:t>
      </w:r>
      <w:r>
        <w:rPr>
          <w:rStyle w:val="FootnoteAnchor"/>
          <w:rtl w:val="true"/>
        </w:rPr>
        <w:footnoteReference w:id="8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في رسالته خطاباً إلى السيد المؤلف</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صريح المعقول لا يخالف صحيح المنقول، فكان ما ظهر لدى المتأخّرين من الآراء كالشرح لما جاءت به الشريعة الغراء، لا سيما ما يتعلق بشأن الأرض والسماء؛ وقد كان هذا السرُّ مكتوماً عن الناس، خفياً على أفهام كثير من الأكياس،</w:t>
      </w:r>
    </w:p>
    <w:p>
      <w:pPr>
        <w:pStyle w:val="BookText"/>
        <w:rPr/>
      </w:pPr>
      <w:r>
        <w:rPr>
          <w:rFonts w:ascii="Amiri" w:hAnsi="Amiri" w:eastAsia="Amiri" w:cs="Amiri"/>
          <w:color w:val="111111"/>
          <w:sz w:val="28"/>
          <w:sz w:val="28"/>
          <w:szCs w:val="28"/>
          <w:rtl w:val="true"/>
          <w:lang w:bidi="ar-SA"/>
        </w:rPr>
        <w:t>حتى قيّض اللّه تعالى لكشفه فرع الشجرة الهاشمية، وغصن الدوحة العلوية، فخر الأكابر والأعاظم، وذخر السادة الأكارم، جامع مجامع الأخلاق الحميدة، حاوي محاسن الصفات السديدة، محيي دارس المجد والرئاسة، مقوم أود العز، بما أحكم به أساسهُ‌، علّامة عصره وفهامة مصره، المصلح الشهير، والفطن النحرير؛ هبة الدين السيد محمد علي الشهرستاني لا زال مؤيداً بالتأييد الرباني، وفَتَحَ مُقْفَل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البابَ وأصبح وله يدٌ بيضاء على الأُمّة الإسلامية ومَجْدٌ مخلد من بين أعلام أئمة الإمامية</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والسيد محمود شُكري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شكري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أكابر علماء زمانه على مذهب أهل السنة، وله تلامذة كثيرون،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بهجة البغدادي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آخر من مات من تلامذته إذ كانت وفاته في 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وولادته في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أشهر مؤلفات الآلوسي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بلوغ الأرب في معرفة أحوال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فيه يصف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تعصّبه وتعنّته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كتابُ نهج البلاغة قد استودع من خطب الإمام علي بن أبي طالب سلام اللّه عليه ما هو قبسٌ من نور الكلام الإلهي، وشمسٌ تضيءُ بفصاحة المنطق النبويّ‌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والحقُّ ينطق منصفاً وعنيداً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الأرب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خطب أهل الصدر الأوّل من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عاش هذا العالم حصوراً فلم يتزوج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وللسيد الشهرستاني رحمه الله مراسلات مع علّامة الأزهر الشيخ محمد رشيد رضا، وهو من تلاميذ المصلح الشيخ محمد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نشر ما أملاه عليه أُستاذه على صفحات مجلة المنار، ثم جمع ما نشره وسمّاه بتفسير المنار، وقد أدخل ضمن دروس إمامه وأُستاذه ما ليس منه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فللرجل مقام سام بين الأزهريين، 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 المحمدي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له صدى واسعاً يوم نشر، وكان بينه وبين السيد هبة الدين الشهرستاني</w:t>
      </w:r>
    </w:p>
    <w:p>
      <w:pPr>
        <w:pStyle w:val="BookText"/>
        <w:rPr/>
      </w:pPr>
      <w:r>
        <w:rPr>
          <w:rFonts w:ascii="Amiri" w:hAnsi="Amiri" w:eastAsia="Amiri" w:cs="Amiri"/>
          <w:color w:val="111111"/>
          <w:sz w:val="28"/>
          <w:sz w:val="28"/>
          <w:szCs w:val="28"/>
          <w:rtl w:val="true"/>
          <w:lang w:bidi="ar-SA"/>
        </w:rPr>
        <w:t>علقة وطيدة تظهر من رسالة السيد إليه، وقد كتب الأُستاذ رشيد رضا رسالة إليه وأجاب عنها السيد الشهرستاني بما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حضرة العلّامة الكامل شيخ المصلحين الأفاضل سماحة الأُستاذ محمد رشيد أفندي رضا الأفخم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إهداء أسنى سلام وأزكى تحية إلى تلك الحضرة القدسية، أدامها ربّ البرية وبث الأشواق الخالصة القلبية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نرجو من سيادتكم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تتفضّلوا علينا بالإخبار عن صحّتكم وسلامة مزاجكم الوهّاج، وتبشرونا باستقامة أحوالكم وطيب خاطركم العاطر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بأسعد وقت حظوت بمُشرِّفكم المؤرخ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فتناولته بيد المسرة والاحترام وتطاير قلبي فرحاً من إشعاره بتشريفكم في رحلتكم هذه الميمونة إلى بلادنا لزيارة أجدادكم وإخوانكم وإنْ هي إلّابشارة عظيمة، ولا شك أنّ محلنا يتشرف بنزول أجلالكم فيه، إذ هو في الحقيقة محلكم، والمخلص خادمكم ما دمتم مشرفين وينبغي لسيادة الأُستاذ دام ظله أن لا يقطع عنّي خبره ويبشرني بزمان تشريفه إلى قطرنا إن استقر عليه رأيه، وهذه واللّه نعمة غير مترقّبة تستوجب الشكر الجزيل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رقيمكم الزاهر شرّفني في أوّل أمس ولا يبلغكم الجواب حسب الظاهر إلّافي أواسط الشهر المقبل، فلا شك انّ كتابتي إليكم فيما يتعلق برحلتكم في الهند غير مجدية، ولكنّي أحاول الفرص فإن أباحها لي التوفيق فلربما سافرت إلى البصرة استقبل تشريفكم إذا تحقّق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صرفتم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تشريف العراق فعرفوني عن ذلك أيضاً فإن ذلك يهمني كما يهمني معرفة زمان ورودكم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تحرير أقل خدّام الإسلام السيد هبة الدين الشهرستاني</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الثاني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وله رسالة أُخرى إلى الأُستاذ رشيد رضا، نتشرف بنقلها في المقام</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سيدّي العلّامة أدام اللّه أيّامه</w:t>
      </w:r>
    </w:p>
    <w:p>
      <w:pPr>
        <w:pStyle w:val="BookText"/>
        <w:rPr/>
      </w:pPr>
      <w:r>
        <w:rPr>
          <w:rFonts w:ascii="Amiri" w:hAnsi="Amiri" w:eastAsia="Amiri" w:cs="Amiri"/>
          <w:color w:val="111111"/>
          <w:sz w:val="28"/>
          <w:sz w:val="28"/>
          <w:szCs w:val="28"/>
          <w:rtl w:val="true"/>
          <w:lang w:bidi="ar-SA"/>
        </w:rPr>
        <w:t xml:space="preserve">مرحباً بكم وأهلاً وسهلاً، ما كان أجمل ذلك النبأ الّذي بلغني فيه قدومكم، ولكن وا أسفاه لو تمّ السرور فقد كنتُ متشوقاً لطلعتكم مُترقباً ورودكم أنا وسائر العلماء والأُدباء المخلصين لكم على البعد والذين تهيئوا وتهيئنا معهم للقائكم، وعسى أن يكون العذر الّذي قعد بكم عن الورود على هذه البلاد قد عافاكم اللّه منه ولو كان سلك البرق غير منقطع بيننا وبين بغداد لجعلت المخابرة تترى استعلاماً لأحوالكم واستكشافاً لنياتكم قدّر اللّه الاجتماع بكم، وها أنا ذا بعد أن علمت أنّكم ألقيتم عصى التسيار في بغداد ناهض إليكم متحرك إلى حيث أنتم على كثرة أشغال وتشويش بال، ولكن لقياكم ومشاهدتكم هما أعزّ عندي من كل شيء، وقد جعلت حركتي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اليوم عندنا يوم نفير البريد العام هذا ما لزم عرضه، وسلامي لمقام السيد النقيب نقيب الأشراف المُعظّم وأولاده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المخلص هبة الدين الحسيني الشهرستاني</w:t>
      </w:r>
    </w:p>
    <w:p>
      <w:pPr>
        <w:pStyle w:val="BookText"/>
        <w:rPr/>
      </w:pP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وله رسالة ثالثة أرسلها إليه من الهند، هذا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آتاو بالهند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سيدنا العلّامة المصلح دامت إفاضاته</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إهداء أسنى السلام وأزكى التحية، وبث الأشواق الخالصة القلبية لحضرتك البهية، فإنّ هذا المشتاق تشرف من عهد بعيد بزيارة كتابك الكريم،</w:t>
      </w:r>
    </w:p>
    <w:p>
      <w:pPr>
        <w:pStyle w:val="BookText"/>
        <w:rPr/>
      </w:pPr>
      <w:r>
        <w:rPr>
          <w:rFonts w:ascii="Amiri" w:hAnsi="Amiri" w:eastAsia="Amiri" w:cs="Amiri"/>
          <w:color w:val="111111"/>
          <w:sz w:val="28"/>
          <w:sz w:val="28"/>
          <w:szCs w:val="28"/>
          <w:rtl w:val="true"/>
          <w:lang w:bidi="ar-SA"/>
        </w:rPr>
        <w:t xml:space="preserve">وقد أشغله عن المواظبة على التراسل جملة أُمور منها لوازم السفر ومهمات الحل والترحال، حيث إنّي لا أُقيم في بلد أكثر من أُسبوعين، ومنها عروض الأسقام والحميات غالباً بسبب اختلاف أهوية البلاد ومغايرة البيئة الهندية لظواهر البنية العراقية، ومنها اشتغالي بالمذاكرات والتقريرات الخصوصية والعمومية الدائرة على قطبي الإرشاد العام نحو الإصلاحات والحث على تقوية أمر الدعوة الإسلامية دحضاً لمساعي دعاة النصرانية، ومنها تحريري لأجوبة المسائل الواردة عليّ علاوةً على اشتغالي بتحرير المقالات الفارسية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قفان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مقصد لي فيها غير الحث على الدعوة ومعارضة دعاة النصرانية بقوة اجتماعية إسلامية تتجلّى في كسوة المدارس والمجالس والمطبوعات والمجتمعات، وقد شرع الإخوان في طبع تلك المقالات في كتاب مستقل بالفارسية، كما شرعوا في ترجمتها إلى اللغة الهندية وسوف أهديهما إلى إدارتكم الزاهرة بعد نجازهما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انتشار هاتيك المقالات في بعض صحف الهند الفارسية والأُردوية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ليس الغرض من ذكر هذه الأُمور إظهار خدماتي الإسلامية لأنّ أعداءنا يخدمون باطلهم أكثر من هذا، بل المقصود أن يعذرني حضرتك 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أبطأت في المكاتبة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مقدّم إلى مجلتكم الغراء كتابي في أجوبة مسائل اقترحها عليّ جلالة الملك العربي السيد فيصل بن تركي سلطان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في عز وأمان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تحظى بالقبول فينشر على صفحات المنار الزاهية، ويطبع مع ذلك كرسالة مستقلة نظراً إلى ما فيها من المسائل المستطرفة والأبحاث التفسيرية المناسبة لخطة المنار الأغر، ومتى طبعتموه كتاباً مستقلاً فأخبروني عنه سريعاً حتى اشتري من نسخه نحواً من خمسين نسخة لأوّل وهلة أُوزعها على طالبيه من أحبتي الهنديين، وليكن الجواب عن ذلك سريعاً في البريد المتعهد بهذا العنوان</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استظرفت ذكره لكم من حيل دعاة النصرانية إنّي مررت بمجتمع عظيم في منتزه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بارابنكى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بقسٍ يدعو إلى اعتناق المسيحية، ثم خرج من الجماعة</w:t>
      </w:r>
    </w:p>
    <w:p>
      <w:pPr>
        <w:pStyle w:val="BookText"/>
        <w:rPr/>
      </w:pPr>
      <w:r>
        <w:rPr>
          <w:rFonts w:ascii="Amiri" w:hAnsi="Amiri" w:eastAsia="Amiri" w:cs="Amiri"/>
          <w:color w:val="111111"/>
          <w:sz w:val="28"/>
          <w:sz w:val="28"/>
          <w:szCs w:val="28"/>
          <w:rtl w:val="true"/>
          <w:lang w:bidi="ar-SA"/>
        </w:rPr>
        <w:t xml:space="preserve">رجل في زي أُوروبي وذكر للناس أنّه جاب البلاد وفتّش عن الأديان فلم يجد خيراً من النصرانية، ثم بايع ذلك القس وجلس بجنبه، ثم خرج من الجماعة رجل في زي العرب وذكر للناس أنّه رجل من أهل مكة على مذهب الحنفي قد ساح البلدان طلباً لأصحّ الأديان فلم يجد كالنصرانية نطق بهذه الشهادة وبايع القس وجلس بجنبه، ثم خرج من الجماعة رجل في زي العجم وذكر للناس أنّه شيعي خرج من كربلاء يفتش الدين الصحيح من أديان العالم فلم يجد مثل دين المسيح نطق بهذه الشهادة وبايع القس وجلس بجانبه، ثم خرج من الجماعة رجل هندي وذكر للناس أنّه وثني خرج من بلده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اجودهيا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وتصفح المذاهب فلم يجد كالمسيحية ثم بايع القس وجلس بجنبه، ولما دقّقت النظر في أمرهم وجدت ذلك منهم حيلة يريدون اغتيال العامّة البسطاء بذلك، والأربعة كانوا جميعاً هنود متنصّرين من زمن طويل، إذ لم يكن الّذي ادّعى أنّه عربي حنفي يعرف شيئاً من العربية ولا فيه شمائل العرب، وكذلك الذي ادّعى أنّه شيعي أعجمي لم يكن عارفاً بالعجمية ولا فيه شمائلهم، ولو كان معي أصحابي أو كنت ماهراً في اللغة الهندية لعارضتهم أتمّ المعارضة، لكنّي خشيت الفتنة مع غربتي وانفرادي، وعدم معرفتي محاورات الهنود كاملةً وغلب عليّ الذهول والتحير من هذه الحيلة المعجبة الّتي يقصر عنها دهاء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السلام التام عليكم وعلى الأخ السيد صالح رضا ورحمة اللّه وبركاته</w:t>
      </w:r>
    </w:p>
    <w:p>
      <w:pPr>
        <w:pStyle w:val="BookText"/>
        <w:rPr/>
      </w:pPr>
      <w:r>
        <w:rPr>
          <w:rFonts w:ascii="Amiri" w:hAnsi="Amiri" w:eastAsia="Amiri" w:cs="Amiri"/>
          <w:color w:val="111111"/>
          <w:sz w:val="28"/>
          <w:sz w:val="28"/>
          <w:szCs w:val="28"/>
          <w:rtl w:val="true"/>
          <w:lang w:bidi="ar-SA"/>
        </w:rPr>
        <w:t>تحرير أقل خدام الإسلام هبة الدين</w:t>
      </w:r>
    </w:p>
    <w:p>
      <w:pPr>
        <w:pStyle w:val="BookText"/>
        <w:rPr/>
      </w:pPr>
      <w:r>
        <w:rPr>
          <w:rFonts w:ascii="Amiri" w:hAnsi="Amiri" w:eastAsia="Amiri" w:cs="Amiri"/>
          <w:color w:val="111111"/>
          <w:sz w:val="28"/>
          <w:sz w:val="28"/>
          <w:szCs w:val="28"/>
          <w:rtl w:val="true"/>
          <w:lang w:bidi="ar-SA"/>
        </w:rPr>
        <w:t>الشهرستاني النجفي</w:t>
      </w:r>
    </w:p>
    <w:p>
      <w:pPr>
        <w:pStyle w:val="BookText"/>
        <w:rPr/>
      </w:pPr>
      <w:r>
        <w:rPr>
          <w:rFonts w:ascii="Amiri" w:hAnsi="Amiri" w:eastAsia="Amiri" w:cs="Amiri"/>
          <w:color w:val="111111"/>
          <w:sz w:val="28"/>
          <w:sz w:val="28"/>
          <w:szCs w:val="28"/>
          <w:rtl w:val="true"/>
          <w:lang w:bidi="ar-SA"/>
        </w:rPr>
        <w:t>صاحب مجلة العلم</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يجب أن يكون العلماء الذين تنبض قلوبهم بحفظ الوحدة وتقريب الخطى ورأب الصدع وجمع الشمل انطلاقاً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w:t>
      </w:r>
    </w:p>
    <w:p>
      <w:pPr>
        <w:pStyle w:val="BookText"/>
        <w:rPr/>
      </w:pPr>
      <w:r>
        <w:rPr>
          <w:rFonts w:ascii="Amiri" w:hAnsi="Amiri" w:eastAsia="Amiri" w:cs="Amiri"/>
          <w:color w:val="111111"/>
          <w:sz w:val="28"/>
          <w:sz w:val="28"/>
          <w:szCs w:val="28"/>
          <w:rtl w:val="true"/>
          <w:lang w:bidi="ar-SA"/>
        </w:rPr>
        <w:t>اَللّهِ جَمِيعاً وَ لا تَفَرَّقُوا</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الجليل عبدالحسين شرف الدين العاملي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يهدف في كل أثر حبّره يراعه إلى تماسك المسلمين وتعاونهم وتمسّكهم بالكتاب والسنّة، فترى أنّه يؤلّف كتاباً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الفصول المهمة في تأليف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أجلّ الكتب الكلامية، تناول فيه مسائل الخلاف بين الطائفتين على ضوء العقل والاستنتاج والتحليل، وقد ألفه في أيّام شبابه، وتمّ في عام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باب الحوار بين أعلام السنّة والشيعة غير مفتوح في الأعصار الأخيرة نهض السيد الراحل إلى فتحه من جديد عن طريق المكاتبة مع أحد أعلام أهل السنّة،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 البشري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الأزهر في عصره، وذلك بعدما هبط مصر أواخر عام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مؤملاً في ذلك تحقيق الأُمنية الّتي أمّلها، فوجد تربة مصر تربة خصبة بالعلم والذكاء، وقد جمع الحظ السعيد بينه وبين أحد أعلامها المبرزين المتميزين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بعقل واسع، وخلق وادع، وفؤاد حيّ‌، وعلم عيلم، ومنزل 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عبر رحمه الله في مقدّمة مراجعاته وهو يصف لقاءه معه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شكوت إليه وجدي، وشكا إليّ مثل ذلك وجداً وضيقاً، وكانت ساعة موفقة أوحت إلينا التفكير فيما يجمع اللّه به الكلمة، ويلمّ به شعثَ الأُمّة، فكان ممّا اتفقنا عليه أنّ الطائفتين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مسلمون يدينون حقاً بدين الإسلام الحنيف، فهم فيما جاء الرسول به سواء، ولا اختلاف بينهم في أصل أساسي يفسد التلبّس بالمبدأ الإسلامي الشريف</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فترتّب على ذلك اللقاء الجميل مكاتبات ومراجعات بلغ عددها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مراجعة، أي أنّ السيد قد تلقّى خمساً وستين سؤالاً من شيخ الأزهر ليجيب عليها، وقد أجاب بعدد الأسئلة، فصار المجموع كتاباً علمياً تاريخياً حديثياً كلامياً كان له صدى واسع عندما طبع عام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يُشار إلى أنّ المتحاورين لم يخرجا عن أدب الإسلام وأدب المناظرة قيد شعرة، بل أنّهما تبادلا عبارات التقدير والاحترام، وهذا ما نلمسه في ثنايا كلامهما، فهذا شيخ الأزهر يبدأ مراجعته الأُولى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الشريف العلّامة الشيخ عبدالحسين الموسوي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يكتب في ثنايا تلك المراجعة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لواقف على ساحل بحرك اللجي، استأذنك في خوض عبابه والغوص على درره، فإن أذنت غصنا على دقائق وغوامض تحوك في صدري منذ أمد بعيد، وإلّا فالأمر إليك، وما أنا فيما أرفعه بباحث عن عثرة، أو متبع عورة، ولا بمفند أو مندد، وإنّما أنا نشّاد ضالة، وبحّاث عن حقيقة، فإن تبيّن الحقّ فإنّ الحق أحق أن يتّبع، وإلّا فأنا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بما عندنا وأنت بما عندك راض والرأي مختلف</w:t>
      </w:r>
    </w:p>
    <w:p>
      <w:pPr>
        <w:pStyle w:val="BookText"/>
        <w:rPr/>
      </w:pPr>
      <w:r>
        <w:rPr>
          <w:rFonts w:ascii="Amiri" w:hAnsi="Amiri" w:eastAsia="Amiri" w:cs="Amiri"/>
          <w:color w:val="111111"/>
          <w:sz w:val="28"/>
          <w:sz w:val="28"/>
          <w:szCs w:val="28"/>
          <w:rtl w:val="true"/>
          <w:lang w:bidi="ar-SA"/>
        </w:rPr>
        <w:t>فبادله السيد رحمه الله الجواب الجميل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رميتني بآمالك ونزعت إليّ برجائك، وأنت قبلة الراجي، وعصمة اللاجي، وقد ركبت من سوريا إليك ظهور الآمال، وحططت بفنائك ما شددت من الرحال، منتجعاً علمك، مستمطراً فضلك، وسأنقلب عنك حي الرجاء، قوي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عمّا أردت، وقل ما شئت، ولك الفضل، بقولك الفصل، وحكمك العدل</w:t>
      </w:r>
      <w:r>
        <w:rPr>
          <w:rFonts w:eastAsia="Amiri" w:cs="Amiri" w:ascii="Amiri" w:hAnsi="Amiri"/>
          <w:color w:val="111111"/>
          <w:sz w:val="28"/>
          <w:szCs w:val="28"/>
          <w:rtl w:val="true"/>
          <w:lang w:bidi="ar-SA"/>
        </w:rPr>
        <w:t>».</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هكذا كان العلمان في سماء الأدب، وهذا هو تقديرهما لحقوق كلا الطرفين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آية اللّه العظمى محمد حسين البروجردي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مراجع الشيعة العظام، وهو من دعاة التقريب وعماده، وقد ورث فكرة التقريب عن أُستاذه السيد محمد باقر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ويعلم مدى دعمه لمسألة التقريب أنّه قد كان للسيد مساهمة فعالة في تأسيس دار التقريب بين المذاهب، ودعم المعنيّين بتأسيسها من دون فرق بين السنّة والشيعة، وقد كان على صلة وثيقة بأخبار دار التقريب عن طريق مندوبه،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الأمين العام لجماعة</w:t>
      </w:r>
    </w:p>
    <w:p>
      <w:pPr>
        <w:pStyle w:val="BookText"/>
        <w:rPr/>
      </w:pPr>
      <w:r>
        <w:rPr>
          <w:rFonts w:ascii="Amiri" w:hAnsi="Amiri" w:eastAsia="Amiri" w:cs="Amiri"/>
          <w:color w:val="111111"/>
          <w:sz w:val="28"/>
          <w:sz w:val="28"/>
          <w:szCs w:val="28"/>
          <w:rtl w:val="true"/>
          <w:lang w:bidi="ar-SA"/>
        </w:rPr>
        <w:t>دار التقريب، الشيخ محمد تقي القمي، كلّ ذلك يدلّ على شدة اهتمامه بأمر التقريب ولمِّ شمل الأُمّة كسائر روّاده من معاصريه،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عبدالحسين شرف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أقطاب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يقتصر نشاطه على متابعة أخبار دار التقريب فحسب، بل أنّه قدس سره راح يراسل شيخ الأزهر عبدالمجيد سليم لمّا بعث إليه برسالة يستفسر فيها عن صحّته بعدما سمع من المذياع أنّ صحته قد تدهورت، وقد اغتنم السيد الفرصة وبعث بجواب إليه، وإليك نصّ رسالة شيخ الأزهر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حضرة صاحب السماحة آية اللّه الحاج آقا حسين البروجردي</w:t>
      </w:r>
    </w:p>
    <w:p>
      <w:pPr>
        <w:pStyle w:val="BookText"/>
        <w:rPr/>
      </w:pPr>
      <w:r>
        <w:rPr>
          <w:rFonts w:ascii="Amiri" w:hAnsi="Amiri" w:eastAsia="Amiri" w:cs="Amiri"/>
          <w:color w:val="111111"/>
          <w:sz w:val="28"/>
          <w:sz w:val="28"/>
          <w:szCs w:val="28"/>
          <w:rtl w:val="true"/>
          <w:lang w:bidi="ar-SA"/>
        </w:rPr>
        <w:t>سلام اللّه عليكم ورحمته</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المذياع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صحتكم الغالية قد ألمّ بها طارئ من المرض، فأسفنا لذلك أشدّ الأسف لما نعرفه فيكم من العلم والفضل والإخلاص للحق، وإنّا لنسأل اللّه جلّت قدرته أن يعجل بشفائكم، ويلبسكم لباس العافية، حتى تتمكّنوا من العود الحميد إلى نشاطكم المعهود في خدمة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شاءت إرادة اللّه أن أكون أنا أيضاً في هذه الفترة مريضاً معتكفاً في بيتي أحمل همّين ممضّين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نفسي وهمّ قومي، وأطيل التفكير حالياً في حال أُمّتنا العزيزة، فيأخذني من القلق والحزن ما اللّه به عليم، فأرجو أن تسألوا اللّه لي العافية كما أسأله لكم، واللّه يتولّانا جميعاً برحمته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الأُمّة الإسلامية الآن، أحوج ما تكون إلى رجال صادقي العزم، راجحي الوزن، يجاهدون في اللّه حقّ جهاده، ليدرأوا عنها غوائل الفتن، ونوازل المحن، فقد تألّبت قوى الشر، وتجمّعت عناصر الفساد، وزلزل المؤمنون في كلّ قطر من أقطارهم زلزالاً شديداً، وكأن قد أتى الزمان الّذي أنبأ الصادق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w:t>
      </w:r>
    </w:p>
    <w:p>
      <w:pPr>
        <w:pStyle w:val="BookText"/>
        <w:rPr/>
      </w:pPr>
      <w:r>
        <w:rPr>
          <w:rFonts w:ascii="Amiri" w:hAnsi="Amiri" w:eastAsia="Amiri" w:cs="Amiri"/>
          <w:color w:val="111111"/>
          <w:sz w:val="28"/>
          <w:sz w:val="28"/>
          <w:szCs w:val="28"/>
          <w:rtl w:val="true"/>
          <w:lang w:bidi="ar-SA"/>
        </w:rPr>
        <w:t xml:space="preserve">وسلامه عليه وعلى آله وصحبه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القابض فيه على دينه كالقابض على الجمر، وإنّما مثل أهل العلم من المؤمنين الصادقين كأطواد راسية أو حصون منيعة ألقاها اللّه في الناس أن تميد بهم الأرض من فتنة أو جهالة، أو كنجوم ثاقبة في ليل داج، ترشد السارين، وتهدي الحائرين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اللّه معي أن يحفظ هؤلاء ويكثر في الأُمّة منهم، وينشر عليهم رحمته، وينزل عليهم سكينته، ويؤيد بهم الحقّ والدين، ويهزم بهم المبطلين والملحدين والمفسدين، إنّه على ما يشاء قدير، وبالإجابة جدير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شعبان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ولمّا وصلت رسالة شيخ الأزهر إلى السيد الراحل أجابه شاكراً عواطفه تجاهه،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حضرة صاحب الفضيلة الأكبر الشيخ عبدالمجيد سليم</w:t>
      </w:r>
    </w:p>
    <w:p>
      <w:pPr>
        <w:pStyle w:val="BookText"/>
        <w:rPr/>
      </w:pPr>
      <w:r>
        <w:rPr>
          <w:rFonts w:ascii="Amiri" w:hAnsi="Amiri" w:eastAsia="Amiri" w:cs="Amiri"/>
          <w:color w:val="111111"/>
          <w:sz w:val="28"/>
          <w:sz w:val="28"/>
          <w:szCs w:val="28"/>
          <w:rtl w:val="true"/>
          <w:lang w:bidi="ar-SA"/>
        </w:rPr>
        <w:t xml:space="preserve">شيخ الجامع الأزهر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إفاضاته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بلغنا كتابكم الكريم الحاوي للعواطف الإسلامية السامية، يحكي لنا أنّه لمّا بلغكم عن طريق المذياع أنّ صحّة هذا العبد قد ألمّ بها طارئ من المرض، أسفتم لذلك، ودعوتم اللّه تعالى أن يعيد له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فأشكركم على ذلك، وأسأل اللّه تعالى أن يبدّل التعارف والتعاطف بين المسلمين، ممّا كان بينهم من التناكر والتدابر والتقاطع، إنّه على ما يشاء قدير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ويحكي كتابكم أيضاً، أنّه قد ألمّ بصحتكم الغالية طارئ من المرض، كما ألمّ‌</w:t>
      </w:r>
    </w:p>
    <w:p>
      <w:pPr>
        <w:pStyle w:val="BookText"/>
        <w:rPr/>
      </w:pPr>
      <w:r>
        <w:rPr>
          <w:rFonts w:ascii="Amiri" w:hAnsi="Amiri" w:eastAsia="Amiri" w:cs="Amiri"/>
          <w:color w:val="111111"/>
          <w:sz w:val="28"/>
          <w:sz w:val="28"/>
          <w:szCs w:val="28"/>
          <w:rtl w:val="true"/>
          <w:lang w:bidi="ar-SA"/>
        </w:rPr>
        <w:t>بي، فاعتكفتم في البيت حاملين لهمين ممضين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نفسكم، وهمّ قومكم، وأنّ إطالة التفكير في حالة الأُمّة، توجب لكم من القلق والحزن، ما اللّه به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ينبغي أن يكون رجال العلم ورجال الإسلام، مهما حاقت بالمسلمين زلازل الفتن، وأحاطت بهم نوازل المحن، فأسأل اللّه عزّ سلطانه، أن يلبسكم لباس العافية، ويوفقكم لخدمة الإسلام والمسلمين، ولما يوجبه الاهتمام بأمر الأُمّة في مثل هذا الزمان، من أمثال جنابكم الذين وقفوا أنفسهم لخدمة هذه الأُمّة، ودرء عوادي المفسدين والملحدين عنها، إنّه قريب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هنا أُموراً كنت أحب إبداءها لكم، لكن حالي لا تساعدني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وعلى من أحاط بكم من المؤمنين الصادقين ورحمة اللّه وبركاته</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رمضان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كان السيد يتحيّن الفرص بين حين وحين لأن يدعم موقف التقريب، ومن نماذج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الملك سعود بن عبدالعزيز زار إيران وأرسل بهدية سنية للسيد البروجردي، وقام السيد ببعث كتاب إلى سفير المملكة السعودية في طهران كإجابة لما أُهدي إليه، وقد أشار في ذلك الكتاب إلى أنّ مسألة الحجّ من أهم مظاهر الوحدة، فللمسلمين أن يؤدّوا مناسك الحج وفق الحديث الّذي رواه مسلم في صحيحه وأبو داود في سننه، عن الإمام جعفر الصادق عليه السلام، وقد دعا اللّه عز شأنه في ختام الرسالة أن يؤلِّف بين قلوب المسلمين، ويجعلهم يداً واحدة على من سواهم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محمود شكري الآلوسي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أكابر علماء زمانه، من أشهر مؤلفاته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الأرب في معرفة أحوال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كانت</w:t>
      </w:r>
    </w:p>
    <w:p>
      <w:pPr>
        <w:pStyle w:val="BookText"/>
        <w:rPr/>
      </w:pPr>
      <w:r>
        <w:rPr>
          <w:rFonts w:ascii="Amiri" w:hAnsi="Amiri" w:eastAsia="Amiri" w:cs="Amiri"/>
          <w:color w:val="111111"/>
          <w:sz w:val="28"/>
          <w:sz w:val="28"/>
          <w:szCs w:val="28"/>
          <w:rtl w:val="true"/>
          <w:lang w:bidi="ar-SA"/>
        </w:rPr>
        <w:t xml:space="preserve">بينه وبين العلّامة الحجة الشيخ أبي عبداللّه الزنجاني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علائق وطيدة، وزيارات متبادلة، ومراسلات متواصلة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كتب العلّامة الزنجاني إلى عالم بغداد رسالة يسأله عن كتاب النبات والرسالة ليست بأيدينا ولكن قد وافاه الجواب من الآلوسي، والّذي سنورده فيما يلي، ليتعرف القارئ على مدى العلاقة الطيبة بين العلمين من خلال عبارات الود والاحترام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نشر العلّامة الزنجاني محاضراته في تاريخ القرآن، قرظه أحمد أمين المصري وقدّر جهوده في هذا المصنّف، كما أنّ السيد محمود الآلوسي قد ثمّن هذا الكتاب، الّذي أصبح يُعدّ من الكتب الّتي ردّت على 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رسالة الآلوسي وهي موجودة في مكتبة العلّامة الزنجاني، وقد أرسل مصورتها إلينا نجله دام مجده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إلى فخر العلماء وعمدة الفضلاء حضرة الشيخ أبي عبداللّه الزنجاني أمدّه اللّه بفيض لطفه الربّاني</w:t>
      </w:r>
    </w:p>
    <w:p>
      <w:pPr>
        <w:pStyle w:val="BookText"/>
        <w:rPr/>
      </w:pPr>
      <w:r>
        <w:rPr>
          <w:rFonts w:ascii="Amiri" w:hAnsi="Amiri" w:eastAsia="Amiri" w:cs="Amiri"/>
          <w:color w:val="111111"/>
          <w:sz w:val="28"/>
          <w:sz w:val="28"/>
          <w:szCs w:val="28"/>
          <w:rtl w:val="true"/>
          <w:lang w:bidi="ar-SA"/>
        </w:rPr>
        <w:t>سلام عليكم ورحمة اللّه وبركاته</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شرّفنا كتابكم وسرّنا خطابكم وحمدنا اللّه على بشرى سلامتكم، وكمال صحتكم، لا زلتم كذلك على الدوام موفوري الآلاء والانعام، وقد أبهجني ما أخبرتم عنه من فحصكم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ووعدكم بتبشيرنا بالعثور عليه، حقّق اللّه تعالى ذلك بمساعيكم المشكورة وهممكم المذكورة، وقد سرّني أيضاً ماتفضّلتم به من أسماء نوادر الكتب والمصنّفات السلفية الّتي هي من تحف الزمان ونوادره وفي الحقيقة إنّه لا غناء لطلاب العلم عن جميعها، غير أنّها ممّا لا يلقاها إلّاذو حظ عظيم، ونحن نكتفي منها إذا أمكن استكتاب مقاييس اللغة فقط بواسطة كاتب مجيد على شرط أن نقدم ما يصرف عليه من الأُجرة، وإن كان في</w:t>
      </w:r>
    </w:p>
    <w:p>
      <w:pPr>
        <w:pStyle w:val="BookText"/>
        <w:rPr/>
      </w:pPr>
      <w:r>
        <w:rPr>
          <w:rFonts w:ascii="Amiri" w:hAnsi="Amiri" w:eastAsia="Amiri" w:cs="Amiri"/>
          <w:color w:val="111111"/>
          <w:sz w:val="28"/>
          <w:sz w:val="28"/>
          <w:szCs w:val="28"/>
          <w:rtl w:val="true"/>
          <w:lang w:bidi="ar-SA"/>
        </w:rPr>
        <w:t>ذلك كلفة على ذلك الجناب، وإتعاب لفكركم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أخبرتم به أنّكم بذلتم السعي لإلقاء محاضرات في شؤون القرآن العظيم وإنكار التحريف فجزاكم اللّه عن ذلك خير الجزاء وأمدّكم بالتوفيقات الإلهية، عسى اللّه أن يغلق بجهادكم هذا الباب الّذي فتحه الشيخ حسين النوري بكتابه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w:t>
      </w:r>
      <w:r>
        <w:rPr>
          <w:rStyle w:val="FootnoteAnchor"/>
          <w:rtl w:val="true"/>
        </w:rPr>
        <w:footnoteReference w:id="826"/>
      </w:r>
      <w:r>
        <w:rPr>
          <w:rFonts w:ascii="IRNazanin" w:hAnsi="IRNazanin" w:eastAsia="IRNazanin"/>
          <w:color w:val="111111"/>
          <w:sz w:val="28"/>
          <w:sz w:val="28"/>
          <w:szCs w:val="28"/>
          <w:rtl w:val="true"/>
          <w:lang w:bidi="fa-IR"/>
        </w:rPr>
        <w:t xml:space="preserve">، فإنّ كتابه أضحى مدار مطاعن أعداء الإسلام من الپروتستان وغيرهم فإنّ جمعيتهم الّتي في مصر نشرت كتاباً في المطاعن مستندة إلى كتابه، وسمعت أنّ بعض أفاضل النجف رد عليه أيضاً، وكتاب الجمعية المصرية قد ردّ عليه بعض أفاضل مصر بكتاب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 القرآن الشريف عن التغيير والتحريف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عثرت على نسخة منه وها هي مقدمة إليكم بصحبة الكتاب مع الفائدة السادسة من الفوائد الّتي في مقدمة تفسير روح المعاني، ورأيت المجلد الثاني من كتاب تاريخ أدب العرب لأبي السامي مصطفى صادق الرافعي مشتملاً على شؤون القرآن من أوّله إلى آخره، والكتاب مطبوع في مصر يمكنكم أن تستجلبوا منه نسخة، فإنّ نسخه الّتي وردت إلى بغداد نفدت، ولو كنت عثرت على نسخة منه لاشتريتها وقدمتها إليكم، وهو ممّا يلزم إحضاره بين يديكم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أيّها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أمرنا عند الاختلاف أن نراجع الكتاب والسنة، فقد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 فَرُدُّوهُ إِلَى اللّهِ وَ الرَّسُولِ إِنْ كُنْتُمْ تُؤْمِنُونَ بِاللّهِ وَ الْيَوْمِ الْآخِرِ ذلِكَ خَيْرٌ وَ أَحْسَنُ تَأْوِيلاً</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وقع الخلاف في هذه المسألة راجعنا كتاب اللّه فوجدناه قد قال في أوائل</w:t>
      </w:r>
    </w:p>
    <w:p>
      <w:pPr>
        <w:pStyle w:val="BookText"/>
        <w:rPr/>
      </w:pPr>
      <w:r>
        <w:rPr>
          <w:rFonts w:ascii="Amiri" w:hAnsi="Amiri" w:eastAsia="Amiri" w:cs="Amiri"/>
          <w:color w:val="111111"/>
          <w:sz w:val="28"/>
          <w:sz w:val="28"/>
          <w:szCs w:val="28"/>
          <w:rtl w:val="true"/>
          <w:lang w:bidi="ar-SA"/>
        </w:rPr>
        <w:t>سورة 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 xml:space="preserve">) </w:t>
      </w:r>
      <w:r>
        <w:rPr>
          <w:rStyle w:val="FootnoteAnchor"/>
          <w:rtl w:val="true"/>
        </w:rPr>
        <w:footnoteReference w:id="828"/>
      </w:r>
      <w:r>
        <w:rPr>
          <w:rFonts w:ascii="Amiri" w:hAnsi="Amiri" w:eastAsia="Amiri" w:cs="Amiri"/>
          <w:color w:val="111111"/>
          <w:sz w:val="28"/>
          <w:sz w:val="28"/>
          <w:szCs w:val="28"/>
          <w:rtl w:val="true"/>
          <w:lang w:bidi="ar-SA"/>
        </w:rPr>
        <w:t xml:space="preserve">، وقال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كَفَرُوا بِالذِّكْرِ لَمّا جاءَهُمْ وَ إِنَّهُ 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يعتريه التحريف والتغيير ويتطرّقه التبديل وهو أعظم باطل‌؟ والمفسّرون قد أشبعوا الكلام في تفسير هاتين الآيتين، وراجعنا الحديث الصحيح فرأينا البخاري يروي بسنده عن محمد بن الحنفية 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الّذي جاء به محمد صلى الله عليه و آله هو ما بين الدفتين لم ينقص منه شيء ولم يزد عليه شيء، ومثل هذين الحبرين هما من أكابر أهل البيت، فالاعتماد على قولهما يتبيّن به حقيقة الحال ويبطل به رواية ما خالف ذلك، على أنّ القرآن العظيم هو شريعة ومعجزة وقد تعهّد اللّه سبحانه بدوام الشريعة الغرّاء وبقاء المعجزة الواضحة البيضاء فنقص شيء منه يستوجب الإخلال بالشريعة والمعجزة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ولاشك أنّ الشيخ أيده اللّه بتوفيقه ممّن سيلقم الخصم بالحجر ويبسط من الدلائل والحجج الغرر ما فيه كفاية لمن تبصر وأعتبر، واختم الكلام بتقديم وافر 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وعليكم منا التحية والسلام</w:t>
      </w:r>
    </w:p>
    <w:p>
      <w:pPr>
        <w:pStyle w:val="BookText"/>
        <w:rPr/>
      </w:pPr>
      <w:r>
        <w:rPr>
          <w:rFonts w:ascii="Amiri" w:hAnsi="Amiri" w:eastAsia="Amiri" w:cs="Amiri"/>
          <w:color w:val="111111"/>
          <w:sz w:val="28"/>
          <w:sz w:val="28"/>
          <w:szCs w:val="28"/>
          <w:rtl w:val="true"/>
          <w:lang w:bidi="ar-SA"/>
        </w:rPr>
        <w:t>محمود شكري الآلوسي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صور مختصرة عن الأواصر العلمية بين أعلام الشيعة والسنّة عبر القرون، وهو ما يجب أن يقتدي به علماء العصر الحاضر، بدلاً عن التنافر والعداء وحملات التكفير الّتي يقوم بها البعض خدمة لأعداء الأُمّة والإسلام</w:t>
      </w:r>
      <w:r>
        <w:rPr>
          <w:rFonts w:eastAsia="Amiri" w:cs="Amiri" w:ascii="Amiri" w:hAnsi="Amiri"/>
          <w:color w:val="111111"/>
          <w:sz w:val="28"/>
          <w:szCs w:val="28"/>
          <w:rtl w:val="true"/>
          <w:lang w:bidi="ar-SA"/>
        </w:rPr>
        <w:t>.</w:t>
      </w:r>
      <w:bookmarkStart w:id="797" w:name="pg16768_165560"/>
    </w:p>
    <w:p>
      <w:pPr>
        <w:pStyle w:val="Heading4"/>
        <w:numPr>
          <w:ilvl w:val="3"/>
          <w:numId w:val="1"/>
        </w:numPr>
        <w:rPr/>
      </w:pPr>
      <w:bookmarkStart w:id="798" w:name="__RefHeading___Toc6863984_73709187"/>
      <w:bookmarkStart w:id="799" w:name="_Toc299"/>
      <w:bookmarkEnd w:id="797"/>
      <w:bookmarkEnd w:id="798"/>
      <w:r>
        <w:rPr>
          <w:rtl w:val="true"/>
        </w:rPr>
        <w:t>دار التقريب ودورها في تقارب المذاهب</w:t>
      </w:r>
      <w:bookmarkEnd w:id="799"/>
    </w:p>
    <w:p>
      <w:pPr>
        <w:pStyle w:val="BookText"/>
        <w:rPr/>
      </w:pPr>
      <w:r>
        <w:rPr>
          <w:rFonts w:ascii="Amiri" w:hAnsi="Amiri" w:eastAsia="Amiri" w:cs="Amiri"/>
          <w:color w:val="111111"/>
          <w:sz w:val="28"/>
          <w:sz w:val="28"/>
          <w:szCs w:val="28"/>
          <w:rtl w:val="true"/>
          <w:lang w:bidi="ar-SA"/>
        </w:rPr>
        <w:t>وفي القرن الرابع عشر، برزت بشكل واضح مظاهر هذا التعاون، وفكّر الفريقان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السني والشيعي منذ عام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بمسألة التقريب، وهذا ما أبرز مقولة التضامن الإسلامي، وكان أعمدة هذا المشروع كل من المرحوم آية اللّه الشيخ محمدحسين كاشف الغطاء في 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والمرحوم آية اللّه البروجردي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إيران، من الطرف الشيعي، وأمّا من الطرف السنّي فكان الشيخ عبد المجيد سليم شيخ الأزهر، والشيخ محمود شلتوت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رفع هؤلاء الأساطين في المعرفة شعار التقريب، وكانوا من رجال الإصلاح، ودعوا عبر 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التقريب بين المذاهب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والكتّاب إلى التمسّك بالمشتركات، وقد كرر هؤلاء الروّاد أنّه ليس هدفهم توحيد المذاهب أو دمجها، وإنّما التقريب بينها في الرؤى ووجهات النظر، وقد أدّى رجال العلم هؤلاء رسالتهم بإخلاص تام وخطوا خطوات كبيرة في مجال التقريب، إلى أن طبع ونشر في القاهرة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بتصحيح قليل النظير، وكذلك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الحلي، حتى أنّ الكتاب الثاني قد نفد من الأسواق خلال 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خطت دار التقريب في القاهرة خطوات كبيرة على طريق تقريب المذاهب من بعضها، كانت من إفرازاتها الفتوى التاريخية لشيخ الأزهر فيما يخصّ الفقه الجعفري، وأنّ هذا الفقه معتبرٌ ورسمي وشرعي كسائر المذاهب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نصّ الفتوى الشهيرة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لفضيلته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الناس يرى أنّه يجب على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تقع عباداته ومعاملاته على وجه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يقلّد أحد المذاهب الأربعة المعروفة، وليس من بينها مذهب الشيعة الإمامية ولا الشيعة الزيدية، فهل توافقون فضيلتكم على هذا الرأي على إطلاقه فتمنعون تقليد مذهب الشيعة الإمامية الاثنا عشرية مثلاً؟</w:t>
      </w:r>
    </w:p>
    <w:p>
      <w:pPr>
        <w:pStyle w:val="BookText"/>
        <w:rPr/>
      </w:pPr>
      <w:r>
        <w:rPr>
          <w:rFonts w:ascii="Amiri" w:hAnsi="Amiri" w:eastAsia="Amiri" w:cs="Amiri"/>
          <w:color w:val="111111"/>
          <w:sz w:val="28"/>
          <w:sz w:val="28"/>
          <w:szCs w:val="28"/>
          <w:rtl w:val="true"/>
          <w:lang w:bidi="ar-SA"/>
        </w:rPr>
        <w:t>فأجاب فضيلته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الإسلام لا يوجب على أحد من أتباعه اتّباع مذهب معين،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مسلم الحق في أن يقلّد بادي ذي بدء أيّ مذهب من المذاهب المنقولة نقلاً صحيحاً والمدوّنة أحكامها في كتبها الخاصة، ولمن قلّد مذهباً من هذه المذاهب أن ينتقل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مذهب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حرج عليه في شيء 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مذهب الجعفرية المعروف بمذهب الشيعة الإمامية الاثنا عشرية، مذهب يجوز التعبّد به شرعاً كسائر مذاهب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للمسلمين أن يعرفوا ذلك، وأن يتخلّصوا من العصبية بغير الحق لمذاهب معيّنة، فما كان دين اللّه وما كانت شريعته بتابعة لمذهب، أو مقصورة على مذهب، فالكلّ مجتهدون مقبولون عند اللّه تعالى، ويجوز لمن ليس أهلاً للنظر والاجتهاد تقليدهم والعمل بما يقرّرونه في فقههم، ولا فرق في ذلك بين العبادات والمعاملات</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وقام المغفور له آية اللّه البروجردي، بطبع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وأثبت عبر ذلك أنّ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المسائل الفقهية يوافق فيها الرأي الشيعي رأي أحد المذاهب الفقهية السنّية، وليست سوى مسائل معدودة تلك التي تفرّد الشيعة بها، تماماً كما هو الحال في كلّ مذهب حيث له متفرّداته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زلت أذكر عندما وردت إلى مدينة قم هيئة من علماء مصر، أذعنوا بأنّ ما نقله الشيخ الطوسي في هذا الكتاب عن علماء المذاهب كان صحيحاً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النتائج ذات البركة التي أفرزتها دار التقريب أنّ الفقه الشيعي أثّر في وضع بعض القوانين في مصر ممّا يرجع إلى الأحوال الشخصية، كما أثر في الآراء الفقهية لبعض المفتين، كما هو الحال في المسائل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الطلاق المتعدد في مجلس واحد ولو بلغ الثلاثة يكون في حكم طلاق واحد</w:t>
      </w:r>
      <w:r>
        <w:rPr>
          <w:rFonts w:eastAsia="Amiri" w:cs="Amiri" w:ascii="Amiri" w:hAnsi="Amiri"/>
          <w:color w:val="111111"/>
          <w:sz w:val="28"/>
          <w:szCs w:val="28"/>
          <w:rtl w:val="true"/>
          <w:lang w:bidi="ar-SA"/>
        </w:rPr>
        <w:t>.</w:t>
      </w:r>
      <w:bookmarkStart w:id="800" w:name="pg16768_165562"/>
    </w:p>
    <w:p>
      <w:pPr>
        <w:pStyle w:val="BookText"/>
        <w:rPr/>
      </w:pPr>
      <w:bookmarkEnd w:id="80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صحّة الطلاق الذي يقع في طهر قارب الزوج زوجته فيه، كما أنّ الطلاق في حال الحيض غير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وجود شاهدين عند إجراء صيغة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الممكن أن تكون السياسات اللاحقة قد تلاعبت في هذه القوانين فأخرجتها عن حالتها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إطلالة سريعة على ما بذله علماء الفريقين ودعاة التقريب خدمة للإسلام وتوحيداً لصفوفه بعيداًعن الطائفية المقيتة، إلّاأنّ الشيء الذي نئنّ منه اليوم هو ذاك النوع من الإفراط المسمّى بالسلفية، والذي تجلّى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اتجاه خدش صورة السلف من جهة، وعذّب الخلف من الناحية الأُخرى</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6863986_73709187"/>
      <w:bookmarkStart w:id="802" w:name="_Toc300"/>
      <w:bookmarkEnd w:id="801"/>
      <w:r>
        <w:rPr>
          <w:rtl w:val="true"/>
        </w:rPr>
        <w:t>السلفية الوهابية</w:t>
      </w:r>
      <w:bookmarkEnd w:id="802"/>
    </w:p>
    <w:p>
      <w:pPr>
        <w:pStyle w:val="BookText"/>
        <w:rPr/>
      </w:pPr>
      <w:r>
        <w:rPr>
          <w:rFonts w:ascii="Amiri" w:hAnsi="Amiri" w:eastAsia="Amiri" w:cs="Amiri"/>
          <w:color w:val="111111"/>
          <w:sz w:val="28"/>
          <w:sz w:val="28"/>
          <w:szCs w:val="28"/>
          <w:rtl w:val="true"/>
          <w:lang w:bidi="ar-SA"/>
        </w:rPr>
        <w:t xml:space="preserve">رسم أحمد بن تيمية في القرن الثامن الإسلامي مدرسةً في أرض العلم والمعرفة، أرض الشام، كانت نتيجتها تقليص مقامات الأنبياء والأولياء، وإفناء الآثار الباقية عن المسلمين السابقين، وقد دفنت هذه المدرسة بموت مؤسّسها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مسقط رأسه، حيث شنّ علماء الشام ومصر الكبار من الذين كانوا يتمتعون بمكانة رفيعة في الحديث والكلام والتفسير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شنّوا عليه هجوماً نقدياً جادّاً، ووقف الجميع على اشتباهاته وأخطائه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ومرةً أُخرى، جُدّدت هذه المدرسة بعد عدة قرون، عام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محمد بن عبد الوهاب، وتمكنت من بسط نفوذها على قطرٍ معين من أقطار المسلمين، والسرّ في هذا الأمر بُعد مسقط رأسه عن حواضر العلم والمعرفة، فقد كان سكان منطقته من أبناء الصحراء وأهل البادية، لذا وقعوا في خداع كلماته التي كانت تبدو في ظاهرها جميلة شيّقة، فأعلنوه حاملاً للواء التوحيد</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الأثناء، كتبت ضدّه ردود مفصّلة في بلاد نجد والحجاز وسوريا والعراق، وقلّصت من نفوذه وتناميه، لكن مدرسته استطاعت بعد الحرب العالمية</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بالتعاون والاتفاق مع الامبريالية العالمية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تطيح بحكومة الأشراف في مكة والمدينة، وهي حكومة استمرّت قرابة الألف عام، ليتسلط أنصاره على الحرمين الشريفين، وفي هذه الفترة شهدت سياسته صعوداً وهبوطاً، فكانوا يظهرون الرفق والعاطفة حيناً وأُخرى يردون الميدان بالخشونة والعنف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السنتين الأخيرتين، بلغت خشونة الوهابية حدّها الأعلى، فأهانت الزوار، فحوّلت المقبرة التي يفترض بها أن تكون محيطاً هادئاً لقراءة الفاتحة والقرآن وزيارة أولياء اللّه الإلهيين وأنصار رسول اللّه صلى الله عليه و آله وأصحابه، إلى مركز للدعوة إلى الوهابية، دعوة من طرف واحد بحيث لو أجاب أحد أو ناقش يجازى ويعتقل ويضرب ويشتم، أفهل يتّبع هؤلاء السلف وسيرتهم‌؟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 أن يكون السلف كذلك‌؟ فأحمد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قميص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مات وأخذ يتبرّك بمائه، أفهل يتبرّك إمامهم بقميص الشافعي وهم لا يتبركون بضريح النبي صلى الله عليه و آله بل يرون ذلك ممنوعاً ومحظوراً؟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زوّار بيت اللّه يدخلون السعودية بتأشيرة دخول رسمية ويفترض أن يكونوا محل احترام الدولة الحاكمة، إلّاأنّ أغلب هؤلاء الزوّار يخشون على أنفسهم وأموالهم، ويقومون بالواجبات والمستحبات بقلق واضطراب وخوف، بل يتعرّض أكثرهم لإهانة رجال الشرطة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الحرمين الشريفين حرم آمن للّه تعالى، فكلّ الطوائف الإسلامية من حقّها أن تقوم بأعمالها في حريةٍ تامة في الوقت عينه الذي تكون فيه الأُمور التنظيمية والإدارية بيد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فالنظم والانضباط مسألة، وإرغام الجميع على اتباع مذهبٍ واحد ظهر في القرن الثامن الهجري، واتّهام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بالكفر والشرك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كلّه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أعمال العنف التي يقوم بها هذا الفريق سبّبت عرض الإسلام في الغرب بشكل دين العنف، وأعاق مجال التبليغ لدى الطبقة الشابة عند هؤلاء أنفسهم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الجيّد أن تستفيد هذه الشريحة من الملك السعودي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سعود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ذلك أنّه استضيف في إيران عام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 xml:space="preserve">، وقد أهدى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نسخ</w:t>
      </w:r>
    </w:p>
    <w:p>
      <w:pPr>
        <w:pStyle w:val="BookText"/>
        <w:rPr/>
      </w:pPr>
      <w:r>
        <w:rPr>
          <w:rFonts w:ascii="Amiri" w:hAnsi="Amiri" w:eastAsia="Amiri" w:cs="Amiri"/>
          <w:color w:val="111111"/>
          <w:sz w:val="28"/>
          <w:sz w:val="28"/>
          <w:szCs w:val="28"/>
          <w:rtl w:val="true"/>
          <w:lang w:bidi="ar-SA"/>
        </w:rPr>
        <w:t>من القرآن الكريم وبعض القطع من ستائر الكعبة، وعدداً آخر من الهدايا عبر السيد يوسف أبو علي للسيد آية اللّه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قبل السيد البروجردي نسخ القرآن وقطعة ستار الكعبة وأهدى بقية الهدايا إلى حاملها له، وقد كتب رسالة أشار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والحج في يد جناب الملك أرسل إليكم حديثاً حول حج رسول اللّه صلى الله عليه و آله، ونقله البخاري في صحيحه وأبو داود في سننه، فاسعوا أن يطابق الحج مفادَ هذه الرواية</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من المؤسف جداً أنّ تباد بالجرّافات تمام الآثار الإسلامية التي هي علائم على أصالتنا وجذورنا، عبر حديث واحد لا يدل أبداً على مقصودهم، واليوم غدت مكة والمدينة مدينتان غربيّتان، مظاهرها أضحت بعيدة عن مظاهر المدن الشرقية المتميّزة بطابعها الإسلامي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ذاك الحديث وكيف دلّ على مقصودهم فنوضح أمره باختصار، حيث روى مسلم في صحيحه عن أبي الهياج الأسدي عن علي عليه السلام أنّه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أبعثك على ما بعثني عليه رسول اللّه صلى الله عليه و آله أن لا تدع تمثالاً إلّاطمسته، ولا قبراً مشرفاً إلّا سوّيته</w:t>
      </w:r>
      <w:r>
        <w:rPr>
          <w:rFonts w:eastAsia="Amiri" w:cs="Amiri" w:ascii="Amiri" w:hAnsi="Amiri"/>
          <w:color w:val="111111"/>
          <w:sz w:val="28"/>
          <w:szCs w:val="28"/>
          <w:rtl w:val="true"/>
          <w:lang w:bidi="ar-SA"/>
        </w:rPr>
        <w:t>».</w:t>
      </w:r>
      <w:r>
        <w:rPr>
          <w:rStyle w:val="FootnoteAnchor"/>
          <w:rtl w:val="true"/>
        </w:rPr>
        <w:footnoteReference w:id="832"/>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نتحدّث فعلاً عن سند هذا الحديث، حيث لا يخلو بعض رواته من الإشكال والخدشة، إنّما المهم هو إيضاح مدلوله، ولابد من التذكير أنّ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متعدٍّ، ويتطلّب مفعولاً واحداً فقط، تماماً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سَوَّيْتُهُ وَ نَفَخْتُ فِيهِ مِنْ رُوحِي فَقَعُوا لَهُ ساجِدِينَ‌</w:t>
      </w:r>
      <w:r>
        <w:rPr>
          <w:rFonts w:eastAsia="Amiri" w:cs="Amiri" w:ascii="Amiri" w:hAnsi="Amiri"/>
          <w:color w:val="111111"/>
          <w:sz w:val="28"/>
          <w:szCs w:val="28"/>
          <w:rtl w:val="true"/>
          <w:lang w:bidi="ar-SA"/>
        </w:rPr>
        <w:t xml:space="preserve">) </w:t>
      </w:r>
      <w:r>
        <w:rPr>
          <w:rStyle w:val="FootnoteAnchor"/>
          <w:rtl w:val="true"/>
        </w:rPr>
        <w:footnoteReference w:id="833"/>
      </w:r>
      <w:r>
        <w:rPr>
          <w:rFonts w:ascii="Amiri" w:hAnsi="Amiri" w:eastAsia="Amiri" w:cs="Amiri"/>
          <w:color w:val="111111"/>
          <w:sz w:val="28"/>
          <w:sz w:val="28"/>
          <w:szCs w:val="28"/>
          <w:rtl w:val="true"/>
          <w:lang w:bidi="ar-SA"/>
        </w:rPr>
        <w:t>، إلا أنّه قد يأخذ أحياناً مفعولين اثنين، فيحتاج في هذه الحال إلى حرف جر، تماماً كما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نُسَوِّيكُمْ بِرَبِّ الْعالَمِينَ‌</w:t>
      </w:r>
      <w:r>
        <w:rPr>
          <w:rFonts w:eastAsia="Amiri" w:cs="Amiri" w:ascii="Amiri" w:hAnsi="Amiri"/>
          <w:color w:val="111111"/>
          <w:sz w:val="28"/>
          <w:szCs w:val="28"/>
          <w:rtl w:val="true"/>
          <w:lang w:bidi="ar-SA"/>
        </w:rPr>
        <w:t xml:space="preserve">) </w:t>
      </w:r>
      <w:r>
        <w:rPr>
          <w:rStyle w:val="FootnoteAnchor"/>
          <w:rtl w:val="true"/>
        </w:rPr>
        <w:footnoteReference w:id="834"/>
      </w:r>
      <w:r>
        <w:rPr>
          <w:rFonts w:ascii="Amiri" w:hAnsi="Amiri" w:eastAsia="Amiri" w:cs="Amiri"/>
          <w:color w:val="111111"/>
          <w:sz w:val="28"/>
          <w:sz w:val="28"/>
          <w:szCs w:val="28"/>
          <w:rtl w:val="true"/>
          <w:lang w:bidi="ar-SA"/>
        </w:rPr>
        <w:t>، وكلّما أخذ مفعولاً واحداً تكون التسوية صفة لذلك</w:t>
      </w:r>
    </w:p>
    <w:p>
      <w:pPr>
        <w:pStyle w:val="BookText"/>
        <w:rPr/>
      </w:pPr>
      <w:r>
        <w:rPr>
          <w:rFonts w:ascii="Amiri" w:hAnsi="Amiri" w:eastAsia="Amiri" w:cs="Amiri"/>
          <w:color w:val="111111"/>
          <w:sz w:val="28"/>
          <w:sz w:val="28"/>
          <w:szCs w:val="28"/>
          <w:rtl w:val="true"/>
          <w:lang w:bidi="ar-SA"/>
        </w:rPr>
        <w:t>الشيء تماماً كما جاء في الآية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أكمل خلق الإنسان، لكن عندما يأخذ مفعولين وينال المفعول الثاني حرف الجر، فلا تكون التسوية صفةً للشيء نفسه، بل صفةً قياساً وإضافةً إلى شيءٍ آخر، تماماً كما جاء في 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واحداً مع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وانطلاقاً من هذا المبدأ لابد أن نرى أن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له مفعول واحد أم مفعولين‌؟ الوارد في تعبير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صحة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قبراً مشرفاً إلّاسوّيته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هذه الحال تكون التسوية صفة للقبر نفسه، لا صفةً له بالنسبة إلى شيء آخر، وإذا كانت صفةً للقبر نفسه فالمقصود منها جعل القبر مسطحاً غير مسنّم، وإلّا فإذا كان المراد تخريب القبور كان لابد من مفعول ثانٍ بحرف الجر،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سويته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أنّه لابد في متن الحديث من إعمال الدقة لمعرفة هل هذه التسوية صفة للقبر نفسه أو صفة له بالنسبة إلى شيء آخر؟ ونص الحديث يعطي شهادة على كون التسوية صفةً للقبر نفسه، بمعنى إخراج القبر من حالة الإعوجاج وعدم الانتظام أو التسنيم أو الانحناء، لا أنّ المراد تخريب القبر وتسويته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يمكن أن يكون المعنى الثاني صحيحاً والحال أنّ تمام فقهاء الإسلام يفتون باستحباب أن يرتفع القبر عن الأرض بمقدار أربعة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حسن الحظ أن شرّاح صحيح مسلم فسروا الحديث المذكور بالمعنى الذي ذكرناه</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إنّنا نصرف النظر عن تمام هذه الأُمور ونفترض تمامية دلالة الحديث إلّاأنّه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سوّوا القبور بالأرض، لكنّه لا يتحدّث عن حرمة البناء على القبر ورفع القباب عليه وتدمير الصروح المشادة عليه، فبورك هذا الاجتهاد الذي لا يقوم لا على كتاب ولا على حديث ولا على اتفاق العلماء</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وأوضح شاهد على جواز البناء على القبور هو قبر الرسول الأكرم صلى الله عليه و آله، فمنذ</w:t>
      </w:r>
      <w:bookmarkStart w:id="803" w:name="pg16768_165566"/>
    </w:p>
    <w:p>
      <w:pPr>
        <w:pStyle w:val="BookText"/>
        <w:rPr/>
      </w:pPr>
      <w:bookmarkEnd w:id="803"/>
      <w:r>
        <w:rPr>
          <w:rFonts w:ascii="Amiri" w:hAnsi="Amiri" w:eastAsia="Amiri" w:cs="Amiri"/>
          <w:color w:val="111111"/>
          <w:sz w:val="28"/>
          <w:sz w:val="28"/>
          <w:szCs w:val="28"/>
          <w:rtl w:val="true"/>
          <w:lang w:bidi="ar-SA"/>
        </w:rPr>
        <w:t>اليوم الأوّل دفن صلى الله عليه و آله في بيته، وللبيت بناء، وقد حفظ هذا البناء عبر القرون كلّها إلى يومنا هذا</w:t>
      </w:r>
      <w:r>
        <w:rPr>
          <w:rFonts w:eastAsia="Amiri" w:cs="Amiri" w:ascii="Amiri" w:hAnsi="Amiri"/>
          <w:color w:val="111111"/>
          <w:sz w:val="28"/>
          <w:szCs w:val="28"/>
          <w:rtl w:val="true"/>
          <w:lang w:bidi="ar-SA"/>
        </w:rPr>
        <w:t>.</w:t>
      </w:r>
    </w:p>
    <w:p>
      <w:pPr>
        <w:pStyle w:val="Heading4"/>
        <w:numPr>
          <w:ilvl w:val="3"/>
          <w:numId w:val="1"/>
        </w:numPr>
        <w:rPr/>
      </w:pPr>
      <w:bookmarkStart w:id="804" w:name="__RefHeading___Toc6863988_73709187"/>
      <w:bookmarkStart w:id="805" w:name="_Toc301"/>
      <w:bookmarkEnd w:id="804"/>
      <w:r>
        <w:rPr>
          <w:rtl w:val="true"/>
        </w:rPr>
        <w:t>حفظ الأصالة</w:t>
      </w:r>
      <w:bookmarkEnd w:id="805"/>
    </w:p>
    <w:p>
      <w:pPr>
        <w:pStyle w:val="BookText"/>
        <w:rPr/>
      </w:pPr>
      <w:r>
        <w:rPr>
          <w:rFonts w:ascii="Amiri" w:hAnsi="Amiri" w:eastAsia="Amiri" w:cs="Amiri"/>
          <w:color w:val="111111"/>
          <w:sz w:val="28"/>
          <w:sz w:val="28"/>
          <w:szCs w:val="28"/>
          <w:rtl w:val="true"/>
          <w:lang w:bidi="ar-SA"/>
        </w:rPr>
        <w:t>إنّ حفظ التراث والأصالة من الوظائف الإسلامية الملقاة على عاتقنا، والمقصود منها الأشياء التي تحكي عن واقع الإسلام واستمراره عبر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فالدين الإسلامي دينٌ عالمي، وسيظل إلى يوم القيامة أكمل الأديان السماوية، حيث من الممكن أن تفصلنا عن القيامة آلاف السنين، فنحن ملزمون بحفظ ما يدلّ على أصالة الإسلام من غدر الزمان وتخريبه، لنحفظه سالماً إلى الأجيال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وجود المسيح عليه السلام وديانته أمرٌ قطعي عند المسيحيّين وفي نظرهم، إلّاأنّ ذلك بدأت تغلب عليه الحالة الأُسطورية في رؤية الشباب الغربي، إذ لا يوجد أثر ملموس للمسيح عليه السلام بين أيديهم، فكتابه طالته التحريفات، ولم يبق لديهم شيء عنه ولا من أثر لأُمّه ولا لحواريّيه، لهذا يقلص مرور الزمان من قطعية هذا الدين ويذره في هالة من الإبهام والترديد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فإنّ وجود الآثار والمآثر الإسلامية التي منها مرقد النبي صلى الله عليه و آله حاكية عن واقعية وجوده وأصالة مدرسته، كما أنّ تدمير الآثار يعرّض أصالة الإسلام واعتباره وقادته وأئمته لخطر الضياع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ولكي يحول المسلمون دون هذا الخطر الكبير، لابد لهم من حفظ كل الآثار المتصلة بالرسالة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والتذكير بها دوماً، كما يجب عليهم زيارة مراقد هؤلاء المعصومين حفاظاً عليها من الفناء التدريجي، وفي هذه الحال لا يمكن التغاضي عن هذه المزية الكبيرة، وإقفال باب اللقاء الروحي والمعنوي مع هؤلاء العظماء أمام المسلمين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الحديث عن موضوع هدم الآثار مفصّل وطويل، لكننا نكتفي بهذا المختصر ونحيل التفصيل إلى فرصةٍ أُخرى</w:t>
      </w:r>
      <w:r>
        <w:rPr>
          <w:rFonts w:eastAsia="Amiri" w:cs="Amiri" w:ascii="Amiri" w:hAnsi="Amiri"/>
          <w:color w:val="111111"/>
          <w:sz w:val="28"/>
          <w:szCs w:val="28"/>
          <w:rtl w:val="true"/>
          <w:lang w:bidi="ar-SA"/>
        </w:rPr>
        <w:t>.</w:t>
      </w:r>
      <w:bookmarkStart w:id="806" w:name="pg16768_165567"/>
    </w:p>
    <w:p>
      <w:pPr>
        <w:pStyle w:val="Heading3"/>
        <w:numPr>
          <w:ilvl w:val="2"/>
          <w:numId w:val="1"/>
        </w:numPr>
        <w:rPr/>
      </w:pPr>
      <w:bookmarkStart w:id="807" w:name="__RefHeading___Toc6863990_73709187"/>
      <w:bookmarkStart w:id="808" w:name="_Toc302"/>
      <w:bookmarkEnd w:id="806"/>
      <w:bookmarkEnd w:id="807"/>
      <w:r>
        <w:rPr/>
        <w:t>4</w:t>
      </w:r>
      <w:r>
        <w:rPr>
          <w:rtl w:val="true"/>
        </w:rPr>
        <w:t xml:space="preserve"> </w:t>
      </w:r>
      <w:r>
        <w:rPr>
          <w:rtl w:val="true"/>
        </w:rPr>
        <w:t>رسالة مفتوحة إلى الشيخ يوسف القرضاوي</w:t>
      </w:r>
      <w:bookmarkEnd w:id="808"/>
    </w:p>
    <w:p>
      <w:pPr>
        <w:pStyle w:val="Heading4"/>
        <w:numPr>
          <w:ilvl w:val="3"/>
          <w:numId w:val="1"/>
        </w:numPr>
        <w:rPr/>
      </w:pPr>
      <w:bookmarkStart w:id="809" w:name="__RefHeading___Toc6863992_73709187"/>
      <w:bookmarkStart w:id="810" w:name="_Toc303"/>
      <w:bookmarkEnd w:id="809"/>
      <w:r>
        <w:rPr>
          <w:rtl w:val="true"/>
        </w:rPr>
        <w:t>اشارة</w:t>
      </w:r>
      <w:bookmarkEnd w:id="810"/>
    </w:p>
    <w:p>
      <w:pPr>
        <w:pStyle w:val="BookText"/>
        <w:rPr/>
      </w:pPr>
      <w:r>
        <w:rPr>
          <w:rFonts w:ascii="Amiri" w:hAnsi="Amiri" w:eastAsia="Amiri" w:cs="Amiri"/>
          <w:color w:val="111111"/>
          <w:sz w:val="28"/>
          <w:sz w:val="28"/>
          <w:szCs w:val="28"/>
          <w:rtl w:val="true"/>
          <w:lang w:bidi="ar-SA"/>
        </w:rPr>
        <w:t>والرد على ادّعاءاته ضد الشيعة والتشيع</w:t>
      </w:r>
    </w:p>
    <w:p>
      <w:pPr>
        <w:pStyle w:val="BookText"/>
        <w:rPr/>
      </w:pPr>
      <w:r>
        <w:rPr>
          <w:rFonts w:ascii="Amiri" w:hAnsi="Amiri" w:eastAsia="Amiri" w:cs="Amiri"/>
          <w:color w:val="111111"/>
          <w:sz w:val="28"/>
          <w:sz w:val="28"/>
          <w:szCs w:val="28"/>
          <w:rtl w:val="true"/>
          <w:lang w:bidi="ar-SA"/>
        </w:rPr>
        <w:t>سماحة الدكتور الشيخ يوسف القرضاوي دامت بركاته</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أسأل اللّه تعالى أن يحفظكم رجل توحيد وتقريب بين المسلمين، ويسدد خطاكم لنشر المعارف الإسلامية الحقّة في أوساط الأُمّة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البيان الصادر عنكم 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عام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للثالث عشر من الشهر التاسع عام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والذي ترد فيه على ما جاء في وكالة مهر الإيرانية، وعلى العلمين الجليلين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فضل اللّه ومحمدعلي التسخيري حفظهما اللّه تعالى</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أنّ البيان المذكور يحتوي على أُمور تستحق الثناء والتقدير حيث ذكرتم وبطريقة استدلالية براءة الشيعة من القول بتحريف القرآن، وموقفكم الداعم لحق إيران في امتلاك التقنية النووية للأغراض السلمية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اعتدنا من علمائنا الكبار النظر إلى الأُمور بأُفق رحب وروح منفتحة والإعلان عنها بشجاعة، وهذا ما شاهدناه من جنابكم هنا، بعيداً عن التقوقع الطائفي والنظر إلى الاختلافات الجزئية التي تحجب الرؤية وتؤدي إلى ضيق الأُفق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سماحتكم من رجال التقريب والسعي إلى حفظ وحدة الكلمة، ولكم في هذا المضمار الكثير من المقالات والمحاضرات، وهذا أمر يعرفه الجميع، ولا يمكن أن نتوقع من جنابكم غير الاقتداء بشيخكم الكبير المرحوم محمود شلتوت، الأمر الذي يؤدي إلى استحكام حبل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أنّ الاختلاف بين المسلمين يمتد بجذوره إلى مابعد رحيل الرسول الأكرم صلى الله عليه و آله وهذه الاختلافات قائمة حتى الساعة ولا يمكن معالجتها في يوم أو يومين أو سنة أو سنتين، وإنّما الذي نتوقعه من الرجال الكبار والشخصيات الحكيمة هو التركيز والإصرار على المشتركات وعدم النظر إلى المسائل الخلافية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وطرحها في الملتقيات العلمية بعيداً عن صخب السياسة، ليتسنّى لنا حصرها في دائرة ضيقة ومحدودة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أود أن أُذكر سماحتكم ببعض الأُمور التي أراها ضرورية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تعلم سماحة الشيخ كما يعلم سائر المفكّرين أنّ الغرب والصهيونية العالمية ومن أجل إبعاد المسلمين عن الفكر الإسلامي رفعوا ومنذ فترة طويلة شعارات ثلاثة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التخويف والتحذير من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التخويف والتحذير من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التخويف والتحذير من الشيعة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عملت وسائلهم الإعلامية بكل أنواعها وبكل قوة لترسيخ ذلك في أذهان العالم الغربي، بل في أصقاع المعمورة، وكأنّ الإسلام غول يهدد البشرية والسلام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هذه الظروف الحسّاسة لا نرى مبرراً لما قمتم به سماحة الشيخ في لقاء مع 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تحدثتم به بخصوص التشيّع والتبشير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تعبيركم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البلدان ذات الغالبية السنية، وتحذيركم من ذلك وإطلاقكم لصفارة 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الحصيلة التي يخرج بها القارئ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لو كانت خلافاً لما تقصدونه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أليست الحصيلة التي يخرج بها هي تأييد موقف</w:t>
      </w:r>
    </w:p>
    <w:p>
      <w:pPr>
        <w:pStyle w:val="BookText"/>
        <w:rPr/>
      </w:pPr>
      <w:r>
        <w:rPr>
          <w:rFonts w:ascii="Amiri" w:hAnsi="Amiri" w:eastAsia="Amiri" w:cs="Amiri"/>
          <w:color w:val="111111"/>
          <w:sz w:val="28"/>
          <w:sz w:val="28"/>
          <w:szCs w:val="28"/>
          <w:rtl w:val="true"/>
          <w:lang w:bidi="ar-SA"/>
        </w:rPr>
        <w:t>المستكبرين والصهاينة وإعطاء الشرعية والمصداقية لما ينشرونه وتبثُه وسائل إعلامهم المسمومة‌؟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أكّدتم سماحة الشيخ من جهة على كون الشيعة مبتدعة، ومن جهة ثانية أكّدتم أنّ الفرقة الناجية هم أهل السنة، مستنداً في ذلك إلى الحديث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ستفترق أُمّتي إلى ثلاث وسبعين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هنا نسأل سماحتكم ما هي الحصيلة التي يخرج بها شاب متعصّب من شباب أهل السنّة‌؟ أليست هي القيام بربط حزام ناسف من المتفجرات ليقوم بقتل عشرات الأبرياء من الشباب والأطفال والنساء من المؤمنين في مدن العراق وغيرها من البلدان الإسلامية، وهذا ما يقوم به العشرات من الشباب الأردني والسعودي والأفغاني والمغربي مستندين في عملهم هذا إلى فتاوى تكفيرية ومواقف إقصائية يقوم بها بعض الرجال المحسوبين على العلم والفتوى، حتى وصل الأمر إلى حد تقيم عائلة الانتحاري الأردني الذي فجّر نفسه في أوساط المؤمنين الأبرياء في مدينة الحلة العراقية مجلس عرس تتلقى فيه التهاني والتبريك بتلك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سماحة الشيخ، إنّ لكلّ مقام مقالاً كما يقول الحكماء، فهل ياترى كان من المناسب في تلك الظروف العصيبة التي تمر بها أُمّتنا الإسلامية والتي تتكالب فيها قوى الاستكبار العالمي على العالم الإسلامي بأسره، أن يصدر من عالم ومفكّر إسلامي ما يثير النائرة ويشعل نار الحقد والصراع في أوساط المسلمين ممّا قد يؤدي إلى الصراع الداخلي لا سامح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كل من الإخوة السيد فضل اللّه والشيخ التسخيري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للّذين تربطهما بكم علاقة الود وتكن لهما مشاعر الحب والاحترام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يرتضيا الطريقة التي طرحتم فيها القضية، فإنّهما ينطلقان في واقع الأمر ممّا ذكرناه لكم من أنّ ذلك لا يليق بشأنكم وليس في صالح المسلمين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اعتبرتم انتقال مجموعة من الشباب السنّي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البلدان التي يقطنها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التشيّع تبشيراً شيعياً وخطراً يستحق الوقوف أمامه ودق صفارة</w:t>
      </w:r>
    </w:p>
    <w:p>
      <w:pPr>
        <w:pStyle w:val="BookText"/>
        <w:rPr/>
      </w:pPr>
      <w:r>
        <w:rPr>
          <w:rFonts w:ascii="Amiri" w:hAnsi="Amiri" w:eastAsia="Amiri" w:cs="Amiri"/>
          <w:color w:val="111111"/>
          <w:sz w:val="28"/>
          <w:sz w:val="28"/>
          <w:szCs w:val="28"/>
          <w:rtl w:val="true"/>
          <w:lang w:bidi="ar-SA"/>
        </w:rPr>
        <w:t xml:space="preserve">الإنذار، وإنّ عدم التصدّي له يمثّل مخالفة للدين وخيانة للأمانة التي في عنقكم، ولكن في نفس الوقت غضضتم الطرف عمّا يجري في السعودية والإمارات وغيرها من البلدان السنيّة من الحملة الشعواء التي تُشن على المفكّرين الشيعة والفكر الإمامي، فما من ساعة تمر إلّاوتجد إصداراً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أو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ينال منهم، والذي يؤسف له أنّ ما يصدر ما هو إلّاتكرار للمكرّرات وتهم واهية لا تقوم على دليل ولا تستند إلى برهان؛ أليس من اللائق بجنابكم الكريم التصدي لمثل هذه الحملة المسعورة التي تنال من طائفة كبيرة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نجد البعض قد تمادى في غيّه وكذبه بحيث صنّف كتباً في ذم الشيعة ونسبها إلى شخصيات شيعية من أمثال المرحوم العلامة السيد العسكري وبعضها نسبوها لي شخصياً موحين للناس أنّنا من المبلّغين للمذهب الوهابي والمهاجمين للتشيّع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نشر كتاب في موطنكم مصر العزيزة في نقد رأيي الفقهي حول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 الكتاب بالسب والشتم والكلام القاذع والافتراء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تأليف علاء الدين البصير، ثم طبع هذا الكتاب مرة ثانية ضمن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محقّقو الشيعة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وأعطاه ناشروه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سبحاني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محقق 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العجب أن يقدّم لهذا الكتاب أُستاذ من الأزهر هو الدكتور محمد عبد المنعم البري وهو عميد مركز الدراسات الإسلامية بجامعة الأزهر، ورئيس جبهة علماء الأزهر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طبع في مصر ونشر عام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مركز التفوير بالقاهرة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أدري هل البحث الفقهي يستحق كل هذا التحامل والتشنيع والتسقيط؟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أكّدتم في بيانكم على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ستفترق أُمّتي إلى ثلاث وسبعين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أود التذكير بأنّ الحديث قد ضعّفه المحقّقون في علم الحديث، وعلى فرض وجود سند معتبر للحديث فلا يصحّ الاستناد إلى حديث آحاد لإثبات مثل هذا الأصل، واعتبار اثنتين وسبعين فرقة من فرق المسلمين من أصحاب النار وحصر أصحاب الجنة في فرقة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مضمون الحديث يحكي عن عدم صحّته، وأنا هنا لا أتحدّث عن فرق اليهود والنصارى، بل أتساءل أين هي فرق المسلمين الأساسية التي وصلت إلى هذا الحد، وأمّا الفرق الفرعية المذكورة في كتب الملل والنحل فقد تجاوزت الحد قطعاً؟ فهل يمكن أن نجد ذلك العدد من الفرق الإساسية في كتب 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يمكن اعتبار الاختلاف في مسألة واحدة مبرراً لتصنيفها فرقة مستقلة‌؟ إنّ فرق المسلمين الأساسية لا تتجاوز عدد أصابع اليد، من هنا نرى أصحاب كتب الملل والنحل يتشبّثون بأُمور واهية لإثبات العدد المذكور ليكون دليلاً على مصداقية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الأجدر بالإخوة أن يستندوا في عقائدهم إلى الحديث الذي رواه البخاري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أُمّتي يدخلون الجنّة إلّامن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يأبى‌؟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أطاعني دخل الجنة ومن عصاني فقد 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حدد الحديث الملاك في دخول الجنة والنار في إطاعة الرسول صلى الله عليه و آله وعصيانه، ومن الواضح أنّ العصيان والتمرّد يصدق في حالة كون الإنسان لا يملك الحجّة والدليل المعقول على عمله، وليس خفياً عليكم وعلى المفكّرين أنّ الشيعة تستند في المسائل الخلافية إلى الدليل والحجّة الكافية وإن كان ذلك غير تام في نظركم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الملاك في دخول الإنسان في حظيرة الإيمان، هو ما جاء في حديث الرسول صلى الله عليه و آله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 شهادة أن لا إله إلّااللّه، وأنّ محمداً رسول اللّه وإقام الصلاة، وايتاء الزكاة والحج، وصوم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الشيخان‌؟</w:t>
      </w:r>
    </w:p>
    <w:p>
      <w:pPr>
        <w:pStyle w:val="BookText"/>
        <w:rPr/>
      </w:pPr>
      <w:r>
        <w:rPr>
          <w:rFonts w:ascii="Amiri" w:hAnsi="Amiri" w:eastAsia="Amiri" w:cs="Amiri"/>
          <w:color w:val="111111"/>
          <w:sz w:val="28"/>
          <w:sz w:val="28"/>
          <w:szCs w:val="28"/>
          <w:rtl w:val="true"/>
          <w:lang w:bidi="ar-SA"/>
        </w:rPr>
        <w:t>فإذا كانت أُصول الدين هي الإيمان باللّه ورسوله وكتبه ورسله وملائكته واليوم الآخر، وما فيه من الحساب إلى غير ذلك، فجميع المسلمين المتمسكين بالكتاب والسنة يدخلون تحت هذه الضابطة، فما هو الوجه لإضفاء القداسة على فرقة وحرمان فرقة أُخرى‌؟</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يجدر بالشيخ العزيز أن يقتدي بإمام أهل السنّة الشيخ الأشعري حيث</w:t>
      </w:r>
      <w:bookmarkStart w:id="811" w:name="pg16768_165572"/>
    </w:p>
    <w:p>
      <w:pPr>
        <w:pStyle w:val="BookText"/>
        <w:rPr/>
      </w:pPr>
      <w:bookmarkEnd w:id="811"/>
      <w:r>
        <w:rPr>
          <w:rFonts w:ascii="Amiri" w:hAnsi="Amiri" w:eastAsia="Amiri" w:cs="Amiri"/>
          <w:color w:val="111111"/>
          <w:sz w:val="28"/>
          <w:sz w:val="28"/>
          <w:szCs w:val="28"/>
          <w:rtl w:val="true"/>
          <w:lang w:bidi="ar-SA"/>
        </w:rPr>
        <w:t>ألف كتاباً في الفرق الإسلامية وأدخل الجميع تحت عنوان كتابه والذي سمّاه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الإسلاميين واختلاف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فمنح الجميعَ الصبغةَ الإسلامية وجعل اختلافهم في الفروع فقط بشهادة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واختلاف المصلّين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أحمد بن زاهر السرخسي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الشيخ أبا الحسن الأشعري الوفاة بداري في بغداد أمرني بجمع أصحابه فجمعتهم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عليّ أنّني لا أُكفّر أحداً من أهل القبلة بذنب، لأنّي رأيتهم كلهم يشيرون إلى معبود واحد والإسلام يشملهم ويعمّهم</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لقد أشرتم في بيانكم أنّ لدى الشيعة بدعتين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وأود هنا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ضيق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تحليل تلك البدع حسب رأيكم</w:t>
      </w:r>
      <w:r>
        <w:rPr>
          <w:rFonts w:eastAsia="Amiri" w:cs="Amiri" w:ascii="Amiri" w:hAnsi="Amiri"/>
          <w:color w:val="111111"/>
          <w:sz w:val="28"/>
          <w:szCs w:val="28"/>
          <w:rtl w:val="true"/>
          <w:lang w:bidi="ar-SA"/>
        </w:rPr>
        <w:t>:</w:t>
      </w:r>
    </w:p>
    <w:p>
      <w:pPr>
        <w:pStyle w:val="Heading4"/>
        <w:numPr>
          <w:ilvl w:val="3"/>
          <w:numId w:val="1"/>
        </w:numPr>
        <w:rPr/>
      </w:pPr>
      <w:bookmarkStart w:id="812" w:name="__RefHeading___Toc6863994_73709187"/>
      <w:bookmarkStart w:id="813" w:name="_Toc304"/>
      <w:bookmarkEnd w:id="812"/>
      <w:r>
        <w:rPr>
          <w:rtl w:val="true"/>
        </w:rPr>
        <w:t>الأُولى</w:t>
      </w:r>
      <w:r>
        <w:rPr>
          <w:rtl w:val="true"/>
        </w:rPr>
        <w:t xml:space="preserve">: </w:t>
      </w:r>
      <w:r>
        <w:rPr>
          <w:rtl w:val="true"/>
        </w:rPr>
        <w:t>البدع النظرية</w:t>
      </w:r>
      <w:bookmarkEnd w:id="813"/>
    </w:p>
    <w:p>
      <w:pPr>
        <w:pStyle w:val="Heading5"/>
        <w:numPr>
          <w:ilvl w:val="4"/>
          <w:numId w:val="1"/>
        </w:numPr>
        <w:rPr/>
      </w:pPr>
      <w:bookmarkStart w:id="814" w:name="__RefHeading___Toc6863996_73709187"/>
      <w:bookmarkStart w:id="815" w:name="_Toc305"/>
      <w:bookmarkEnd w:id="814"/>
      <w:r>
        <w:rPr/>
        <w:t>1</w:t>
      </w:r>
      <w:r>
        <w:rPr>
          <w:rtl w:val="true"/>
        </w:rPr>
        <w:t xml:space="preserve">. </w:t>
      </w:r>
      <w:r>
        <w:rPr>
          <w:rtl w:val="true"/>
        </w:rPr>
        <w:t>ادّعاء الوصية لأمير المؤمنين</w:t>
      </w:r>
      <w:bookmarkEnd w:id="815"/>
    </w:p>
    <w:p>
      <w:pPr>
        <w:pStyle w:val="BookText"/>
        <w:rPr/>
      </w:pPr>
      <w:r>
        <w:rPr>
          <w:rFonts w:ascii="Amiri" w:hAnsi="Amiri" w:eastAsia="Amiri" w:cs="Amiri"/>
          <w:color w:val="111111"/>
          <w:sz w:val="28"/>
          <w:sz w:val="28"/>
          <w:szCs w:val="28"/>
          <w:rtl w:val="true"/>
          <w:lang w:bidi="ar-SA"/>
        </w:rPr>
        <w:t>لا شك أنّ أساس التشيّع وعماده يقوم على الاعتقاد بأنّ المرجعية والقيادة السياسية والفكرية والعلمية بعد رحيل النبي الأكرم صلى الله عليه و آله هي من شؤون العترة الطاهرة وعلى رأس العترة أمير المؤمنين عليه السلام، ولقد ثبتت الوصية له من خلال الأحاديث المتواترة، أُشير هنا إلى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نزل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 النبي صلى الله عليه و آله خمسة وأربعين وجيهاً من وجهاء بني هاشم،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 المطلب إنّي واللّه ما أعلم شاباً في العرب جاء قومه بأفضل مما جئتكم به، إنّي قد جئتكم بخير الدنيا</w:t>
      </w:r>
    </w:p>
    <w:p>
      <w:pPr>
        <w:pStyle w:val="BookText"/>
        <w:rPr/>
      </w:pPr>
      <w:r>
        <w:rPr>
          <w:rFonts w:ascii="Amiri" w:hAnsi="Amiri" w:eastAsia="Amiri" w:cs="Amiri"/>
          <w:color w:val="111111"/>
          <w:sz w:val="28"/>
          <w:sz w:val="28"/>
          <w:szCs w:val="28"/>
          <w:rtl w:val="true"/>
          <w:lang w:bidi="ar-SA"/>
        </w:rPr>
        <w:t>والآخرة، وقد أمرني اللّه أن أدعوكم إليه، فأيّكم يؤازرني على هذا الأمر، على أن يكون أخي ووصيّي وخليفتي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فكرر هذه الجملة ثلاث مرات، وفي كلّ مرة كان علي يقوم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يا نبي اللّه أكون وزيرك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المرة الثالثة ضرب رسول اللّه صلى الله عليه و آله يده على يد علي وقال في حقه على رؤوس الأشهاد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علي أخي ووصيي وخليفتي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خوف الإطالة لأشرت إلى المصادر الكثيرة التي ذكرت هذا الحديث، ولكن اكتفي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حتى مثل محمد حسنين هيكل قد نقل هذا الحديث في الطبعة الأُولى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حذفت في الطبعات اللاحقة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استثناء النبوة فقط يحكي عن ثبوت جميع المقامات التي كانت لهارون عليه السلام مثل الخلافة والوزارة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كسفينة نوح من ركبها نجا ومن تخلّف عنها غرق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تواتر الحديث أن نقله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صحابياً وما يقرب من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التابعين، كما نقله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سنياً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كلّ هذه الأدلة الواضحة التي استندت إليها الشيعة، فعلى أقل تقدير والحد الأدنى المتوقع منكم أن تعذروهم في موقفهم وعقيدتهم لا أن تصفوهم بالمبتدعة، خاصة إذا أخذنا بنظر الاعتبار ما تتبنّونه معاشر فقهاء السنّة الأعزاء من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للمصيب أجران وللمخطئ أجر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لابدّ أن يستحق الشيعة الثواب والأجر لا الرمي بالابتداع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قلتم في بيانكم أنّ الاختلاف في فروع الدين ومسائل العمل وأحكام العبادات والمعاملات، لا حرج فيه، وأُصول الدين هنا تسع الجميع، وما بيننا وبين الشيعة من خلاف هنا ليس أكبر ممّا بين المذاهب السنية بعضها مع بعض</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أود أن أسأل سماحتكم هل أنّ مسألة الإمامة والخلافة عند أهل السنة من</w:t>
      </w:r>
    </w:p>
    <w:p>
      <w:pPr>
        <w:pStyle w:val="BookText"/>
        <w:rPr/>
      </w:pPr>
      <w:r>
        <w:rPr>
          <w:rFonts w:ascii="IRNazanin" w:hAnsi="IRNazanin" w:eastAsia="IRNazanin"/>
          <w:color w:val="111111"/>
          <w:sz w:val="28"/>
          <w:sz w:val="28"/>
          <w:szCs w:val="28"/>
          <w:rtl w:val="true"/>
          <w:lang w:bidi="fa-IR"/>
        </w:rPr>
        <w:t>الفروع أو الأُصول‌؟</w:t>
      </w:r>
    </w:p>
    <w:p>
      <w:pPr>
        <w:pStyle w:val="BookText"/>
        <w:rPr/>
      </w:pPr>
      <w:r>
        <w:rPr>
          <w:rFonts w:ascii="Amiri" w:hAnsi="Amiri" w:eastAsia="Amiri" w:cs="Amiri"/>
          <w:color w:val="111111"/>
          <w:sz w:val="28"/>
          <w:sz w:val="28"/>
          <w:szCs w:val="28"/>
          <w:rtl w:val="true"/>
          <w:lang w:bidi="ar-SA"/>
        </w:rPr>
        <w:t xml:space="preserve">لقد أكّد كبار علماء الأشاعرة مثل عضد الدين الإيجي في المواقف وشارحه المير سيد شريف الجرجاني وسعد الدين التفتازاني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الإمامة والخلافة من فروع الأمر بالمعروف والنهي عن المنكر، لأنّه يجب على المسلمين إشاعة المعروف والنهي عن المنكر، وهذا لا يتحقّق إلّافي ظل حكومة وقدرة تستطيع إجراء الأحكام وأنّ مركز هذه القدرة والسلطة هو الإمام والخليفة الذي يجب أن يوجد في أوساط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الأُمور التي يتفق عليها الشيعة والسنة، إلّاأنّ الاختلاف وقع في طريقة تشخيص وتحديد الخليفة والإمام حيث طرحت نظريتان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الإمام يتم عن طريق شورى المهاجرين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الإمام يتم بتنصيبه من قبل النبي الأكرم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هنا في مقام ترجيح إحدى النظريتين على الأُخرى، لكن السؤال الذي يطرح نفسه هنا كيف أصبحت إحدى النظريتين عين السنّة والأُخرى عين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النظرية الأُولى لا تقوم إلّاعلى السيرة الناقصة للخلفاء لا أكثر، وأمّا النظرية الثانية فتستند إلى الأدلّة المحكمة والقوية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منطق الإنصاف يقتضي ترجيح النظرية الثانية، وعلى أقل تقدير النظر إليهما نظرة واحدة لا اعتبار أصحاب النظرية الأُولى هم أهل السنة وأتباع النظرية الثانية من المبتدعة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إِذاً قِسْمَةٌ ضِيزى‌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وأين ذهب التسامح والعيش المشترك في الفروع‌؟</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الجدير بالذكر أنّ تبريركم لوصف الشيعة بالمبتدعة كان في مقابل من يقول بأنّهم كفرة لا يحل المشكلة أبداً، بل كان من الواجب عليكم أن تنصروا المظلوم وتدفعوا عنه تهمة الكفر والخروج عن الدين لا أن تبدّلوا التهمة بتهمة أُخرى، وهنا أود أن أسأل سماحة الشيخ لو أنّ شخصاً اتّهمكم بتهمة خطيرة هل تسمحون لمن يدافع عنكم أن ينفي عنكم تلك التهمة لكنّه يستبدلها بتهمة هي أقل من الأُولى‌؟</w:t>
      </w:r>
      <w:r>
        <w:rPr>
          <w:rFonts w:eastAsia="Amiri" w:cs="Amiri" w:ascii="Amiri" w:hAnsi="Amiri"/>
          <w:color w:val="111111"/>
          <w:sz w:val="28"/>
          <w:szCs w:val="28"/>
          <w:rtl w:val="true"/>
          <w:lang w:bidi="ar-SA"/>
        </w:rPr>
        <w:t>!!</w:t>
      </w:r>
      <w:bookmarkStart w:id="816" w:name="pg16768_165575"/>
    </w:p>
    <w:p>
      <w:pPr>
        <w:pStyle w:val="Heading5"/>
        <w:numPr>
          <w:ilvl w:val="4"/>
          <w:numId w:val="1"/>
        </w:numPr>
        <w:rPr/>
      </w:pPr>
      <w:bookmarkStart w:id="817" w:name="__RefHeading___Toc6863998_73709187"/>
      <w:bookmarkStart w:id="818" w:name="_Toc306"/>
      <w:bookmarkEnd w:id="816"/>
      <w:bookmarkEnd w:id="817"/>
      <w:r>
        <w:rPr/>
        <w:t>2</w:t>
      </w:r>
      <w:r>
        <w:rPr>
          <w:rtl w:val="true"/>
        </w:rPr>
        <w:t xml:space="preserve">. </w:t>
      </w:r>
      <w:r>
        <w:rPr>
          <w:rtl w:val="true"/>
        </w:rPr>
        <w:t>العلم بالغيب</w:t>
      </w:r>
      <w:bookmarkEnd w:id="818"/>
    </w:p>
    <w:p>
      <w:pPr>
        <w:pStyle w:val="BookText"/>
        <w:rPr/>
      </w:pPr>
      <w:r>
        <w:rPr>
          <w:rFonts w:ascii="Amiri" w:hAnsi="Amiri" w:eastAsia="Amiri" w:cs="Amiri"/>
          <w:color w:val="111111"/>
          <w:sz w:val="28"/>
          <w:sz w:val="28"/>
          <w:szCs w:val="28"/>
          <w:rtl w:val="true"/>
          <w:lang w:bidi="ar-SA"/>
        </w:rPr>
        <w:t xml:space="preserve">من الأُمور التي اعتبرتموها دليلاً على الابتداع هي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أود أن أُشير إلى أنّ العلم بالغيب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الغيب الذاتي وغير المحدود وهو من مختصات الباري تعالى، قال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يَعْلَمُ مَنْ فِي السَّماواتِ وَ الْأَرْضِ الْغَيْبَ إِلاَّ اللّهُ وَ ما يَشْعُرُونَ أَيّانَ يُبْعَثُونَ‌</w:t>
      </w:r>
      <w:r>
        <w:rPr>
          <w:rFonts w:eastAsia="Amiri" w:cs="Amiri" w:ascii="Amiri" w:hAnsi="Amiri"/>
          <w:color w:val="111111"/>
          <w:sz w:val="28"/>
          <w:szCs w:val="28"/>
          <w:rtl w:val="true"/>
          <w:lang w:bidi="ar-SA"/>
        </w:rPr>
        <w:t>)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الغيب الاكتسابي، وهذا النوع محدود أيضاً بالإذن الإلهي، وهذا النوع من الغيب يحصل لغير اللّه تعالى كثيراً، ولقد جاء في سورة يوسف عليه السلام الكثير من الإخبارات الغيبية على لسان كل من يعقوب ويوسف عليهما السلام؛ وكذلك جاء في القرآن الكريم الحديث عن مصاحب موسى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فَوَجَدا عَبْداً مِنْ عِبادِنا آتَيْناهُ رَحْمَةً مِنْ عِنْدِنا وَ عَلَّمْناهُ مِنْ لَدُنّا عِلْماً</w:t>
      </w:r>
      <w:r>
        <w:rPr>
          <w:rFonts w:eastAsia="Amiri" w:cs="Amiri" w:ascii="Amiri" w:hAnsi="Amiri"/>
          <w:color w:val="111111"/>
          <w:sz w:val="28"/>
          <w:szCs w:val="28"/>
          <w:rtl w:val="true"/>
          <w:lang w:bidi="ar-SA"/>
        </w:rPr>
        <w:t>)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وقد ورد عن أمير المؤمنين عليه السلام أنّه لمّا أخبرَ ببعض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أُعطيتَ يا أمير المؤمنينَ 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هو بعلم غيب وإنّما هو تعلُّمٌ من ذي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هذا النوع من العلم محدود فلا يكون هو المعنى الاصطلاحي لعلم الغيب، لأنّ المراد منه هو غير المحدود وهو من مختصات الباري تعالى</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إذا علم أئمة أهل البيت عليهم السلام بالغيب وأخبروا عن المغيّبات فهو من النوع الثاني الذي يحصل بإذن اللّه حتى للصالحين والعارفين الإلهيين الذين بذلوا عمراً طويلاً في طاعة اللّه تعالى والسير وفقاً لشريعة الإسلام الغرّاء</w:t>
      </w:r>
      <w:r>
        <w:rPr>
          <w:rFonts w:eastAsia="Amiri" w:cs="Amiri" w:ascii="Amiri" w:hAnsi="Amiri"/>
          <w:color w:val="111111"/>
          <w:sz w:val="28"/>
          <w:szCs w:val="28"/>
          <w:rtl w:val="true"/>
          <w:lang w:bidi="ar-SA"/>
        </w:rPr>
        <w:t>.</w:t>
      </w:r>
      <w:bookmarkStart w:id="819" w:name="pg16768_165576"/>
    </w:p>
    <w:p>
      <w:pPr>
        <w:pStyle w:val="Heading5"/>
        <w:numPr>
          <w:ilvl w:val="4"/>
          <w:numId w:val="1"/>
        </w:numPr>
        <w:rPr/>
      </w:pPr>
      <w:bookmarkStart w:id="820" w:name="__RefHeading___Toc6864000_73709187"/>
      <w:bookmarkStart w:id="821" w:name="_Toc307"/>
      <w:bookmarkEnd w:id="819"/>
      <w:bookmarkEnd w:id="820"/>
      <w:r>
        <w:rPr/>
        <w:t>3</w:t>
      </w:r>
      <w:r>
        <w:rPr>
          <w:rtl w:val="true"/>
        </w:rPr>
        <w:t xml:space="preserve">. </w:t>
      </w:r>
      <w:r>
        <w:rPr>
          <w:rtl w:val="true"/>
        </w:rPr>
        <w:t>عصمة العترة</w:t>
      </w:r>
      <w:bookmarkEnd w:id="821"/>
    </w:p>
    <w:p>
      <w:pPr>
        <w:pStyle w:val="BookText"/>
        <w:rPr/>
      </w:pPr>
      <w:r>
        <w:rPr>
          <w:rFonts w:ascii="Amiri" w:hAnsi="Amiri" w:eastAsia="Amiri" w:cs="Amiri"/>
          <w:color w:val="111111"/>
          <w:sz w:val="28"/>
          <w:sz w:val="28"/>
          <w:szCs w:val="28"/>
          <w:rtl w:val="true"/>
          <w:lang w:bidi="ar-SA"/>
        </w:rPr>
        <w:t>من الأُمور التي اعتبرتموها من البدعة هي القول بعصمة الأئمة؛ وهنا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العصمة لا تعني إلّاحالة قصوى من التقوى تحصل لدى الإنسان تمنعه من ارتكاب ما لا يرضي اللّه تعالى، وتتجسّم أمامه آثار الذنوب ممّا يصونه عن ارتكابها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الغريب أن يطوي الإنسان مراحل الكمال الروحي حتى يصل إلى حد يعصم فيه من الذنوب وقد يصل إلى مرحلة أُخرى بحيث لا يصدر الخطأ منه‌؟</w:t>
      </w:r>
    </w:p>
    <w:p>
      <w:pPr>
        <w:pStyle w:val="BookText"/>
        <w:rPr/>
      </w:pPr>
      <w:r>
        <w:rPr>
          <w:rFonts w:ascii="Amiri" w:hAnsi="Amiri" w:eastAsia="Amiri" w:cs="Amiri"/>
          <w:color w:val="111111"/>
          <w:sz w:val="28"/>
          <w:sz w:val="28"/>
          <w:szCs w:val="28"/>
          <w:rtl w:val="true"/>
          <w:lang w:bidi="ar-SA"/>
        </w:rPr>
        <w:t>إنّ مريم العذراءعليها السَّلام لم تكن نبية ولكن كانت معصومة ومصونة من الذنب، ولقد أشار القرآن الكريم لذلك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قالَتِ الْمَلائِكَةُ يا مَرْيَمُ إِنَّ اللّهَ اصْطَفاكِ وَ طَهَّرَكِ وَ اصْطَفاكِ عَلى نِساءِ الْعالَمِينَ‌</w:t>
      </w:r>
      <w:r>
        <w:rPr>
          <w:rFonts w:eastAsia="Amiri" w:cs="Amiri" w:ascii="Amiri" w:hAnsi="Amiri"/>
          <w:color w:val="111111"/>
          <w:sz w:val="28"/>
          <w:szCs w:val="28"/>
          <w:rtl w:val="true"/>
          <w:lang w:bidi="ar-SA"/>
        </w:rPr>
        <w:t>)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ومن المسلّم أنّ المراد من التطهير هو تطهير مريم من الذنوب والخصال المذمومة؛ وهنا نسأل لماذا لا يكون القول بعصمة مريم من البدعة والقول بعصمة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عدل القرآن وفقاً لحديث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حديث الثقلين من الأحاديث المتواترة والذي اعتبر فيه الرسول الأكرم صلى الله عليه و آله العترة عدلاً للقرآن وإنّهما لن يفترقا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ما إن تمسكتم بهما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الواضح أنّ مقتضى كون العترة عدلاً للقرآن الكريم أن تكون معصومة كعصمة القرآن الكريم، ولا يمكن أن يحدث بينهما أدنى افتراق أو تناف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بعصمة الأئمة إذا كان غلوّاً فلماذا لا يكون القول بأنّ صحيح البخاري أصحّ الكتب بعد كتاب اللّه تعالى، كذلك، فهل هذا التعبير صحيح بحق هذا الكتاب مع ما فيه من الشذوذ ومخالفة العقل الحصيف وغير ذلك‌؟</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هلا يكون حصر المذاهب في الأربعة وطرد سائر المذاهب الأُخرى في</w:t>
      </w:r>
      <w:bookmarkStart w:id="822" w:name="pg16768_165577"/>
    </w:p>
    <w:p>
      <w:pPr>
        <w:pStyle w:val="BookText"/>
        <w:rPr/>
      </w:pPr>
      <w:bookmarkEnd w:id="822"/>
      <w:r>
        <w:rPr>
          <w:rFonts w:ascii="Amiri" w:hAnsi="Amiri" w:eastAsia="Amiri" w:cs="Amiri"/>
          <w:color w:val="111111"/>
          <w:sz w:val="28"/>
          <w:sz w:val="28"/>
          <w:szCs w:val="28"/>
          <w:rtl w:val="true"/>
          <w:lang w:bidi="ar-SA"/>
        </w:rPr>
        <w:t>مجال العمل والقضاء غلواً مع أنّ الأُمّة الإسلامية عاشت مسلمة ولم يتولد واحد من أصحاب هذه المذاهب، ولم يكن لأحد منهم عين ولا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الحفاظ على صفو مياه الودّ لبسطنا الكلام في هاتيك المواضع التي أخذتم بها الشيعة، ولكن اقتصرنا بذلك حتى ينظر الشيخ الجليل إلى الجميع بعين واحدة وفكرة خاصّة</w:t>
      </w:r>
      <w:r>
        <w:rPr>
          <w:rFonts w:eastAsia="Amiri" w:cs="Amiri" w:ascii="Amiri" w:hAnsi="Amiri"/>
          <w:color w:val="111111"/>
          <w:sz w:val="28"/>
          <w:szCs w:val="28"/>
          <w:rtl w:val="true"/>
          <w:lang w:bidi="ar-SA"/>
        </w:rPr>
        <w:t>.</w:t>
      </w:r>
    </w:p>
    <w:p>
      <w:pPr>
        <w:pStyle w:val="Heading5"/>
        <w:numPr>
          <w:ilvl w:val="4"/>
          <w:numId w:val="1"/>
        </w:numPr>
        <w:rPr/>
      </w:pPr>
      <w:bookmarkStart w:id="823" w:name="__RefHeading___Toc6864002_73709187"/>
      <w:bookmarkStart w:id="824" w:name="_Toc308"/>
      <w:bookmarkEnd w:id="823"/>
      <w:r>
        <w:rPr/>
        <w:t>4</w:t>
      </w:r>
      <w:r>
        <w:rPr>
          <w:rtl w:val="true"/>
        </w:rPr>
        <w:t xml:space="preserve">. </w:t>
      </w:r>
      <w:r>
        <w:rPr>
          <w:rtl w:val="true"/>
        </w:rPr>
        <w:t>سب الصحابة</w:t>
      </w:r>
      <w:bookmarkEnd w:id="824"/>
    </w:p>
    <w:p>
      <w:pPr>
        <w:pStyle w:val="BookText"/>
        <w:rPr/>
      </w:pPr>
      <w:r>
        <w:rPr>
          <w:rFonts w:ascii="Amiri" w:hAnsi="Amiri" w:eastAsia="Amiri" w:cs="Amiri"/>
          <w:color w:val="111111"/>
          <w:sz w:val="28"/>
          <w:sz w:val="28"/>
          <w:szCs w:val="28"/>
          <w:rtl w:val="true"/>
          <w:lang w:bidi="ar-SA"/>
        </w:rPr>
        <w:t>الأمر الذي يدعو إلى الحيرة والعجب أن يصدر هذا الكلام من عالم من أمثالكم وإنّما الأنسب صدور هذا الكلام من الناس البعيدين عن العلم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يمكن لطائفة كبيرة أن تحب النبي صلى الله عليه و آله لكنها تبغض أصحابه وتشتمهم‌؟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عدد أصحاب النبي الأكرم صلى الله عليه و آله قد تجاوز المائة ألف صحابي وإنّ الذين ترجم لهم أصحاب الكتب الرجالية بلغ ما يقارب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صحابي استشهد بعض منهم في معارك الرسول مثل بدر وأُحد والخندق وخيبر وغيرها، فهل يجوز لمسلم يؤمن باللّه واليوم الآخر أن ينال من هؤلاء العظماء؟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القسم الأعظم من هؤلاء الصحابة نجهل حالهم ولا نعرف عنهم شيئاً، فهل يسمح الوجدان للإنسان أن يمس أو ينتقص من إنسان لا يعرف حاله‌؟</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مسألة سب الصحابة بالمعنى الذي يتداوله عامة الناس ما هي إلّا ذريعة يحاول البعض التمسّك بها، إنّ منطق الشيعة منطق إمامهم أمير المؤمنين عليه السلام الذي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Style w:val="FootnoteAnchor"/>
          <w:rtl w:val="true"/>
        </w:rPr>
        <w:footnoteReference w:id="840"/>
      </w:r>
      <w:r>
        <w:rPr>
          <w:rFonts w:ascii="Amiri" w:hAnsi="Amiri" w:eastAsia="Amiri" w:cs="Amiri"/>
          <w:color w:val="111111"/>
          <w:sz w:val="28"/>
          <w:sz w:val="28"/>
          <w:szCs w:val="28"/>
          <w:rtl w:val="true"/>
          <w:lang w:bidi="ar-SA"/>
        </w:rPr>
        <w:t>، قال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رأيت أصحاب محمد صلى الله عليه و آله فما أرى أحداً يشبههم منكم، لقد كانوا يصبحون شعثاً غبراً وقد باتوا سُجّداً وقياماً، ويقفون على مثل الجمر من ذكر معادهم، كأنّ بين أعينهم ركب المعزى من طول سجودهم، إذا ذكر اللّه هملت أعينهم حتى تبل جيوبهم،</w:t>
      </w:r>
    </w:p>
    <w:p>
      <w:pPr>
        <w:pStyle w:val="BookText"/>
        <w:rPr/>
      </w:pPr>
      <w:r>
        <w:rPr>
          <w:rFonts w:ascii="Amiri" w:hAnsi="Amiri" w:eastAsia="Amiri" w:cs="Amiri"/>
          <w:color w:val="111111"/>
          <w:sz w:val="28"/>
          <w:sz w:val="28"/>
          <w:szCs w:val="28"/>
          <w:rtl w:val="true"/>
          <w:lang w:bidi="ar-SA"/>
        </w:rPr>
        <w:t>ومادوا كما يميد الشجر يوم الريح العاصف خوفاً من العقاب ورجاءً للثواب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شيعة الإمام أمير المؤمنين عليه السلام يقتفون كلام إمامهم، حيث إنّه عندما سمع بعض أصحابه وهم يسبون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حرب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أكره لكم أن تكونوا سبّابين، ولكنّكم لو وصفتم أعمالهم، وذكرتم حالهم، كان أصوب في القول، وأبلغ في العُذر، وقلتم مكان سبكم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أحقن دماءنا ودماءهم، وأصلح ذات بيننا وبينهم، وأهدهم من ضلالتهم، حتّى يعرف الحق من جهله، ويرعوي عن الغيّ والعدوان من لهج به</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فإذا كانت هذه عقيدة إمام الشيعة في حق محاربيه، فكيف لا تكون عقيدة شيعته فيهم كعقيدته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السب فعل الجهلة الذين لا يحفظون ألسنتهم عمّا يشينهم، ولذلك أطلب من سماحتكم أن لا تطرحوا القضية بهذه الصورة، نعم إنّ الذي تعتقده الشيعة هو أنّ بعض الصحابة والذين لا يتجاوز عددهم عدد أصابع اليد تعاملوا مع أهل بيت النبي بعد رحيله معاملة سيئة ومن هنا تتبرّأ الشيعة منهم لهذا السبب، وهذا ليس أمراً غريباً فهذا النبي الأكرم صلى الله عليه و آله يتبرّأ من عمل خالد بن الوليد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أبرأ إليك ممّا صنع خالد</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ألفت نظركم السامي إلى روايات الارتداد المعروفة بروايات الحوض التي جاءت في صحيحي البخاري ومسلم، كيف تفسرون هذه المأثورات عن النبي الأعظم صلى الله عليه و آله‌؟</w:t>
      </w:r>
      <w:r>
        <w:rPr>
          <w:rStyle w:val="FootnoteAnchor"/>
          <w:rtl w:val="true"/>
        </w:rPr>
        <w:footnoteReference w:id="842"/>
      </w:r>
      <w:bookmarkStart w:id="825" w:name="pg16768_165579"/>
    </w:p>
    <w:p>
      <w:pPr>
        <w:pStyle w:val="Heading4"/>
        <w:numPr>
          <w:ilvl w:val="3"/>
          <w:numId w:val="1"/>
        </w:numPr>
        <w:rPr/>
      </w:pPr>
      <w:bookmarkStart w:id="826" w:name="__RefHeading___Toc6864004_73709187"/>
      <w:bookmarkStart w:id="827" w:name="_Toc309"/>
      <w:bookmarkEnd w:id="825"/>
      <w:bookmarkEnd w:id="826"/>
      <w:r>
        <w:rPr>
          <w:rtl w:val="true"/>
        </w:rPr>
        <w:t>الثانية</w:t>
      </w:r>
      <w:r>
        <w:rPr>
          <w:rtl w:val="true"/>
        </w:rPr>
        <w:t xml:space="preserve">: </w:t>
      </w:r>
      <w:r>
        <w:rPr>
          <w:rtl w:val="true"/>
        </w:rPr>
        <w:t>البدع العملية</w:t>
      </w:r>
      <w:bookmarkEnd w:id="827"/>
    </w:p>
    <w:p>
      <w:pPr>
        <w:pStyle w:val="Heading5"/>
        <w:numPr>
          <w:ilvl w:val="4"/>
          <w:numId w:val="1"/>
        </w:numPr>
        <w:rPr/>
      </w:pPr>
      <w:bookmarkStart w:id="828" w:name="__RefHeading___Toc6864006_73709187"/>
      <w:bookmarkStart w:id="829" w:name="_Toc310"/>
      <w:bookmarkEnd w:id="828"/>
      <w:r>
        <w:rPr/>
        <w:t>1</w:t>
      </w:r>
      <w:r>
        <w:rPr>
          <w:rtl w:val="true"/>
        </w:rPr>
        <w:t xml:space="preserve">. </w:t>
      </w:r>
      <w:r>
        <w:rPr>
          <w:rtl w:val="true"/>
        </w:rPr>
        <w:t>تجديد مأساة الحسين عليه السلام كل عام</w:t>
      </w:r>
      <w:bookmarkEnd w:id="829"/>
    </w:p>
    <w:p>
      <w:pPr>
        <w:pStyle w:val="BookText"/>
        <w:rPr/>
      </w:pPr>
      <w:r>
        <w:rPr>
          <w:rFonts w:ascii="Amiri" w:hAnsi="Amiri" w:eastAsia="Amiri" w:cs="Amiri"/>
          <w:color w:val="111111"/>
          <w:sz w:val="28"/>
          <w:sz w:val="28"/>
          <w:szCs w:val="28"/>
          <w:rtl w:val="true"/>
          <w:lang w:bidi="ar-SA"/>
        </w:rPr>
        <w:t xml:space="preserve">أشار سماحتكم بعد ذكر البدع النظرية إلى البدع العملية واعتبرتم من ضمنها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تجديد مأساة الحسين عليه السلام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كيف أصبحت التظاهرات المليونية التي تقام لإحياء ذكرى سيدالشهداء وسبط رسول اللّه صلى الله عليه و آله وإظهار ظلامته بدعة تستحق اللوم والذم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اطّلعتم سماحة الشيخ على فلسفة الثورة الحسينية وفكرتم في أبعاد تلك الثورة لقمتم بنفس ما تقوم به الشيعة من إحياء لتلك الواقعة العظيمة، لأنّ التظاهر من أجل مواجهة الظلم ورفض التعدّي على القيم والوقوف أمام الحكومات الجائرة لابد أن يبقى حياً في أوساط الأُمّة الإسلامية، وهذا هو هدف الثورة الحسينية التي ينهل منها الأحرار في العالم مثل حركة حماس والجهاد الإسلامي في فلسطين ضد الصهاينة الغاصبين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يتضح سبب الاهتمام بالثورة الحسينية أكثر من الاهتمام بالمناسبات الأُخرى للأئمة، كشهادة أمير المؤمنين عليه السلام وإن كانت تقام مراسم في تلك المناسبات أيضاً إلّاأنّها لا ترقى في كثرتها زماناً ومكاناً لما يقام بمناسبة الثورة الحسينية، إنّ ثورة الإمام الحسين عليه السلام تمثل رسالة تحريك وبعث لكل الأجيال التي تقع تحت الظلم والاضطهاد لتضخ فيهم دماء الغيرة والدفاع عن الدين كما فعل سيد شباب أهل الجنة في دفاعه عن دين جده المصطفى صلى الله عليه و آله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تهدف مجالس العزاء لتعرية تلك الطغمة الفاسدة التي تصدت لأهل البيت وأذاقتهم ألوان العذاب والاضطهاد</w:t>
      </w:r>
      <w:r>
        <w:rPr>
          <w:rFonts w:eastAsia="Amiri" w:cs="Amiri" w:ascii="Amiri" w:hAnsi="Amiri"/>
          <w:color w:val="111111"/>
          <w:sz w:val="28"/>
          <w:szCs w:val="28"/>
          <w:rtl w:val="true"/>
          <w:lang w:bidi="ar-SA"/>
        </w:rPr>
        <w:t>.</w:t>
      </w:r>
      <w:bookmarkStart w:id="830" w:name="pg16768_165580"/>
    </w:p>
    <w:p>
      <w:pPr>
        <w:pStyle w:val="Heading5"/>
        <w:numPr>
          <w:ilvl w:val="4"/>
          <w:numId w:val="1"/>
        </w:numPr>
        <w:rPr/>
      </w:pPr>
      <w:bookmarkStart w:id="831" w:name="__RefHeading___Toc6864008_73709187"/>
      <w:bookmarkStart w:id="832" w:name="_Toc311"/>
      <w:bookmarkEnd w:id="830"/>
      <w:bookmarkEnd w:id="831"/>
      <w:r>
        <w:rPr/>
        <w:t>2</w:t>
      </w:r>
      <w:r>
        <w:rPr>
          <w:rtl w:val="true"/>
        </w:rPr>
        <w:t xml:space="preserve">. </w:t>
      </w:r>
      <w:r>
        <w:rPr>
          <w:rtl w:val="true"/>
        </w:rPr>
        <w:t>ما يحدث عند مزارات آل البيت من شركيات</w:t>
      </w:r>
      <w:bookmarkEnd w:id="832"/>
    </w:p>
    <w:p>
      <w:pPr>
        <w:pStyle w:val="BookText"/>
        <w:rPr/>
      </w:pPr>
      <w:r>
        <w:rPr>
          <w:rFonts w:ascii="Amiri" w:hAnsi="Amiri" w:eastAsia="Amiri" w:cs="Amiri"/>
          <w:color w:val="111111"/>
          <w:sz w:val="28"/>
          <w:sz w:val="28"/>
          <w:szCs w:val="28"/>
          <w:rtl w:val="true"/>
          <w:lang w:bidi="ar-SA"/>
        </w:rPr>
        <w:t>اتهمتم في بيانكم الشيعة بممارسة الشركيات عند زيارتهم لقبور أهل البيت عليهم السلام؛ لكن الجدير بكم أن تشيروا إلى مصاديق تلك الشركيات ولا تبقوا القضية عائمة، فهل أصل الزيارة شرك‌؟ لا شك أنّ الجواب بالنفي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الدعاء وطلب الشفاعة من النبي الأكرم صلى الله عليه و آله وأهل بيته عليهم السلام شرك‌؟ من المسلم كلا؛ لقد كان من الجدير بسماحتكم الاقتداء بإمام الأحناف الكبير، فقد روى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الإمام أبا حنيفة وقف أمام قبر النبي الشريف وأنشد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أكرم الثقلين يا كنز الورى جد لي بجودك وارضني برضاكا</w:t>
      </w:r>
    </w:p>
    <w:p>
      <w:pPr>
        <w:pStyle w:val="BookText"/>
        <w:rPr/>
      </w:pPr>
      <w:r>
        <w:rPr>
          <w:rFonts w:ascii="Amiri" w:hAnsi="Amiri" w:eastAsia="Amiri" w:cs="Amiri"/>
          <w:color w:val="111111"/>
          <w:sz w:val="28"/>
          <w:sz w:val="28"/>
          <w:szCs w:val="28"/>
          <w:rtl w:val="true"/>
          <w:lang w:bidi="ar-SA"/>
        </w:rPr>
        <w:t>أنا طامع في الجود منك ولم يكن لأبي حنيفة في الأنام سواكا</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وكأنّ أبا حنيفة اقتدى بالصحابي الجليل سواد بن قارب الذي أنشد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 لي شفيعاً يوم لا ذو شفاعة بمغن فتيلاً عن سواد بن قارب</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جاء في بيانك انّ دعاء أهل البيت من دون اللّه يعد من الشركيات؛ عذراً سماحة الشيخ أنّ هذا المنطق هو منطق الوهابية الذين قد يستندوا أحياناً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ينبغي أن يتّضح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هل المقصود مخاطبة غير اللّه‌؟ لا شك أنّه ليس هو المراد، لأنّ لازم ذلك تكفير جميع البشر، لأنّ الإنسان في حياته يخاطب آلاف الناس ويستعين بهم، نعم المقصود من الدعوة هنا عبادة غير اللّه بمعنى الخضوع والخشوع أمام موجود بعنوان كونه خالقاً ومدبراً فيكون معنى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المساجد للّه فلا تعبدوا مع 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حسن الحظ يوجد شاهد على ذلك،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رَبُّكُمُ ادْعُونِي أَسْتَجِبْ لَكُمْ إِنَّ الَّذِينَ يَسْتَكْبِرُونَ عَنْ عِبادَتِي سَيَدْخُلُونَ جَهَنَّمَ داخِرِينَ‌</w:t>
      </w:r>
      <w:r>
        <w:rPr>
          <w:rFonts w:eastAsia="Amiri" w:cs="Amiri" w:ascii="Amiri" w:hAnsi="Amiri"/>
          <w:color w:val="111111"/>
          <w:sz w:val="28"/>
          <w:szCs w:val="28"/>
          <w:rtl w:val="true"/>
          <w:lang w:bidi="ar-SA"/>
        </w:rPr>
        <w:t>)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ففي صدر الآية جاءت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ذيلها جاءت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يحكي أنّ الدعاء الخاص باللّه تعالى هو الدعاء الذي يحمل صبغة العبادة لا أي نوع من أنواع الدعاء والدعوة، وإلّا لما وجد على وجه الأرض موحّد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جناب الدكتور القرضاوي إنّ القرآن الكريم رسم الطريق لتمييز الموحّد من المشرك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بِأَنَّهُ إِذا دُعِيَ اللّهُ وَحْدَهُ كَفَرْتُمْ وَ إِنْ يُشْرَكْ بِهِ تُؤْمِنُوا فَالْحُكْمُ لِلّهِ الْعَلِيِّ الْكَبِيرِ</w:t>
      </w:r>
      <w:r>
        <w:rPr>
          <w:rFonts w:eastAsia="Amiri" w:cs="Amiri" w:ascii="Amiri" w:hAnsi="Amiri"/>
          <w:color w:val="111111"/>
          <w:sz w:val="28"/>
          <w:szCs w:val="28"/>
          <w:rtl w:val="true"/>
          <w:lang w:bidi="ar-SA"/>
        </w:rPr>
        <w:t>)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فهل ياترى أنّ جموع الشيعة وأعداد كبيرة من المصريين الذين يجتمعون عند رأس الإمام الحسين عليه السلام وفي مقام السيدة نفيسة والسيدة زينب عليها السلام ويتوسلون بهم ليقضي المولى سبحانه حوائجهم، هل هؤلاء عندكم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أنّهم انحرفوا عن عبادة اللّه الواحد الأحد؟ أو يزداد إيمانهم باللّه تعالى حينما يتواجدون في تلك الأماكن الشريفة‌؟ أليس هذا هو منطق التكفيريين الذي طالما انتقدتموه واعتبرتموه فكراً متطرفاً؟</w:t>
      </w:r>
    </w:p>
    <w:p>
      <w:pPr>
        <w:pStyle w:val="BookText"/>
        <w:rPr/>
      </w:pPr>
      <w:r>
        <w:rPr>
          <w:rFonts w:ascii="Amiri" w:hAnsi="Amiri" w:eastAsia="Amiri" w:cs="Amiri"/>
          <w:color w:val="111111"/>
          <w:sz w:val="28"/>
          <w:sz w:val="28"/>
          <w:szCs w:val="28"/>
          <w:rtl w:val="true"/>
          <w:lang w:bidi="ar-SA"/>
        </w:rPr>
        <w:t>إلى هنا نمسك عنان القلم عن الجري راجياً من جنابكم الكريم تدارك ما فات ودعوة الجميع للاعتصام بحبل اللّه المتين والحث على وحدة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فالرجاء من سماحتكم، أن ترفعوا لافتة التقريب وتتدّثروا بدثاره في ظل الأُصول التي ألمح إليها رجال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بالإله الواحد وما يستلزمه من الإيمان بالغيب والملائكة والكتب والأنبياء واليوم الآخر وما جاء به النبي الخاتم، في الكتاب والسنة، وما اتّفق عليه المسلمون في الأُصول والفروع، إلى غير ذلك من الأُمور المشتركة بين الأُمّة الإسلامية التي لم يختلف فيها اثنان</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رجاء عشّاق التقريب أن تدخلوا ساحة الحوار بأدب الأُسلوب القرآني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أَوْ إِيّاكُمْ لَعَلى هُدىً أَوْ فِي ضَلالٍ مُبِينٍ‌</w:t>
      </w:r>
      <w:r>
        <w:rPr>
          <w:rFonts w:eastAsia="Amiri" w:cs="Amiri" w:ascii="Amiri" w:hAnsi="Amiri"/>
          <w:color w:val="111111"/>
          <w:sz w:val="28"/>
          <w:szCs w:val="28"/>
          <w:rtl w:val="true"/>
          <w:lang w:bidi="ar-SA"/>
        </w:rPr>
        <w:t>)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وما قرأناه في البيان ينافي كلامكم حول العولمة المنشور في مجلة مجمع الفقه الإسلامي، و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على الأُمّة أن تعرف أنّها مهددة إذا لم تتوحّد ويكون بينها نوع من التآلف والتعاون، ولذلك نحن ندعو أيّها الإخوة إلى مصالحة عامة، تجمع كل قوى الأُمّة في هذه المرحلة، لا داعي للتفرقة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أُناس يريدون أن يفرقوا الأُمة، هم أعداؤنا يريدون ذلك، إمّا أن يفرّقوا بينها إذا كان هناك أقليات غير إسلامية، فيثيرون هذه الأقليات، إذا كان هناك أقليات عرقية، هناك عرب وبربر وعرب وأكراد، إذا كان هناك أقليات مذهبية يكون سنة وشيعة، إذا لم يكن هذا وذاك يبقى يمينيين ويساريين، أو ثوريين ورجعيين، نحن نريد أن نجمّع كل قوى الأُمة وندعو إلى مصالحة حتى بين الحكام والعلماء، وبين الحكّام والجماعات الإسلامية، لا داعي الآن أن نفرّق بين الأُمة، الأُمّة يجب أن تكن صفاً واحداً كالبنيان المرصوص يشد بعضه بعضاً في ساعة الشدائد، لا مجال للاختلاف ولا مجال للمعارك الجانبية، يجب أن يقف الجميع صفاً واحداً</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أقول قولي هذا واستغفر اللّه لي ولكم</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ascii="Amiri" w:hAnsi="Amiri" w:eastAsia="Amiri" w:cs="Amiri"/>
          <w:color w:val="111111"/>
          <w:sz w:val="28"/>
          <w:sz w:val="28"/>
          <w:szCs w:val="28"/>
          <w:rtl w:val="true"/>
          <w:lang w:bidi="ar-SA"/>
        </w:rPr>
        <w:t>اللّهم إنّا نرغب إليك في دولة كريمة تعزّ بها الإسلام وأهله</w:t>
      </w:r>
    </w:p>
    <w:p>
      <w:pPr>
        <w:pStyle w:val="BookText"/>
        <w:rPr/>
      </w:pPr>
      <w:r>
        <w:rPr>
          <w:rFonts w:ascii="IRNazanin" w:hAnsi="IRNazanin" w:eastAsia="IRNazanin"/>
          <w:color w:val="111111"/>
          <w:sz w:val="28"/>
          <w:sz w:val="28"/>
          <w:szCs w:val="28"/>
          <w:rtl w:val="true"/>
          <w:lang w:bidi="fa-IR"/>
        </w:rPr>
        <w:t>وتذلّ بها النفاق وأهله</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833" w:name="pg16768_165583"/>
    </w:p>
    <w:p>
      <w:pPr>
        <w:pStyle w:val="Heading3"/>
        <w:numPr>
          <w:ilvl w:val="2"/>
          <w:numId w:val="1"/>
        </w:numPr>
        <w:rPr/>
      </w:pPr>
      <w:bookmarkStart w:id="834" w:name="__RefHeading___Toc6864010_73709187"/>
      <w:bookmarkStart w:id="835" w:name="_Toc312"/>
      <w:bookmarkEnd w:id="833"/>
      <w:bookmarkEnd w:id="834"/>
      <w:r>
        <w:rPr/>
        <w:t>5</w:t>
      </w:r>
      <w:r>
        <w:rPr>
          <w:rtl w:val="true"/>
        </w:rPr>
        <w:t xml:space="preserve"> </w:t>
      </w:r>
      <w:r>
        <w:rPr>
          <w:rtl w:val="true"/>
        </w:rPr>
        <w:t>رسالة إلى الدكتور عيسى بن مانع الحميري</w:t>
      </w:r>
      <w:bookmarkEnd w:id="835"/>
    </w:p>
    <w:p>
      <w:pPr>
        <w:pStyle w:val="BookText"/>
        <w:rPr/>
      </w:pPr>
      <w:r>
        <w:rPr>
          <w:rFonts w:ascii="Amiri" w:hAnsi="Amiri" w:eastAsia="Amiri" w:cs="Amiri"/>
          <w:color w:val="111111"/>
          <w:sz w:val="28"/>
          <w:sz w:val="28"/>
          <w:szCs w:val="28"/>
          <w:rtl w:val="true"/>
          <w:lang w:bidi="ar-SA"/>
        </w:rPr>
        <w:t>سماحة الدكتور عيسى بن مانع الحميري المحترم</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لقد تسلمنا بيد الشكر والتقدير كتاب العلّامة السخاوي مع تقديم رائع بقلم سماحتكم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اطّلعنا على التقديم وبقيت قراءة الجزء الثاني، فشكر اللّه مساعيكم في نشر مآثر آل البيت والدعوة إلى 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هناك أُموراً أُحب أن أعرضها عليكم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قمنا بترجمة حياة العلّامة السخاوي في موسوعة طبقات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وأوردنا فيها آثاره، وذكرنا في الهامش المصادر الّتي جاء فيها ذكر السخاوي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ذكرتم في الصفحات الأُولى من الجزء الأوّل أشعاراً تتضمن مدح النبي الأكرم صلى الله عليه و آله والخلفاء من بعده وفاطمة الزهراء وغيرهم، ولكن الّذي استوقفني هو أنكم قد أفضتم البيان في ذكر مآثر الخلفاء الثلاثة وأوجزتم فيما يخص الإمام علي</w:t>
      </w:r>
    </w:p>
    <w:p>
      <w:pPr>
        <w:pStyle w:val="BookText"/>
        <w:rPr/>
      </w:pPr>
      <w:r>
        <w:rPr>
          <w:rFonts w:ascii="Amiri" w:hAnsi="Amiri" w:eastAsia="Amiri" w:cs="Amiri"/>
          <w:color w:val="111111"/>
          <w:sz w:val="28"/>
          <w:sz w:val="28"/>
          <w:szCs w:val="28"/>
          <w:rtl w:val="true"/>
          <w:lang w:bidi="ar-SA"/>
        </w:rPr>
        <w:t>بن أبي طالب عليه السلام الّذي هو باب مدينة علم الرسول وأخوه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أشعاركم في ذلك لا تتجاوز الأربعة أبيات، ولذا أحببت مشاركتكم في هذا الميدان، وأبعث إليكم الأبيات التالية لتكون متممة لما كتبتم، وإليكم هذه الأبيات، الّتي نفضّل أن تكون بعد البيتين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ويليه في الفضل المبين مهنّد صنو الرسول وقوسه الختميُّ</w:t>
      </w:r>
    </w:p>
    <w:p>
      <w:pPr>
        <w:pStyle w:val="BookText"/>
        <w:rPr/>
      </w:pPr>
      <w:r>
        <w:rPr>
          <w:rFonts w:ascii="Amiri" w:hAnsi="Amiri" w:eastAsia="Amiri" w:cs="Amiri"/>
          <w:color w:val="111111"/>
          <w:sz w:val="28"/>
          <w:sz w:val="28"/>
          <w:szCs w:val="28"/>
          <w:rtl w:val="true"/>
          <w:lang w:bidi="ar-SA"/>
        </w:rPr>
        <w:t>قد جاء في غرر المواكب رفعة والختم في الأُخرى به حتميّ‌</w:t>
      </w:r>
    </w:p>
    <w:p>
      <w:pPr>
        <w:pStyle w:val="BookText"/>
        <w:rPr/>
      </w:pPr>
      <w:r>
        <w:rPr>
          <w:rFonts w:ascii="Amiri" w:hAnsi="Amiri" w:eastAsia="Amiri" w:cs="Amiri"/>
          <w:color w:val="111111"/>
          <w:sz w:val="28"/>
          <w:sz w:val="28"/>
          <w:szCs w:val="28"/>
          <w:rtl w:val="true"/>
          <w:lang w:bidi="ar-SA"/>
        </w:rPr>
        <w:t>كم موقفٍ نكص الأشاوسُ دونه قد خاضه زينُ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p>
    <w:p>
      <w:pPr>
        <w:pStyle w:val="BookText"/>
        <w:rPr/>
      </w:pPr>
      <w:r>
        <w:rPr>
          <w:rFonts w:ascii="Amiri" w:hAnsi="Amiri" w:eastAsia="Amiri" w:cs="Amiri"/>
          <w:color w:val="111111"/>
          <w:sz w:val="28"/>
          <w:sz w:val="28"/>
          <w:szCs w:val="28"/>
          <w:rtl w:val="true"/>
          <w:lang w:bidi="ar-SA"/>
        </w:rPr>
        <w:t>ومشى إلى الموت الزؤام كأنّه أرْيٌ لديهِ‌، سائغ وشهيُّ</w:t>
      </w:r>
    </w:p>
    <w:p>
      <w:pPr>
        <w:pStyle w:val="BookText"/>
        <w:rPr/>
      </w:pPr>
      <w:r>
        <w:rPr>
          <w:rFonts w:ascii="Amiri" w:hAnsi="Amiri" w:eastAsia="Amiri" w:cs="Amiri"/>
          <w:color w:val="111111"/>
          <w:sz w:val="28"/>
          <w:sz w:val="28"/>
          <w:szCs w:val="28"/>
          <w:rtl w:val="true"/>
          <w:lang w:bidi="ar-SA"/>
        </w:rPr>
        <w:t>فاق الورى علماً، وبذّ أولي النُّهى حُكماً، وإنْ شئت الندى فَسَريُّ</w:t>
      </w:r>
    </w:p>
    <w:p>
      <w:pPr>
        <w:pStyle w:val="BookText"/>
        <w:rPr/>
      </w:pPr>
      <w:r>
        <w:rPr>
          <w:rFonts w:ascii="Amiri" w:hAnsi="Amiri" w:eastAsia="Amiri" w:cs="Amiri"/>
          <w:color w:val="111111"/>
          <w:sz w:val="28"/>
          <w:sz w:val="28"/>
          <w:szCs w:val="28"/>
          <w:rtl w:val="true"/>
          <w:lang w:bidi="ar-SA"/>
        </w:rPr>
        <w:t>آخاه من دون الأنام محمدٌ أمرٌ رواه المسلمون جليُّ</w:t>
      </w:r>
    </w:p>
    <w:p>
      <w:pPr>
        <w:pStyle w:val="BookText"/>
        <w:rPr/>
      </w:pPr>
      <w:r>
        <w:rPr>
          <w:rFonts w:ascii="Amiri" w:hAnsi="Amiri" w:eastAsia="Amiri" w:cs="Amiri"/>
          <w:color w:val="111111"/>
          <w:sz w:val="28"/>
          <w:sz w:val="28"/>
          <w:szCs w:val="28"/>
          <w:rtl w:val="true"/>
          <w:lang w:bidi="ar-SA"/>
        </w:rPr>
        <w:t>وغدا ربيعَ العدل في قيظ الدُّنى يزهو، ويعبق عطره المسكيُّ</w:t>
      </w:r>
    </w:p>
    <w:p>
      <w:pPr>
        <w:pStyle w:val="BookText"/>
        <w:rPr/>
      </w:pPr>
      <w:r>
        <w:rPr>
          <w:rFonts w:ascii="Amiri" w:hAnsi="Amiri" w:eastAsia="Amiri" w:cs="Amiri"/>
          <w:color w:val="111111"/>
          <w:sz w:val="28"/>
          <w:sz w:val="28"/>
          <w:szCs w:val="28"/>
          <w:rtl w:val="true"/>
          <w:lang w:bidi="ar-SA"/>
        </w:rPr>
        <w:t>لا غَرْوَ أن عانى هَواك سَلامةٌ‌</w:t>
      </w:r>
      <w:r>
        <w:rPr>
          <w:rStyle w:val="FootnoteAnchor"/>
          <w:rtl w:val="true"/>
        </w:rPr>
        <w:footnoteReference w:id="849"/>
      </w:r>
      <w:r>
        <w:rPr>
          <w:rFonts w:ascii="Amiri" w:hAnsi="Amiri" w:eastAsia="Amiri" w:cs="Amiri"/>
          <w:color w:val="111111"/>
          <w:sz w:val="28"/>
          <w:sz w:val="28"/>
          <w:szCs w:val="28"/>
          <w:rtl w:val="true"/>
          <w:lang w:bidi="ar-SA"/>
        </w:rPr>
        <w:t>حتّى بدا، وكأنه شيعيُّ</w:t>
      </w:r>
    </w:p>
    <w:p>
      <w:pPr>
        <w:pStyle w:val="BookText"/>
        <w:rPr/>
      </w:pPr>
      <w:r>
        <w:rPr>
          <w:rFonts w:ascii="Amiri" w:hAnsi="Amiri" w:eastAsia="Amiri" w:cs="Amiri"/>
          <w:color w:val="111111"/>
          <w:sz w:val="28"/>
          <w:sz w:val="28"/>
          <w:szCs w:val="28"/>
          <w:rtl w:val="true"/>
          <w:lang w:bidi="ar-SA"/>
        </w:rPr>
        <w:t>فهواك ريحانُ المحبّ ورَوْحُهُ وهواك وحدك حلمُهُ الورديُّ‌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ذكرتم في المطلب الثالث الاختلاف في مفهوم آل البيت عند المفسرين</w:t>
      </w:r>
    </w:p>
    <w:p>
      <w:pPr>
        <w:pStyle w:val="BookText"/>
        <w:rPr/>
      </w:pPr>
      <w:r>
        <w:rPr>
          <w:rFonts w:ascii="Amiri" w:hAnsi="Amiri" w:eastAsia="Amiri" w:cs="Amiri"/>
          <w:color w:val="111111"/>
          <w:sz w:val="28"/>
          <w:sz w:val="28"/>
          <w:szCs w:val="28"/>
          <w:rtl w:val="true"/>
          <w:lang w:bidi="ar-SA"/>
        </w:rPr>
        <w:t>وأن هناك اتجاهات، 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اتجاهاً واحداً، ويعلم ذلك من التدقيق في الآية الكريمة، بالبيان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قَرْنَ فِي بُيُوتِكُنَّ وَ لا تَبَرَّجْنَ تَبَرُّجَ الْجاهِلِيَّةِ الْأُولى وَ أَقِمْنَ الصَّلاةَ وَ آتِينَ الزَّكاةَ وَ أَطِعْنَ اللّهَ وَ رَسُولَهُ‌</w:t>
      </w:r>
      <w:r>
        <w:rPr>
          <w:rFonts w:eastAsia="Amiri" w:cs="Amiri" w:ascii="Amiri" w:hAnsi="Amiri"/>
          <w:color w:val="111111"/>
          <w:sz w:val="28"/>
          <w:szCs w:val="28"/>
          <w:rtl w:val="true"/>
          <w:lang w:bidi="ar-SA"/>
        </w:rPr>
        <w:t>)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ثم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فالفقرة الأُولى من الآية تشير إلى بيوت ولها أهلها وهن أزواج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والفقرة الثانية تشير إلى بيت واحد وله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المقابلة أنّ أهل ذلك البيت غير أهالي البيوت المتبقية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فكيف يحتمل دخول أزواج النبي صلى الله عليه و آله في مفهوم أهل البيت الّذي أشرتم إليه في الاتجاه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اللام في أهل البيت لام عهد تشير إلى بيت معهود فيجب أن نبحث عن هذا البيت المعهود، وليست اللام هي لام الجنس 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تفسر وتحدد هذا البيت كما هو واضح لمن تدبر الروايات الواردة حول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من سمّى متابعي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بالشيعة هو النبي الأكرم صلى الله عليه و آله وقد ورد في ذلك قرابة أربعين حديثاً عن النبي صلى الله عليه و آله نقل بعضها الحافظ السيوطي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w:t>
      </w:r>
      <w:r>
        <w:rPr>
          <w:rStyle w:val="FootnoteAnchor"/>
          <w:rtl w:val="true"/>
        </w:rPr>
        <w:footnoteReference w:id="85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أفضتم الكلام حول الرفض والروافض وذكرتم أنّ وجه تسمية الشيعة بالروافض هو أنّهم طلبوا من زيد بن علي أن يتبرأ من الشيخين أبي بكر وعمر</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رداً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كانا وزيري جدّي، وحكما فعدلا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فتركوه ورفضوه، وارفَضُّوا عنه، فسميت الرافضة والنسبة رافضي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الرواية غير صحيحة، كما أنّ ما ذكرتم أنّ الروافض كل جُندٍ تركوا قائدهم، مثل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الرفض مصطلح سياسي لا يختص بمن رفض الشيخين، أو تركوا قائدهم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مصطلح الرافضة كان قد استُعمل قبل أن يولد زيد بن علي ومن بايعه من أهل الكوفة، وهو يطلق على كل جماعة لم تقبل الحكومة القائمة، سواء أكانت حقاً أو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معاوية بن أبي سفيان يصف شيعة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لم يخضعوا لحكومة علي بن أبي طالب عليه السلام وسلطته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بالرافضة ويكتب في كتابه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البيع في فلسطين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من أمر علي وطلحة والزبير ما قد بلغك، وقد سقط إلينا مروان بن الحكم في رافضة أهل البصرة وقدم علينا جرير بن عبداللّه في بيعة علي وقد حبست نفسي عليك حتّى تأتيني، أقبل أُذاكرك أمراً</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وأنت ترى أنّ معاوية يصف من جاء مع مروان بن الحكم بالرافضة وهؤلاء كانوا أعداء علي ومخالفيه، وما هذا إلّالأنّ هؤلاء الجماعة كانوا غير خاضعين للحكومة القائمة آنذاك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ذكرتم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بأنّ غلاة الشيعة يعترضون على أغلب صحابة رسول اللّه صلى الله عليه و آله وينكرون جهودهم، وأنّ الناس ارتدوا غير أربعة أو غير ستة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وزان رواية ارتداد الصحابة نظير ما رواه البخاري عن أبي هريرة، الّذي كان يحدّث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عليّ يوم القيامة رهط من أصحابي فيحلّؤون عن الحوض،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أصحابي،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علم لك بما أحدثوا</w:t>
      </w:r>
    </w:p>
    <w:p>
      <w:pPr>
        <w:pStyle w:val="BookText"/>
        <w:rPr/>
      </w:pPr>
      <w:r>
        <w:rPr>
          <w:rFonts w:ascii="Amiri" w:hAnsi="Amiri" w:eastAsia="Amiri" w:cs="Amiri"/>
          <w:color w:val="111111"/>
          <w:sz w:val="28"/>
          <w:sz w:val="28"/>
          <w:szCs w:val="28"/>
          <w:rtl w:val="true"/>
          <w:lang w:bidi="ar-SA"/>
        </w:rPr>
        <w:t>بعدك، إنّهم ارتدوا على أدبارهم القهقرى</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وهناك تسع روايات أُخرى تحمل هذا المعنى، والفريقان أمام هذه الروايات شرع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البحث في هذا الموضوع غير مفيد في ظروفنا الحاليّة الّتي تحالف فيها الكفر على ضرب الإسلام والنيل من المسلمين بدون تمييز بينهم، فلا نطيل البحث، والحرّ تكفيه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 اللّه مساعيك إذ أديت حق البحث في آل البيت وفي الدفاع عن الشيعة خصوصاً في مسألة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الأَولى ترك البحث في فرق الشيعة والخوارج، والتركيز بدلاً عن ذلك على الهدف الّذي كنت ترومه من نشر كتاب العلّامة السخاوي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جعلنا اللّه وإياكم ممن تناله شفاعة محمد وآله الطاهرين</w:t>
      </w:r>
    </w:p>
    <w:p>
      <w:pPr>
        <w:pStyle w:val="BookText"/>
        <w:rPr/>
      </w:pPr>
      <w:r>
        <w:rPr>
          <w:rFonts w:ascii="Amiri" w:hAnsi="Amiri" w:eastAsia="Amiri" w:cs="Amiri"/>
          <w:color w:val="111111"/>
          <w:sz w:val="28"/>
          <w:sz w:val="28"/>
          <w:szCs w:val="28"/>
          <w:rtl w:val="true"/>
          <w:lang w:bidi="ar-SA"/>
        </w:rPr>
        <w:t>والسلام عليكم وعلى من حولكم من الأعزاء</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836" w:name="pg16768_165588"/>
    </w:p>
    <w:p>
      <w:pPr>
        <w:pStyle w:val="Heading3"/>
        <w:numPr>
          <w:ilvl w:val="2"/>
          <w:numId w:val="1"/>
        </w:numPr>
        <w:rPr/>
      </w:pPr>
      <w:bookmarkStart w:id="837" w:name="__RefHeading___Toc6864012_73709187"/>
      <w:bookmarkStart w:id="838" w:name="_Toc313"/>
      <w:bookmarkEnd w:id="836"/>
      <w:bookmarkEnd w:id="837"/>
      <w:r>
        <w:rPr/>
        <w:t>6</w:t>
      </w:r>
      <w:r>
        <w:rPr>
          <w:rtl w:val="true"/>
        </w:rPr>
        <w:t xml:space="preserve"> </w:t>
      </w:r>
      <w:r>
        <w:rPr>
          <w:rtl w:val="true"/>
        </w:rPr>
        <w:t>رسالة إلى الدكتور عبدالرحمن الصالح المحمود</w:t>
      </w:r>
      <w:bookmarkEnd w:id="838"/>
    </w:p>
    <w:p>
      <w:pPr>
        <w:pStyle w:val="BookText"/>
        <w:rPr/>
      </w:pPr>
      <w:r>
        <w:rPr>
          <w:rFonts w:ascii="Amiri" w:hAnsi="Amiri" w:eastAsia="Amiri" w:cs="Amiri"/>
          <w:color w:val="111111"/>
          <w:sz w:val="28"/>
          <w:sz w:val="28"/>
          <w:szCs w:val="28"/>
          <w:rtl w:val="true"/>
          <w:lang w:bidi="ar-SA"/>
        </w:rPr>
        <w:t>والرد على اتهامه الشيعة في مسألة الإسناد وعلم الرجال</w:t>
      </w:r>
    </w:p>
    <w:p>
      <w:pPr>
        <w:pStyle w:val="BookText"/>
        <w:rPr/>
      </w:pPr>
      <w:r>
        <w:rPr>
          <w:rFonts w:ascii="Amiri" w:hAnsi="Amiri" w:eastAsia="Amiri" w:cs="Amiri"/>
          <w:color w:val="111111"/>
          <w:sz w:val="28"/>
          <w:sz w:val="28"/>
          <w:szCs w:val="28"/>
          <w:rtl w:val="true"/>
          <w:lang w:bidi="ar-SA"/>
        </w:rPr>
        <w:t>الدكتور عبدالرحمن الصالح المحمود المحترم</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أسأل اللّه سبحانه أن يجعلنا وإيّاكم من أعوان الحق وأنصار الصدق، وأتباع الإنصاف في كل ما نحكم وننقض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تقديمكم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التلقّي وأُصول الاستدلال العقلية عند الإمامية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إيمان صالح العلواني، وممّا جاء في 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يفوتني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المقدمة المختصرة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أنبّه إلى مسألتين مهمتين تعرضت لهما الباحثة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جيّد وإن كنت أتمنى إفراد كل واحدة منهما بدراسة مفصلة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الإسناد وعلم الرجال عند الرافضة، وفضح منهجهم في ذلك، وأنّهم اخترعوا الإسناد في القرن الرابع أو الخامس لما رأوا أئمة الحديث من أهل السنّة عنوا بذلك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فحبذا لو تقوم دراسة حديثية مفصّلة في ذلك</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كلامكم هذا ملاحظات نقدمها إليكم عسى أن تتدبّروا فيها، لعل اللّه</w:t>
      </w:r>
    </w:p>
    <w:p>
      <w:pPr>
        <w:pStyle w:val="BookText"/>
        <w:rPr/>
      </w:pPr>
      <w:r>
        <w:rPr>
          <w:rFonts w:ascii="Amiri" w:hAnsi="Amiri" w:eastAsia="Amiri" w:cs="Amiri"/>
          <w:color w:val="111111"/>
          <w:sz w:val="28"/>
          <w:sz w:val="28"/>
          <w:szCs w:val="28"/>
          <w:rtl w:val="true"/>
          <w:lang w:bidi="ar-SA"/>
        </w:rPr>
        <w:t>يبصّركم بالحقيقة، أو يحدث بعد ذلك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أربأ بالدكتور أن يقتدي بالمتعصّبين في القرون الخالية، فيطلق على الشيعة الإمامية مصطلح الرافضة، ومن الغريب أن تختار الأُستاذة العلواني لكتابها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التلقي وأُصول الاستدلال العقلية عند الإمامية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يأبى الدكتور إلّاأن يلقّبهم بالرافضة، وينسى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تَنابَزُوا بِالْأَلْقابِ‌</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الخاضبة محدّث بغداد قد أنصف في كلامه حينما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اللّه خصّ هذه الأُمّة بثلاثة أشياء لم يؤتها مَنْ قبلها من الأُمم؛ الإسناد والأنساب والإعراب</w:t>
      </w:r>
      <w:r>
        <w:rPr>
          <w:rFonts w:eastAsia="Amiri" w:cs="Amiri" w:ascii="Amiri" w:hAnsi="Amiri"/>
          <w:color w:val="111111"/>
          <w:sz w:val="28"/>
          <w:szCs w:val="28"/>
          <w:rtl w:val="true"/>
          <w:lang w:bidi="ar-SA"/>
        </w:rPr>
        <w:t>.</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ما أمتن هذا الكلام وما أنصفه، حيث جعل الفضائل الثلاث من شؤون الأُمّة الإسلامية ومن غير تمييز بين فريق وفريق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والشيعة الإمامية جزء من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ابن تيمية من بعده، فخالف ما ذكره ابن الخاضبة،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الاسناد من خصائص هذه الأُمّة، وهو من خصائص الإسلام ثم هو في الإسلام من خصائص أهل السنة، والرافضة من أقل الناس عناية به</w:t>
      </w:r>
      <w:r>
        <w:rPr>
          <w:rFonts w:eastAsia="Amiri" w:cs="Amiri" w:ascii="Amiri" w:hAnsi="Amiri"/>
          <w:color w:val="111111"/>
          <w:sz w:val="28"/>
          <w:szCs w:val="28"/>
          <w:rtl w:val="true"/>
          <w:lang w:bidi="ar-SA"/>
        </w:rPr>
        <w:t>.</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وأنت ترى أنّه لم ينفِ الإسناد عن الشيعة الإمامية، وإن ادّعى قلّة عنايتهم به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وصل الأمر إلى المرعشلي من المعاصرين تجاوز الحد أكثر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هذه المزية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للأُمّة الإسلامية، بل اختصّ بها أهل السنّة</w:t>
      </w:r>
    </w:p>
    <w:p>
      <w:pPr>
        <w:pStyle w:val="BookText"/>
        <w:rPr/>
      </w:pPr>
      <w:r>
        <w:rPr>
          <w:rFonts w:ascii="Amiri" w:hAnsi="Amiri" w:eastAsia="Amiri" w:cs="Amiri"/>
          <w:color w:val="111111"/>
          <w:sz w:val="28"/>
          <w:sz w:val="28"/>
          <w:szCs w:val="28"/>
          <w:rtl w:val="true"/>
          <w:lang w:bidi="ar-SA"/>
        </w:rPr>
        <w:t>والجماعة، دون الرافضة وغيرهم من طوائف البدع</w:t>
      </w:r>
      <w:r>
        <w:rPr>
          <w:rFonts w:eastAsia="Amiri" w:cs="Amiri" w:ascii="Amiri" w:hAnsi="Amiri"/>
          <w:color w:val="111111"/>
          <w:sz w:val="28"/>
          <w:szCs w:val="28"/>
          <w:rtl w:val="true"/>
          <w:lang w:bidi="ar-SA"/>
        </w:rPr>
        <w:t>.</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ثم أتى دوركم يا دكتور، فزدتم في الطين بلةً‌، وتجاوزتم أكثر، بوصفكم أُمّةً كبيرة من المسلمين بالكذب والجعل، فقلتم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اخترعوا الإسناد في القرن الرابع أو الخامس لمّا رأوا أئمة الحديث من أهل السنة عنوا بذلك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والإمعان في سير هذه الفكرة الّتي بدأت من عصر ابن تيمية، يثبت بأنّ باذر هذه الفكرة هو ابن تيمية المعروف بنزعته الخاصة في مقابل أئمة أهل البيت عليهم السلام أوّلاً، ولشيعتهم ثانياً، وهو الّذي قال فيه الحافظ الكبير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طالعت رد ابن تيمية على الحلّي فوجدته كثير التحامل في ردّ الأحاديث الّتي يوردها ابن المطهر الحلّي، 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من الأحاديث الجياد</w:t>
      </w:r>
      <w:r>
        <w:rPr>
          <w:rFonts w:eastAsia="Amiri" w:cs="Amiri" w:ascii="Amiri" w:hAnsi="Amiri"/>
          <w:color w:val="111111"/>
          <w:sz w:val="28"/>
          <w:szCs w:val="28"/>
          <w:rtl w:val="true"/>
          <w:lang w:bidi="ar-SA"/>
        </w:rPr>
        <w:t>.</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ومع ذلك كلّه فالشيخ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أكثر إنصافاً ممّن تبعه من تلاميذ منهجه أعني المرعشلي ثم جنابكم المحترم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ينفِ عن الشيعة الإسناد بنحو مطلق، بل جعلهم قليلي العناية به، لكنّكما نفيتماه، ثم اتّهمتهم أنت بالوضع</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الأمر مجرد ادّعاء، فبإمكان غيركم أن يدّعي أيضاً، أنّ أهل السنّة اخترعوا الأسانيد في القرن الثاني، وهو أقرب إلى القبول من دعواكم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الرافضة اخترعوا الإسناد في القرن الرابع أو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من الثابت أنّ أتباع مدرسة الخلفاء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لرأي الخليفة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يقلّون من رواية الحديث، بل ألزموا أنفسهم بعدم تدوينه نحو قرن من الزمان، حتى قال ابن شهاب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نكره كتابة العلم، حتى أكرهنا عليه هؤلاء الأمراء، فرأينا ألا نمنعه أحداً من المسلمين</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ولا يحسبنّ أحد أن الأجواء بدأت تنفتح أمام التدوين بسهولة بعد إكراه الأمراء عليه، بل ظلت الآثار السلبية للمنع قائمة بعد ذلك وهذا ما يتبيّن في كلام الأوزاعي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العلم شيئاً شريفاً إذ كان من أفواه الرجال يتلقّونه ويتذاكرونه، فلمّا صار في الكتب ذهب نوره، وصار إليه في غير أهله</w:t>
      </w:r>
      <w:r>
        <w:rPr>
          <w:rFonts w:eastAsia="Amiri" w:cs="Amiri" w:ascii="Amiri" w:hAnsi="Amiri"/>
          <w:color w:val="111111"/>
          <w:sz w:val="28"/>
          <w:szCs w:val="28"/>
          <w:rtl w:val="true"/>
          <w:lang w:bidi="ar-SA"/>
        </w:rPr>
        <w:t>.</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وعلى ذلك فإن الفترة الزمنية بين عصر الصحابة، وبين عصر المدونات الحديثية كانت طويلة جداً، إذ أُلفت الكتب الستة المعتمدة عند السنة في القرن الثالث، وأوّلها صحيح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الأمر كذلك، فإنّه يمكن لمعارضيكم أن يدّعوا أنّ مؤلفي السنة في القرن الثاني وبعدهم أصحاب الكتب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ولبُعدهم عن عصر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اخترعوا الأسانيد، هكذا بدون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فعلت أيّها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 مراعاة لحرمتهم، وأدائهم للأمانة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تقبل أيّها الدكتور هذه النتيجة، فتصبح كلّ أحاديث المسلمين في مهبّ الريح‌؟ كما يُريد القرآنيون، وأعداء الحديث الشريف، قديماً واليوم‌؟</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جلّ روايات الشيعة، هي عن أئمتهم الطاهرين عليهم السلام المتّفق على جلالتهم ومنزلتهم العلمية والدينية بين المسلمين، وقد استمر بثّهم للحديث منذ الصدر الأوّل 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سنة وفاة الإمام الحسن بن علي العسكري عليه السلام، وكانت أسانيد رواياتهم تنتهي إلى جدّهم الرسول الأكرم صلى الله عليه و آله، وقد روي عن جعفر الصادق عليه السلام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حديثي حديث أبي، وحديث أبي حديث جدي، وحديث جدي حديث الحسين، وحديث الحسين حديث الحسن، وحديث الحسن حديث أمير المؤمنين، وحديث أمير المؤمنين حديث</w:t>
      </w:r>
    </w:p>
    <w:p>
      <w:pPr>
        <w:pStyle w:val="BookText"/>
        <w:rPr/>
      </w:pPr>
      <w:r>
        <w:rPr>
          <w:rFonts w:ascii="Amiri" w:hAnsi="Amiri" w:eastAsia="Amiri" w:cs="Amiri"/>
          <w:color w:val="111111"/>
          <w:sz w:val="28"/>
          <w:sz w:val="28"/>
          <w:szCs w:val="28"/>
          <w:rtl w:val="true"/>
          <w:lang w:bidi="ar-SA"/>
        </w:rPr>
        <w:t>رسول اللّه، وحديث رسول اللّه قول اللّه عز وجل</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ويؤكد ذلك الحادثةُ التاريخيةُ الشهيرةُ الّتي حصلت للإمام علي بن موسى الرضا عليه السلام، حين جعله المأمون العباسي ولياً للعهد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ذلك أنّه عليه السلام لمّا وافى نيسابور في طريقه إلى مرو، ازدحم عليه أصحاب الحديث، وطلبوا منه أن يُملي عليهم حديثاً، فأملى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هودجه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الذي رواه عن أبيه عن آبائه عن علي عن رسول اللّه صلى الله عليه و آله عن جبرئيل عن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لا إله إلّا اللّه حصني، فمن دخل حصني أمن من عذابي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على رأس محدّثي السنّة الذين خرجوا للقائه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يحيى النيسابوري، وإسحاق بن راهويه، ومحمد بن رافع القشيري، وغيرهم</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قال أبو نعيم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روى حديث الرضا عليه السلام الموسوم بحديث سلسلة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ثابت مشهور بهذا الإسناد من رواية الطاهرين عن آبائهم الطيبين، وكان بعض سلفنا المحدثين إذا روى 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قرئ هذا الإسناد على مجنون لأفاق</w:t>
      </w:r>
      <w:r>
        <w:rPr>
          <w:rFonts w:eastAsia="Amiri" w:cs="Amiri" w:ascii="Amiri" w:hAnsi="Amiri"/>
          <w:color w:val="111111"/>
          <w:sz w:val="28"/>
          <w:szCs w:val="28"/>
          <w:rtl w:val="true"/>
          <w:lang w:bidi="ar-SA"/>
        </w:rPr>
        <w:t>.</w:t>
      </w:r>
      <w:r>
        <w:rPr>
          <w:rStyle w:val="FootnoteAnchor"/>
          <w:rtl w:val="true"/>
        </w:rPr>
        <w:footnoteReference w:id="864"/>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ضوء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أسانيد روايات الشيعة أقصر من أسانيد روايات السنة لاتّصالها بالأئمة عليهم السلام، وذلك إذا اعتبرنا طريق كل إمام الّذي ينتهي إلى النبي صلى الله عليه و آله لكونه أنزه الطرق، وقد مر عليك تعليق أبي نعيم على ذلك، وهذا يعني أنّ درجة السلامة والصحّة والدقة في أسانيدهم أكثر من غيرهم، حتى وإن أخذنا بأوّل الكتب الحديثية المؤلفة عندهم من حيث السعة، أعني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وغضضنا الطرف عما أُلّف من الكتب المتضمّنة للأسانيد في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والثاني، والثالث، والأخير هو القرن الّذي أُلِّفت فيه الكتب الستة عند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تتهمون الشيعة الإمامية وفيهم فحول المحدّثين والمفسّرين والخبراء في علم الشريعة بوضع الإسناد في القرن الرابع أو الخامس، مع أنّ بين ايدينا كتباً حديثية أُلِّفت في القرن الأوّل والثاني والثالث، والأحاديث فيها متصلة مرفوعة حتى تبلغ إلى الرسول الأكرم صلى الله عليه و آله أو إلى وصيه الإمام علي عليه السلام أو إلى أولاده الطاهرين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حسن الحظ أنّ النسخ الخطية من هذه الكتب متوفرة الآن، فضلاً عن المطبوع، وإليك بعضها</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الحبَري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الحكم بن مسلم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للمحدّث الجليل الثقة أبي جعفر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في جزأين ضخمين، وهو يشتمل على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في الفقه والأخلاق والمعيشة وغيرها، والكل مروي بالأسانيد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القميين ووجههم الثقة الثبت الجليل أبي جعفر أحمد بن محمد بن عيسى الأشعري من أصحاب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المؤلّف رئيس المحدّثين في قم المقدسة، وكتابه مطبوع منتشر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الاستنفار والغارات تأليف أبي إسحاق إبراهيم بن محمد ابن سعيد بن هلال بن عاصم بن سعد بن مسعود الثقفي الكوفي الرقّي، من أكابر علماء القرن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 بالكوفة وانتقل إلى أصفهان لنشر كتابه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بها سنة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86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بن الحسن الصفار، من أصحاب الإمام</w:t>
      </w:r>
    </w:p>
    <w:p>
      <w:pPr>
        <w:pStyle w:val="BookText"/>
        <w:rPr/>
      </w:pPr>
      <w:r>
        <w:rPr>
          <w:rFonts w:ascii="Amiri" w:hAnsi="Amiri" w:eastAsia="Amiri" w:cs="Amiri"/>
          <w:color w:val="111111"/>
          <w:sz w:val="28"/>
          <w:sz w:val="28"/>
          <w:szCs w:val="28"/>
          <w:rtl w:val="true"/>
          <w:lang w:bidi="ar-SA"/>
        </w:rPr>
        <w:t xml:space="preserve">الحسن العسكري عليه السلام الّذي توفّي عام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مليء بالأسانيد يرويه كابر عن كابر، وقد توفّي المؤلف عام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والكتاب مطبوع منتشر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الشيخ الجليل أبي العباس عبداللّه بن جعفر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أصحاب الإمام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النجاشي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أبوالعباس القمي شيخ القميين ووجههم قدم الكوفة سنة نيّف وتسعين ومائتين، ثقة من أصحاب أبي محمد العسكري عليه السلام</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مطبوع منتشر، ومن طبعاته طبعة مؤسسة آل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سمّي بقرب الاسناد لقلّة الوسائط بينه وبين الإمام عليه السلام المروي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أبي الحسن علي بن إبراهيم بن هاشم الكوفي الأصل،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أعلام المحدّثين في النصف الثاني من القرن الثالث، وبقي إلى أوائل القرن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 النديم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الفقهاء، وله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المناقب، كتاب اختيار القرآن، كتاب قرب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طبع تفسيره المذكور في جزأين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الأشعثيات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علي محمد بن محمد بن الأشعث الكوفي، نزيل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رجال الشيعة 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والكتاب يتضمّن ألف حديث بإسناد واحد، يرويها عن موسى بن إسماعيل ابن موسى بن جعفر عن أبيه إسماعيل عن أبيه موسى بن جعفر عليهما السلام، وتلك الأحاديث مرتبة على كتب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الصلاة، الزكاة، الصوم، الحج، الجنائز، الطلاق، النكاح، الحدود، الدعاء، السنن والآداب</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طبع باسم الأشعثيات منضماً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لعبداللّه بن جعفر الحميري، وهو من إصدار مكتبة نينوى الحديثة بطهران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أُلف في القرن الثاني والثالث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أسانيد الكتب الحديثية عند الشيعة تناهز الآلاف فهل يمكن الحكم بكون هذه الأسانيد موضوعة ومفتعلة مع طول تباعد عصورهم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لشخص أو لجماعة اختراع سند أو أسانيد محددة في موضع خاص أو عدة مواضع، وأمّا ادعاؤكم وضع هذه الآلاف من الأسانيد لهذه الجوامع الكبيرة فهذا أمر محال عادة، ولا يقول به من له أدنى اطلاع على تاريخ الحديث والمحدّثين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أصحاب المدوّنات الحديثية لم يكونوا من المغمورين، البعيدين عن علماء عصرهم من الفرق والمذاهب الإسلامية المختلفة، حتى يتسنّى لهم الاعتكاف في الغرف المظلمة ليخترعوا هذه الأسانيد الجمّة، بل كانوا من الشهرة بمكان، ومن الورع والتقوى بالمنزلة الرفيعة، فهذا الإمام أبو جعفر محمد بن يعقوب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قدم بغداد عام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قد روى وقرأ وأملى كتابه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عاصمة الدولة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ومعقل أعلام الأُمّة من الفرق كافة، على مرأى المحدّثين ومسمعهم، فلم يقلْ أحدٌ من سلفكم فيه مثل ما تقولون، بل لم ينبز بسوءٍ من المؤرخين أو المترجمين له، ثم قصد دمشق وبعلبك فحدث هناك، يقول الحافظ أبو القاسم المعروف بابن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من شيوخ الرافضة قدم دمشق وحدّث ببعلبك عن أبي الحسين محمد بن علي الجعفري السمرقندي ومحمد بن أحمد الخفّاف النيسابوري وعلي بن إبراهيم بن هاشم</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سعد الكوفي شيخ المرتضى أبي القاسم علي بن الحسين بن موسى الموسوي وأبو القاسم علي بن محمد بن عبدوس الكوفي وعبداللّه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جعفر، أنبأنا جعفر بن أحمد ابن حسين بن السرّاج، أنبأنا أبو القاسم المحسن حمزة الورّاق بتنيس، أنبأنا أبو</w:t>
      </w:r>
    </w:p>
    <w:p>
      <w:pPr>
        <w:pStyle w:val="BookText"/>
        <w:rPr/>
      </w:pPr>
      <w:r>
        <w:rPr>
          <w:rFonts w:ascii="Amiri" w:hAnsi="Amiri" w:eastAsia="Amiri" w:cs="Amiri"/>
          <w:color w:val="111111"/>
          <w:sz w:val="28"/>
          <w:sz w:val="28"/>
          <w:szCs w:val="28"/>
          <w:rtl w:val="true"/>
          <w:lang w:bidi="ar-SA"/>
        </w:rPr>
        <w:t xml:space="preserve">علي الحسن بن علي بن جعفر الديبلي في المحرّم بتنيس سنة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أنبأنا أبو القاسم علي بن محمد بن عبدوس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يعقوب الكليني، عن علي بن إبراهيم بن هاشم، عن موسى بن إبراهيم المحاربي، عن الحسن بن موسى، عن موسى بن عبداللّه، عن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إعجاب المرء بنفسه دليل على ضعف 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ما نقله ابن عساكر</w:t>
      </w:r>
      <w:r>
        <w:rPr>
          <w:rFonts w:eastAsia="Amiri" w:cs="Amiri" w:ascii="Amiri" w:hAnsi="Amiri"/>
          <w:color w:val="111111"/>
          <w:sz w:val="28"/>
          <w:szCs w:val="28"/>
          <w:rtl w:val="true"/>
          <w:lang w:bidi="ar-SA"/>
        </w:rPr>
        <w:t>.</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وبطبيعة الحال أنّه حدّث في غير واحد من مجالس الحديث عن كتابه ولم يخطُر ببال أحد أنّه اخترع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نطالبكم بما يشير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النسبة الباطلة الّتي نسبتموها إلى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كُونُوا قَوّامِينَ لِلّهِ شُهَداءَ بِالْقِسْطِ وَ لا يَجْرِمَنَّكُمْ شَنَآنُ قَوْمٍ عَلى أَلاّ تَعْدِلُوا اعْدِلُوا هُوَ أَقْرَبُ لِلتَّقْوى‌</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الآخر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839" w:name="pg16768_165597"/>
    </w:p>
    <w:p>
      <w:pPr>
        <w:pStyle w:val="Heading3"/>
        <w:numPr>
          <w:ilvl w:val="2"/>
          <w:numId w:val="1"/>
        </w:numPr>
        <w:rPr/>
      </w:pPr>
      <w:bookmarkStart w:id="840" w:name="__RefHeading___Toc6864014_73709187"/>
      <w:bookmarkStart w:id="841" w:name="_Toc314"/>
      <w:bookmarkEnd w:id="839"/>
      <w:bookmarkEnd w:id="840"/>
      <w:r>
        <w:rPr/>
        <w:t>7</w:t>
      </w:r>
      <w:r>
        <w:rPr>
          <w:rtl w:val="true"/>
        </w:rPr>
        <w:t xml:space="preserve"> </w:t>
      </w:r>
      <w:r>
        <w:rPr>
          <w:rtl w:val="true"/>
        </w:rPr>
        <w:t>الاحتفال بالمولد النبويّ الشريف</w:t>
      </w:r>
      <w:bookmarkEnd w:id="841"/>
    </w:p>
    <w:p>
      <w:pPr>
        <w:pStyle w:val="Heading4"/>
        <w:numPr>
          <w:ilvl w:val="3"/>
          <w:numId w:val="1"/>
        </w:numPr>
        <w:rPr/>
      </w:pPr>
      <w:bookmarkStart w:id="842" w:name="__RefHeading___Toc6864016_73709187"/>
      <w:bookmarkStart w:id="843" w:name="_Toc315"/>
      <w:bookmarkEnd w:id="842"/>
      <w:r>
        <w:rPr>
          <w:rtl w:val="true"/>
        </w:rPr>
        <w:t>اشارة</w:t>
      </w:r>
      <w:bookmarkEnd w:id="843"/>
    </w:p>
    <w:p>
      <w:pPr>
        <w:pStyle w:val="BookText"/>
        <w:rPr/>
      </w:pPr>
      <w:r>
        <w:rPr>
          <w:rFonts w:ascii="Amiri" w:hAnsi="Amiri" w:eastAsia="Amiri" w:cs="Amiri"/>
          <w:color w:val="111111"/>
          <w:sz w:val="28"/>
          <w:sz w:val="28"/>
          <w:szCs w:val="28"/>
          <w:rtl w:val="true"/>
          <w:lang w:bidi="ar-SA"/>
        </w:rPr>
        <w:t>على ضوء الكتاب والسنّة</w:t>
      </w:r>
    </w:p>
    <w:p>
      <w:pPr>
        <w:pStyle w:val="BookText"/>
        <w:rPr/>
      </w:pPr>
      <w:r>
        <w:rPr>
          <w:rFonts w:ascii="Amiri" w:hAnsi="Amiri" w:eastAsia="Amiri" w:cs="Amiri"/>
          <w:color w:val="111111"/>
          <w:sz w:val="28"/>
          <w:sz w:val="28"/>
          <w:szCs w:val="28"/>
          <w:rtl w:val="true"/>
          <w:lang w:bidi="ar-SA"/>
        </w:rPr>
        <w:t>لم يزل المسلمون منذ أقدم العصور الماضية يحتفلون بمولد النبي صلى الله عليه و آله بإلقاء الخطب والقصائد في مدحه وذكر مناقبه في الكتاب والسنّة تجسيداً لحبّهم له صلى الله عليه و آله الّذي أمر اللّه ورسوله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الدياربكري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أهل الإسلام يحتفلون بشهر مولده، ويعملون الولائم، ويتصدّقون في لياليه بأنواع الصدقات، ويظهرون السرور، ويزيدون في المبرّات، ويعتنون بقراءة مولده الشريف، ويظهر عليهم من كراماته فضل عظيم</w:t>
      </w:r>
      <w:r>
        <w:rPr>
          <w:rFonts w:eastAsia="Amiri" w:cs="Amiri" w:ascii="Amiri" w:hAnsi="Amiri"/>
          <w:color w:val="111111"/>
          <w:sz w:val="28"/>
          <w:szCs w:val="28"/>
          <w:rtl w:val="true"/>
          <w:lang w:bidi="ar-SA"/>
        </w:rPr>
        <w:t>.</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ويقول القسطلاني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ولازال أهل الإسلام يحتفلون بشهر مولده،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امرءاً اتّخذ ليالي شهر مولده المبارك أعياداً، ليكون أشد علّة على من في قلبه مرض، وأعياه داء</w:t>
      </w:r>
      <w:r>
        <w:rPr>
          <w:rFonts w:eastAsia="Amiri" w:cs="Amiri" w:ascii="Amiri" w:hAnsi="Amiri"/>
          <w:color w:val="111111"/>
          <w:sz w:val="28"/>
          <w:szCs w:val="28"/>
          <w:rtl w:val="true"/>
          <w:lang w:bidi="ar-SA"/>
        </w:rPr>
        <w:t>.</w:t>
      </w:r>
      <w:r>
        <w:rPr>
          <w:rStyle w:val="FootnoteAnchor"/>
          <w:rtl w:val="true"/>
        </w:rPr>
        <w:footnoteReference w:id="871"/>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كلّاً من العلمين ينسب الاحتفال بمولد النبي صلى الله عليه و آله إلى أهل الإسلام، وكُلٌّ منهما ينصّ على أنّهم لم يزالوا يحتفلون بشهر مولده، فهذا إن دلّ على شيء فإنّما</w:t>
      </w:r>
    </w:p>
    <w:p>
      <w:pPr>
        <w:pStyle w:val="BookText"/>
        <w:rPr/>
      </w:pPr>
      <w:r>
        <w:rPr>
          <w:rFonts w:ascii="Amiri" w:hAnsi="Amiri" w:eastAsia="Amiri" w:cs="Amiri"/>
          <w:color w:val="111111"/>
          <w:sz w:val="28"/>
          <w:sz w:val="28"/>
          <w:szCs w:val="28"/>
          <w:rtl w:val="true"/>
          <w:lang w:bidi="ar-SA"/>
        </w:rPr>
        <w:t xml:space="preserve">يدلّ على أنّ الاحتفال بمولده صلى الله عليه و آله له جذور في تاريخ الإسلام والمسلمين، دون أن يرجع أصله إلى عصر المماليك الذين حكموا مصر ما بين عام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حتّى انقرضوا على يد العثمانيّين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 الاحتفال حدث في زمن المماليك في القرون المتأخّرة، تخرّص بلا دليل، بل كان عمل المسلمين في هذا العصر استمراراً لما كان عليه المسلمون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افترضنا أنّ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عصر المماليك إلى 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احتفلوا بمولد النبي صلى الله عليه و آله عبر قرون، فهذا العمل منهم يعدّ أفضل دليل على كون الاحتفال أمراً مشروعاً، إذ أنّ اتّفاق الأُمّة الإسلامية في عصر واحد على عمل، يصير دليلاً شرعيّاً على مشروعيته، فكيف إذا كان الاتفاق عبر عصور مديدة‌؟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الغزالي في تعريف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أُمّة محمد صلى الله عليه و آله بعد وفاته في عصر من العصور على حكم شرعي</w:t>
      </w:r>
      <w:r>
        <w:rPr>
          <w:rFonts w:eastAsia="Amiri" w:cs="Amiri" w:ascii="Amiri" w:hAnsi="Amiri"/>
          <w:color w:val="111111"/>
          <w:sz w:val="28"/>
          <w:szCs w:val="28"/>
          <w:rtl w:val="true"/>
          <w:lang w:bidi="ar-SA"/>
        </w:rPr>
        <w:t>.</w:t>
      </w:r>
      <w:r>
        <w:rPr>
          <w:rStyle w:val="FootnoteAnchor"/>
          <w:rtl w:val="true"/>
        </w:rPr>
        <w:footnoteReference w:id="872"/>
      </w:r>
      <w:r>
        <w:rPr>
          <w:rFonts w:ascii="Amiri" w:hAnsi="Amiri" w:eastAsia="Amiri" w:cs="Amiri"/>
          <w:color w:val="111111"/>
          <w:sz w:val="28"/>
          <w:sz w:val="28"/>
          <w:szCs w:val="28"/>
          <w:rtl w:val="true"/>
          <w:lang w:bidi="ar-SA"/>
        </w:rPr>
        <w:t>مستدلّين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يُشاقِقِ الرَّسُولَ مِنْ بَعْدِ ما تَبَيَّنَ لَهُ الْهُدى وَ يَتَّبِعْ غَيْرَ سَبِيلِ الْمُؤْمِنِينَ نُوَلِّهِ ما تَوَلّى وَ نُصْلِهِ جَهَنَّمَ وَ ساءَتْ مَصِيراً</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مَن يعتبر الاحتفال بمولد النبي صلى الله عليه و آله بدعة يُسيء الظن بالأُمّة الإسلاميّة وعلى رأسها العلماء والفقهاء والمحدّثون، فإنّهم كانوا يحتفلون في هذه القرون بمولده الشريف من دون أن يدور بخلدهم أنّه بدعة في الدين، ومن المستحيل أن يتّفق أهل الإسلام على شيء عبر قرون مع كونه بدعة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مَن يسيء الظنّ بهم أن يقرأ أدلّة القائلين بجواز الاحتفال، بل واستحبابه ثم يحكِّم ضميره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هو من مصاديق البدعة أو لا؟</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إيضاح الأدلّة نفسّر البدعة، ونميّز البدعة اللغوية من البدعة الشرعيّة</w:t>
      </w:r>
      <w:r>
        <w:rPr>
          <w:rFonts w:eastAsia="Amiri" w:cs="Amiri" w:ascii="Amiri" w:hAnsi="Amiri"/>
          <w:color w:val="111111"/>
          <w:sz w:val="28"/>
          <w:szCs w:val="28"/>
          <w:rtl w:val="true"/>
          <w:lang w:bidi="ar-SA"/>
        </w:rPr>
        <w:t>.</w:t>
      </w:r>
      <w:bookmarkStart w:id="844" w:name="pg16768_165599"/>
    </w:p>
    <w:p>
      <w:pPr>
        <w:pStyle w:val="Heading4"/>
        <w:numPr>
          <w:ilvl w:val="3"/>
          <w:numId w:val="1"/>
        </w:numPr>
        <w:rPr/>
      </w:pPr>
      <w:bookmarkStart w:id="845" w:name="__RefHeading___Toc6864018_73709187"/>
      <w:bookmarkStart w:id="846" w:name="_Toc316"/>
      <w:bookmarkEnd w:id="844"/>
      <w:bookmarkEnd w:id="845"/>
      <w:r>
        <w:rPr>
          <w:rtl w:val="true"/>
        </w:rPr>
        <w:t>البدعة في اللغة والشرع</w:t>
      </w:r>
      <w:bookmarkEnd w:id="846"/>
    </w:p>
    <w:p>
      <w:pPr>
        <w:pStyle w:val="BookText"/>
        <w:rPr/>
      </w:pPr>
      <w:r>
        <w:rPr>
          <w:rFonts w:ascii="Amiri" w:hAnsi="Amiri" w:eastAsia="Amiri" w:cs="Amiri"/>
          <w:color w:val="111111"/>
          <w:sz w:val="28"/>
          <w:sz w:val="28"/>
          <w:szCs w:val="28"/>
          <w:rtl w:val="true"/>
          <w:lang w:bidi="ar-SA"/>
        </w:rPr>
        <w:t>البدعة في اللغة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أُحدث على غير مثال سابق، فتعمّ كلّ أمر أو عمل جديد لم يكن له شبيه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الإبداع إنشاء صنعة بلا احتذاء ولا اقتداء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البدعة في الشرع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الافتراء على اللّه قولاً وعملاً، وقد عدّ المفتري على اللّه من أظلم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افْتَرى عَلَى اللّهِ كَذِباً أَوْ كَذَّبَ بِآياتِهِ إِنَّهُ لا يُفْلِحُ الظّالِمُونَ‌</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أصدق الحديث كتاب اللّه، وأفضل الهدى هدى محمد، وشرّ الأُمور محدثاتها، وكلّ محدثة بدعة، وكلّ بدعة ضلالة، وكلّ ضلالة في النار</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وقال ابن حجر العسقلاني في تفسير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المحدثات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بها ما أُحدث وليس له أصل في الشرع، ويسمّى في عرف الشرع بدعة، وما كان له أصل يدلّ عليه الشرع فليس ببدعة</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فإذا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الافتراء على اللّه ورسوله والتلاعب بدينه وإدخال ما ليس من الدين، أو ما لم يعلم أنّه من الدين، في الدين، فعلى الباحث تمييز ما ليس ببدعة شرعاً عن البدعة لغة، وإن كانا يشتركان في الاسم،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كانت البدعة هي الافتراء على اللّه بجعل ما ليس من الدين، أو ما لم يعلم أنّه من الدين،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عمل قام به الإنسان من دون أن ينسبه إلى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أمراً بديعاً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ببدعة شرعاً، كالألعاب الرياضية التي ابتدعها</w:t>
      </w:r>
    </w:p>
    <w:p>
      <w:pPr>
        <w:pStyle w:val="BookText"/>
        <w:rPr/>
      </w:pPr>
      <w:r>
        <w:rPr>
          <w:rFonts w:ascii="Amiri" w:hAnsi="Amiri" w:eastAsia="Amiri" w:cs="Amiri"/>
          <w:color w:val="111111"/>
          <w:sz w:val="28"/>
          <w:sz w:val="28"/>
          <w:szCs w:val="28"/>
          <w:rtl w:val="true"/>
          <w:lang w:bidi="ar-SA"/>
        </w:rPr>
        <w:t>الإنسان لتوفير الراحة لنفسه بما فيها من الفوائد، فلا شك أنّها بدعة بالمعنى اللغوي، لأنّها إبداع ما ليس له مثيل في الزمن السابق، ولكنّها ليست ببدعة شرعاً، لعدم نسبتها إلى الشرع، إذ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أو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العبوا كذا وكذا، وإنّما ينسبها إلى منشئها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مجرّد كونها غير بدعة لا يكون دليلاً على كونها عملاً سائغاً شرعاً، بل يُستنبط حكمها من الأدلّة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الاحتفال في العرائس باختلاط الرجال والنساء السافرات أمر بديع لم يكن له مثيل في البلاد الإسلامية، فهو بدعة لغوية ولكنّه ليس بدعة شرعية، إذ القائم بهذا الأمر لا ينسبه إلى الشريعة، ومع ذلك فهو حرام بنصّ الكتاب والسنّة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أبدع الإنسان شيئاً وأتى به باسم الدين ولكن كان له أصل كلّي في الشريعة، وإن لم تكن الخصوصية منصوصة في الشرع، فهذا ما يسمّى بدعة لغة ولا يكون بدعة شرعاً، لأنّ الخصوصية وإن لم تكن منصوصة لكن العنوان العامّ المنطبق عليه منصوص عليه في الشريعة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الدفاع عن بيضة الإسلام بالأسلحة الحديثة، كالسفن الحربية والطائرات المقاتلة لم يرد بنفس الخصوصية في الشريعة المقدّسة، لكن العنوان المنطبق عليه وعلى غيره منصوص في الشريعة وهو الدفاع عن بيضة الإسلام وصيانة حدوده من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أَعِدُّوا لَهُمْ مَا اسْتَطَعْتُمْ مِنْ قُوَّةٍ‌</w:t>
      </w:r>
      <w:r>
        <w:rPr>
          <w:rFonts w:eastAsia="Amiri" w:cs="Amiri" w:ascii="Amiri" w:hAnsi="Amiri"/>
          <w:color w:val="111111"/>
          <w:sz w:val="28"/>
          <w:szCs w:val="28"/>
          <w:rtl w:val="true"/>
          <w:lang w:bidi="ar-SA"/>
        </w:rPr>
        <w:t xml:space="preserve">) </w:t>
      </w:r>
      <w:r>
        <w:rPr>
          <w:rStyle w:val="FootnoteAnchor"/>
          <w:rtl w:val="true"/>
        </w:rPr>
        <w:footnoteReference w:id="877"/>
      </w:r>
      <w:r>
        <w:rPr>
          <w:rFonts w:ascii="Amiri" w:hAnsi="Amiri" w:eastAsia="Amiri" w:cs="Amiri"/>
          <w:color w:val="111111"/>
          <w:sz w:val="28"/>
          <w:sz w:val="28"/>
          <w:szCs w:val="28"/>
          <w:rtl w:val="true"/>
          <w:lang w:bidi="ar-SA"/>
        </w:rPr>
        <w:t>، فيكون العمل الحديث البديع تجسيداً لهذا العنوان الكلّي، ولم تزل الآية تتجسّد في كل قرن بوجه خاص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قام إنسان بأمر باسم الدين، وكان أمراً حديثاً لم يكن له مثيل في السابق، ولم يكن له أصل كلّي يعضده ويسوّغه ويضفي عليه الشرعيّة، فهذا هو البدعة المحرّمة التي وصفها سبحانه بالافتراء على اللّه، كتغيير الأذان والإقامة بنقص أو زيادة، فمن أراد التدخل في الشريعة الإسلامية في عباداتها ومعاملاتها وسياساتها</w:t>
      </w:r>
      <w:bookmarkStart w:id="847" w:name="pg16768_165601"/>
    </w:p>
    <w:p>
      <w:pPr>
        <w:pStyle w:val="BookText"/>
        <w:rPr/>
      </w:pPr>
      <w:bookmarkEnd w:id="847"/>
      <w:r>
        <w:rPr>
          <w:rFonts w:ascii="Amiri" w:hAnsi="Amiri" w:eastAsia="Amiri" w:cs="Amiri"/>
          <w:color w:val="111111"/>
          <w:sz w:val="28"/>
          <w:sz w:val="28"/>
          <w:szCs w:val="28"/>
          <w:rtl w:val="true"/>
          <w:lang w:bidi="ar-SA"/>
        </w:rPr>
        <w:t>بأن يدخل فيها ما ليس منها أو لم يُعلم أنّه منها، ولم يكن في الشريعة أصل كلّي يستمد العمل مشروعيتَه منه، فقد ابتدع وافترى على اللّه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فلندرس حكم الاحتفال بمولد النبي صلى الله عليه و آله، وأنّه من أي قسم من الأقسام الثلاثة‌؟ فنقول</w:t>
      </w:r>
      <w:r>
        <w:rPr>
          <w:rFonts w:eastAsia="Amiri" w:cs="Amiri" w:ascii="Amiri" w:hAnsi="Amiri"/>
          <w:color w:val="111111"/>
          <w:sz w:val="28"/>
          <w:szCs w:val="28"/>
          <w:rtl w:val="true"/>
          <w:lang w:bidi="ar-SA"/>
        </w:rPr>
        <w:t>:</w:t>
      </w:r>
    </w:p>
    <w:p>
      <w:pPr>
        <w:pStyle w:val="Heading4"/>
        <w:numPr>
          <w:ilvl w:val="3"/>
          <w:numId w:val="1"/>
        </w:numPr>
        <w:rPr/>
      </w:pPr>
      <w:bookmarkStart w:id="848" w:name="__RefHeading___Toc6864020_73709187"/>
      <w:bookmarkStart w:id="849" w:name="_Toc317"/>
      <w:bookmarkEnd w:id="848"/>
      <w:r>
        <w:rPr>
          <w:rtl w:val="true"/>
        </w:rPr>
        <w:t>الاحتفال بمولد النبي صلى الله عليه و آله له أصل في الشريعة</w:t>
      </w:r>
      <w:bookmarkEnd w:id="849"/>
    </w:p>
    <w:p>
      <w:pPr>
        <w:pStyle w:val="Heading5"/>
        <w:numPr>
          <w:ilvl w:val="4"/>
          <w:numId w:val="1"/>
        </w:numPr>
        <w:rPr/>
      </w:pPr>
      <w:bookmarkStart w:id="850" w:name="__RefHeading___Toc6864022_73709187"/>
      <w:bookmarkStart w:id="851" w:name="_Toc318"/>
      <w:bookmarkEnd w:id="850"/>
      <w:r>
        <w:rPr>
          <w:rtl w:val="true"/>
        </w:rPr>
        <w:t>اشارة</w:t>
      </w:r>
      <w:bookmarkEnd w:id="851"/>
    </w:p>
    <w:p>
      <w:pPr>
        <w:pStyle w:val="BookText"/>
        <w:rPr/>
      </w:pPr>
      <w:r>
        <w:rPr>
          <w:rFonts w:ascii="Amiri" w:hAnsi="Amiri" w:eastAsia="Amiri" w:cs="Amiri"/>
          <w:color w:val="111111"/>
          <w:sz w:val="28"/>
          <w:sz w:val="28"/>
          <w:szCs w:val="28"/>
          <w:rtl w:val="true"/>
          <w:lang w:bidi="ar-SA"/>
        </w:rPr>
        <w:t>إنّ الاحتفال بمولد النبي صلى الله عليه و آله هو من القسم الثاني، فإنّ الاحتفال على النحو الرائج وإن لم يرد في الشريعة بحرفيّته، ولكن هناك نصوص عامّة في الكتاب والسنّة يستدل بها على أنّ الاحتفال بمولده يعتبر تجسيد لما تتضمّنه تلك النصوص والعناوين الّتي يستفاد منها تسويغ هذا الاحتفال، ويُضفي الشرعية عليه وهي كالتالي</w:t>
      </w:r>
      <w:r>
        <w:rPr>
          <w:rFonts w:eastAsia="Amiri" w:cs="Amiri" w:ascii="Amiri" w:hAnsi="Amiri"/>
          <w:color w:val="111111"/>
          <w:sz w:val="28"/>
          <w:szCs w:val="28"/>
          <w:rtl w:val="true"/>
          <w:lang w:bidi="ar-SA"/>
        </w:rPr>
        <w:t>:</w:t>
      </w:r>
    </w:p>
    <w:p>
      <w:pPr>
        <w:pStyle w:val="Heading5"/>
        <w:numPr>
          <w:ilvl w:val="4"/>
          <w:numId w:val="1"/>
        </w:numPr>
        <w:rPr/>
      </w:pPr>
      <w:bookmarkStart w:id="852" w:name="__RefHeading___Toc6864024_73709187"/>
      <w:bookmarkStart w:id="853" w:name="_Toc319"/>
      <w:bookmarkEnd w:id="852"/>
      <w:r>
        <w:rPr/>
        <w:t>1</w:t>
      </w:r>
      <w:r>
        <w:rPr>
          <w:rtl w:val="true"/>
        </w:rPr>
        <w:t xml:space="preserve">. </w:t>
      </w:r>
      <w:r>
        <w:rPr>
          <w:rtl w:val="true"/>
        </w:rPr>
        <w:t>حبّ النبي أصل من الأُصول</w:t>
      </w:r>
      <w:bookmarkEnd w:id="853"/>
    </w:p>
    <w:p>
      <w:pPr>
        <w:pStyle w:val="BookText"/>
        <w:rPr/>
      </w:pPr>
      <w:r>
        <w:rPr>
          <w:rFonts w:ascii="Amiri" w:hAnsi="Amiri" w:eastAsia="Amiri" w:cs="Amiri"/>
          <w:color w:val="111111"/>
          <w:sz w:val="28"/>
          <w:sz w:val="28"/>
          <w:szCs w:val="28"/>
          <w:rtl w:val="true"/>
          <w:lang w:bidi="ar-SA"/>
        </w:rPr>
        <w:t>لقد أمر الكتاب والسنّة بحبّ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العزيز 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 آباؤُكُمْ وَ أَبْناؤُكُمْ وَ إِخْوانُكُمْ وَ أَزْواجُكُمْ وَ عَشِيرَتُكُمْ وَ أَمْوالٌ اقْتَرَفْتُمُوها وَ تِجارَةٌ تَخْشَوْنَ كَسادَها وَ مَساكِنُ تَرْضَوْنَها أَحَبَّ إِلَيْكُمْ مِنَ اللّهِ وَ رَسُولِهِ وَ جِهادٍ فِي سَبِيلِهِ فَتَرَبَّصُوا حَتّى يَأْتِيَ اللّهُ بِأَمْرِهِ وَ اللّهُ لا يَهْدِي الْقَوْمَ الْفاسِقِينَ‌</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السنّة النبوية فقول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 أحدكم حتى أكون أحبّ إليه من والده وولده والناس أجمعين</w:t>
      </w:r>
      <w:r>
        <w:rPr>
          <w:rFonts w:eastAsia="Amiri" w:cs="Amiri" w:ascii="Amiri" w:hAnsi="Amiri"/>
          <w:color w:val="111111"/>
          <w:sz w:val="28"/>
          <w:szCs w:val="28"/>
          <w:rtl w:val="true"/>
          <w:lang w:bidi="ar-SA"/>
        </w:rPr>
        <w:t>».</w:t>
      </w:r>
      <w:r>
        <w:rPr>
          <w:rStyle w:val="FootnoteAnchor"/>
          <w:rtl w:val="true"/>
        </w:rPr>
        <w:footnoteReference w:id="879"/>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لا يؤمن أحدكم حتى أكون أحبّ‌</w:t>
      </w:r>
    </w:p>
    <w:p>
      <w:pPr>
        <w:pStyle w:val="BookText"/>
        <w:rPr/>
      </w:pPr>
      <w:r>
        <w:rPr>
          <w:rFonts w:ascii="Amiri" w:hAnsi="Amiri" w:eastAsia="Amiri" w:cs="Amiri"/>
          <w:color w:val="111111"/>
          <w:sz w:val="28"/>
          <w:sz w:val="28"/>
          <w:szCs w:val="28"/>
          <w:rtl w:val="true"/>
          <w:lang w:bidi="ar-SA"/>
        </w:rPr>
        <w:t>الناس إليه من والده وولده</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 كنّ فيه وجد حلاوة الإيمان وطعمه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اللّه ورسوله أحب إليه ممّا سواهما، وأن يحب في اللّه ويبغض في اللّه، وأن توقد نار عظيمة فيقع فيها أحبّ إليه من أن يشرك باللّه شيئاً</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لا شك أنّ لحبّ النبي صلى الله عليه و آله مظاهر ومصاديق متعدّدة، ومن مظاهره اتّباع النبي واقتفاء قوله وفعله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مظاهره أيضاً الاحتفال بمولده والإشادة بمنزلته التي نزّله سبحانه فيها، فمَن يحتفل في مولده فإنّما ينطلق من هذا المبدأ، أي حب النبي الذي أمر به القرآن والسنّة، ونحن نسأل من يعدُّ الاحتفال بمولده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المحتفلون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ينطلقون من حب النبي صلى الله عليه و آله وودّه، أو ينطلقون من بغضه وعدائه‌؟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أظنّ أنّ أحداً يتفوّه بغير الأوّل بل يعدّه تجسيداً للحبّ‌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الاحتفال بيوم ولادة النبي صلى الله عليه و آله وإن لم يكن منصوصاً فإنّ الآية لا تحدّد حبّ النبي وإظهاره بيوم دون يوم أو طريقة دون طريقة، بل تُسوِّغ إظهاره كلّ يوم من أيّام السنة، إلّاأنّ اختيار ذلك اليوم من جانب المحتفلين لمناسبة خاصّة معلومة للجميع، وهو ظهور نوره صلى الله عليه و آله للعالم في ذلك اليوم، دون سائر الأيام، فلذلك اختاروا ذلك اليوم مع إمكان اختيار سائر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كلمة قيّمة لأحد العلماء،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نقول بسنّية الاحتفال بالمولد المذكور في ليلة مخصوصة، بل مَن اعتقد ذلك فقد ابتدع في الدين، لأنّ ذكره صلى الله عليه و آله والتعلّق به يجب أن يكون في كل حين ويجب أن تملأ به النفوس، نعم</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شهر ولادته يكون الداعي أقوى لإقبال الناس واجتماعهم وشعورهم الفيّاض بارتباط الزمان بعضه ببعض فيتذكرون بالحاضر الماضي، وينتقلون من</w:t>
      </w:r>
      <w:bookmarkStart w:id="854" w:name="pg16768_165603"/>
    </w:p>
    <w:p>
      <w:pPr>
        <w:pStyle w:val="BookText"/>
        <w:rPr/>
      </w:pPr>
      <w:bookmarkEnd w:id="854"/>
      <w:r>
        <w:rPr>
          <w:rFonts w:ascii="IRNazanin" w:hAnsi="IRNazanin" w:eastAsia="IRNazanin"/>
          <w:color w:val="111111"/>
          <w:sz w:val="28"/>
          <w:sz w:val="28"/>
          <w:szCs w:val="28"/>
          <w:rtl w:val="true"/>
          <w:lang w:bidi="fa-IR"/>
        </w:rPr>
        <w:t>المشاهدَ إلى الغائب</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إنّ الاحتفال ليس عبادة للنبي صلى الله عليه و آله ولا لغيره فإنّ العبادة لها مقوّم خاص غير موجود في المقام وهو الخضوع أمام موجود معيّن مع الاعتقاد بربويته، وانّ مصير الخاضع بيده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الاحتفال أمر قربي يورث الثواب كسائر الأُمور القربية، كالأمر بالمعروف والنهي عن المنكر وإعانة الضعفاء وإعطاء الصدقات فكل هذه أُمور قربية لا عبادية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أتى به الإنسان للّه سبحانه، يكون وسيلة لقربه من اللّه تعالى ونيل الثواب منه سبحانه</w:t>
      </w:r>
      <w:r>
        <w:rPr>
          <w:rFonts w:eastAsia="Amiri" w:cs="Amiri" w:ascii="Amiri" w:hAnsi="Amiri"/>
          <w:color w:val="111111"/>
          <w:sz w:val="28"/>
          <w:szCs w:val="28"/>
          <w:rtl w:val="true"/>
          <w:lang w:bidi="ar-SA"/>
        </w:rPr>
        <w:t>.</w:t>
      </w:r>
    </w:p>
    <w:p>
      <w:pPr>
        <w:pStyle w:val="Heading5"/>
        <w:numPr>
          <w:ilvl w:val="4"/>
          <w:numId w:val="1"/>
        </w:numPr>
        <w:rPr/>
      </w:pPr>
      <w:bookmarkStart w:id="855" w:name="__RefHeading___Toc6864026_73709187"/>
      <w:bookmarkStart w:id="856" w:name="_Toc320"/>
      <w:bookmarkEnd w:id="855"/>
      <w:r>
        <w:rPr/>
        <w:t>2</w:t>
      </w:r>
      <w:r>
        <w:rPr>
          <w:rtl w:val="true"/>
        </w:rPr>
        <w:t xml:space="preserve">. </w:t>
      </w:r>
      <w:r>
        <w:rPr>
          <w:rtl w:val="true"/>
        </w:rPr>
        <w:t>تكريم النبي صلى الله عليه و آله أصل من الأُصول</w:t>
      </w:r>
      <w:bookmarkEnd w:id="856"/>
    </w:p>
    <w:p>
      <w:pPr>
        <w:pStyle w:val="BookText"/>
        <w:rPr/>
      </w:pPr>
      <w:r>
        <w:rPr>
          <w:rFonts w:ascii="Amiri" w:hAnsi="Amiri" w:eastAsia="Amiri" w:cs="Amiri"/>
          <w:color w:val="111111"/>
          <w:sz w:val="28"/>
          <w:sz w:val="28"/>
          <w:szCs w:val="28"/>
          <w:rtl w:val="true"/>
          <w:lang w:bidi="ar-SA"/>
        </w:rPr>
        <w:t>كما أنّ حب النبي صلى الله عليه و آله أصل من الأُصول الرئيسية في الإيمان كذلك تكريم النبي وتعظيمه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 أُنْزِلَ مَعَهُ 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لِتُؤْمِنُوا بِاللّهِ وَ رَسُولِهِ وَ تُعَزِّرُوهُ وَ تُوَقِّرُوهُ وَ تُسَبِّحُوهُ بُكْرَةً وَ أَصِيلاً</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أمر سبحانه بالإيمان باللّه والرسول معاً كما خصّ نفسه بالتسبيح بكرة وأصيلاً، كذلك خصّ نبيه بالتعزير والتوقير، وليس التعزير في الآيتين إلّاالتكريم</w:t>
      </w:r>
      <w:bookmarkStart w:id="857" w:name="pg16768_165604"/>
    </w:p>
    <w:p>
      <w:pPr>
        <w:pStyle w:val="BookText"/>
        <w:rPr/>
      </w:pPr>
      <w:bookmarkEnd w:id="857"/>
      <w:r>
        <w:rPr>
          <w:rFonts w:ascii="Amiri" w:hAnsi="Amiri" w:eastAsia="Amiri" w:cs="Amiri"/>
          <w:color w:val="111111"/>
          <w:sz w:val="28"/>
          <w:sz w:val="28"/>
          <w:szCs w:val="28"/>
          <w:rtl w:val="true"/>
          <w:lang w:bidi="ar-SA"/>
        </w:rPr>
        <w:t>والتعظيم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وتخصيص تكريمه بأيّام حياته تفسير بالرأي مع إطلاق الآية، وإلّا يلزم تخصيص الإيمان به بأيّام حياته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ربّما يتوهم من أنّ المراد من التعزير هو النصرة يردّه أنّه سبحانه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نَصَرُوهُ‌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الأُولى حيث ذكر النصرة بعد التعزير، فيكون التعزير غير النصرة، كما أردف التعزير بالتوقير في الآية الثانية، وفسّره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نستنطق كل ضمير حرّ وحتّى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يتجرّدوا عن عقيدتهم المسبقة الموروثة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الاحتفال بمولده فيه تكريم للنبي وتعظيم له أو إذلال له وإهانة‌؟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أظن من له أدنى مسكة أن يتفوّه بالثاني وهو يعلم بضميره أنّ الاحتفال تعظيم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تعظيم النبي وتكريمه لا يختص بيوم دون يوم، ولا الآية تحدّده بيوم خاص، وإنّما اختير ذلك اليوم من بين أيام السنة، لمناسبة ظهور هذا النور في ذلك اليوم الّذي حداهم إلى تخصيص ذلك اليوم بالاحتفال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نسب أصل الاحتفال إلى الشرع فقد صدق، لوجود أصل له في القرآن والسنّة</w:t>
      </w:r>
      <w:r>
        <w:rPr>
          <w:rFonts w:eastAsia="Amiri" w:cs="Amiri" w:ascii="Amiri" w:hAnsi="Amiri"/>
          <w:color w:val="111111"/>
          <w:sz w:val="28"/>
          <w:szCs w:val="28"/>
          <w:rtl w:val="true"/>
          <w:lang w:bidi="ar-SA"/>
        </w:rPr>
        <w:t>.</w:t>
      </w:r>
    </w:p>
    <w:p>
      <w:pPr>
        <w:pStyle w:val="Heading5"/>
        <w:numPr>
          <w:ilvl w:val="4"/>
          <w:numId w:val="1"/>
        </w:numPr>
        <w:rPr/>
      </w:pPr>
      <w:bookmarkStart w:id="858" w:name="__RefHeading___Toc6864028_73709187"/>
      <w:bookmarkStart w:id="859" w:name="_Toc321"/>
      <w:bookmarkEnd w:id="858"/>
      <w:r>
        <w:rPr/>
        <w:t>3</w:t>
      </w:r>
      <w:r>
        <w:rPr>
          <w:rtl w:val="true"/>
        </w:rPr>
        <w:t xml:space="preserve">. </w:t>
      </w:r>
      <w:r>
        <w:rPr>
          <w:rtl w:val="true"/>
        </w:rPr>
        <w:t>رفع ذكر النبي صلى الله عليه و آله</w:t>
      </w:r>
      <w:bookmarkEnd w:id="859"/>
    </w:p>
    <w:p>
      <w:pPr>
        <w:pStyle w:val="BookText"/>
        <w:rPr/>
      </w:pPr>
      <w:r>
        <w:rPr>
          <w:rFonts w:ascii="Amiri" w:hAnsi="Amiri" w:eastAsia="Amiri" w:cs="Amiri"/>
          <w:color w:val="111111"/>
          <w:sz w:val="28"/>
          <w:sz w:val="28"/>
          <w:szCs w:val="28"/>
          <w:rtl w:val="true"/>
          <w:lang w:bidi="ar-SA"/>
        </w:rPr>
        <w:t>إنّ إحياء ذكر النبي صلى الله عليه و آله أصل من الأُصول التي جاءت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نَشْرَحْ لَكَ صَدْرَكَ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وَضَعْنا عَنْكَ وِزْرَكَ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أَنْقَضَ ظَهْرَكَ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رَفَعْنا لَكَ ذِكْرَكَ‌</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فالآية تدلّ على أنّه سبحانه رفع ذكر النبي، ومن مظاهره، الشهادة برسالته في الأذان والإقامة وفي تشهد الصلاة، فيدلّ ذلك على أنّ الإشادة بذكر النبي أمر</w:t>
      </w:r>
      <w:bookmarkStart w:id="860" w:name="pg16768_165605"/>
    </w:p>
    <w:p>
      <w:pPr>
        <w:pStyle w:val="BookText"/>
        <w:rPr/>
      </w:pPr>
      <w:bookmarkEnd w:id="860"/>
      <w:r>
        <w:rPr>
          <w:rFonts w:ascii="Amiri" w:hAnsi="Amiri" w:eastAsia="Amiri" w:cs="Amiri"/>
          <w:color w:val="111111"/>
          <w:sz w:val="28"/>
          <w:sz w:val="28"/>
          <w:szCs w:val="28"/>
          <w:rtl w:val="true"/>
          <w:lang w:bidi="ar-SA"/>
        </w:rPr>
        <w:t>محبوب ومطلوب للّه تبارك وتعالى وليس مبغوضاً، ويُعتبر الاحتفال بمولده وقراءة الآيات الناصّة على عظيم منزلته والأحاديث الواردة في حقّه تجسيداً لهذه الآية وإحياءً لذكره، فهل يكون مثل ذلك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اللّهُ بِها مِنْ سُلْطانٍ‌</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1" w:name="__RefHeading___Toc6864030_73709187"/>
      <w:bookmarkStart w:id="862" w:name="_Toc322"/>
      <w:bookmarkEnd w:id="861"/>
      <w:r>
        <w:rPr/>
        <w:t>4</w:t>
      </w:r>
      <w:r>
        <w:rPr>
          <w:rtl w:val="true"/>
        </w:rPr>
        <w:t xml:space="preserve">. </w:t>
      </w:r>
      <w:r>
        <w:rPr>
          <w:rtl w:val="true"/>
        </w:rPr>
        <w:t>ذكر نعم اللّه سبحانه وتعالى</w:t>
      </w:r>
      <w:bookmarkEnd w:id="862"/>
    </w:p>
    <w:p>
      <w:pPr>
        <w:pStyle w:val="BookText"/>
        <w:rPr/>
      </w:pPr>
      <w:r>
        <w:rPr>
          <w:rFonts w:ascii="Amiri" w:hAnsi="Amiri" w:eastAsia="Amiri" w:cs="Amiri"/>
          <w:color w:val="111111"/>
          <w:sz w:val="28"/>
          <w:sz w:val="28"/>
          <w:szCs w:val="28"/>
          <w:rtl w:val="true"/>
          <w:lang w:bidi="ar-SA"/>
        </w:rPr>
        <w:t>الاحتفال بمولد النبي هو إعادة ذكر نعمة كبيرة من اللّه تعالى إلى ذاكرة الناس، وهذه النعمة هي ميلاد نور النبي صلى الله عليه و آله الّذي هو مبدأ الخير والهداية للناس، وقد أسماه اللّه سبحانه وتعالى بالنور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قَدْ جاءَكُمْ رَسُولُنا يُبَيِّنُ لَكُمْ كَثِيراً مِمّا كُنْتُمْ تُخْفُونَ مِنَ الْكِتابِ وَ يَعْفُوا عَنْ كَثِيرٍ قَدْ جاءَكُمْ مِنَ اللّهِ نُورٌ وَ كِتابٌ مُبِينٌ‌</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فالتذكير بنعمة اللّه يُعدّ شكراً للّه سبحانه في مقابل هذه النعمة التي أنجى اللّه سبحانه بها هذه الأُمّة من الضلالة والغواية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الحافظ ابن رجب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الكلام في استحباب صيام الأيام التي تتجدّد فيها نعم اللّه على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أعظم نعم اللّه على هذه الأُمّة إظهار محمد صلى الله عليه و آله وبعثته وإرساله إليهم،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عَلَى الْمُؤْمِنِينَ إِذْ بَعَثَ فِيهِمْ رَسُولاً مِنْ أَنْفُسِهِمْ‌</w:t>
      </w:r>
      <w:r>
        <w:rPr>
          <w:rFonts w:eastAsia="Amiri" w:cs="Amiri" w:ascii="Amiri" w:hAnsi="Amiri"/>
          <w:color w:val="111111"/>
          <w:sz w:val="28"/>
          <w:szCs w:val="28"/>
          <w:rtl w:val="true"/>
          <w:lang w:bidi="ar-SA"/>
        </w:rPr>
        <w:t xml:space="preserve">) </w:t>
      </w:r>
      <w:r>
        <w:rPr>
          <w:rStyle w:val="FootnoteAnchor"/>
          <w:rtl w:val="true"/>
        </w:rPr>
        <w:footnoteReference w:id="888"/>
      </w:r>
      <w:r>
        <w:rPr>
          <w:rFonts w:ascii="Amiri" w:hAnsi="Amiri" w:eastAsia="Amiri" w:cs="Amiri"/>
          <w:color w:val="111111"/>
          <w:sz w:val="28"/>
          <w:sz w:val="28"/>
          <w:szCs w:val="28"/>
          <w:rtl w:val="true"/>
          <w:lang w:bidi="ar-SA"/>
        </w:rPr>
        <w:t>، فصيام يوم تجدّدت فيه هذه النعمة من اللّه سبحانه على عباده المؤمنين حسن جميل، وهو من باب مقابلة النعم في أوقات تجدّدها بالشكر</w:t>
      </w:r>
      <w:r>
        <w:rPr>
          <w:rFonts w:eastAsia="Amiri" w:cs="Amiri" w:ascii="Amiri" w:hAnsi="Amiri"/>
          <w:color w:val="111111"/>
          <w:sz w:val="28"/>
          <w:szCs w:val="28"/>
          <w:rtl w:val="true"/>
          <w:lang w:bidi="ar-SA"/>
        </w:rPr>
        <w:t>.</w:t>
      </w:r>
      <w:r>
        <w:rPr>
          <w:rStyle w:val="FootnoteAnchor"/>
          <w:rtl w:val="true"/>
        </w:rPr>
        <w:footnoteReference w:id="889"/>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مسلم في صحيحه عن ابن عباس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النبي صلى الله عليه و آله المدينة</w:t>
      </w:r>
    </w:p>
    <w:p>
      <w:pPr>
        <w:pStyle w:val="BookText"/>
        <w:rPr/>
      </w:pPr>
      <w:r>
        <w:rPr>
          <w:rFonts w:ascii="Amiri" w:hAnsi="Amiri" w:eastAsia="Amiri" w:cs="Amiri"/>
          <w:color w:val="111111"/>
          <w:sz w:val="28"/>
          <w:sz w:val="28"/>
          <w:szCs w:val="28"/>
          <w:rtl w:val="true"/>
          <w:lang w:bidi="ar-SA"/>
        </w:rPr>
        <w:t>وجد اليهود يصومون يوم عاشوراء، فسُئلوا عن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اليوم الذي أظفر اللّه موسى وبني إسرائيل على فرعون، ونحن نصوم تعظيماً له،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أولى بموسى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بصومه</w:t>
      </w:r>
      <w:r>
        <w:rPr>
          <w:rFonts w:eastAsia="Amiri" w:cs="Amiri" w:ascii="Amiri" w:hAnsi="Amiri"/>
          <w:color w:val="111111"/>
          <w:sz w:val="28"/>
          <w:szCs w:val="28"/>
          <w:rtl w:val="true"/>
          <w:lang w:bidi="ar-SA"/>
        </w:rPr>
        <w:t>.</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وقد استدلّ ابن حجر العسقلاني بهذا الحديث على مشروعية الاحتفال بالمولد النبوي على ما نقله الحافظ السيوطي،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فيستفاد فعل الشكر للّه على ما منّ به في يوم معين من إسداء نعمة، أو دفع نقمة ويعاد ذلك، نظير ذلك اليوم من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والشكر للّه يحصل بأنواع العبادة، كالسجود والصيام والصدقة والتلاوة، وأي نعمة أعظم من النعمة ببروز هذا النبي نبي الرحمة في ذلك اليوم</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وللسيوطي أيضاً كلام آخر نأتي بنصه،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لي تخريجه على أصل آخر، وهو ما أخرجه البيهقي عن أنس أنّ النبي صلى الله عليه و آله عقّ عن نفسه بعد النبوة مع أنّه قد ورد أنّ جده عبد المطلب عقّ عنه في سابع ولادته، والعقيقة لا تعاد مرة ثانية، فيحمل ذلك على أنّ الذي فعله النبي صلى الله عليه و آله إظهار للشكر على إيجاد اللّه إيّاه رحمة للعالمين وتشريع لأُمّته كما كان يصلّي على نفسه، لذلك فيستحب لنا أيضاً إظهار الشكر بمولده بالاجتماع، وإطعام الطعام، ونحو ذلك من وجوه القربات وإظهار المسرّات</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البخاري عن عمر بن الخطاب أنّ رجلاً من اليهود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في كتابكم لو علينا معشر اليهود نزلت لاتّخذنا ذلك اليوم عيداً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bookmarkStart w:id="863" w:name="pg16768_165607"/>
    </w:p>
    <w:p>
      <w:pPr>
        <w:pStyle w:val="BookText"/>
        <w:rPr/>
      </w:pPr>
      <w:bookmarkEnd w:id="863"/>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اليوم الذي نزلت فيه، والمكان الذي نزلت فيه، ورسول اللّه صلى الله عليه و آله قائم بعرفة يوم الجمعة</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وأخرج الترمذي عن ابن عباس نحوه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يوم عيد من يوم جمعة ويوم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صحيح</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الأثر موافقة عمر بن الخطاب على اتّخاذ اليوم الذي حدثت فيه نعمة عظيمة، عيداً، لأنّ الزمان ظرف للحدث العظيم، فعند عود اليوم الذي وقعت فيه الحادثة، كان موسماً لشكر تلك النعمة، وفرصة لإظهار الفرح والسرور</w:t>
      </w:r>
      <w:r>
        <w:rPr>
          <w:rFonts w:eastAsia="Amiri" w:cs="Amiri" w:ascii="Amiri" w:hAnsi="Amiri"/>
          <w:color w:val="111111"/>
          <w:sz w:val="28"/>
          <w:szCs w:val="28"/>
          <w:rtl w:val="true"/>
          <w:lang w:bidi="ar-SA"/>
        </w:rPr>
        <w:t>.</w:t>
      </w:r>
      <w:r>
        <w:rPr>
          <w:rStyle w:val="FootnoteAnchor"/>
          <w:rtl w:val="true"/>
        </w:rPr>
        <w:footnoteReference w:id="896"/>
      </w:r>
    </w:p>
    <w:p>
      <w:pPr>
        <w:pStyle w:val="Heading5"/>
        <w:numPr>
          <w:ilvl w:val="4"/>
          <w:numId w:val="1"/>
        </w:numPr>
        <w:rPr/>
      </w:pPr>
      <w:bookmarkStart w:id="864" w:name="__RefHeading___Toc6864032_73709187"/>
      <w:bookmarkStart w:id="865" w:name="_Toc323"/>
      <w:bookmarkEnd w:id="864"/>
      <w:r>
        <w:rPr/>
        <w:t>5</w:t>
      </w:r>
      <w:r>
        <w:rPr>
          <w:rtl w:val="true"/>
        </w:rPr>
        <w:t xml:space="preserve">. </w:t>
      </w:r>
      <w:r>
        <w:rPr>
          <w:rtl w:val="true"/>
        </w:rPr>
        <w:t>الاقتفاء بسنّة نبي اللّه عيسى عليه السلام</w:t>
      </w:r>
      <w:bookmarkEnd w:id="865"/>
    </w:p>
    <w:p>
      <w:pPr>
        <w:pStyle w:val="BookText"/>
        <w:rPr/>
      </w:pPr>
      <w:r>
        <w:rPr>
          <w:rFonts w:ascii="Amiri" w:hAnsi="Amiri" w:eastAsia="Amiri" w:cs="Amiri"/>
          <w:color w:val="111111"/>
          <w:sz w:val="28"/>
          <w:sz w:val="28"/>
          <w:szCs w:val="28"/>
          <w:rtl w:val="true"/>
          <w:lang w:bidi="ar-SA"/>
        </w:rPr>
        <w:t xml:space="preserve">يحكي سبحانه وتعالى عن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وآله وعليه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حواريّيه طلبوا منه أن يدعو اللّه سبحانه أن ينزّل عليهم مائدة من السماء ليأكلوا منها وتطمئن قلوبهم ويزيد إيمانهم بصدقه فدعا لهم، وقال في دعائه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رَبَّنا أَنْزِلْ عَلَيْنا مائِدَةً مِنَ السَّماءِ تَكُونُ لَنا عِيداً لِأَوَّلِنا وَ آخِرِنا وَ آيَةً مِنْكَ وَ ارْزُقْنا وَ أَنْتَ خَيْرُ الرّازِقِينَ‌</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أنّ المسيح يجعل يوم نزول المائدة عيداً لأوّل أُمّته وآخرهم جميعاً، فما كانت المائدة السماوية إلّاطعاماً يشبع بطونهم مرة واحدة في العمر، ومع ذلك اتّخذوا يوم نزول تلك النعمة عيداً للأُمّة، فما ظنّك بنعمة سماوية معنوية ظهرت يوم ميلاده وقد أشبع عقول البشر وقلوبهم ونوّر طريقهم ونجّاهم من الغواية إلى الهداية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أفلا يستحق هذا اليوم المبارك الاحتفال والتبريك والإشادة بعظمة النعمة ومناقبها وفضائلها؟</w:t>
      </w:r>
    </w:p>
    <w:p>
      <w:pPr>
        <w:pStyle w:val="BookText"/>
        <w:rPr/>
      </w:pPr>
      <w:r>
        <w:rPr>
          <w:rFonts w:ascii="Amiri" w:hAnsi="Amiri" w:eastAsia="Amiri" w:cs="Amiri"/>
          <w:color w:val="111111"/>
          <w:sz w:val="28"/>
          <w:sz w:val="28"/>
          <w:szCs w:val="28"/>
          <w:rtl w:val="true"/>
          <w:lang w:bidi="ar-SA"/>
        </w:rPr>
        <w:t>أفلا يستحق هذا اليوم أن يكون عيداً للمسلمين ويحتلفوا بقراءة الآيات الواردة في منزلة رسول اللّه التي منها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 أُنْزِلَ مَعَهُ 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يشترط أن يكون الاحتفال مجرّداً عن الغلو والخروج عن الحقّ‌، كما يشترط أن يكون منزهاً ممّا لا يحلّ حتّى يكون الاحتفال شرعياً إلهياً من عامّة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على القارئ الكريم أنّ لهذه الاحتفالات أثراً كبيراً في التعرّف على النبي الأكرم صلى الله عليه و آله وأخلاقه وآدابه وسيرته وسلوكه، فإنّ الخطيب في الحفلات يركّز في كلماته وجمله على ما له صلى الله عليه و آله من الأخلاق السامية والآداب الكريمة، وأنّه كيف كان يتعايش مع الناس، وكيف كان يداري المخالفين والأعداء، إلى غيرها من الفوائد الجمّة من الاحتفالات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أدلّة القائلين بجواز الاحتفال واستحبابه ونحن ندعو الشيخ خالد بن سعود البليهد في الرياض صاحب هذا العنوان على البريد الالكتروني </w:t>
      </w:r>
      <w:r>
        <w:rPr>
          <w:rFonts w:eastAsia="Times New Roman" w:cs="Times New Roman" w:ascii="Times New Roman" w:hAnsi="Times New Roman"/>
          <w:color w:val="111111"/>
          <w:sz w:val="28"/>
          <w:szCs w:val="28"/>
          <w:lang w:val="en-US" w:bidi="en-US"/>
        </w:rPr>
        <w:t>gmail.com</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binbulihed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يصر على حرمة الاحتفال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مقال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يذكر شيئاً من أدلّة القائلين بجوازه، أن ينظر إلى ما ذكرنا من الأدلّة بنظر دقيق دون أن يعتمد على قول فلان وفلان، بل يعتمد في نقده على الكتاب والسنّة كما اعتمدنا عليهما</w:t>
      </w:r>
      <w:r>
        <w:rPr>
          <w:rFonts w:eastAsia="Amiri" w:cs="Amiri" w:ascii="Amiri" w:hAnsi="Amiri"/>
          <w:color w:val="111111"/>
          <w:sz w:val="28"/>
          <w:szCs w:val="28"/>
          <w:rtl w:val="true"/>
          <w:lang w:bidi="ar-SA"/>
        </w:rPr>
        <w:t>.</w:t>
      </w:r>
      <w:bookmarkStart w:id="866" w:name="pg16768_165609"/>
    </w:p>
    <w:p>
      <w:pPr>
        <w:pStyle w:val="Heading4"/>
        <w:numPr>
          <w:ilvl w:val="3"/>
          <w:numId w:val="1"/>
        </w:numPr>
        <w:rPr/>
      </w:pPr>
      <w:bookmarkStart w:id="867" w:name="__RefHeading___Toc6864034_73709187"/>
      <w:bookmarkStart w:id="868" w:name="_Toc324"/>
      <w:bookmarkEnd w:id="866"/>
      <w:bookmarkEnd w:id="867"/>
      <w:r>
        <w:rPr>
          <w:rtl w:val="true"/>
        </w:rPr>
        <w:t>أدلّة القائل بالبدعة</w:t>
      </w:r>
      <w:bookmarkEnd w:id="868"/>
    </w:p>
    <w:p>
      <w:pPr>
        <w:pStyle w:val="BookText"/>
        <w:rPr/>
      </w:pPr>
      <w:r>
        <w:rPr>
          <w:rFonts w:ascii="Amiri" w:hAnsi="Amiri" w:eastAsia="Amiri" w:cs="Amiri"/>
          <w:color w:val="111111"/>
          <w:sz w:val="28"/>
          <w:sz w:val="28"/>
          <w:szCs w:val="28"/>
          <w:rtl w:val="true"/>
          <w:lang w:bidi="ar-SA"/>
        </w:rPr>
        <w:t>أورد الشيخ خالد بن سعود البليهد وجوهاً استدلّ بها على كون الاحتفال بالمولد النبوي من البدعة، فنحن نستعرضها ثم نجيب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في الكتاب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له أصلاً في الكتاب العزيز، ويكفي ذلك في خروجه عن البدعة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في السنّة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حب النبي صلى الله عليه و آله له أصل في السنّة، كما أنّ لغيره أصل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يعرف فعله عن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عجيب جدّاً، فإنّ فعل الصحابة لا يُعدّ حجّة شرعية ما لم ينسب إلى النبي صلى الله عليه و آله فكيف تركهم‌؟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أحداً من الفقهاء لم يفت بأن عدم فعلهم أمراً ما، دليلٌ على حرمته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يعرف الترخيص به من الأئمة المتبوعين الأربعة ومَن في طبقتهم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ذلك أنّ الأُمّة الإسلامية قد احتفلت بالمولد النبوي عبر قرون، وكم من مسألة لم يذكرها الأئمة الأربعة ومَن في طبقتهم استدركها المتأخّرون، ولو كان الملاك في الحل والحرمة كلمة الأئمة الماضين فقط، لشُلّ الفقه عن الاستجابة لمتطلبات العصر وإعطاء الحكم الشرعي للمسائل المستحدثة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هذه البدعة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في زمن المماليك في القرون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تخرص ورمي بالقول بلا دليل، وإن ذكره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صحّته فقد اعتمدوا على الأُصول القرآنيّة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لاشك في فضل رسول اللّه صلى الله عليه و آله وإنّما النقاش في تخصيص يوم بعينه لذلك، واعتقاد أنّ له مزية عند اللّه وفضل، تعظم فيه العبادة والمحبة والذكر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يتقربون إلى اللّه بنفس الاحتفال، وأمّا تخصيص يوم خاص مع جواز الاحتفال في عامة الأيّام فإنّما هو لأجل مناسبة ظهور هذا النور المبارك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المعترض يعود إلى نقد أدلّة القائلين بجواز الاحتفال بالنحو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مَن يحتج بقول بعض العلماء المتأخّرين في إباحته فالكلام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العالم ليس دليلاً شرعياً يُحتجّ به وتجب متابعته، بل هو اجتهاد منه، فإن وافق الكتاب والسنة كان صواباً، وإن خالفهما كان خطأً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وجود التناقض بين قوله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يعرف الترخيص من الأئمة المتبوعين الأربعة ومَن في طبقتهم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هذا، بأنّ كلام العالم ليس دليلاً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فنسأله كيف تحتج بقول الأئمة الأربعة ومَن في طبقتهم وهم كانوا من العلماء، ومع ذلك تسلب الاعتماد من قول العلماء في هذا المقام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العالم ليس دليلاً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العبرة في معرفة الحق مجموع أقوال الأئمة المتقدّمين أهل القرون الفاضلة الذين أثنى الرسول صلى الله عليه و آله عليهم، لا في كلام المتأخّرين الذين تكثر مخالفتهم للسلف الصالح بسبب طروء المذاهب المحدثة وتغيّر بعض المذاهب</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عن الأحداث المؤلمة والمصائب الجليلة التي أصابت قلب الأُمّة الإسلامية خلال الفترة التي يصفها بالقرون الفاضلة، فهل القرون التي حكم فيها بنو أُمية وبنو العباس هي من القرون الفاضلة، وقد دهمت المسلمين حروب طاحنة واستبيحت أعراض الصحابة والتابعين في المدينة المنورة خلال وقعة الحرة عدة أيام، ورميت الكعبة المشرفة بالمنجنيق أيام الحجاج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المأساة الكبرى التي حدثت في القرن الأوّل من قتل ذراري الرسول ومُهج قلبه كالإمام الطاهر الحسين بن علي عليهما السلام وأولاده وأصحابه وما تلته من مجازر دمويّة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واعطف على ما حدث أيّام الأُمويين ما جرى أيام العباسيين وما كان رائجاً من شرب الخمور ومسامرة المغنيات والراقصات الغالب والشائع في بلاط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نتمنّى مَن المجيب أن يفتح عينيه على التاريخ منذ رحلة الرسول صلى الله عليه و آله إلى أن زالت الخلافة العباسية، ليرى خلال هذه الفترة أحداثاً يندى لها الجبين ويدمى لها القلب، فما من سنة خلت من الحرب أو القتل والدمار والتلاعب بالدين، فقد قام المتاجرون بالحديث بوضع الحديث على لسان رسول اللّه صلى الله عليه و آله خلال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القرون الفاضلة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وأدخلوا في السنة الشريفة الإسرائيليات والمسيحيات والمجوسيات، ولم يكتفوا بذلك حتّى تقربوا إلى اللّه سبحانه بسب الصحابي الجليل والإمام الطاهر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أعواد المنابر ستين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 عنك نهباً صيح في حجراته ولكن حديثاً ما حديث الرواحل</w:t>
      </w:r>
    </w:p>
    <w:p>
      <w:pPr>
        <w:pStyle w:val="BookText"/>
        <w:rPr/>
      </w:pPr>
      <w:r>
        <w:rPr>
          <w:rFonts w:ascii="Amiri" w:hAnsi="Amiri" w:eastAsia="Amiri" w:cs="Amiri"/>
          <w:color w:val="111111"/>
          <w:sz w:val="28"/>
          <w:sz w:val="28"/>
          <w:szCs w:val="28"/>
          <w:rtl w:val="true"/>
          <w:lang w:bidi="ar-SA"/>
        </w:rPr>
        <w:t xml:space="preserve">ومع غض النظر عمّا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شقشقة هدرت ثم قرّت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يرمي المجيب المتأخّرين بكثرة مخالفتهم للسلف الصالح، وهل السلف الصالح معصومون من 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عامة المتأخّرين على غرار ما ذكره، فلِمَ يستثنى منهم ابن تيمية وابن القيّم، ويُضفى عليهما ثوب العصمة، حيث يُحتج بقولهما في عامة المواضع من دون نقد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من نشأ في بيئة التصوف كان معظماً لأهل التصوف، ومن نشأ في بيئة التشيّع صار معظماً لأئمة الشيعة، ومن نشأ في بيئة الخوارج كان معظماً لأئمتهم</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مَن نشأ في بيئة السلفيين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وبالأخص ما ينسبه ابن تيمية إلى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معظماً لهم فما هو الفرق يا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أن يكون الأخير على الصراط المستقيم والباقون على الضلال المبين‌؟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باب التقرب إلى اللّه مبناه على التوقيف الشرعي والتقيّد بقيود الشرع، وليس مبناه على الاستحسان والاجتهاد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مَن يتقرب إلى اللّه بتلاوة آياته الواردة في فضائله صلى الله عليه و آله، وما في السنة النبوية من الإشادة بمنزلته ينطلق من الكتاب والسنّة لا من الاستحسان والاجتهاد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العسير جداً على الإنسان أن يخالف ما نشأ عليه في مذهب قومه وآبائه وأجداده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صحيح ولكن لا يشذّ منه صاحب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متأثر ببيئته ومذهب آبائه وأجداده وقومه، فما هووجه التفريق بينه وبين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فاللائق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يتّهم الآخرين بتقليد الآباء والأجداد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يتّهم نفسه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رجال كسروا قيد التقليد ونظروا إلى الحقائق ببصيرة وتجرد عن عقائدهم المسبقة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سبحانه الهداية لنا ولصاحب المقال، ولكلّ إنسان يتحرّى الحق والحقيقة ويتجرّد عن العصبية ويتّبع الحق لأجله، انّه سبحانه على الإجابة لقدير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869" w:name="pg16768_165613"/>
    </w:p>
    <w:p>
      <w:pPr>
        <w:pStyle w:val="Heading3"/>
        <w:numPr>
          <w:ilvl w:val="2"/>
          <w:numId w:val="1"/>
        </w:numPr>
        <w:rPr/>
      </w:pPr>
      <w:bookmarkStart w:id="870" w:name="__RefHeading___Toc6864036_73709187"/>
      <w:bookmarkStart w:id="871" w:name="_Toc325"/>
      <w:bookmarkEnd w:id="869"/>
      <w:bookmarkEnd w:id="870"/>
      <w:r>
        <w:rPr/>
        <w:t>8</w:t>
      </w:r>
      <w:r>
        <w:rPr>
          <w:rtl w:val="true"/>
        </w:rPr>
        <w:t xml:space="preserve"> </w:t>
      </w:r>
      <w:r>
        <w:rPr>
          <w:rtl w:val="true"/>
        </w:rPr>
        <w:t>رسالة إلى أحد أعلام التقريب من أهل السنّة حول تكفير اتباع أهل البيت عليهم السلام من قبل بعض الخطباء والوعاظ</w:t>
      </w:r>
      <w:bookmarkEnd w:id="871"/>
    </w:p>
    <w:p>
      <w:pPr>
        <w:pStyle w:val="BookText"/>
        <w:rPr/>
      </w:pPr>
      <w:r>
        <w:rPr>
          <w:rFonts w:ascii="Amiri" w:hAnsi="Amiri" w:eastAsia="Amiri" w:cs="Amiri"/>
          <w:color w:val="111111"/>
          <w:sz w:val="28"/>
          <w:sz w:val="28"/>
          <w:szCs w:val="28"/>
          <w:rtl w:val="true"/>
          <w:lang w:bidi="ar-SA"/>
        </w:rPr>
        <w:t xml:space="preserve">يتعرّض أتباع أهل البيت عليهم السلام في هذه الأيام إلى هجمة شرسة من قبل بعض الوعّاظ وخطباء الجمعة والجماعات ومجموعة مشبوهة قليلة البضاعة في العلم والتقوى في بعض دول المنطقة، وقد بثثنا شكوانا إلى أحد العلماء الأعلام ودعاة الوحدة والتقريب من أهل السنّة، وذلك في رسالة جوابيه بمناسبة حلول عيد الفطر المبارك، وقد أبدينا أسفنا من تصريحات هؤلاء الخطباء وذكرنا بأنّ مكة والمدينة مدينتان مقدّستان تعدّان من أبرز مراكز الوحدة والتقريب بين المسلمين ولكنّنا نلاحظ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خطباء المنابر ووعّاظ السلاطين يتّهمون فئة كبيرة من المسلمين بالشرك والكفر، من غير أن يعرفوا المعيار الحقيقي للتوحيد والشرك، وأنّ ميزان التوحيد والشرك ليس ألعوبة بأيديهم حتى يطعنوا ويتّهموا الآخرين حسب ما تشتهيه نفوسهم المريضة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وصلت رسالتنا إلى هذا العلم العيّلم وقد أبدى تعاطف معنا في هذه المسألة 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العالم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بفقهائه العظام وعلمائه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يعاني من هذا الخط التكفيري وإنّ غالبية هؤلاء الخطباء والوعاظ هم من أنصاف المتعلمين الذين يكون ضررهم أكثر من نفعهم</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ونقدّم إليكم نص الرسالتين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سماحة الأُستاذ الفاضل 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اللّه تعالى</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 xml:space="preserve">وصلني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كتابكم المتضمن تبريكاتكم بمناسبة حلول عيد الفطر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سبحانه أن يعيد هذا الشهر المبارك عليكم وعلى من والاكم، في السنين القادمة بالصحة والعافية، ويوفقكم لصيامه وقيامه وأداء فرائضه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أرجو من اللّه سبحانه أن يجمع ببنانكم وبيانكم كلمة المسلمين وأن ينجيهم من الاختلاف والفرقة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وإنّ الذكر الحكيم كلما ذكر الوحدة يمدحها، وكلما ذكر الفرقة ذمها ونهى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الْقادِرُ عَلى أَنْ يَبْعَثَ عَلَيْكُمْ عَذاباً مِنْ فَوْقِكُمْ أَوْ مِنْ تَحْتِ أَرْجُلِكُمْ أَوْ يَلْبِسَكُمْ شِيَعاً</w:t>
      </w:r>
      <w:r>
        <w:rPr>
          <w:rFonts w:eastAsia="Amiri" w:cs="Amiri" w:ascii="Amiri" w:hAnsi="Amiri"/>
          <w:color w:val="111111"/>
          <w:sz w:val="28"/>
          <w:szCs w:val="28"/>
          <w:rtl w:val="true"/>
          <w:lang w:bidi="ar-SA"/>
        </w:rPr>
        <w:t xml:space="preserve">) </w:t>
      </w:r>
      <w:r>
        <w:rPr>
          <w:rStyle w:val="FootnoteAnchor"/>
          <w:rtl w:val="true"/>
        </w:rPr>
        <w:footnoteReference w:id="900"/>
      </w:r>
      <w:r>
        <w:rPr>
          <w:rFonts w:ascii="Amiri" w:hAnsi="Amiri" w:eastAsia="Amiri" w:cs="Amiri"/>
          <w:color w:val="111111"/>
          <w:sz w:val="28"/>
          <w:sz w:val="28"/>
          <w:szCs w:val="28"/>
          <w:rtl w:val="true"/>
          <w:lang w:bidi="ar-SA"/>
        </w:rPr>
        <w:t>فاللّه سبحانه قد جعل تفرق المسلمين إلى فرق وشيع عِدْلاً لنزول العذاب من الفوق أو التحت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مكة المكرمة بلد التوحيد والوحدة لأنّها مهوى قلوب المسلمين كافة، فمنبرها وخطيبها يجب أن يكونا داعية إلى توحيد الكلمة، وكلمة التوحيد، إلّاأنّنا ومع الأسف نرى أنّ خطب الجمعات أصبحت داعية للتفريق والتكفير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سبحانه أن يرزقنا الطريق لتوحيد الكلمة كما رزقنا نعمة كلمة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وفقكم اللّه لكم خير</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من شوال المكرم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الإجابة على الرسالة</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عناية مؤسسة الإمام الصادق رضي اللّه عنه</w:t>
      </w:r>
    </w:p>
    <w:p>
      <w:pPr>
        <w:pStyle w:val="BookText"/>
        <w:rPr/>
      </w:pPr>
      <w:r>
        <w:rPr>
          <w:rFonts w:ascii="Amiri" w:hAnsi="Amiri" w:eastAsia="Amiri" w:cs="Amiri"/>
          <w:color w:val="111111"/>
          <w:sz w:val="28"/>
          <w:sz w:val="28"/>
          <w:szCs w:val="28"/>
          <w:rtl w:val="true"/>
          <w:lang w:bidi="ar-SA"/>
        </w:rPr>
        <w:t>سماحة العلّامة آية اللّه العظمى جعفر السبحاني يحفظه اللّه</w:t>
      </w:r>
    </w:p>
    <w:p>
      <w:pPr>
        <w:pStyle w:val="BookText"/>
        <w:rPr/>
      </w:pPr>
      <w:r>
        <w:rPr>
          <w:rFonts w:ascii="Amiri" w:hAnsi="Amiri" w:eastAsia="Amiri" w:cs="Amiri"/>
          <w:color w:val="111111"/>
          <w:sz w:val="28"/>
          <w:sz w:val="28"/>
          <w:szCs w:val="28"/>
          <w:rtl w:val="true"/>
          <w:lang w:bidi="ar-SA"/>
        </w:rPr>
        <w:t>مدير مؤسسة الإمام الصادق رضي اللّه عنه</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بكل الإجلال والتقدير لسماحتكم تسلّمتُ رسالتكم الكريمة عبْر الفاكس سائلاً المولى الكريم أن يمنَّ عليكم بدوام الصحة والتوفيق وأن يُعيد على الأُمّة الإسلامية هذه المناسبات الكريمة بالعز والنصر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وصلتني رسالتكم الكريمة وما ضمّنتموها من نتائج الاختلاف والفرقة وما تجني على الأُمّة هو الواقع المؤلم الّذي تعيشه الأُمّة، والأمر منوط بحكّامها وعلمائها، ومن يدرك هذا ويعمل على إزالته قليل ونادر ولكنها الأمانة والمسؤولية وكل يعمل في حدود طاقاته وإمكاناته، والتعليم في الحلقات العلمية والحوزات ومؤسسات التعليم، والاجتماعات الخاصة فالكل مسؤول أمام المولى عز وجل، أمّا الخطاب في الجمعات فالمعروف أنّ غالبية هؤلاء الخطباء والمتصدّين للوعظ أنصاف المتعلمين، ضررهم أكثر من نفعهم، ولن يفضّ هذا الإشكال إلّاولاة الأمر في البلاد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اللّه ليزع بالسلطان ما لا يزع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أدامكم اللّه وسدّد خطاكم، الدعاء لسماحتكم والشكر</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الإمضاء</w:t>
      </w:r>
      <w:bookmarkStart w:id="872" w:name="pg16768_165616"/>
    </w:p>
    <w:p>
      <w:pPr>
        <w:pStyle w:val="Heading3"/>
        <w:numPr>
          <w:ilvl w:val="2"/>
          <w:numId w:val="1"/>
        </w:numPr>
        <w:rPr/>
      </w:pPr>
      <w:bookmarkStart w:id="873" w:name="__RefHeading___Toc6864038_73709187"/>
      <w:bookmarkStart w:id="874" w:name="_Toc326"/>
      <w:bookmarkEnd w:id="872"/>
      <w:bookmarkEnd w:id="873"/>
      <w:r>
        <w:rPr/>
        <w:t>9</w:t>
      </w:r>
      <w:r>
        <w:rPr>
          <w:rtl w:val="true"/>
        </w:rPr>
        <w:t xml:space="preserve"> </w:t>
      </w:r>
      <w:r>
        <w:rPr>
          <w:rtl w:val="true"/>
        </w:rPr>
        <w:t>إدانة مثيري الفتنة</w:t>
      </w:r>
      <w:bookmarkEnd w:id="874"/>
    </w:p>
    <w:p>
      <w:pPr>
        <w:pStyle w:val="BookText"/>
        <w:rPr/>
      </w:pPr>
      <w:r>
        <w:rPr>
          <w:rFonts w:ascii="Amiri" w:hAnsi="Amiri" w:eastAsia="Amiri" w:cs="Amiri"/>
          <w:color w:val="111111"/>
          <w:sz w:val="28"/>
          <w:sz w:val="28"/>
          <w:szCs w:val="28"/>
          <w:rtl w:val="true"/>
          <w:lang w:bidi="ar-SA"/>
        </w:rPr>
        <w:t>بلغنا نبأ الاحتفال الذي أُقيم في لندن حول زوجة الرسول صلى الله عليه و آله، فإذا صحّ ذلك، وصحّ أنّه أُلقيت فيه كلمات تضمّنت ألفاظاً نابية، فإنّنا ندعو، انطلاقاً من مسؤوليتنا الرسالية والأخلاقية، جميع المسلمين إلى الاهتمام بقضاياهم المصيرية، ومواجهة التحدّيات والأخطار التي تتهدّدهم، لا سيما الخطر الصهيوني المدمّر، وإلى العمل الدؤوب على تعزيز التعاون والتضامن بينهم، من خلال التأكيد على ما يجمعهم من مشتركات، وما أكثرها، وتجنّب إثارة كل ما من شأنه أن يثير الخلاف، ويؤجّج النزاع بينهم، والكفّ عن كل التصرفات التي تسيء إلى الهدف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الإسلامية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إذ ندين ما يصدر من هنا وهناك من أقوال وأفعال لا تنسجم مع الإسلام في أهدافه وروحه وخلقه، فإننا نُهيب بالعلماء الواعين وبالمثقفين الحريصين على أُمّتهم، أن يضعوا، عبر الحوارات واللقاءات المشتركة، حلولاً ناجعة لما تعانيه أُمّتنا من تمزّق وتشرذم، وأن يقفوا موقفاً صريحاً ومسؤولاً، لكي يحسموا مادة النزاع وأصل الداء، من ظاهرة التكفير و الاتّهام بالشرك والابتداع التي تتبناها بعض المؤسسات الدينية، وأن يعلنوا عن شجبهم واستنكارهم</w:t>
      </w:r>
    </w:p>
    <w:p>
      <w:pPr>
        <w:pStyle w:val="BookText"/>
        <w:rPr/>
      </w:pPr>
      <w:r>
        <w:rPr>
          <w:rFonts w:ascii="Amiri" w:hAnsi="Amiri" w:eastAsia="Amiri" w:cs="Amiri"/>
          <w:color w:val="111111"/>
          <w:sz w:val="28"/>
          <w:sz w:val="28"/>
          <w:szCs w:val="28"/>
          <w:rtl w:val="true"/>
          <w:lang w:bidi="ar-SA"/>
        </w:rPr>
        <w:t>للحملة الإعلامية الشعواء التي تشنّ ضد أتباع أئمة أهل البيت عليهم السلام، من قبل بعض القنوات الفضائية المقيتة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في السكوت والوقوف موقف المتفرّج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التحريض وشحن النفوس بالحقد والبغضاء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 ما يحدث لشيعة أهل البيت لا سيما في العراق وباكستان من مجازر دموية رهيبة، يذهب ضحيّتها الآلاف منهم بغير حقّ‌، إنّ السكوت عن ذلك يعدّ جريمة كبرى، وتشجيعاً للمتشدّدين على التخبّط أكثر في الظلام، وعلى ارتكاب المزيد من الجرائم وعمليات القتل الجماعي، والمزيد من ردود الأفعال السلبيّة والتصرّفات غير اللائقة، وكلّ ذلك لا يخدم ما يهدف إليه المخلصون الواعون في أُمّتنا من دعوة المسلمين جميعاً إلى الاعتصام بحبل اللّه تعالى، ومدّ جسور الثقة بينهم، ونبذ الخلاف والفرقة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فَسَيَرَى اللّهُ عَمَلَكُمْ وَ رَسُولُهُ وَ الْمُؤْمِنُونَ‌</w:t>
      </w:r>
      <w:r>
        <w:rPr>
          <w:rFonts w:eastAsia="Amiri" w:cs="Amiri" w:ascii="Amiri" w:hAnsi="Amiri"/>
          <w:color w:val="111111"/>
          <w:sz w:val="28"/>
          <w:szCs w:val="28"/>
          <w:rtl w:val="true"/>
          <w:lang w:bidi="ar-SA"/>
        </w:rPr>
        <w:t>)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أمّا بالنسبة إلى موقف الشيعة من قضية الإفك، فهو ماذكره شيخنا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أراد من إخواننا السنّة الوقوف على رأي علماء الشيعة، فليرجع إليه</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المشرفة</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 شهر شوال المكرّم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875" w:name="pg16768_165618"/>
    </w:p>
    <w:p>
      <w:pPr>
        <w:pStyle w:val="Heading3"/>
        <w:numPr>
          <w:ilvl w:val="2"/>
          <w:numId w:val="1"/>
        </w:numPr>
        <w:rPr/>
      </w:pPr>
      <w:bookmarkStart w:id="876" w:name="__RefHeading___Toc6864040_73709187"/>
      <w:bookmarkStart w:id="877" w:name="_Toc327"/>
      <w:bookmarkEnd w:id="875"/>
      <w:bookmarkEnd w:id="876"/>
      <w:r>
        <w:rPr/>
        <w:t>10</w:t>
      </w:r>
      <w:r>
        <w:rPr>
          <w:rtl w:val="true"/>
        </w:rPr>
        <w:t xml:space="preserve"> </w:t>
      </w:r>
      <w:r>
        <w:rPr>
          <w:rtl w:val="true"/>
        </w:rPr>
        <w:t>إدانة إهانة القرآن الكريم في أمريكا</w:t>
      </w:r>
      <w:bookmarkEnd w:id="877"/>
    </w:p>
    <w:p>
      <w:pPr>
        <w:pStyle w:val="BookText"/>
        <w:rPr/>
      </w:pPr>
      <w:r>
        <w:rPr>
          <w:rFonts w:ascii="Amiri" w:hAnsi="Amiri" w:eastAsia="Amiri" w:cs="Amiri"/>
          <w:color w:val="111111"/>
          <w:sz w:val="28"/>
          <w:sz w:val="28"/>
          <w:szCs w:val="28"/>
          <w:rtl w:val="true"/>
          <w:lang w:bidi="ar-SA"/>
        </w:rPr>
        <w:t xml:space="preserve">نص البيان الذي صدر من مكتب سماحة آية اللّه العظمى الشيخ جعفر السبحاني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مستنكراً فيه جريمة إهانة القرآن الكريم من قبل مثيري الفتن والغوغاء في آمريكا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إنّ احترام الأديان والمذاهب والمقدّسات هو أحد البنود الهامة التي أكّد عليها ميثاق حقوق الإنسان الصادر عن منظمة الأُمم المتحدّة، والموقّع عليه من قبل كافة رؤساء دول العالم الأعضاء في هذه المنظمة العالمية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أنّنا نرى في الأيام الأخيرة أنّ هذا الأصل الهام قد أصبح عرضة للانتهاك والخرق بحجّة حرية التعبير عن الرأي، التي يتذرع بها البعض لهتك حرمة المقدّسات الدينية لمليارات المتديّنين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الجريمة الأخيرة التي تتمثّل بهتك حرمة القرآن المجيد ووصفه بأنّه كتاب حرب والإقدام على حرقه وتمزيقه قد حدثت على أرض دولة تعد مضيّفاً لمنظمة الأُمم المتحدة، وتحسب نفسها حارسة لحقوق البشر، ومهد الحرية والديمقراطية</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ما انتشرت أخبار نيّة البعض القيام بهذه الجريمة حذّر الكثير من</w:t>
      </w:r>
    </w:p>
    <w:p>
      <w:pPr>
        <w:pStyle w:val="BookText"/>
        <w:rPr/>
      </w:pPr>
      <w:r>
        <w:rPr>
          <w:rFonts w:ascii="Amiri" w:hAnsi="Amiri" w:eastAsia="Amiri" w:cs="Amiri"/>
          <w:color w:val="111111"/>
          <w:sz w:val="28"/>
          <w:sz w:val="28"/>
          <w:szCs w:val="28"/>
          <w:rtl w:val="true"/>
          <w:lang w:bidi="ar-SA"/>
        </w:rPr>
        <w:t>المفكّرين والسياسيين والعلماء من خطورة الإقدام على مثل هذه الأعمال المخالفة لكافة الأُصول الإنسانية والقوانين العالمية، ولكن وممّا يؤسف له أقدمت زمرة من الأذناب والمجهولين ومقابل البيت الأبيض مركز الحكومة الأمريكية على إهانة المصحف الشريف وتمزيقه، ولم يمنع هؤلاء الشرذمة، مسؤول حكومي ولا حتى الشرطة المتواجدين في ذلك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نشك نحن ولا يشك أيضاً ذو مسكة من عقل أنّ هؤلاء الأشرار إنّما قاموا بعملهم هذا بإذن خاص من رؤوسائهم والذين يؤيدونهم من وراء الستار، ولولا ذلك لما تجرّأوا وأقدموا على هذا العمل الشنيع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القائمين بهذا العمل والمؤيدين له قد أصبحوا منبوذين ومكروهين من قبل أتباع كافة الأديان السماوية الذين استنكروا هذه الجريمة، لأنّ هؤلاء لم يهتكوا حرمة القرآن الكريم فقط بل تعدّوا على حرمة نبي اللّه عيسى المسيح عليه السلام الذي ذكره الذكر الحكيم بأنّه قدوة البشر، ووصفت أُمّه مريم العذراء فيه بأنّها صدّيقة وأنّ اللّه اصطفاها وطهّرها وفضلها على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وراء هذه الأعمال نوايا شريرة منها زرع التفرقة بين المسيحيين والمسلمين وإغراء بعضهم ببعض وإثارة نار الحقد والكراهية والشحناء في أوساطهم حتى تستعر نار الحروف والخلافات والقتال بين الشعوب والدول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للقرآن المجيد مكانة عظيمة وجليلة في قلوب مليارد ونصف مسلم، وأنّ عمل هؤلاء النوكى لم ينقص من مكانة القرآن وجلالته شيئاً، بل على العكس أثبت خفة عقلهم وشذوذ أفكارهم، ذلك أنّ اللّه قد تكفّل بحفظ هذا الكتاب العزيز وضمن سلامته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قام علماء الأُمّة ومفكّروها باستنكار هذه الجريمة، فالواجب على حكّام الدول الإسلامية وقادتها السياسيين مواجهة هذه الإهانة وأن لا يكتفوا بإصدار بيانات الاستنكار اللفظية، بل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حفاظاً لكرامة مقدّساتهم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الإقدام بعمل جدّي يؤثر على سياسة المجرمين واقتصادهم ومنافعهم، بتخفيض التمثيل</w:t>
      </w:r>
    </w:p>
    <w:p>
      <w:pPr>
        <w:pStyle w:val="BookText"/>
        <w:rPr/>
      </w:pPr>
      <w:r>
        <w:rPr>
          <w:rFonts w:ascii="Amiri" w:hAnsi="Amiri" w:eastAsia="Amiri" w:cs="Amiri"/>
          <w:color w:val="111111"/>
          <w:sz w:val="28"/>
          <w:sz w:val="28"/>
          <w:szCs w:val="28"/>
          <w:rtl w:val="true"/>
          <w:lang w:bidi="ar-SA"/>
        </w:rPr>
        <w:t>الدبلوماسي وتقليل التبادل التجاري ومقاطعة المنتجات الاقتصادية، وغير ذلك من الأساليب التي تحدّ من تكرار أمثال هذه الأعمال المشينة، ولولا ذلك فسوف تستمر هذه الأعمال، ويتجرّأ أعداء اللّه والقرآن أكثر، ويقدموا على أعمال أقبح وأشنع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نداؤنا الأخير لكافّة المؤمنين و رؤساء الدول الإسلامية أن يتوكّلوا على اللّه سبحانه وأن ينصروا اللّه ورسوله ويجعلوا نصب أعينهم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يَنْصُرْكُمْ وَ يُثَبِّتْ أَقْدامَكُمْ‌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نطالب المسلمين كافّة التمسّك بوحدة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من شوال المكرم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878" w:name="pg16768_165621"/>
    </w:p>
    <w:p>
      <w:pPr>
        <w:pStyle w:val="Heading3"/>
        <w:numPr>
          <w:ilvl w:val="2"/>
          <w:numId w:val="1"/>
        </w:numPr>
        <w:rPr/>
      </w:pPr>
      <w:bookmarkStart w:id="879" w:name="__RefHeading___Toc6864042_73709187"/>
      <w:bookmarkStart w:id="880" w:name="_Toc328"/>
      <w:bookmarkEnd w:id="878"/>
      <w:bookmarkEnd w:id="879"/>
      <w:r>
        <w:rPr/>
        <w:t>11</w:t>
      </w:r>
      <w:r>
        <w:rPr>
          <w:rtl w:val="true"/>
        </w:rPr>
        <w:t xml:space="preserve"> </w:t>
      </w:r>
      <w:r>
        <w:rPr>
          <w:rtl w:val="true"/>
        </w:rPr>
        <w:t>رسالة إلى الدكتور الشيخ أحمد الطيب شيخ الأزهر</w:t>
      </w:r>
      <w:bookmarkEnd w:id="880"/>
    </w:p>
    <w:p>
      <w:pPr>
        <w:pStyle w:val="BookText"/>
        <w:rPr/>
      </w:pPr>
      <w:r>
        <w:rPr>
          <w:rFonts w:ascii="Amiri" w:hAnsi="Amiri" w:eastAsia="Amiri" w:cs="Amiri"/>
          <w:color w:val="111111"/>
          <w:sz w:val="28"/>
          <w:sz w:val="28"/>
          <w:szCs w:val="28"/>
          <w:rtl w:val="true"/>
          <w:lang w:bidi="ar-SA"/>
        </w:rPr>
        <w:t>سماحة الدكتور الشيخ أحمد الطيب شيخ الأزهر الشريف المحترم</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وبعد؛ فقد اطّلعنا على موقفكم الرسالي بالنسبة إلى عامّة الفرق الإسلامية وبينها المذهب الشيعي الإمامي، فسررنا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موقفكم هذا قد سبقكم إليه رجال مخلصون من الشيعة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تذكرون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رأسهم الحاج حسين البروجردي المرجع الأعلى للشيعة في عصره، والشيخ محمود شلتوت شيخ الأزهر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فأنتم خير خلف لهما ولجماعة دار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أنّ الأُمّة الإسلامية أُمّة واحدة كما سمّاهم اللّه سبحانه، إذ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أُمَّتُكُمْ أُمَّةً واحِدَةً وَ أَنَا رَبُّكُمْ فَاعْبُدُونِ‌</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 ولو اختلف علماؤهم فيما روي عن النبي، ولكنّهم لم يختلفوا في نبيهم، وهذه فضيلة رابية للمسلمين عامّة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الأجواء الشائكة التي يسعى فيها العدو لإشعال نار الفرقة وتأجيج الخلاف بين الفرق الإسلامية عن طريق وسائل الإعلام المختلفة يجب على صالحي المؤمنين ودعاة التقريب السعي إلى تقريب الخطى وتعزيز الوحدة</w:t>
      </w:r>
    </w:p>
    <w:p>
      <w:pPr>
        <w:pStyle w:val="BookText"/>
        <w:rPr/>
      </w:pPr>
      <w:r>
        <w:rPr>
          <w:rFonts w:ascii="Amiri" w:hAnsi="Amiri" w:eastAsia="Amiri" w:cs="Amiri"/>
          <w:color w:val="111111"/>
          <w:sz w:val="28"/>
          <w:sz w:val="28"/>
          <w:szCs w:val="28"/>
          <w:rtl w:val="true"/>
          <w:lang w:bidi="ar-SA"/>
        </w:rPr>
        <w:t>الإسلامية تحت ظل الاعتقاد برب واحد وكتاب واحد ورسول واحد وقبلة واحدة وشريعة موحدّة، وبها وبأمثالها يصدق بحقنا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يجمعنا أكثر مما يفرقنا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الشاعر المفلق الأزهري محمد عبد الغني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لتجمعنا العقيدة أُمّةً ويضمنا دين الهدى أتباعا</w:t>
      </w:r>
    </w:p>
    <w:p>
      <w:pPr>
        <w:pStyle w:val="BookText"/>
        <w:rPr/>
      </w:pPr>
      <w:r>
        <w:rPr>
          <w:rFonts w:ascii="Amiri" w:hAnsi="Amiri" w:eastAsia="Amiri" w:cs="Amiri"/>
          <w:color w:val="111111"/>
          <w:sz w:val="28"/>
          <w:sz w:val="28"/>
          <w:szCs w:val="28"/>
          <w:rtl w:val="true"/>
          <w:lang w:bidi="ar-SA"/>
        </w:rPr>
        <w:t>ويؤلف الإسلام بين قلوبنا مهما ذهبنا في الهوى أشياعا</w:t>
      </w:r>
    </w:p>
    <w:p>
      <w:pPr>
        <w:pStyle w:val="BookText"/>
        <w:rPr/>
      </w:pPr>
      <w:r>
        <w:rPr>
          <w:rFonts w:ascii="Amiri" w:hAnsi="Amiri" w:eastAsia="Amiri" w:cs="Amiri"/>
          <w:color w:val="111111"/>
          <w:sz w:val="28"/>
          <w:sz w:val="28"/>
          <w:szCs w:val="28"/>
          <w:rtl w:val="true"/>
          <w:lang w:bidi="ar-SA"/>
        </w:rPr>
        <w:t>وفّقكم اللّه تعالى لنصرة الإسلام، وسدّد خطاكم على طريق التضامن والتكاتف بين المسلمين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المشرفة</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الحرام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881" w:name="pg16768_165623"/>
    </w:p>
    <w:p>
      <w:pPr>
        <w:pStyle w:val="Heading2"/>
        <w:numPr>
          <w:ilvl w:val="1"/>
          <w:numId w:val="1"/>
        </w:numPr>
        <w:rPr/>
      </w:pPr>
      <w:bookmarkStart w:id="882" w:name="__RefHeading___Toc6864044_73709187"/>
      <w:bookmarkStart w:id="883" w:name="_Toc329"/>
      <w:bookmarkEnd w:id="881"/>
      <w:bookmarkEnd w:id="882"/>
      <w:r>
        <w:rPr>
          <w:rtl w:val="true"/>
        </w:rPr>
        <w:t>الفصل الرابع</w:t>
      </w:r>
      <w:r>
        <w:rPr>
          <w:rtl w:val="true"/>
        </w:rPr>
        <w:t xml:space="preserve">: </w:t>
      </w:r>
      <w:r>
        <w:rPr>
          <w:rtl w:val="true"/>
        </w:rPr>
        <w:t>في التراجم</w:t>
      </w:r>
      <w:bookmarkEnd w:id="883"/>
    </w:p>
    <w:p>
      <w:pPr>
        <w:pStyle w:val="Heading3"/>
        <w:numPr>
          <w:ilvl w:val="2"/>
          <w:numId w:val="1"/>
        </w:numPr>
        <w:rPr/>
      </w:pPr>
      <w:bookmarkStart w:id="884" w:name="__RefHeading___Toc6864046_73709187"/>
      <w:bookmarkStart w:id="885" w:name="_Toc330"/>
      <w:bookmarkEnd w:id="884"/>
      <w:r>
        <w:rPr>
          <w:rtl w:val="true"/>
        </w:rPr>
        <w:t>اشارة</w:t>
      </w:r>
      <w:bookmarkEnd w:id="8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البرقي وأثره الرجالي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القمي 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مكانته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المحدّث الكليني وأثره الخالد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 وآثاره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ميثم البحراني عالم رباني وفيلسوف إلهي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بزرگ الطهراني وطبقات أعلام الشيعة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محمد محمدصادق الصدر رجل العلم والجهاد</w:t>
      </w:r>
      <w:bookmarkStart w:id="886" w:name="pg16768_165625"/>
    </w:p>
    <w:p>
      <w:pPr>
        <w:pStyle w:val="Heading3"/>
        <w:numPr>
          <w:ilvl w:val="2"/>
          <w:numId w:val="1"/>
        </w:numPr>
        <w:rPr/>
      </w:pPr>
      <w:bookmarkStart w:id="887" w:name="__RefHeading___Toc6864048_73709187"/>
      <w:bookmarkStart w:id="888" w:name="_Toc331"/>
      <w:bookmarkEnd w:id="886"/>
      <w:bookmarkEnd w:id="887"/>
      <w:r>
        <w:rPr/>
        <w:t>1</w:t>
      </w:r>
      <w:r>
        <w:rPr>
          <w:rtl w:val="true"/>
        </w:rPr>
        <w:t xml:space="preserve"> </w:t>
      </w:r>
      <w:r>
        <w:rPr>
          <w:rtl w:val="true"/>
        </w:rPr>
        <w:t>البرقي وأثره الرجالي</w:t>
      </w:r>
      <w:bookmarkEnd w:id="888"/>
    </w:p>
    <w:p>
      <w:pPr>
        <w:pStyle w:val="Heading4"/>
        <w:numPr>
          <w:ilvl w:val="3"/>
          <w:numId w:val="1"/>
        </w:numPr>
        <w:rPr/>
      </w:pPr>
      <w:bookmarkStart w:id="889" w:name="__RefHeading___Toc6864050_73709187"/>
      <w:bookmarkStart w:id="890" w:name="_Toc332"/>
      <w:bookmarkEnd w:id="889"/>
      <w:r>
        <w:rPr>
          <w:rtl w:val="true"/>
        </w:rPr>
        <w:t>اشارة</w:t>
      </w:r>
      <w:bookmarkEnd w:id="890"/>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وخاتم رسله محمد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يبحث عن أحوال رواة الحديث التي لها دخل في قبول روايتهم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أصبح في هذه الأيام من مبادئ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ينكر هذه الحقيقة إلّامَن لم يمارس الفقه ولم يطّلع على دور السنّة في استنباط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الخبر المتواتر، بل المستفيض قليل، وهما لا يكفيان لاستنباط جميع الأحكام الشرعية، فالمهم هو الخبر الواحد، فالحجّة إمّا قول الثقة، أو الخبر الموثوق صدوره وإن لم تحرز وثاقة الراوي، وعلى كلا التقديرين فتمييز الثقة عن غيره، أو جمع القرائن على كون الخبر موثوق الصدور، رهن الخوض في أحوال الرواة وتحديد مدى وثاقتهم وضبطهم، وممارستهم للحديث، إلى غير ذلك من الأُمور التي يتبنّاها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للمؤلّفين في هذا العلم منهجين رئيسيّين</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أسماء الرواة حسب الحروف الهجائية، وذكر خصوصيات الراوي، من دون أن تُذكر طبقة الراوي وعصره والمشايخ الذين</w:t>
      </w:r>
    </w:p>
    <w:p>
      <w:pPr>
        <w:pStyle w:val="BookText"/>
        <w:rPr/>
      </w:pPr>
      <w:r>
        <w:rPr>
          <w:rFonts w:ascii="Amiri" w:hAnsi="Amiri" w:eastAsia="Amiri" w:cs="Amiri"/>
          <w:color w:val="111111"/>
          <w:sz w:val="28"/>
          <w:sz w:val="28"/>
          <w:szCs w:val="28"/>
          <w:rtl w:val="true"/>
          <w:lang w:bidi="ar-SA"/>
        </w:rPr>
        <w:t xml:space="preserve">لقيّهم والتلاميذ الذين أخذوا منه، إلّاقليلاً، وعلى ذلك سلك تقريباً الرجالي النقّاد علي بن أحمد النجاشي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فهرسته المعروف برجال النجاشي، وشيخ الطائفة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فهرسته، وتبعهما مَن جاء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 أسماء الرواة، وجعلهم طبقات حسب أزمانهم، مع سرد أسماء المشايخ الذين أخذوا منهم والتلاميذ الذين رووا عنهم، ويأتي في إطار هذا المنهج، إيراد أصحاب النبي صلى الله عليه و آله، ثم أصحاب الأئمة الاثني عشر عليهم السلام، وفق العصر الّذي عاش فيه كل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لا يُراعى في هذا المنهج ترتيب أسماء كلّ طبقة على حروف الهجاء، كما هو الأمر في كتاب البرقيّ هذا، الّذي عمد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أماكن عديدة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جمع الأسماء المشتركة في محلّ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دراسة أحوال الرواة حسب الطبقات لها ميزة خاصة،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التعرف على طبقة الراوي وزمانه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يكشف المتتبِّع ما في السند من السقط، كما إذا روى من هو في الطبقة الثامنة عمّن هو في الطبقة السادسة ولم يكن الراوي من المعمِّرين، فيستظهر أنّ الواسطة قد سقطت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التعرّف على الطبقات، يوقف الباحث على نقصان السند وكماله، وعلى مشايخ الراوي وتلاميذه، ومدى اهتمامه بالحديث قلّة وكثرة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حسن الحظ أنّ كلا المنهجين كان موجوداً منذ تدوين علم الرجال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ألّف غير واحد من العلماء وفق المنهج الثاني، نشير إلى ما وقفنا عليه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بن خالد بن عبدالرحمن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ترجمه النجاشي في رجاله،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كتباً منها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ما اشتمل عليه من كتب،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الطبقات، كتاب أفاضل الأعمال، كتاب أخص</w:t>
      </w:r>
    </w:p>
    <w:p>
      <w:pPr>
        <w:pStyle w:val="BookText"/>
        <w:rPr/>
      </w:pPr>
      <w:r>
        <w:rPr>
          <w:rFonts w:ascii="Amiri" w:hAnsi="Amiri" w:eastAsia="Amiri" w:cs="Amiri"/>
          <w:color w:val="111111"/>
          <w:sz w:val="28"/>
          <w:sz w:val="28"/>
          <w:szCs w:val="28"/>
          <w:rtl w:val="true"/>
          <w:lang w:bidi="ar-SA"/>
        </w:rPr>
        <w:t>الأعمال، كتاب المساجد الأربعة، كتاب الرجال</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الشيخ الطوسي ما تضمّنه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محمد بن جعفر بن 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ما ذكره هو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الرجال، كتاب الأوائل، كتاب الطب</w:t>
      </w:r>
      <w:r>
        <w:rPr>
          <w:rFonts w:eastAsia="Amiri" w:cs="Amiri" w:ascii="Amiri" w:hAnsi="Amiri"/>
          <w:color w:val="111111"/>
          <w:sz w:val="28"/>
          <w:szCs w:val="28"/>
          <w:rtl w:val="true"/>
          <w:lang w:bidi="ar-SA"/>
        </w:rPr>
        <w:t>...</w:t>
      </w:r>
      <w:r>
        <w:rPr>
          <w:rStyle w:val="FootnoteAnchor"/>
          <w:rtl w:val="true"/>
        </w:rPr>
        <w:footnoteReference w:id="9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بن الحسين بن الحسن بن دؤل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مائة كتاب، ثم عدّ كتبه ومنها كتاب الطبقات</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منه ترتيب الرواة وفقاً لطبقاتهم، حياة وموتاً، أُستاذاً وتلميذاً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عمر بن محمد بن سالم بن البراء التميمي، المعروف بالقاضي الجعابي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 غير واحد من السنة 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 بعد ذكر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القاضي، كان من حفاظ الحديث، وأجلّاء أهل العلم، له كتاب الشيعة من أصحاب الحديث وطبقاتهم، وهو كتاب كبير سمعناه من أبي الحسين محمد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له كتاباً آخر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بغداد وطبقات أصحاب الحديث بها،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بسائر كتبه شيخنا أبو عبداللّه محمد بن محمد بن النعمان رضى الله عنه</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 كتاب الرجال، ويشتمل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أسماء الرجال الذين روَوا عن النبي صلى الله عليه و آله، وعن الأئمة عليهم السلام من بعده إلى زمن القائم عليه السلام، ثم أذكر من تأخّر زمانه عن الأئمة عليهم السلام من رواة الحديث، أو مَن عاصرهم ولم يروِ عنهم،</w:t>
      </w:r>
      <w:bookmarkStart w:id="891" w:name="pg16768_165628"/>
    </w:p>
    <w:p>
      <w:pPr>
        <w:pStyle w:val="BookText"/>
        <w:rPr/>
      </w:pPr>
      <w:bookmarkEnd w:id="891"/>
      <w:r>
        <w:rPr>
          <w:rFonts w:ascii="Amiri" w:hAnsi="Amiri" w:eastAsia="Amiri" w:cs="Amiri"/>
          <w:color w:val="111111"/>
          <w:sz w:val="28"/>
          <w:sz w:val="28"/>
          <w:szCs w:val="28"/>
          <w:rtl w:val="true"/>
          <w:lang w:bidi="ar-SA"/>
        </w:rPr>
        <w:t>وأَرتّب ذلك على حروف المعجم</w:t>
      </w:r>
      <w:r>
        <w:rPr>
          <w:rFonts w:eastAsia="Amiri" w:cs="Amiri" w:ascii="Amiri" w:hAnsi="Amiri"/>
          <w:color w:val="111111"/>
          <w:sz w:val="28"/>
          <w:szCs w:val="28"/>
          <w:rtl w:val="true"/>
          <w:lang w:bidi="ar-SA"/>
        </w:rPr>
        <w:t>...</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إنّ هذا الكتاب الماثل بين يديك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الكتب القيمّة من تراثنا الخالد، وله منزلة رفيعة بين علماء الرجال فلنذكر شيئاً عن رجالات هذا البيت الرفيع ثم نتحدث بعد ذلك عن الكتاب ومؤلّفه</w:t>
      </w:r>
      <w:r>
        <w:rPr>
          <w:rFonts w:eastAsia="Amiri" w:cs="Amiri" w:ascii="Amiri" w:hAnsi="Amiri"/>
          <w:color w:val="111111"/>
          <w:sz w:val="28"/>
          <w:szCs w:val="28"/>
          <w:rtl w:val="true"/>
          <w:lang w:bidi="ar-SA"/>
        </w:rPr>
        <w:t>.</w:t>
      </w:r>
    </w:p>
    <w:p>
      <w:pPr>
        <w:pStyle w:val="Heading4"/>
        <w:numPr>
          <w:ilvl w:val="3"/>
          <w:numId w:val="1"/>
        </w:numPr>
        <w:rPr/>
      </w:pPr>
      <w:bookmarkStart w:id="892" w:name="__RefHeading___Toc6864052_73709187"/>
      <w:bookmarkStart w:id="893" w:name="_Toc333"/>
      <w:bookmarkEnd w:id="892"/>
      <w:r>
        <w:rPr>
          <w:rtl w:val="true"/>
        </w:rPr>
        <w:t>الأوّل</w:t>
      </w:r>
      <w:r>
        <w:rPr>
          <w:rtl w:val="true"/>
        </w:rPr>
        <w:t xml:space="preserve">: </w:t>
      </w:r>
      <w:r>
        <w:rPr>
          <w:rtl w:val="true"/>
        </w:rPr>
        <w:t>محمد بن خالد بن عبدالرحمن البرقي</w:t>
      </w:r>
      <w:bookmarkEnd w:id="893"/>
    </w:p>
    <w:p>
      <w:pPr>
        <w:pStyle w:val="BookText"/>
        <w:rPr/>
      </w:pPr>
      <w:r>
        <w:rPr>
          <w:rFonts w:ascii="Amiri" w:hAnsi="Amiri" w:eastAsia="Amiri" w:cs="Amiri"/>
          <w:color w:val="111111"/>
          <w:sz w:val="28"/>
          <w:sz w:val="28"/>
          <w:szCs w:val="28"/>
          <w:rtl w:val="true"/>
          <w:lang w:bidi="ar-SA"/>
        </w:rPr>
        <w:t>إنّ محمد بن خالد البرقي هو أساس هذا البيت المبارك في قم المشرّفة، وكان كوفياً نزل بقم مع جدّه عبدالرحمن، وقد ترجمه غير واحد من علماء الرجال، وعدّوه من أصحاب موسى بن جعفر والرضا والجواد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بن عبدالرحمن بن محمد بن علي البرقي، أبو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أبي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 إلى برق رود قرية من سواد قم، على واد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أخوة يعرفون بأبي علي الحسن بن خالد، وأبي القاسم الفضل بن خالد، ولابن الفضل ابن يعرف بعلّي بن العلاء بن الفضل بن خالد،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ضعيفاً في الحديث</w:t>
      </w:r>
      <w:r>
        <w:rPr>
          <w:rStyle w:val="FootnoteAnchor"/>
          <w:rtl w:val="true"/>
        </w:rPr>
        <w:footnoteReference w:id="909"/>
      </w:r>
      <w:r>
        <w:rPr>
          <w:rFonts w:ascii="Amiri" w:hAnsi="Amiri" w:eastAsia="Amiri" w:cs="Amiri"/>
          <w:color w:val="111111"/>
          <w:sz w:val="28"/>
          <w:sz w:val="28"/>
          <w:szCs w:val="28"/>
          <w:rtl w:val="true"/>
          <w:lang w:bidi="ar-SA"/>
        </w:rPr>
        <w:t>وكان أديباً حسن المعرفة بالأخبار وعلوم العرب</w:t>
      </w:r>
      <w:r>
        <w:rPr>
          <w:rFonts w:eastAsia="Amiri" w:cs="Amiri" w:ascii="Amiri" w:hAnsi="Amiri"/>
          <w:color w:val="111111"/>
          <w:sz w:val="28"/>
          <w:szCs w:val="28"/>
          <w:rtl w:val="true"/>
          <w:lang w:bidi="ar-SA"/>
        </w:rPr>
        <w:t>.</w:t>
      </w:r>
      <w:r>
        <w:rPr>
          <w:rStyle w:val="FootnoteAnchor"/>
          <w:rtl w:val="true"/>
        </w:rPr>
        <w:footnoteReference w:id="910"/>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 الشيخ الطوسي في أصحاب الرضا عليه السلام ووثقّه، وفي أصحاب الجواد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أصحاب موسى بن جعفر، والرضا عليهم السلام</w:t>
      </w:r>
      <w:r>
        <w:rPr>
          <w:rFonts w:eastAsia="Amiri" w:cs="Amiri" w:ascii="Amiri" w:hAnsi="Amiri"/>
          <w:color w:val="111111"/>
          <w:sz w:val="28"/>
          <w:szCs w:val="28"/>
          <w:rtl w:val="true"/>
          <w:lang w:bidi="ar-SA"/>
        </w:rPr>
        <w:t>.</w:t>
      </w:r>
      <w:r>
        <w:rPr>
          <w:rStyle w:val="FootnoteAnchor"/>
          <w:rtl w:val="true"/>
        </w:rPr>
        <w:footnoteReference w:id="911"/>
      </w:r>
      <w:bookmarkStart w:id="894" w:name="pg16768_165629"/>
    </w:p>
    <w:p>
      <w:pPr>
        <w:pStyle w:val="BookText"/>
        <w:rPr/>
      </w:pPr>
      <w:bookmarkEnd w:id="894"/>
      <w:r>
        <w:rPr>
          <w:rFonts w:ascii="Amiri" w:hAnsi="Amiri" w:eastAsia="Amiri" w:cs="Amiri"/>
          <w:color w:val="111111"/>
          <w:sz w:val="28"/>
          <w:sz w:val="28"/>
          <w:szCs w:val="28"/>
          <w:rtl w:val="true"/>
          <w:lang w:bidi="ar-SA"/>
        </w:rPr>
        <w:t xml:space="preserve">وذكره ابن إسحاق النديم في الفهرست في أوّل الفن الخامس من المقالة السادسة في أخبار فقهاء الشيعة، وعدّ من تصانيفه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ذكر مَنْ روى عن أمير المؤمنين عليه السلام</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تقدّم يتّضح بجلاء أنّ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تأليفه قطعاً، لأنّه في طبقة متقدّمة على طبقة المؤلّف، فهو يروي عن الإمام الجواد</w:t>
      </w:r>
      <w:r>
        <w:rPr>
          <w:rStyle w:val="FootnoteAnchor"/>
          <w:rtl w:val="true"/>
        </w:rPr>
        <w:footnoteReference w:id="9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3/559</w:t>
      </w:r>
      <w:r>
        <w:rPr>
          <w:rFonts w:ascii="Amiri" w:hAnsi="Amiri" w:eastAsia="Amiri" w:cs="Amiri"/>
          <w:color w:val="111111"/>
          <w:sz w:val="28"/>
          <w:sz w:val="28"/>
          <w:szCs w:val="28"/>
          <w:rtl w:val="true"/>
          <w:lang w:bidi="ar-SA"/>
        </w:rPr>
        <w:t xml:space="preserve">، باب الرجل يعطي عن زكاته العوض من كتاب الزكاة، 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عيون أخبار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عن الإمام الرضا عليه السلام من الأخبار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يروي عمن توفّي في أوائل القرن الثالث كيونس بن عبدالرحمن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أنّ المؤلّف أورد في كتابه أصحاب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وصرّح فيه بسماعه من عبداللّه بن جعفر الحميري، الّذي ورد الكوفة سنة نيف وتسعين ومائتين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5" w:name="__RefHeading___Toc6864054_73709187"/>
      <w:bookmarkStart w:id="896" w:name="_Toc334"/>
      <w:bookmarkEnd w:id="895"/>
      <w:r>
        <w:rPr>
          <w:rtl w:val="true"/>
        </w:rPr>
        <w:t>الثاني</w:t>
      </w:r>
      <w:r>
        <w:rPr>
          <w:rtl w:val="true"/>
        </w:rPr>
        <w:t xml:space="preserve">: </w:t>
      </w:r>
      <w:r>
        <w:rPr>
          <w:rtl w:val="true"/>
        </w:rPr>
        <w:t>أحمد بن محمد بن خالد البرقي</w:t>
      </w:r>
      <w:bookmarkEnd w:id="896"/>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ترجمه النجاشي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بن عبدالرحمن بن محمد ابن علي البرقي،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جدّه محمد بن علي حبسه يوسف ابن عمر بعد قتل زيد بن علي عليه السلام، ثم قتله، وكان خالد صغير السن، فهرب مع أبيه عبدالرحمن إلى بَرْق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 في نفسه، يروي عن الضعفاء، واعتمد</w:t>
      </w:r>
    </w:p>
    <w:p>
      <w:pPr>
        <w:pStyle w:val="BookText"/>
        <w:rPr/>
      </w:pPr>
      <w:r>
        <w:rPr>
          <w:rFonts w:ascii="Amiri" w:hAnsi="Amiri" w:eastAsia="Amiri" w:cs="Amiri"/>
          <w:color w:val="111111"/>
          <w:sz w:val="28"/>
          <w:sz w:val="28"/>
          <w:szCs w:val="28"/>
          <w:rtl w:val="true"/>
          <w:lang w:bidi="ar-SA"/>
        </w:rPr>
        <w:t>المراسيل</w:t>
      </w:r>
      <w:r>
        <w:rPr>
          <w:rFonts w:eastAsia="Amiri" w:cs="Amiri" w:ascii="Amiri" w:hAnsi="Amiri"/>
          <w:color w:val="111111"/>
          <w:sz w:val="28"/>
          <w:szCs w:val="28"/>
          <w:rtl w:val="true"/>
          <w:lang w:bidi="ar-SA"/>
        </w:rPr>
        <w:t>.</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روى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محمد بن خالد البرقي، وأحمد بن محمد بن أبي نصر البزنطي، وعبدالرحمن بن أبي نجران، والحسن بن علي بن فضّال، والحسن بن علي بن يقطين، والحسن بن محبوب، وإسماعيل بن مهران، والحسن بن علي الوشّاء، والحسين بن سعيد الأهوازي، ويحيى بن إبراهيم بن أبي البلاد، وعليّ بن الحكم، وآخرين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من أصحاب الإمامين الجواد والهادي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كثير الرواية، عارفاً بالسيِّر والأخبار، مصنّفاً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الأشعري، ومحمد بن الحسن الصفار، ومحمد بن أحمد بن يحيى، وعلي بن إبراهيم، وعلي بن الحسين السعد آبادي، والحسن بن متيل الدقّاق، وأحمد بن عبداللّه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ومحمد بن علي بن محبوب، وعبداللّه بن جعفر الحميري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ترجمه من أعلام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 والصفدي، وابن حجر، والزركلي</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مضى قبل قليل أنّ النجاشي عدّ من تآليف المترجم كتاب الطبقات، وكتاب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الشيخ الطوسي نقل عن ابن بُطة أنّ له طبقات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واستناداً إلى ما تقدّم، قال شيخنا المجيز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لأبي جعفر البرقي كتابين في الرجال</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الموجود المرتّب، بترتيب أصحاب النبي والأئمة إلى</w:t>
      </w:r>
    </w:p>
    <w:p>
      <w:pPr>
        <w:pStyle w:val="BookText"/>
        <w:rPr/>
      </w:pPr>
      <w:r>
        <w:rPr>
          <w:rFonts w:ascii="Amiri" w:hAnsi="Amiri" w:eastAsia="Amiri" w:cs="Amiri"/>
          <w:color w:val="111111"/>
          <w:sz w:val="28"/>
          <w:sz w:val="28"/>
          <w:szCs w:val="28"/>
          <w:rtl w:val="true"/>
          <w:lang w:bidi="ar-SA"/>
        </w:rPr>
        <w:t>الحجّة صاحب الزمان عليهم الصلوات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الموسوم بكتاب الرجال الّذي عبّر به الشيخ كذلك بعد ذكر ثلاث كتب أُخرى، ولعلّه كان بغير هذا الترتيب</w:t>
      </w:r>
      <w:r>
        <w:rPr>
          <w:rFonts w:eastAsia="Amiri" w:cs="Amiri" w:ascii="Amiri" w:hAnsi="Amiri"/>
          <w:color w:val="111111"/>
          <w:sz w:val="28"/>
          <w:szCs w:val="28"/>
          <w:rtl w:val="true"/>
          <w:lang w:bidi="ar-SA"/>
        </w:rPr>
        <w:t>.</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وهذا القول ضعيف كما نبّه عليه المحقّق التستري في قاموسه</w:t>
      </w:r>
      <w:r>
        <w:rPr>
          <w:rStyle w:val="FootnoteAnchor"/>
          <w:rtl w:val="true"/>
        </w:rPr>
        <w:footnoteReference w:id="917"/>
      </w:r>
      <w:r>
        <w:rPr>
          <w:rFonts w:ascii="Amiri" w:hAnsi="Amiri" w:eastAsia="Amiri" w:cs="Amiri"/>
          <w:color w:val="111111"/>
          <w:sz w:val="28"/>
          <w:sz w:val="28"/>
          <w:szCs w:val="28"/>
          <w:rtl w:val="true"/>
          <w:lang w:bidi="ar-SA"/>
        </w:rPr>
        <w:t>للأسباب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المؤلف ينقل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ذكر أصحاب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سبعة عن كتاب سعد، وهو سعد بن عبداللّه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ألّف كتابين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رواة الحديث، ومثالب رواة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المواضع التي نقل فيها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ترجمة عبيداللّه بن عبداللّه النخعي برقم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ترجمة سليمان بن خالد البجلي برقم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ترجمة فضيل بن سُكرة برقم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ترجمة الفضل البقباق أبي العباس برقم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ترجمة هشام بن سالم الجواليقي برقم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ترجمة هشام بن الحكم برقم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ترجمة أُمَيّ الرواني المرادي برقم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سعد من أبرز تلامذة أحمد بن محمد البرقيّ‌، ويروي عنه روايات جمّة، فكيف يستند أحمد إلى كتابه‌؟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المؤلّف عدّ عبداللّه بن جعفر الحميريّ في أصحاب أبي محمد العسكري عليه السلام، وصرّح بسماعه منه، في حين أنّ الحميري كان من تلامذة أحمد الراوين عنه، فكيف يروي مَن هو في الطبقة العليا عمّن في الطبقة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w:t>
      </w:r>
      <w:bookmarkStart w:id="897" w:name="pg16768_165632"/>
    </w:p>
    <w:p>
      <w:pPr>
        <w:pStyle w:val="BookText"/>
        <w:rPr/>
      </w:pPr>
      <w:bookmarkEnd w:id="897"/>
      <w:r>
        <w:rPr>
          <w:rFonts w:ascii="Amiri" w:hAnsi="Amiri" w:eastAsia="Amiri" w:cs="Amiri"/>
          <w:color w:val="111111"/>
          <w:sz w:val="28"/>
          <w:sz w:val="28"/>
          <w:szCs w:val="28"/>
          <w:rtl w:val="true"/>
          <w:lang w:bidi="ar-SA"/>
        </w:rPr>
        <w:t>أن يُحمل على نقل الأكابر عن الأصاغر، ولكنّه بعيد مع هذه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أحمد بن محمد بن خالد قد عُدّ في الكتاب من أصحاب الإمامين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الجواد، والهادي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يشير إلى أنّه المؤلف، وقد ترجم النجاشي نفسه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هذا الكتاب</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ترجم الشيخ نفسه في الفهرست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هذا الفهرست</w:t>
      </w:r>
      <w:r>
        <w:rPr>
          <w:rFonts w:eastAsia="Amiri" w:cs="Amiri" w:ascii="Amiri" w:hAnsi="Amiri"/>
          <w:color w:val="111111"/>
          <w:sz w:val="28"/>
          <w:szCs w:val="28"/>
          <w:rtl w:val="true"/>
          <w:lang w:bidi="ar-SA"/>
        </w:rPr>
        <w:t>.</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خالد عُدّ في الكتاب من أصحاب الكاظم، والرضا، والجواد عليهم السلام، ولم يذكر أنّه والد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الأسباب والقرائن القوية تنفي إمكانية نسبة الكتاب إلى أحمد هذا، على الرغم من اشتهار القول بأنّه من تأليفه</w:t>
      </w:r>
      <w:r>
        <w:rPr>
          <w:rFonts w:eastAsia="Amiri" w:cs="Amiri" w:ascii="Amiri" w:hAnsi="Amiri"/>
          <w:color w:val="111111"/>
          <w:sz w:val="28"/>
          <w:szCs w:val="28"/>
          <w:rtl w:val="true"/>
          <w:lang w:bidi="ar-SA"/>
        </w:rPr>
        <w:t>.</w:t>
      </w:r>
    </w:p>
    <w:p>
      <w:pPr>
        <w:pStyle w:val="Heading4"/>
        <w:numPr>
          <w:ilvl w:val="3"/>
          <w:numId w:val="1"/>
        </w:numPr>
        <w:rPr/>
      </w:pPr>
      <w:bookmarkStart w:id="898" w:name="__RefHeading___Toc6864056_73709187"/>
      <w:bookmarkStart w:id="899" w:name="_Toc335"/>
      <w:bookmarkEnd w:id="898"/>
      <w:r>
        <w:rPr>
          <w:rtl w:val="true"/>
        </w:rPr>
        <w:t>الثالث</w:t>
      </w:r>
      <w:r>
        <w:rPr>
          <w:rtl w:val="true"/>
        </w:rPr>
        <w:t xml:space="preserve">: </w:t>
      </w:r>
      <w:r>
        <w:rPr>
          <w:rtl w:val="true"/>
        </w:rPr>
        <w:t>عبداللّه بن أحمد بن محمد بن خالد</w:t>
      </w:r>
      <w:bookmarkEnd w:id="899"/>
    </w:p>
    <w:p>
      <w:pPr>
        <w:pStyle w:val="BookText"/>
        <w:rPr/>
      </w:pPr>
      <w:r>
        <w:rPr>
          <w:rFonts w:ascii="Amiri" w:hAnsi="Amiri" w:eastAsia="Amiri" w:cs="Amiri"/>
          <w:color w:val="111111"/>
          <w:sz w:val="28"/>
          <w:sz w:val="28"/>
          <w:szCs w:val="28"/>
          <w:rtl w:val="true"/>
          <w:lang w:bidi="ar-SA"/>
        </w:rPr>
        <w:t xml:space="preserve">عبداللّه بن أحمد بن محمد البرقي، وهو أحد أبناء هذه العائلة ولكنّنا لم نقف على ترجمة له في الكتب الرجالية والتاريخية، ولعلّه لم يكن من رواة الحديث ورجالاته وإن كان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أيضاً أنّ ابنه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مشايخ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عن أبيه شيئاً، بل أنّ كلّ ما رواه فهو عن جدّه أحمد بن محمد بن خالد البرقي، وإليك نماذج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عبداللّه، عن أحمد بن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 كنية محمد ابن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عبداللّه بن فضل النوفلي، عن علي بن أبي حمزة</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عبداللّه، عن أحمد بن أبي عبداللّه، عن محمد بن علي الصيرفيّ‌،</w:t>
      </w:r>
    </w:p>
    <w:p>
      <w:pPr>
        <w:pStyle w:val="BookText"/>
        <w:rPr/>
      </w:pPr>
      <w:r>
        <w:rPr>
          <w:rFonts w:ascii="IRNazanin" w:hAnsi="IRNazanin" w:eastAsia="IRNazanin"/>
          <w:color w:val="111111"/>
          <w:sz w:val="28"/>
          <w:sz w:val="28"/>
          <w:szCs w:val="28"/>
          <w:rtl w:val="true"/>
          <w:lang w:bidi="fa-IR"/>
        </w:rPr>
        <w:t>عن ابن سنان</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عبداللّه، عن أحمد بن أبي عبداللّه، عن ابن عمران الأرمني، عن علي بن الحسين، عن محمد بن الحسن، عن أبي عبداللّه عليه السلام</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عبداللّه، عن أحمد بن أبي عبداللّه، عن أبيه، عن صفوان عن خالد بن نجيح</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أحمد بن عبداللّه بن أحمد بن أبي عبداللّه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جدّه أحمد بن أبي عبداللّه البرقي، عن محمد بن عيسى</w:t>
      </w:r>
      <w:r>
        <w:rPr>
          <w:rFonts w:eastAsia="Amiri" w:cs="Amiri" w:ascii="Amiri" w:hAnsi="Amiri"/>
          <w:color w:val="111111"/>
          <w:sz w:val="28"/>
          <w:szCs w:val="28"/>
          <w:rtl w:val="true"/>
          <w:lang w:bidi="ar-SA"/>
        </w:rPr>
        <w:t>.</w:t>
      </w:r>
      <w:r>
        <w:rPr>
          <w:rStyle w:val="FootnoteAnchor"/>
          <w:rtl w:val="true"/>
        </w:rPr>
        <w:footnoteReference w:id="92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القاسم علي بن أحمد بن عبداللّه بن أحمد بن أبي عبداللّه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وعلي بن محمد بن ماجيلويه جميعاً، عن أحمد بن أبي عبداللّه البرقي</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علي بن أحمد بن عبداللّه بن أحمد بن أبي عبداللّه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جدّه أحمد بن أبي عبداللّه</w:t>
      </w:r>
      <w:r>
        <w:rPr>
          <w:rFonts w:eastAsia="Amiri" w:cs="Amiri" w:ascii="Amiri" w:hAnsi="Amiri"/>
          <w:color w:val="111111"/>
          <w:sz w:val="28"/>
          <w:szCs w:val="28"/>
          <w:rtl w:val="true"/>
          <w:lang w:bidi="ar-SA"/>
        </w:rPr>
        <w:t>.</w:t>
      </w:r>
      <w:r>
        <w:rPr>
          <w:rStyle w:val="FootnoteAnchor"/>
          <w:rtl w:val="true"/>
        </w:rPr>
        <w:footnoteReference w:id="92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علي بن أحمد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جده أحمد ابن أبي عبداللّه</w:t>
      </w:r>
      <w:r>
        <w:rPr>
          <w:rFonts w:eastAsia="Amiri" w:cs="Amiri" w:ascii="Amiri" w:hAnsi="Amiri"/>
          <w:color w:val="111111"/>
          <w:sz w:val="28"/>
          <w:szCs w:val="28"/>
          <w:rtl w:val="true"/>
          <w:lang w:bidi="ar-SA"/>
        </w:rPr>
        <w:t>.</w:t>
      </w:r>
      <w:r>
        <w:rPr>
          <w:rStyle w:val="FootnoteAnchor"/>
          <w:rtl w:val="true"/>
        </w:rPr>
        <w:footnoteReference w:id="92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علي بن أحمد بن عبداللّه بن أحمد بن أبي عبداللّه البرقي، قال</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 عن جدّه أحمد</w:t>
      </w:r>
      <w:r>
        <w:rPr>
          <w:rFonts w:eastAsia="Amiri" w:cs="Amiri" w:ascii="Amiri" w:hAnsi="Amiri"/>
          <w:color w:val="111111"/>
          <w:sz w:val="28"/>
          <w:szCs w:val="28"/>
          <w:rtl w:val="true"/>
          <w:lang w:bidi="ar-SA"/>
        </w:rPr>
        <w:t>.</w:t>
      </w:r>
      <w:r>
        <w:rPr>
          <w:rStyle w:val="FootnoteAnchor"/>
          <w:rtl w:val="true"/>
        </w:rPr>
        <w:footnoteReference w:id="928"/>
      </w:r>
      <w:bookmarkStart w:id="900" w:name="pg16768_165634"/>
    </w:p>
    <w:p>
      <w:pPr>
        <w:pStyle w:val="Heading4"/>
        <w:numPr>
          <w:ilvl w:val="3"/>
          <w:numId w:val="1"/>
        </w:numPr>
        <w:rPr/>
      </w:pPr>
      <w:bookmarkStart w:id="901" w:name="__RefHeading___Toc6864058_73709187"/>
      <w:bookmarkStart w:id="902" w:name="_Toc336"/>
      <w:bookmarkEnd w:id="900"/>
      <w:bookmarkEnd w:id="901"/>
      <w:r>
        <w:rPr>
          <w:rtl w:val="true"/>
        </w:rPr>
        <w:t>الرابع</w:t>
      </w:r>
      <w:r>
        <w:rPr>
          <w:rtl w:val="true"/>
        </w:rPr>
        <w:t xml:space="preserve">: </w:t>
      </w:r>
      <w:r>
        <w:rPr>
          <w:rtl w:val="true"/>
        </w:rPr>
        <w:t>أحمد بن عبداللّه بن أحمد بن محمد بن خالد البرقي</w:t>
      </w:r>
      <w:bookmarkEnd w:id="902"/>
    </w:p>
    <w:p>
      <w:pPr>
        <w:pStyle w:val="BookText"/>
        <w:rPr/>
      </w:pPr>
      <w:r>
        <w:rPr>
          <w:rFonts w:ascii="Amiri" w:hAnsi="Amiri" w:eastAsia="Amiri" w:cs="Amiri"/>
          <w:color w:val="111111"/>
          <w:sz w:val="28"/>
          <w:sz w:val="28"/>
          <w:szCs w:val="28"/>
          <w:rtl w:val="true"/>
          <w:lang w:bidi="ar-SA"/>
        </w:rPr>
        <w:t xml:space="preserve">قال المحقّق البروجردي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مشايخ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عبداللّه فقد روى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أحاديث، روى هو واحداً منها عن جدّه، وواحداً عن أحمد بن محمد، والباقي عن أحمد بن أبي عبداللّه أو أحمد بن محمد البرقي، والكلّ واحد كما سيظهر، ولم أجد له رواية عن غير أحمد بن محمد بن خالد البرقي، وقد روى عنه ولده علي بن أحمد بن عبداللّه وهو من شيوخ الصدوق، والشريف الصالح الحسن بن حمزة العلوي المرعشي الطبري، 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الطبقة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أحمد بن محمد بن خالد البرقي، كان جدّ هذا الشيخ كما يستفاد من أسانيد الروايات</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قدس سره أحاديث عن كتاب الأمالي للشيخ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عبداللّه بن أحمد بن أبي عبداللّه البرقي يروي عن جدّه، ويروي عنه الكليني، وهو آخر عدته في طريقه إلى أحمد بن أبي عبداللّه البرقي</w:t>
      </w:r>
      <w:r>
        <w:rPr>
          <w:rFonts w:eastAsia="Amiri" w:cs="Amiri" w:ascii="Amiri" w:hAnsi="Amiri"/>
          <w:color w:val="111111"/>
          <w:sz w:val="28"/>
          <w:szCs w:val="28"/>
          <w:rtl w:val="true"/>
          <w:lang w:bidi="ar-SA"/>
        </w:rPr>
        <w:t>.</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أمّا الخامس من رجال هذا البيت، فهو</w:t>
      </w:r>
      <w:r>
        <w:rPr>
          <w:rFonts w:eastAsia="Amiri" w:cs="Amiri" w:ascii="Amiri" w:hAnsi="Amiri"/>
          <w:color w:val="111111"/>
          <w:sz w:val="28"/>
          <w:szCs w:val="28"/>
          <w:rtl w:val="true"/>
          <w:lang w:bidi="ar-SA"/>
        </w:rPr>
        <w:t>:</w:t>
      </w:r>
    </w:p>
    <w:p>
      <w:pPr>
        <w:pStyle w:val="Heading4"/>
        <w:numPr>
          <w:ilvl w:val="3"/>
          <w:numId w:val="1"/>
        </w:numPr>
        <w:rPr/>
      </w:pPr>
      <w:bookmarkStart w:id="903" w:name="__RefHeading___Toc6864060_73709187"/>
      <w:bookmarkStart w:id="904" w:name="_Toc337"/>
      <w:bookmarkEnd w:id="903"/>
      <w:r>
        <w:rPr>
          <w:rtl w:val="true"/>
        </w:rPr>
        <w:t xml:space="preserve">عليّ بن أحمد بن عبداللّه بن أحمد البرقيّ </w:t>
      </w:r>
      <w:r>
        <w:rPr>
          <w:rtl w:val="true"/>
        </w:rPr>
        <w:t>(</w:t>
      </w:r>
      <w:r>
        <w:rPr>
          <w:rtl w:val="true"/>
        </w:rPr>
        <w:t>شيخ الصدوق</w:t>
      </w:r>
      <w:r>
        <w:rPr>
          <w:rtl w:val="true"/>
        </w:rPr>
        <w:t>)</w:t>
      </w:r>
      <w:bookmarkEnd w:id="904"/>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 الكلام عنه عند ذكر الثالث منهم</w:t>
      </w:r>
      <w:r>
        <w:rPr>
          <w:rFonts w:eastAsia="Amiri" w:cs="Amiri" w:ascii="Amiri" w:hAnsi="Amiri"/>
          <w:color w:val="111111"/>
          <w:sz w:val="28"/>
          <w:szCs w:val="28"/>
          <w:rtl w:val="true"/>
          <w:lang w:bidi="ar-SA"/>
        </w:rPr>
        <w:t>.</w:t>
      </w:r>
      <w:bookmarkStart w:id="905" w:name="pg16768_165635"/>
    </w:p>
    <w:p>
      <w:pPr>
        <w:pStyle w:val="Heading4"/>
        <w:numPr>
          <w:ilvl w:val="3"/>
          <w:numId w:val="1"/>
        </w:numPr>
        <w:rPr/>
      </w:pPr>
      <w:bookmarkStart w:id="906" w:name="__RefHeading___Toc6864062_73709187"/>
      <w:bookmarkStart w:id="907" w:name="_Toc338"/>
      <w:bookmarkEnd w:id="905"/>
      <w:bookmarkEnd w:id="906"/>
      <w:r>
        <w:rPr>
          <w:rtl w:val="true"/>
        </w:rPr>
        <w:t>الكتاب تأليف الحفيد</w:t>
      </w:r>
      <w:bookmarkEnd w:id="907"/>
    </w:p>
    <w:p>
      <w:pPr>
        <w:pStyle w:val="BookText"/>
        <w:rPr/>
      </w:pPr>
      <w:r>
        <w:rPr>
          <w:rFonts w:ascii="Amiri" w:hAnsi="Amiri" w:eastAsia="Amiri" w:cs="Amiri"/>
          <w:color w:val="111111"/>
          <w:sz w:val="28"/>
          <w:sz w:val="28"/>
          <w:szCs w:val="28"/>
          <w:rtl w:val="true"/>
          <w:lang w:bidi="ar-SA"/>
        </w:rPr>
        <w:t>وعلى ضوء ما تقدّم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القرائن السابقة التي تنفي أن يكون الكتاب من تأليف الجدّ، تؤيد أنّ الكتاب من تأليف أحمد بن عبداللّه بن أحمد الّذي هو سميّ جدّه، وكان هو وسعد بن عبداللّه في طبقة واحدة، وكلاهما من مشايخ الكليني، فيكون المؤلف ممّن عاش في أواخر القرن الثالث، وأدرك شيئاً من القرن الرابع، وله دور في نقل الأحاديث، كما عرفت شيئاً منه، وهذا هو المتعيّن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احتمال آخر، ولكنّه لا ينافي ما قلناه، وهو أنّه قد مرّ أن محمد بن خالد البرقي ألّف كتاباً في من يروي عن أمير المؤمنين عليه السلام وجاء بعده ابنه الّذي ألف كتاب طبقات الرجال، ولعله أدرج فيه ما كتبه والده في مَن يروي عن أمير المؤمنين عليه السلام، وقد توارث الكتاب أبناء هذه العائلة إلى أن وصلت النوبة إلى أحمد ابن عبداللّه، فأكمل الكتاب بما وجده في كتاب طبقات سعد بن عبداللّه بن خلف الأشعري القمي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الكتاب ليس من نتاج جهود مؤلف واحد، بل هو نتيجة لعمل ثلاثة علماء، 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خالد البرقي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ابنه أحمد بن محمد بن خالد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حفيد الابن أحمد بن عبداللّه بن أحمد بن محمد بن خالد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توصلنا إليه في تحقيق وتعيين مؤلف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هوية الكتاب فهو بصدد التعريف بطبقات الرواة عن المعصومين بحسب الترتيب الزمني لهم عليهم السلام من دون أن يركّز على وثاقة أحد وعدمها، وقد أصبح كتاباً ثميناً في هذا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قرأ كتاب رجال الشيخ الطوسي يذعن بأنّه قد صدر عن هذا الكتاب، وانتفع به كما انتفع هو بما دوّنه أسلافه</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 الكتاب بهذه الصورة يحتاج إلى ترجمة المذكورين</w:t>
      </w:r>
    </w:p>
    <w:p>
      <w:pPr>
        <w:pStyle w:val="BookText"/>
        <w:rPr/>
      </w:pPr>
      <w:r>
        <w:rPr>
          <w:rFonts w:ascii="Amiri" w:hAnsi="Amiri" w:eastAsia="Amiri" w:cs="Amiri"/>
          <w:color w:val="111111"/>
          <w:sz w:val="28"/>
          <w:sz w:val="28"/>
          <w:szCs w:val="28"/>
          <w:rtl w:val="true"/>
          <w:lang w:bidi="ar-SA"/>
        </w:rPr>
        <w:t>فيه من الرواة، ترجمة موجزة تُطلع القارئ على منزلة الراوي علماً ووثاقة وشيخاً وتلميذاً، وهذا هوالّذي قام به الأُستاذ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محمد علي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فشمّر عن ساعد الجد وأتى بما هو فوق المرام، وهذا ما سيكشف عنه الإمعان في مطالعة تعليقاته وتحقيقاته، التي اتّسمت بالدقة والوضوح والشمول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تعالى الماضين من علمائنا ورواة أحاديثنا، وحفظ الباقين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الّذي تتم بنعمته الصالحات</w:t>
      </w:r>
    </w:p>
    <w:p>
      <w:pPr>
        <w:pStyle w:val="BookText"/>
        <w:rPr/>
      </w:pPr>
      <w:r>
        <w:rPr>
          <w:rFonts w:ascii="Amiri" w:hAnsi="Amiri" w:eastAsia="Amiri" w:cs="Amiri"/>
          <w:color w:val="111111"/>
          <w:sz w:val="28"/>
          <w:sz w:val="28"/>
          <w:szCs w:val="28"/>
          <w:rtl w:val="true"/>
          <w:lang w:bidi="ar-SA"/>
        </w:rPr>
        <w:t>جعفرالسبحاني</w:t>
      </w:r>
    </w:p>
    <w:p>
      <w:pPr>
        <w:pStyle w:val="BookText"/>
        <w:rPr/>
      </w:pPr>
      <w:r>
        <w:rPr>
          <w:rFonts w:ascii="Amiri" w:hAnsi="Amiri" w:eastAsia="Amiri" w:cs="Amiri"/>
          <w:color w:val="111111"/>
          <w:sz w:val="28"/>
          <w:sz w:val="28"/>
          <w:szCs w:val="28"/>
          <w:rtl w:val="true"/>
          <w:lang w:bidi="ar-SA"/>
        </w:rPr>
        <w:t>مؤسسة الإمام الصادق عليه السلام</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الحرام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908" w:name="pg16768_165637"/>
    </w:p>
    <w:p>
      <w:pPr>
        <w:pStyle w:val="Heading3"/>
        <w:numPr>
          <w:ilvl w:val="2"/>
          <w:numId w:val="1"/>
        </w:numPr>
        <w:rPr/>
      </w:pPr>
      <w:bookmarkStart w:id="909" w:name="__RefHeading___Toc6864064_73709187"/>
      <w:bookmarkStart w:id="910" w:name="_Toc339"/>
      <w:bookmarkEnd w:id="908"/>
      <w:bookmarkEnd w:id="909"/>
      <w:r>
        <w:rPr/>
        <w:t>2</w:t>
      </w:r>
      <w:r>
        <w:rPr>
          <w:rtl w:val="true"/>
        </w:rPr>
        <w:t xml:space="preserve"> </w:t>
      </w:r>
      <w:r>
        <w:rPr>
          <w:rtl w:val="true"/>
        </w:rPr>
        <w:t xml:space="preserve">علي بن إبراهيم القميّ </w:t>
      </w:r>
      <w:r>
        <w:rPr>
          <w:rtl w:val="true"/>
        </w:rPr>
        <w:t>(</w:t>
      </w:r>
      <w:r>
        <w:rPr/>
        <w:t>230</w:t>
      </w:r>
      <w:r>
        <w:rPr>
          <w:rtl w:val="true"/>
        </w:rPr>
        <w:t>-</w:t>
      </w:r>
      <w:r>
        <w:rPr/>
        <w:t>310</w:t>
      </w:r>
      <w:r>
        <w:rPr>
          <w:rtl w:val="true"/>
        </w:rPr>
        <w:t xml:space="preserve"> </w:t>
      </w:r>
      <w:r>
        <w:rPr>
          <w:rtl w:val="true"/>
        </w:rPr>
        <w:t>ه‍</w:t>
      </w:r>
      <w:r>
        <w:rPr>
          <w:rtl w:val="true"/>
        </w:rPr>
        <w:t>)</w:t>
      </w:r>
      <w:bookmarkEnd w:id="910"/>
    </w:p>
    <w:p>
      <w:pPr>
        <w:pStyle w:val="Heading4"/>
        <w:numPr>
          <w:ilvl w:val="3"/>
          <w:numId w:val="1"/>
        </w:numPr>
        <w:rPr/>
      </w:pPr>
      <w:bookmarkStart w:id="911" w:name="__RefHeading___Toc6864066_73709187"/>
      <w:bookmarkStart w:id="912" w:name="_Toc340"/>
      <w:bookmarkEnd w:id="911"/>
      <w:r>
        <w:rPr>
          <w:rtl w:val="true"/>
        </w:rPr>
        <w:t>اشارة</w:t>
      </w:r>
      <w:bookmarkEnd w:id="912"/>
    </w:p>
    <w:p>
      <w:pPr>
        <w:pStyle w:val="BookText"/>
        <w:rPr/>
      </w:pPr>
      <w:r>
        <w:rPr>
          <w:rFonts w:ascii="Amiri" w:hAnsi="Amiri" w:eastAsia="Amiri" w:cs="Amiri"/>
          <w:color w:val="111111"/>
          <w:sz w:val="28"/>
          <w:sz w:val="28"/>
          <w:szCs w:val="28"/>
          <w:rtl w:val="true"/>
          <w:lang w:bidi="ar-SA"/>
        </w:rPr>
        <w:t>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مكانته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آثاره</w:t>
      </w:r>
    </w:p>
    <w:p>
      <w:pPr>
        <w:pStyle w:val="BookText"/>
        <w:rPr/>
      </w:pPr>
      <w:r>
        <w:rPr>
          <w:rFonts w:ascii="Amiri" w:hAnsi="Amiri" w:eastAsia="Amiri" w:cs="Amiri"/>
          <w:color w:val="111111"/>
          <w:sz w:val="28"/>
          <w:sz w:val="28"/>
          <w:szCs w:val="28"/>
          <w:rtl w:val="true"/>
          <w:lang w:bidi="ar-SA"/>
        </w:rPr>
        <w:t>ازدهر علم الحديث في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والثالث الهجريّين ازدهاراً باهراً، نتيجة للجهود الكبيرة الّتي بذلها حَمَلةُ الحديث الذين استهانوا بكلّ الصعاب في سبيل تلقّيه وتدوينه وضبطه وتنقيحه، ورفعِ رايته، وقد تركوا في هذا المجال آثاراً قيّمة، أضاءت الطريق للأجيال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وأوَدُّ قبل الشروع في الحديث عن شخصية شيخنا القميّ‌، أن أُمهّد بهذا التمهيد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للشيعة آنذاك مراكز مهمة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ونخصّ بالذكر منه الكوفة، فلقد كانت تزدحم بمئات المحدِّثين، الذين تلقَّوا حديث الرسول صلى الله عليه و آله والوصي وسائر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وتناقلوه عصراً تلوَ عصر</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يشهد لذلك قول الحسن بن علي بن زياد الوشّاء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أصحاب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محمد بن عيسى الأشعريّ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أدركت في هذا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تسعمائة شيخ كلّ يقول حدّثني جعفر بن</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 ماوراء النهر وأخصّ بالذكر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سمرقند وكشَ وخوارزم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حولها، فقد كان لمحدّثي الشيعة هناك نشاط ملموس، أدّى إلى انتعاش الحركة العلمية فيها، لاسيّما في عصر أبي النضر العيّاشي، الّذي يُعتبر بحق قطب رحى تلك الحركة، يدلّ على ذلك قول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النضر أنفق على العلم والحديث، تَركة أبيه سائرها، وكانت ثلاثمائة ألف دينار، وكانت دارهُ كالمسجد، بين ناسخ، أو مقابل، أو قارئ، أو معلّق، مملوءةً من الناس</w:t>
      </w:r>
      <w:r>
        <w:rPr>
          <w:rFonts w:eastAsia="Amiri" w:cs="Amiri" w:ascii="Amiri" w:hAnsi="Amiri"/>
          <w:color w:val="111111"/>
          <w:sz w:val="28"/>
          <w:szCs w:val="28"/>
          <w:rtl w:val="true"/>
          <w:lang w:bidi="ar-SA"/>
        </w:rPr>
        <w:t>.</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وقوله في ترجمة أبي الحسن علي بن محمد بن عبداللّه القزويني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قدم بغداد سنة ست وخمسين وثلاثمائة ومعه من كتب العياشي قطعة، وهو أوّل من أوردها إلى بغداد ورواها عن أبي جعفر أحمد بن عيسى العلوي الزاهد عن العياشي</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والريّ‌، فقد كانتا مركزاً لحديث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للمحدّثين في هذه الديار مدرسة خاصة تختلف عن مدرسة محدّثي الكوفة في شرائط قبول الحديث 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بلغت عناية العلماء بالحديث درجة أنّهم كانوا يفارقون أهليهم، ويقطعون الفيافي مِن أجل طلبه أو نشره، وممّن اعتنى هذا الاعتناء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الّذي جدّ في طلب الحديث في بلدة الكوفة، وتخرّج من مدرستها، ثم انتقل إلى قمّ‌، فكان هو أوّل من نشر حديث الكوفيين بها</w:t>
      </w:r>
      <w:r>
        <w:rPr>
          <w:rFonts w:eastAsia="Amiri" w:cs="Amiri" w:ascii="Amiri" w:hAnsi="Amiri"/>
          <w:color w:val="111111"/>
          <w:sz w:val="28"/>
          <w:szCs w:val="28"/>
          <w:rtl w:val="true"/>
          <w:lang w:bidi="ar-SA"/>
        </w:rPr>
        <w:t>.</w:t>
      </w:r>
      <w:r>
        <w:rPr>
          <w:rStyle w:val="FootnoteAnchor"/>
          <w:rtl w:val="true"/>
        </w:rPr>
        <w:footnoteReference w:id="934"/>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الثروة الحديثية، انتقلت إلى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تبوّأ مكانة سامية في دنيا العلم 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كلمات الرجاليين في حقّه</w:t>
      </w:r>
      <w:r>
        <w:rPr>
          <w:rFonts w:eastAsia="Amiri" w:cs="Amiri" w:ascii="Amiri" w:hAnsi="Amiri"/>
          <w:color w:val="111111"/>
          <w:sz w:val="28"/>
          <w:szCs w:val="28"/>
          <w:rtl w:val="true"/>
          <w:lang w:bidi="ar-SA"/>
        </w:rPr>
        <w:t>:</w:t>
      </w:r>
      <w:bookmarkStart w:id="913" w:name="pg16768_165639"/>
    </w:p>
    <w:p>
      <w:pPr>
        <w:pStyle w:val="Heading4"/>
        <w:numPr>
          <w:ilvl w:val="3"/>
          <w:numId w:val="1"/>
        </w:numPr>
        <w:rPr/>
      </w:pPr>
      <w:bookmarkStart w:id="914" w:name="__RefHeading___Toc6864068_73709187"/>
      <w:bookmarkStart w:id="915" w:name="_Toc341"/>
      <w:bookmarkEnd w:id="913"/>
      <w:bookmarkEnd w:id="914"/>
      <w:r>
        <w:rPr>
          <w:rtl w:val="true"/>
        </w:rPr>
        <w:t>قول العلماء في حقّه</w:t>
      </w:r>
      <w:bookmarkEnd w:id="9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في الحديث، ثبت، معتمد، صحيح المذهب، سمع فأكثر، وصنّف كتباً، وأضرّ في وسط عمره</w:t>
      </w:r>
      <w:r>
        <w:rPr>
          <w:rFonts w:eastAsia="Amiri" w:cs="Amiri" w:ascii="Amiri" w:hAnsi="Amiri"/>
          <w:color w:val="111111"/>
          <w:sz w:val="28"/>
          <w:szCs w:val="28"/>
          <w:rtl w:val="true"/>
          <w:lang w:bidi="ar-SA"/>
        </w:rPr>
        <w:t>.</w:t>
      </w:r>
      <w:r>
        <w:rPr>
          <w:rStyle w:val="FootnoteAnchor"/>
          <w:rtl w:val="true"/>
        </w:rPr>
        <w:footnoteReference w:id="9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ساق أسماء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بذلك الشيخ المفيد رحمه الله عن محمد بن علي بن الحسين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بن محمد العلوي، ومحمد بن علي ماجيلويه، عن علي بن إبراهيم</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ابن إسحاق النديم ضمن فقهاء الشيعة ومحدّثيهم وعلمائهم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 بن إبراهيم بن هاشم، من العلماء والفقهاء وله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المناقب، كتاب اختيار القرآن، كتاب قرب الإسناد</w:t>
      </w:r>
      <w:r>
        <w:rPr>
          <w:rFonts w:eastAsia="Amiri" w:cs="Amiri" w:ascii="Amiri" w:hAnsi="Amiri"/>
          <w:color w:val="111111"/>
          <w:sz w:val="28"/>
          <w:szCs w:val="28"/>
          <w:rtl w:val="true"/>
          <w:lang w:bidi="ar-SA"/>
        </w:rPr>
        <w:t>.</w:t>
      </w:r>
      <w:r>
        <w:rPr>
          <w:rStyle w:val="FootnoteAnchor"/>
          <w:rtl w:val="true"/>
        </w:rPr>
        <w:footnoteReference w:id="93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أبو الحسن المحمدي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رافضي جلد، ثم ذكر أنّ له تفسيراً، وأنّه يروي عن ابن أبي داود، وابن عُقدة، وجماعة</w:t>
      </w:r>
      <w:r>
        <w:rPr>
          <w:rFonts w:eastAsia="Amiri" w:cs="Amiri" w:ascii="Amiri" w:hAnsi="Amiri"/>
          <w:color w:val="111111"/>
          <w:sz w:val="28"/>
          <w:szCs w:val="28"/>
          <w:rtl w:val="true"/>
          <w:lang w:bidi="ar-SA"/>
        </w:rPr>
        <w:t>.</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الذهبي نظر، فعليّ بن إبراهيم أعلى طبقة من ابن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نجد له رواية عنه، ولعلّ الذهبيّ وجد روايات ابن عقدة في التفسير، فظنّ أنّ الراوي عنه، هو عليّ بن إبراهيم، والصواب أنّه العباس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تلميذ 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أبي داود، وهو عبداللّه بن سليمان بن الأشعث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939"/>
      </w:r>
      <w:r>
        <w:rPr>
          <w:rFonts w:ascii="Amiri" w:hAnsi="Amiri" w:eastAsia="Amiri" w:cs="Amiri"/>
          <w:color w:val="111111"/>
          <w:sz w:val="28"/>
          <w:sz w:val="28"/>
          <w:szCs w:val="28"/>
          <w:rtl w:val="true"/>
          <w:lang w:bidi="ar-SA"/>
        </w:rPr>
        <w:t>فهو من أقرانه، فلا تستبعد روايته عنه، ولكنّنا لم نظفر له برواية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حجر العسقلاني بعد ذكر عبارة الذهبي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 بن</w:t>
      </w:r>
      <w:bookmarkStart w:id="916" w:name="pg16768_165640"/>
    </w:p>
    <w:p>
      <w:pPr>
        <w:pStyle w:val="BookText"/>
        <w:rPr/>
      </w:pPr>
      <w:bookmarkEnd w:id="916"/>
      <w:r>
        <w:rPr>
          <w:rFonts w:ascii="Amiri" w:hAnsi="Amiri" w:eastAsia="Amiri" w:cs="Amiri"/>
          <w:color w:val="111111"/>
          <w:sz w:val="28"/>
          <w:sz w:val="28"/>
          <w:szCs w:val="28"/>
          <w:rtl w:val="true"/>
          <w:lang w:bidi="ar-SA"/>
        </w:rPr>
        <w:t>إبراهيم بن هاشم القمي، ذكره أبو جعفر الطوسي في مصنفي الإمامية، وذكره محمد بن إسحاق النديم في الفهرست، وقال له من الكتب التفسير والناسخ والمنسوخ والمغازي والشرائع</w:t>
      </w:r>
      <w:r>
        <w:rPr>
          <w:rFonts w:eastAsia="Amiri" w:cs="Amiri" w:ascii="Amiri" w:hAnsi="Amiri"/>
          <w:color w:val="111111"/>
          <w:sz w:val="28"/>
          <w:szCs w:val="28"/>
          <w:rtl w:val="true"/>
          <w:lang w:bidi="ar-SA"/>
        </w:rPr>
        <w:t>.</w:t>
      </w:r>
      <w:r>
        <w:rPr>
          <w:rStyle w:val="FootnoteAnchor"/>
          <w:rtl w:val="true"/>
        </w:rPr>
        <w:footnoteReference w:id="940"/>
      </w:r>
    </w:p>
    <w:p>
      <w:pPr>
        <w:pStyle w:val="Heading4"/>
        <w:numPr>
          <w:ilvl w:val="3"/>
          <w:numId w:val="1"/>
        </w:numPr>
        <w:rPr/>
      </w:pPr>
      <w:bookmarkStart w:id="917" w:name="__RefHeading___Toc6864070_73709187"/>
      <w:bookmarkStart w:id="918" w:name="_Toc342"/>
      <w:bookmarkEnd w:id="917"/>
      <w:r>
        <w:rPr>
          <w:rtl w:val="true"/>
        </w:rPr>
        <w:t>أساتذته</w:t>
      </w:r>
      <w:r>
        <w:rPr>
          <w:rtl w:val="true"/>
        </w:rPr>
        <w:t>:</w:t>
      </w:r>
      <w:bookmarkEnd w:id="918"/>
    </w:p>
    <w:p>
      <w:pPr>
        <w:pStyle w:val="BookText"/>
        <w:rPr/>
      </w:pPr>
      <w:r>
        <w:rPr>
          <w:rFonts w:ascii="Amiri" w:hAnsi="Amiri" w:eastAsia="Amiri" w:cs="Amiri"/>
          <w:color w:val="111111"/>
          <w:sz w:val="28"/>
          <w:sz w:val="28"/>
          <w:szCs w:val="28"/>
          <w:rtl w:val="true"/>
          <w:lang w:bidi="ar-SA"/>
        </w:rPr>
        <w:t xml:space="preserve">امتاز علي بن إبراهيم بسعة روايته، وقد وقع في إسناد كثير من الروايات، يبلغ عددها في الكتب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7140</w:t>
      </w:r>
      <w:r>
        <w:rPr>
          <w:rFonts w:eastAsia="Amiri" w:cs="Amiri" w:ascii="Amiri" w:hAnsi="Amiri"/>
          <w:color w:val="111111"/>
          <w:sz w:val="28"/>
          <w:szCs w:val="28"/>
          <w:rtl w:val="true"/>
          <w:lang w:bidi="ar-SA"/>
        </w:rPr>
        <w:t>)</w:t>
      </w:r>
      <w:r>
        <w:rPr>
          <w:rStyle w:val="FootnoteAnchor"/>
          <w:rtl w:val="true"/>
        </w:rPr>
        <w:footnoteReference w:id="941"/>
      </w:r>
      <w:r>
        <w:rPr>
          <w:rFonts w:ascii="Amiri" w:hAnsi="Amiri" w:eastAsia="Amiri" w:cs="Amiri"/>
          <w:color w:val="111111"/>
          <w:sz w:val="28"/>
          <w:sz w:val="28"/>
          <w:szCs w:val="28"/>
          <w:rtl w:val="true"/>
          <w:lang w:bidi="ar-SA"/>
        </w:rPr>
        <w:t>مورداً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أبوه 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طليعة أساتذته، حيث انتفع بعلمه غاية الانتفاع، وحمل عنه حديثاً كثيراً، تكشف عنه رواياته عنه، الّتي بلغت في الكتب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w:t>
      </w:r>
      <w:r>
        <w:rPr>
          <w:rFonts w:eastAsia="Amiri" w:cs="Amiri" w:ascii="Amiri" w:hAnsi="Amiri"/>
          <w:color w:val="111111"/>
          <w:sz w:val="28"/>
          <w:szCs w:val="28"/>
          <w:rtl w:val="true"/>
          <w:lang w:bidi="ar-SA"/>
        </w:rPr>
        <w:t>.</w:t>
      </w:r>
      <w:r>
        <w:rPr>
          <w:rStyle w:val="FootnoteAnchor"/>
          <w:rtl w:val="true"/>
        </w:rPr>
        <w:footnoteReference w:id="9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عيسى بن عبيد بن يقطين، من أصحاب أبي جعفر الثاني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في أصحابنا، ثقة، عين، كثير الرواية، حسن التصانيف</w:t>
      </w:r>
      <w:r>
        <w:rPr>
          <w:rFonts w:eastAsia="Amiri" w:cs="Amiri" w:ascii="Amiri" w:hAnsi="Amiri"/>
          <w:color w:val="111111"/>
          <w:sz w:val="28"/>
          <w:szCs w:val="28"/>
          <w:rtl w:val="true"/>
          <w:lang w:bidi="ar-SA"/>
        </w:rPr>
        <w:t>.</w:t>
      </w:r>
      <w:r>
        <w:rPr>
          <w:rStyle w:val="FootnoteAnchor"/>
          <w:rtl w:val="true"/>
        </w:rPr>
        <w:footnoteReference w:id="943"/>
      </w:r>
      <w:r>
        <w:rPr>
          <w:rFonts w:ascii="Amiri" w:hAnsi="Amiri" w:eastAsia="Amiri" w:cs="Amiri"/>
          <w:color w:val="111111"/>
          <w:sz w:val="28"/>
          <w:sz w:val="28"/>
          <w:szCs w:val="28"/>
          <w:rtl w:val="true"/>
          <w:lang w:bidi="ar-SA"/>
        </w:rPr>
        <w:t xml:space="preserve">ورواياته عنه تبلغ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w:t>
      </w:r>
      <w:r>
        <w:rPr>
          <w:rFonts w:eastAsia="Amiri" w:cs="Amiri" w:ascii="Amiri" w:hAnsi="Amiri"/>
          <w:color w:val="111111"/>
          <w:sz w:val="28"/>
          <w:szCs w:val="28"/>
          <w:rtl w:val="true"/>
          <w:lang w:bidi="ar-SA"/>
        </w:rPr>
        <w:t>.</w:t>
      </w:r>
      <w:r>
        <w:rPr>
          <w:rStyle w:val="FootnoteAnchor"/>
          <w:rtl w:val="true"/>
        </w:rPr>
        <w:footnoteReference w:id="9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هارون بن مسلم بن سعدان الكاتب السرمرائي، وأصله 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أبا محمد وأبا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التوحيد، وكتاب الفضائل، و</w:t>
      </w:r>
      <w:r>
        <w:rPr>
          <w:rFonts w:eastAsia="Amiri" w:cs="Amiri" w:ascii="Amiri" w:hAnsi="Amiri"/>
          <w:color w:val="111111"/>
          <w:sz w:val="28"/>
          <w:szCs w:val="28"/>
          <w:rtl w:val="true"/>
          <w:lang w:bidi="ar-SA"/>
        </w:rPr>
        <w:t>...</w:t>
      </w:r>
      <w:r>
        <w:rPr>
          <w:rStyle w:val="FootnoteAnchor"/>
          <w:rtl w:val="true"/>
        </w:rPr>
        <w:footnoteReference w:id="9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ورواياته عنه تبلغ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w:t>
      </w:r>
      <w:r>
        <w:rPr>
          <w:rFonts w:eastAsia="Amiri" w:cs="Amiri" w:ascii="Amiri" w:hAnsi="Amiri"/>
          <w:color w:val="111111"/>
          <w:sz w:val="28"/>
          <w:szCs w:val="28"/>
          <w:rtl w:val="true"/>
          <w:lang w:bidi="ar-SA"/>
        </w:rPr>
        <w:t>.</w:t>
      </w:r>
      <w:r>
        <w:rPr>
          <w:rStyle w:val="FootnoteAnchor"/>
          <w:rtl w:val="true"/>
        </w:rPr>
        <w:footnoteReference w:id="94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صالح بن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ورواياته عنه تبلغ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خالد البرقيّ‌،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توفّي عام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أو</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ذكره الشيخ الطوسي في رجال الجواد والهادي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شيرة القاشاني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مكثراً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التأديب، وكتاب الجامع في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وثمة أساتذة آخرون يروي عنهم عليّ بن إبراهيم،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المختار بن محمد بن مختار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ورواياته عنه تبلغ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أخوه إسحاق بن إبراهيم بن هاشم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جعفر الثاني عليه السلام، كما روى عن محمد بن إسماعيل بن بزيع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محمد المكي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موسى الخشاب، الّذي أدرك عصر أبي الحسن العسكري عليه السلام</w:t>
      </w:r>
      <w:r>
        <w:rPr>
          <w:rStyle w:val="FootnoteAnchor"/>
          <w:rtl w:val="true"/>
        </w:rPr>
        <w:footnoteReference w:id="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أصحابنا، مشهور، كثير العلم والحديث</w:t>
      </w:r>
      <w:r>
        <w:rPr>
          <w:rFonts w:eastAsia="Amiri" w:cs="Amiri" w:ascii="Amiri" w:hAnsi="Amiri"/>
          <w:color w:val="111111"/>
          <w:sz w:val="28"/>
          <w:szCs w:val="28"/>
          <w:rtl w:val="true"/>
          <w:lang w:bidi="ar-SA"/>
        </w:rPr>
        <w:t>.</w:t>
      </w:r>
      <w:r>
        <w:rPr>
          <w:rStyle w:val="FootnoteAnchor"/>
          <w:rtl w:val="true"/>
        </w:rPr>
        <w:footnoteReference w:id="94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ريّان بن الصلت الأشعري،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الرضا عليه السلام، كان ثقة صدوقاً</w:t>
      </w:r>
      <w:r>
        <w:rPr>
          <w:rFonts w:eastAsia="Amiri" w:cs="Amiri" w:ascii="Amiri" w:hAnsi="Amiri"/>
          <w:color w:val="111111"/>
          <w:sz w:val="28"/>
          <w:szCs w:val="28"/>
          <w:rtl w:val="true"/>
          <w:lang w:bidi="ar-SA"/>
        </w:rPr>
        <w:t>.</w:t>
      </w:r>
      <w:r>
        <w:rPr>
          <w:rStyle w:val="FootnoteAnchor"/>
          <w:rtl w:val="true"/>
        </w:rPr>
        <w:footnoteReference w:id="94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سلمة بن الخطاب، 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ضعيفاً في حديثه له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بن معروف، أبو الفضل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الشيخ الطوسي في أصحاب الرضا عليه السلام</w:t>
      </w:r>
      <w:r>
        <w:rPr>
          <w:rStyle w:val="FootnoteAnchor"/>
          <w:rtl w:val="true"/>
        </w:rPr>
        <w:footnoteReference w:id="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له كتاب الآداب</w:t>
      </w:r>
      <w:r>
        <w:rPr>
          <w:rFonts w:eastAsia="Amiri" w:cs="Amiri" w:ascii="Amiri" w:hAnsi="Amiri"/>
          <w:color w:val="111111"/>
          <w:sz w:val="28"/>
          <w:szCs w:val="28"/>
          <w:rtl w:val="true"/>
          <w:lang w:bidi="ar-SA"/>
        </w:rPr>
        <w:t>.</w:t>
      </w:r>
      <w:r>
        <w:rPr>
          <w:rStyle w:val="FootnoteAnchor"/>
          <w:rtl w:val="true"/>
        </w:rPr>
        <w:footnoteReference w:id="95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بن الصلت، أبو طالب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مسكون إلى روايته، روى عن الرضا عليه السلام يُعرف له كتاب التفسير</w:t>
      </w:r>
      <w:r>
        <w:rPr>
          <w:rStyle w:val="FootnoteAnchor"/>
          <w:rtl w:val="true"/>
        </w:rPr>
        <w:footnoteReference w:id="952"/>
      </w:r>
      <w:r>
        <w:rPr>
          <w:rFonts w:ascii="Amiri" w:hAnsi="Amiri" w:eastAsia="Amiri" w:cs="Amiri"/>
          <w:color w:val="111111"/>
          <w:sz w:val="28"/>
          <w:sz w:val="28"/>
          <w:szCs w:val="28"/>
          <w:rtl w:val="true"/>
          <w:lang w:bidi="ar-SA"/>
        </w:rPr>
        <w:t>وقد بقي عبداللّه حتّى لقيه</w:t>
      </w:r>
      <w:bookmarkStart w:id="919" w:name="pg16768_165642"/>
    </w:p>
    <w:p>
      <w:pPr>
        <w:pStyle w:val="BookText"/>
        <w:rPr/>
      </w:pPr>
      <w:bookmarkEnd w:id="919"/>
      <w:r>
        <w:rPr>
          <w:rFonts w:ascii="IRNazanin" w:hAnsi="IRNazanin" w:eastAsia="IRNazanin"/>
          <w:color w:val="111111"/>
          <w:sz w:val="28"/>
          <w:sz w:val="28"/>
          <w:szCs w:val="28"/>
          <w:rtl w:val="true"/>
          <w:lang w:bidi="fa-IR"/>
        </w:rPr>
        <w:t xml:space="preserve">محمد بن الحسن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خالد بن عمر الطيالسي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Style w:val="FootnoteAnchor"/>
          <w:rtl w:val="true"/>
        </w:rPr>
        <w:footnoteReference w:id="953"/>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يعقوب بن يزيد بن حماد السلميّ‌، الأنباريّ‌، من كتّاب المنتصر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جعفر الثاني عليه السلام، وكان ثقة صدوقاً</w:t>
      </w:r>
      <w:r>
        <w:rPr>
          <w:rFonts w:eastAsia="Amiri" w:cs="Amiri" w:ascii="Amiri" w:hAnsi="Amiri"/>
          <w:color w:val="111111"/>
          <w:sz w:val="28"/>
          <w:szCs w:val="28"/>
          <w:rtl w:val="true"/>
          <w:lang w:bidi="ar-SA"/>
        </w:rPr>
        <w:t>.</w:t>
      </w:r>
      <w:r>
        <w:rPr>
          <w:rStyle w:val="FootnoteAnchor"/>
          <w:rtl w:val="true"/>
        </w:rPr>
        <w:footnoteReference w:id="954"/>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ياسر، خادم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Heading4"/>
        <w:numPr>
          <w:ilvl w:val="3"/>
          <w:numId w:val="1"/>
        </w:numPr>
        <w:rPr/>
      </w:pPr>
      <w:bookmarkStart w:id="920" w:name="__RefHeading___Toc6864072_73709187"/>
      <w:bookmarkStart w:id="921" w:name="_Toc343"/>
      <w:bookmarkEnd w:id="920"/>
      <w:r>
        <w:rPr>
          <w:rtl w:val="true"/>
        </w:rPr>
        <w:t>تلامذته</w:t>
      </w:r>
      <w:r>
        <w:rPr>
          <w:rtl w:val="true"/>
        </w:rPr>
        <w:t>:</w:t>
      </w:r>
      <w:bookmarkEnd w:id="921"/>
    </w:p>
    <w:p>
      <w:pPr>
        <w:pStyle w:val="BookText"/>
        <w:rPr/>
      </w:pPr>
      <w:r>
        <w:rPr>
          <w:rFonts w:ascii="Amiri" w:hAnsi="Amiri" w:eastAsia="Amiri" w:cs="Amiri"/>
          <w:color w:val="111111"/>
          <w:sz w:val="28"/>
          <w:sz w:val="28"/>
          <w:szCs w:val="28"/>
          <w:rtl w:val="true"/>
          <w:lang w:bidi="ar-SA"/>
        </w:rPr>
        <w:t>روى عنه جماعة نذكر منهم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القميين في عصره، ومتقدّمهم، وفقيههم، وثقتهم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زياد بن جعفر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رجلاً ثقة ديّناً، فاضلاً، رحمة اللّه عليه ورضوانه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مشايخه، وقد ترضّى عليه في موارد من المشيخة، وكنّاه بأبي علي 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مورداً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حمزة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الطبري يعرف بالمرعشي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أجلّاء هذه الطائفة وفقهائها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بغداد ولقيه شيوخنا في سنة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ومات في سنة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عنه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 الطبري، كان فاضلاً أديباً عارفاً فقيهاً زاهداً ورعاً</w:t>
      </w:r>
      <w:bookmarkStart w:id="922" w:name="pg16768_165643"/>
    </w:p>
    <w:p>
      <w:pPr>
        <w:pStyle w:val="BookText"/>
        <w:rPr/>
      </w:pPr>
      <w:bookmarkEnd w:id="922"/>
      <w:r>
        <w:rPr>
          <w:rFonts w:ascii="Amiri" w:hAnsi="Amiri" w:eastAsia="Amiri" w:cs="Amiri"/>
          <w:color w:val="111111"/>
          <w:sz w:val="28"/>
          <w:sz w:val="28"/>
          <w:szCs w:val="28"/>
          <w:rtl w:val="true"/>
          <w:lang w:bidi="ar-SA"/>
        </w:rPr>
        <w:t>كثير المحاسن، له كتب وتصانيف كثيرة</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ووصفه المفيد بالشريف الزاهد والشريف الصالح في 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مشايخ الصدوق، ترضّى عليه في معاني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موسى بن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الطوسي في من لم يرو عنهم عليهم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عبداللّه بن جعفر الحميري، وروى عنه ابن بابويه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وقد أكثر الصدوق الرواية عنه، وذكره في طرقه إلى الكتب في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والظاهر أنّه كان يعتمد عليه، وادّعى ابن طاووس في فلاح السائل الاتفاق على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العلّامة وابن داود في القسم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يعقوب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أصحابنا في وقته بالرّي، ووجههم وكان أوثق الناس في الحديث وأثبتهم، صنّف الكتاب الكبير المعروف بالكليني، يسمّى الكافي في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رحمه الله ببغداد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957"/>
      </w:r>
      <w:r>
        <w:rPr>
          <w:rFonts w:ascii="Amiri" w:hAnsi="Amiri" w:eastAsia="Amiri" w:cs="Amiri"/>
          <w:color w:val="111111"/>
          <w:sz w:val="28"/>
          <w:sz w:val="28"/>
          <w:szCs w:val="28"/>
          <w:rtl w:val="true"/>
          <w:lang w:bidi="ar-SA"/>
        </w:rPr>
        <w:t>وقال الطوسي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عارف بالأخبار، له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الفضل العباس بن محمد بن القاسم بن حمزة بن موسى الكاظم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بن أبي القاسم، ماجيلويه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ومحمد ابنا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Heading4"/>
        <w:numPr>
          <w:ilvl w:val="3"/>
          <w:numId w:val="1"/>
        </w:numPr>
        <w:rPr/>
      </w:pPr>
      <w:bookmarkStart w:id="923" w:name="__RefHeading___Toc6864074_73709187"/>
      <w:bookmarkStart w:id="924" w:name="_Toc344"/>
      <w:bookmarkEnd w:id="923"/>
      <w:r>
        <w:rPr>
          <w:rtl w:val="true"/>
        </w:rPr>
        <w:t>طبقته في الرجال</w:t>
      </w:r>
      <w:bookmarkEnd w:id="924"/>
    </w:p>
    <w:p>
      <w:pPr>
        <w:pStyle w:val="BookText"/>
        <w:rPr/>
      </w:pPr>
      <w:r>
        <w:rPr>
          <w:rFonts w:ascii="Amiri" w:hAnsi="Amiri" w:eastAsia="Amiri" w:cs="Amiri"/>
          <w:color w:val="111111"/>
          <w:sz w:val="28"/>
          <w:sz w:val="28"/>
          <w:szCs w:val="28"/>
          <w:rtl w:val="true"/>
          <w:lang w:bidi="ar-SA"/>
        </w:rPr>
        <w:t>من أجل تحديد طبقته نذكر في المقام أُموراً تلقي ضوءاً على العصر الّذي عاش فيه على وجه التقريب، ومنها</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ممّا سردنا من أسماء مشايخه أنّ أكثر رواياته عن تلامذة 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والعسكري</w:t>
      </w:r>
      <w:bookmarkStart w:id="925" w:name="pg16768_165644"/>
    </w:p>
    <w:p>
      <w:pPr>
        <w:pStyle w:val="BookText"/>
        <w:rPr/>
      </w:pPr>
      <w:bookmarkEnd w:id="9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يروي عمّن بقي من تلامذة الإمام الرضا إلى سنوات طويلة بعده عليه السلام، كعبداللّه بن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محدّثي قم، الذين ماتّوا في حياة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حدود تلك الفترة، أو بعدها بقليل،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آدم الأشعريّ‌، وعبدالعزيز بن المهتدي الأشعريّ‌، ومحمد بن عيسى بن عبداللّه الأشعريّ‌، ومحمد بن خالد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أقدم من روى عنهم عليّ بن إبراهيم، ممّن أُرّخت وفياتهم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خالد الطيالسيّ‌، الّذي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ما تقدّم، يمكننا أن نقدّر تاريخ مولده بنحو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بعدها بقليل، وأُرجّح أنّها لا تتجاوز العقد الرابع من القرن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تاريخ وفاته، فلم يُحدَّد أيضاً، ولكنّه كان حياً عام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فقد روى الصدوق عن حمزة بن محمد بن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إبراهيم بن هاشم 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958"/>
      </w:r>
      <w:r>
        <w:rPr>
          <w:rFonts w:ascii="Amiri" w:hAnsi="Amiri" w:eastAsia="Amiri" w:cs="Amiri"/>
          <w:color w:val="111111"/>
          <w:sz w:val="28"/>
          <w:sz w:val="28"/>
          <w:szCs w:val="28"/>
          <w:rtl w:val="true"/>
          <w:lang w:bidi="ar-SA"/>
        </w:rPr>
        <w:t>وأظنّ أنّه مات بعد هذا التاريخ بقليل</w:t>
      </w:r>
      <w:r>
        <w:rPr>
          <w:rFonts w:eastAsia="Amiri" w:cs="Amiri" w:ascii="Amiri" w:hAnsi="Amiri"/>
          <w:color w:val="111111"/>
          <w:sz w:val="28"/>
          <w:szCs w:val="28"/>
          <w:rtl w:val="true"/>
          <w:lang w:bidi="ar-SA"/>
        </w:rPr>
        <w:t>.</w:t>
      </w:r>
    </w:p>
    <w:p>
      <w:pPr>
        <w:pStyle w:val="Heading4"/>
        <w:numPr>
          <w:ilvl w:val="3"/>
          <w:numId w:val="1"/>
        </w:numPr>
        <w:rPr/>
      </w:pPr>
      <w:bookmarkStart w:id="926" w:name="__RefHeading___Toc6864076_73709187"/>
      <w:bookmarkStart w:id="927" w:name="_Toc345"/>
      <w:bookmarkEnd w:id="926"/>
      <w:r>
        <w:rPr>
          <w:rtl w:val="true"/>
        </w:rPr>
        <w:t>وقفة مع تفسيره المتداول</w:t>
      </w:r>
      <w:bookmarkEnd w:id="927"/>
    </w:p>
    <w:p>
      <w:pPr>
        <w:pStyle w:val="BookText"/>
        <w:rPr/>
      </w:pPr>
      <w:r>
        <w:rPr>
          <w:rFonts w:ascii="Amiri" w:hAnsi="Amiri" w:eastAsia="Amiri" w:cs="Amiri"/>
          <w:color w:val="111111"/>
          <w:sz w:val="28"/>
          <w:sz w:val="28"/>
          <w:szCs w:val="28"/>
          <w:rtl w:val="true"/>
          <w:lang w:bidi="ar-SA"/>
        </w:rPr>
        <w:t xml:space="preserve">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المتداول اليوم، مؤلَّف من قسمين رئيسيين منضميّن إلى بعضهما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شيخنا، الّذي نحن بصدد الحديث عنه،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القمّي، ورواياته وأخباره، الّتي يروي جُلَّها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تفسيره هذا تلميذه أبو الفضل العباس بن محمد بن القاسم بن حمزة بن موسى الكاظم عليه السلام</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تلميذه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يروي أكثرها عن أحمد</w:t>
      </w:r>
    </w:p>
    <w:p>
      <w:pPr>
        <w:pStyle w:val="BookText"/>
        <w:rPr/>
      </w:pPr>
      <w:r>
        <w:rPr>
          <w:rFonts w:ascii="Amiri" w:hAnsi="Amiri" w:eastAsia="Amiri" w:cs="Amiri"/>
          <w:color w:val="111111"/>
          <w:sz w:val="28"/>
          <w:sz w:val="28"/>
          <w:szCs w:val="28"/>
          <w:rtl w:val="true"/>
          <w:lang w:bidi="ar-SA"/>
        </w:rPr>
        <w:t xml:space="preserve">ابن محمد بن سعيد الهمْدانيّ‌، المعروف بابن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 أبي الجارود زياد بن المنذر، عن أبي جعفر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وللعباس هذا ذكر في كتب الأنساب، وليس له ذكر في الكتب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يُشار إلى أنّ الشيخ الطوسيّ عدّ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بن حمزة بن موسى العلوي، في أصحاب الإمام الهادي عليه السلام</w:t>
      </w:r>
      <w:r>
        <w:rPr>
          <w:rFonts w:eastAsia="Amiri" w:cs="Amiri" w:ascii="Amiri" w:hAnsi="Amiri"/>
          <w:color w:val="111111"/>
          <w:sz w:val="28"/>
          <w:szCs w:val="28"/>
          <w:rtl w:val="true"/>
          <w:lang w:bidi="ar-SA"/>
        </w:rPr>
        <w:t>.</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ونخلص ممّا تقدّم أنّ التفسير مُلفَّق من تفسيرين أساسييّن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علي بن إبراهيم، وتفسير أبي الجارود؛ ولكل من التفسيرين سند خاص يعرفه كل من راجع هذا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ولم يقتصر العباس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تلميذ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روايته على ابن عُقدة، بل روى عن مشايخه الآخرين 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جعفر الرزاز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راوي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 العباس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جعفر الرزاز، عن يحيى بن زكريا، عن علي بن حسان، عن عبدالرحمن بن كثير عن أبي عبداللّه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عبداللّه الحسين بن محمد بن عامر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الحسين بن محمد بن عامر، عن المعلى بن محمد البصري، عن ابن أبي عمير، عن أبي جعفر الثاني عليه السلام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علي محمد بن أبي بكر همام بن سهيل البغداديّ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 حدثنا جعفر بن محمد ابن مالك، قال حدثنا القاسم بن الربيع، عن محمد بن سنان، عن عمّار بن مروان، عن منخل، عن جابر، عن أبي جعفر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w:t>
      </w:r>
    </w:p>
    <w:p>
      <w:pPr>
        <w:pStyle w:val="BookText"/>
        <w:rPr/>
      </w:pPr>
      <w:r>
        <w:rPr>
          <w:rFonts w:ascii="Amiri" w:hAnsi="Amiri" w:eastAsia="Amiri" w:cs="Amiri"/>
          <w:color w:val="111111"/>
          <w:sz w:val="28"/>
          <w:sz w:val="28"/>
          <w:szCs w:val="28"/>
          <w:rtl w:val="true"/>
          <w:lang w:bidi="ar-SA"/>
        </w:rPr>
        <w:t>تُرْفَعَ وَ يُذْكَرَ فِيهَا اسْمُهُ‌</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المحقّق الطهراني في موسوعته أسماء ثلة أُخرى ممّن روى عنه جامع التفسير غير ما ذكرنا، وإليك أسماء بعضهم على وجه الإجمال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الحسن علي بن الحسين السعدآبادي القمي، الراوي عن أحمد بن أبي عبداللّه البرقي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أبو علي أحمد بن إدريس بن أحمد الأشعري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أبو عبداللّه محمد بن أحمد بن ثابت، الراوي عن الحسن بن محمد ابن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جعفر محمد بن عبداللّه بن جعفر الحميري القمي، الراوي عن أبيه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أبي عبداللّه وهو أبو الحسين محمد بن عون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مشايخ الكليني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حُميد بن زياد النينوائي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أيضاً من مشايخ الكليني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 بن مهزيار، عن أبيه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القاسم الحسني، الراوي لتفسير الفرات عن مؤلفه، وفرات وعلي بن إبراهيم كانا متعاصرين</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المشايخ الذين يروي عنهم في هذا التفسير، مع أنّه لم توجد رواية علي بن إبراهيم عن أحد من هؤلاء في جميع رواياته المروية عنه في الكافي وغيره</w:t>
      </w:r>
      <w:r>
        <w:rPr>
          <w:rStyle w:val="FootnoteAnchor"/>
          <w:rtl w:val="true"/>
        </w:rPr>
        <w:footnoteReference w:id="963"/>
      </w:r>
      <w:r>
        <w:rPr>
          <w:rFonts w:ascii="Amiri" w:hAnsi="Amiri" w:eastAsia="Amiri" w:cs="Amiri"/>
          <w:color w:val="111111"/>
          <w:sz w:val="28"/>
          <w:sz w:val="28"/>
          <w:szCs w:val="28"/>
          <w:rtl w:val="true"/>
          <w:lang w:bidi="ar-SA"/>
        </w:rPr>
        <w:t>، وهذا دليل على أنّ راوي التفسير يروي عن هؤلاء المشايخ بلا واسطة علي بن إبراهيم</w:t>
      </w:r>
      <w:r>
        <w:rPr>
          <w:rFonts w:eastAsia="Amiri" w:cs="Amiri" w:ascii="Amiri" w:hAnsi="Amiri"/>
          <w:color w:val="111111"/>
          <w:sz w:val="28"/>
          <w:szCs w:val="28"/>
          <w:rtl w:val="true"/>
          <w:lang w:bidi="ar-SA"/>
        </w:rPr>
        <w:t>.</w:t>
      </w:r>
      <w:bookmarkStart w:id="928" w:name="pg16768_165647"/>
    </w:p>
    <w:p>
      <w:pPr>
        <w:pStyle w:val="Heading4"/>
        <w:numPr>
          <w:ilvl w:val="3"/>
          <w:numId w:val="1"/>
        </w:numPr>
        <w:rPr/>
      </w:pPr>
      <w:bookmarkStart w:id="929" w:name="__RefHeading___Toc6864078_73709187"/>
      <w:bookmarkStart w:id="930" w:name="_Toc346"/>
      <w:bookmarkEnd w:id="928"/>
      <w:bookmarkEnd w:id="929"/>
      <w:r>
        <w:rPr>
          <w:rtl w:val="true"/>
        </w:rPr>
        <w:t>توثيق من وقع في أسناد التفسير</w:t>
      </w:r>
      <w:bookmarkEnd w:id="930"/>
    </w:p>
    <w:p>
      <w:pPr>
        <w:pStyle w:val="BookText"/>
        <w:rPr/>
      </w:pPr>
      <w:r>
        <w:rPr>
          <w:rFonts w:ascii="Amiri" w:hAnsi="Amiri" w:eastAsia="Amiri" w:cs="Amiri"/>
          <w:color w:val="111111"/>
          <w:sz w:val="28"/>
          <w:sz w:val="28"/>
          <w:szCs w:val="28"/>
          <w:rtl w:val="true"/>
          <w:lang w:bidi="ar-SA"/>
        </w:rPr>
        <w:t>ثم إنّ غير واحد من المحدّثين وغيرهم استظهر ممّا ورد في أوّل تفسير القمي توثيق كل من وقع في أسناد روايات هذا التفسير المنتهية إلى المعصومين، لأنّه ورد في ديباجة الكتاب العبارة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ذاكرون ومخبرون بما ينتهي إلينا، ورواه مشايخنا وثقاتنا عن الذين فرض اللّه طاعتهم وأوجب رعايتهم ولا يقبل العمل إلّابهم</w:t>
      </w:r>
      <w:r>
        <w:rPr>
          <w:rFonts w:eastAsia="Amiri" w:cs="Amiri" w:ascii="Amiri" w:hAnsi="Amiri"/>
          <w:color w:val="111111"/>
          <w:sz w:val="28"/>
          <w:szCs w:val="28"/>
          <w:rtl w:val="true"/>
          <w:lang w:bidi="ar-SA"/>
        </w:rPr>
        <w:t>.</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قال 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شهد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 أحاديث تفسيره وأنّها مروية عن الثقات عن الأئمة عليهم السلام</w:t>
      </w:r>
      <w:r>
        <w:rPr>
          <w:rFonts w:eastAsia="Amiri" w:cs="Amiri" w:ascii="Amiri" w:hAnsi="Amiri"/>
          <w:color w:val="111111"/>
          <w:sz w:val="28"/>
          <w:szCs w:val="28"/>
          <w:rtl w:val="true"/>
          <w:lang w:bidi="ar-SA"/>
        </w:rPr>
        <w:t>.</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وقال المحقّق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إبراهيم يريد بما ذكره إثبات صحّة تفسيره وأنّ رواياته ثابتة وصادرة عن المعصومين، وأنّها انتهت إليه بواسطة المشايخ والثقات من الشيعة، وعلى ذلك فلا موجب لتخصيص التوثيق بمشايخه الذين يروي عنهم علي بن إبراهيم بلا واسطة</w:t>
      </w:r>
      <w:r>
        <w:rPr>
          <w:rFonts w:eastAsia="Amiri" w:cs="Amiri" w:ascii="Amiri" w:hAnsi="Amiri"/>
          <w:color w:val="111111"/>
          <w:sz w:val="28"/>
          <w:szCs w:val="28"/>
          <w:rtl w:val="true"/>
          <w:lang w:bidi="ar-SA"/>
        </w:rPr>
        <w:t>.</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نقلناه عن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احترامنا وتكريمنا لرأيهما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نابع عن عدم دراسة الكتاب بدقة إذ اكتفوا بما جاء في ديباجة الكتاب، لما عرفت من أنّ التفسير ملفّق ممّا رواه جامعه عن علي بن إبراهيم عن مشايخه إلى المعصومين عليهم السلام، وممّا يرويه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مشايخه حتّى ينتهي السند إلى زياد بن المنذر أبي الجارود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هناك روايات يرويها راوي التفسير عن سائر مشايخه بأسانيدهم المتصلة إلى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عليك أسماؤهم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عدّ هذا التفسير أحد مؤلفات علي بن إبراهيم القمي والأخذ بما ذكره في ديباجة الكتاب</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القول بأنّ مراد القميّ من عبارته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مشايخنا</w:t>
      </w:r>
    </w:p>
    <w:p>
      <w:pPr>
        <w:pStyle w:val="BookText"/>
        <w:rPr/>
      </w:pPr>
      <w:r>
        <w:rPr>
          <w:rFonts w:ascii="Amiri" w:hAnsi="Amiri" w:eastAsia="Amiri" w:cs="Amiri"/>
          <w:color w:val="111111"/>
          <w:sz w:val="28"/>
          <w:sz w:val="28"/>
          <w:szCs w:val="28"/>
          <w:rtl w:val="true"/>
          <w:lang w:bidi="ar-SA"/>
        </w:rPr>
        <w:t>وثقاتنا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وقع في سنده إلى أن ينتهي إلى الإمام، بل الظاهر كون المراد خصوص مشايخه بلا واسطة، ويعرب عنه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الأساتذة بلا واسطة، ولمّا كان النقل عن الضعيف بلا واسطة من وجوه الضعف، دون النقل عن الثقة إذا روى عن غيرها، خصّ مشايخه بالوثاقة ليدفع عن نفسه سهم النقد والاعتراض، وإلّا فقد ورد في أسناد القمي من لا يصح الاعتماد عليه من أُمّهات المؤمنين،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إنّ لتفسير القميّ أهمية خاصة بين كتب التفسير، فبالإضافة إلى سمّو مكانة مؤلِّفه في العلم والفضل والإتقان، وقُربِ عصره من عصر أئمة أهل البيت عليهم السلام، بل أدرك عصر الإمامين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والعسكري عليهما السلام، وإن لم يروِ عنهما، فإنّ تفسيره يتمتع بمزايا عديدة، من أهمّها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شحنه بالروايات الواردة عن المعصومين عليهم السلام، لاسيما عن الإمام جعفر الصادق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المفردات القرآنية شرحاً واضحاً وافياً، مستلهماً معانيها من رؤية كلية للقرآن المجيد، تجد ذلك على سبيل المثال في شرحه لمعنى الهداية،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في كتاب اللّه على وجوه أربعة</w:t>
      </w:r>
      <w:r>
        <w:rPr>
          <w:rFonts w:eastAsia="Amiri" w:cs="Amiri" w:ascii="Amiri" w:hAnsi="Amiri"/>
          <w:color w:val="111111"/>
          <w:sz w:val="28"/>
          <w:szCs w:val="28"/>
          <w:rtl w:val="true"/>
          <w:lang w:bidi="ar-SA"/>
        </w:rPr>
        <w:t>...)</w:t>
      </w:r>
      <w:r>
        <w:rPr>
          <w:rStyle w:val="FootnoteAnchor"/>
          <w:rtl w:val="true"/>
        </w:rPr>
        <w:footnoteReference w:id="967"/>
      </w:r>
      <w:r>
        <w:rPr>
          <w:rFonts w:ascii="Amiri" w:hAnsi="Amiri" w:eastAsia="Amiri" w:cs="Amiri"/>
          <w:color w:val="111111"/>
          <w:sz w:val="28"/>
          <w:sz w:val="28"/>
          <w:szCs w:val="28"/>
          <w:rtl w:val="true"/>
          <w:lang w:bidi="ar-SA"/>
        </w:rPr>
        <w:t>، ومعنى الإيمان،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في كتاب اللّه على أربعة أوجه</w:t>
      </w:r>
      <w:r>
        <w:rPr>
          <w:rFonts w:eastAsia="Amiri" w:cs="Amiri" w:ascii="Amiri" w:hAnsi="Amiri"/>
          <w:color w:val="111111"/>
          <w:sz w:val="28"/>
          <w:szCs w:val="28"/>
          <w:rtl w:val="true"/>
          <w:lang w:bidi="ar-SA"/>
        </w:rPr>
        <w:t>...)</w:t>
      </w:r>
      <w:r>
        <w:rPr>
          <w:rStyle w:val="FootnoteAnchor"/>
          <w:rtl w:val="true"/>
        </w:rPr>
        <w:footnoteReference w:id="968"/>
      </w:r>
      <w:r>
        <w:rPr>
          <w:rFonts w:ascii="Amiri" w:hAnsi="Amiri" w:eastAsia="Amiri" w:cs="Amiri"/>
          <w:color w:val="111111"/>
          <w:sz w:val="28"/>
          <w:sz w:val="28"/>
          <w:szCs w:val="28"/>
          <w:rtl w:val="true"/>
          <w:lang w:bidi="ar-SA"/>
        </w:rPr>
        <w:t>، ومعنى الظنّ‌،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الظنّ في الكتاب على وجهين</w:t>
      </w:r>
      <w:r>
        <w:rPr>
          <w:rFonts w:eastAsia="Amiri" w:cs="Amiri" w:ascii="Amiri" w:hAnsi="Amiri"/>
          <w:color w:val="111111"/>
          <w:sz w:val="28"/>
          <w:szCs w:val="28"/>
          <w:rtl w:val="true"/>
          <w:lang w:bidi="ar-SA"/>
        </w:rPr>
        <w:t>....)</w:t>
      </w:r>
      <w:r>
        <w:rPr>
          <w:rStyle w:val="FootnoteAnchor"/>
          <w:rtl w:val="true"/>
        </w:rPr>
        <w:footnoteReference w:id="969"/>
      </w:r>
      <w:r>
        <w:rPr>
          <w:rFonts w:ascii="Amiri" w:hAnsi="Amiri" w:eastAsia="Amiri" w:cs="Amiri"/>
          <w:color w:val="111111"/>
          <w:sz w:val="28"/>
          <w:sz w:val="28"/>
          <w:szCs w:val="28"/>
          <w:rtl w:val="true"/>
          <w:lang w:bidi="ar-SA"/>
        </w:rPr>
        <w:t>، ومعنى الحسنة والسيئة،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الحسنات في كتاب اللّه على وجهين، والسيئات على وجهين</w:t>
      </w:r>
      <w:r>
        <w:rPr>
          <w:rFonts w:eastAsia="Amiri" w:cs="Amiri" w:ascii="Amiri" w:hAnsi="Amiri"/>
          <w:color w:val="111111"/>
          <w:sz w:val="28"/>
          <w:szCs w:val="28"/>
          <w:rtl w:val="true"/>
          <w:lang w:bidi="ar-SA"/>
        </w:rPr>
        <w:t>...)</w:t>
      </w:r>
      <w:r>
        <w:rPr>
          <w:rStyle w:val="FootnoteAnchor"/>
          <w:rtl w:val="true"/>
        </w:rPr>
        <w:footnoteReference w:id="970"/>
      </w:r>
      <w:r>
        <w:rPr>
          <w:rFonts w:ascii="Amiri" w:hAnsi="Amiri" w:eastAsia="Amiri" w:cs="Amiri"/>
          <w:color w:val="111111"/>
          <w:sz w:val="28"/>
          <w:sz w:val="28"/>
          <w:szCs w:val="28"/>
          <w:rtl w:val="true"/>
          <w:lang w:bidi="ar-SA"/>
        </w:rPr>
        <w:t>، وغير ذلك من الموارد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اتَّبع أُسلوب الاستدلال عند تفسيره لآية ما في موارد عديدة، وقد يستدلّ لذلك إمّا بآية أُخرى، أو برواية عن المعصومين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أشار في موارد كثيرة إلى أسباب النزول، مستنداً في ذلك إلى بعض الروايات، وقد يسرد بعض الحوادث التاريخية المتّصلة بهذا الشأن، لتبيان معنى الآية، الّتي هو بصدد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ولهذه المزايا وغيرها، أجد الحاجة ماسّة إلى تجريد تفسير القميّ من روايات تلميذه أبي الفضل العباس العلوي لتتجلّى صورته أكثر، وتبرز قيمته الحقيقية بشكل أوضح، فأسأل اللّه تعالى أن يقيّض بعض الباحثين الجديرين بهذا العمل، ليقوم به أحسن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931" w:name="pg16768_165650"/>
    </w:p>
    <w:p>
      <w:pPr>
        <w:pStyle w:val="Heading3"/>
        <w:numPr>
          <w:ilvl w:val="2"/>
          <w:numId w:val="1"/>
        </w:numPr>
        <w:rPr/>
      </w:pPr>
      <w:bookmarkStart w:id="932" w:name="__RefHeading___Toc6864080_73709187"/>
      <w:bookmarkStart w:id="933" w:name="_Toc347"/>
      <w:bookmarkEnd w:id="931"/>
      <w:bookmarkEnd w:id="932"/>
      <w:r>
        <w:rPr/>
        <w:t>3</w:t>
      </w:r>
      <w:r>
        <w:rPr>
          <w:rtl w:val="true"/>
        </w:rPr>
        <w:t xml:space="preserve"> </w:t>
      </w:r>
      <w:r>
        <w:rPr>
          <w:rtl w:val="true"/>
        </w:rPr>
        <w:t>المحدّث الكليني وأثره الخالد</w:t>
      </w:r>
      <w:bookmarkEnd w:id="933"/>
    </w:p>
    <w:p>
      <w:pPr>
        <w:pStyle w:val="Heading4"/>
        <w:numPr>
          <w:ilvl w:val="3"/>
          <w:numId w:val="1"/>
        </w:numPr>
        <w:rPr/>
      </w:pPr>
      <w:bookmarkStart w:id="934" w:name="__RefHeading___Toc6864082_73709187"/>
      <w:bookmarkStart w:id="935" w:name="_Toc348"/>
      <w:bookmarkEnd w:id="934"/>
      <w:r>
        <w:rPr>
          <w:rtl w:val="true"/>
        </w:rPr>
        <w:t>اشارة</w:t>
      </w:r>
      <w:bookmarkEnd w:id="9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يعقوب بن إسحاق، ثقة الإسلام وشيخ المحدّثين أبو جعفر الكليني الرازي، البغدادي،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الكتب الأربعة عند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بعد منتصف القرن الثالث، أي بعد عام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وتوفّي عام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936" w:name="__RefHeading___Toc6864084_73709187"/>
      <w:bookmarkStart w:id="937" w:name="_Toc349"/>
      <w:bookmarkEnd w:id="936"/>
      <w:r>
        <w:rPr>
          <w:rtl w:val="true"/>
        </w:rPr>
        <w:t>أُسرته</w:t>
      </w:r>
      <w:bookmarkEnd w:id="937"/>
    </w:p>
    <w:p>
      <w:pPr>
        <w:pStyle w:val="BookText"/>
        <w:rPr/>
      </w:pPr>
      <w:r>
        <w:rPr>
          <w:rFonts w:ascii="Amiri" w:hAnsi="Amiri" w:eastAsia="Amiri" w:cs="Amiri"/>
          <w:color w:val="111111"/>
          <w:sz w:val="28"/>
          <w:sz w:val="28"/>
          <w:szCs w:val="28"/>
          <w:rtl w:val="true"/>
          <w:lang w:bidi="ar-SA"/>
        </w:rPr>
        <w:t>إنّ للأُسرة الّتي يترعرع فيها الإنسان تأثيراً في تكوين شخصيته ونمو سجاياه، ورسم مؤهّلاته، وقد ولد الشيخ الكليني في أُسرة علمية عريقة، وتربّى في أحضان فاضلة 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فوالده هو أحد علماء الري وقد انتقل إلى موطنه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فيها إلى أن تُوفّي، وقبره هناك معروف يُزار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وأخوه إسحاق بن يعقوب أحد من يروي عنه الكليني على ما في غيبة الشيخ الطوسي باسناده عن محمد بن يعقوب الكليني عن إسحاق بن يعقوب قال</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محمد بن عثمان العمري أن يوصل لي كتاباً قد سألت فيه عن مسائل أُشكلت عليّ‌، فوقع التوقيع بخط مولانا صاحب الدار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ما سألت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أرشدك اللّه تعالى وثبّتك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المنكرين لي من أهل بيتنا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عليك يا إسحاق بن يعقوب، وعلى من اتّبع الهدى</w:t>
      </w:r>
      <w:r>
        <w:rPr>
          <w:rFonts w:eastAsia="Amiri" w:cs="Amiri" w:ascii="Amiri" w:hAnsi="Amiri"/>
          <w:color w:val="111111"/>
          <w:sz w:val="28"/>
          <w:szCs w:val="28"/>
          <w:rtl w:val="true"/>
          <w:lang w:bidi="ar-SA"/>
        </w:rPr>
        <w:t>».</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وأمّا أُمّه فهي أيضاً من بيت عريق في العلم والحديث، وكانت عالمة فاضلة، تربّت في هذا البيت الّذي أنجب العديد من المحدّثين والعلماء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فوالدها هو الشيخ محمد بن إبراهيم بن أبان، الذي وصفه الشيخ الطوسي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المعروف بعلّان الكليني، خيّر</w:t>
      </w:r>
      <w:r>
        <w:rPr>
          <w:rFonts w:eastAsia="Amiri" w:cs="Amiri" w:ascii="Amiri" w:hAnsi="Amiri"/>
          <w:color w:val="111111"/>
          <w:sz w:val="28"/>
          <w:szCs w:val="28"/>
          <w:rtl w:val="true"/>
          <w:lang w:bidi="ar-SA"/>
        </w:rPr>
        <w:t>.</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وعمّها هو الشيخ أحمد بن إبراهيم بن أبان، الذي يعرّفه الشيخ الطوسي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إبراهيم المعروف بعلّان الكليني، خيّر، فاضل، من أهل الري</w:t>
      </w:r>
      <w:r>
        <w:rPr>
          <w:rFonts w:eastAsia="Amiri" w:cs="Amiri" w:ascii="Amiri" w:hAnsi="Amiri"/>
          <w:color w:val="111111"/>
          <w:sz w:val="28"/>
          <w:szCs w:val="28"/>
          <w:rtl w:val="true"/>
          <w:lang w:bidi="ar-SA"/>
        </w:rPr>
        <w:t>.</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وأخوها، هو الشيخ علي بن محمد بن إبراهيم بن أبان الرازي الكليني، يعرّفه النجاشي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إبراهيم بن أبان الرازي الكليني المعروف بعلّان، يكنّى أبا الحسن، ثقة، عين، له كتاب أخبار القائم عليه السلام</w:t>
      </w:r>
      <w:r>
        <w:rPr>
          <w:rFonts w:eastAsia="Amiri" w:cs="Amiri" w:ascii="Amiri" w:hAnsi="Amiri"/>
          <w:color w:val="111111"/>
          <w:sz w:val="28"/>
          <w:szCs w:val="28"/>
          <w:rtl w:val="true"/>
          <w:lang w:bidi="ar-SA"/>
        </w:rPr>
        <w:t>.</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وممّا ذكرنا يظهر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للعائلة، حيث إنّ الجد والأب والخال يطلق عليهم علّان، وخال الكليني هذا من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العلّامة المامقاني أنّ ابن الخال محمد بن علي وحفيده القاسم بن محمد، كانا من علماء عصرهما</w:t>
      </w:r>
      <w:r>
        <w:rPr>
          <w:rFonts w:eastAsia="Amiri" w:cs="Amiri" w:ascii="Amiri" w:hAnsi="Amiri"/>
          <w:color w:val="111111"/>
          <w:sz w:val="28"/>
          <w:szCs w:val="28"/>
          <w:rtl w:val="true"/>
          <w:lang w:bidi="ar-SA"/>
        </w:rPr>
        <w:t>.</w:t>
      </w:r>
      <w:r>
        <w:rPr>
          <w:rStyle w:val="FootnoteAnchor"/>
          <w:rtl w:val="true"/>
        </w:rPr>
        <w:footnoteReference w:id="975"/>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يدلّ على أن ّ العلم قد ضرب بجرانه في هذه الأُسرة قبل الكليني وبعده، وأنّه نشأ بين ظهرانيهم وتألّق نجمه عندهم، فصار من أكابر المحدّثين وأعظم المجتهدين في عصره على وجه أطلق لسان كلّ موافق ومخالف للثناء عليه وإطرائه</w:t>
      </w:r>
      <w:r>
        <w:rPr>
          <w:rFonts w:eastAsia="Amiri" w:cs="Amiri" w:ascii="Amiri" w:hAnsi="Amiri"/>
          <w:color w:val="111111"/>
          <w:sz w:val="28"/>
          <w:szCs w:val="28"/>
          <w:rtl w:val="true"/>
          <w:lang w:bidi="ar-SA"/>
        </w:rPr>
        <w:t>.</w:t>
      </w:r>
      <w:bookmarkStart w:id="938" w:name="pg16768_165652"/>
    </w:p>
    <w:p>
      <w:pPr>
        <w:pStyle w:val="Heading4"/>
        <w:numPr>
          <w:ilvl w:val="3"/>
          <w:numId w:val="1"/>
        </w:numPr>
        <w:rPr/>
      </w:pPr>
      <w:bookmarkStart w:id="939" w:name="__RefHeading___Toc6864086_73709187"/>
      <w:bookmarkStart w:id="940" w:name="_Toc350"/>
      <w:bookmarkEnd w:id="938"/>
      <w:bookmarkEnd w:id="939"/>
      <w:r>
        <w:rPr>
          <w:rtl w:val="true"/>
        </w:rPr>
        <w:t>الظروف الّتي نشأ فيها</w:t>
      </w:r>
      <w:bookmarkEnd w:id="940"/>
    </w:p>
    <w:p>
      <w:pPr>
        <w:pStyle w:val="BookText"/>
        <w:rPr/>
      </w:pPr>
      <w:r>
        <w:rPr>
          <w:rFonts w:ascii="Amiri" w:hAnsi="Amiri" w:eastAsia="Amiri" w:cs="Amiri"/>
          <w:color w:val="111111"/>
          <w:sz w:val="28"/>
          <w:sz w:val="28"/>
          <w:szCs w:val="28"/>
          <w:rtl w:val="true"/>
          <w:lang w:bidi="ar-SA"/>
        </w:rPr>
        <w:t>إنّ البيئة الّتي عاش فيها الكليني كان يغلب عليها التشيّع، فقد كانت الري وقم من معاقل الشيعة ومراكز تجمّعهم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الأفكار السائدة في العالم الإسلامي آنذاك، كانت تميل إلى التجسيم والتشبيه وإثبات الجهة للّه سبحانه والقول بالجبر والقدر إلى غير ذلك ممّا طفحت به كتب المحدّثين في ذلك العصر، وذلك بعد أن مات المأمون والمعتصم اللّذان كانا يؤيدان التيّار العقلي ويحاربان تيّار المحدّثين الذين طغى عليهم الجمود، ولمّا جاء المتوكّل ومن خلفه انقلبت سياسة البيت العباسي إلى تقريب أهل الحديث المتشدّدين وإقصاء أهل العقل والكلام، وبهذا راجت الروايات المدسوسة من قبل مسلمة أهل الكتاب كما ظهرت طوائف وفرق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محدّث يحمل لواء التشبيه والتجسيم، ويضم في جرابه كلّ غث وسمين لا يبالي عمّن أخذ وما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خارجي يكفّر جميع طوائف المسلمين بملء فمه، ويحب الشيخين ويبغض الصهرين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دُخلاء في الإسلام يتظاهرون به صوناً لدمائهم ويوجهون سهام غدرهم إلى ظهور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الطوائف والأفكار المنحرفة الّتي نشأت بعد إقصاء العقل والعقليين</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ويكفيك أنّ محمد بن أبي إسحاق بن خزيمة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من ثمرات ذلك العصر، وقد ألّف كتاباً أسماه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 في إثبات صفات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الحقيقة كتاب شرك، وقد قال عنه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رجلاً مضطرب الكلام، قليل الفهم، ناقص العقل</w:t>
      </w:r>
      <w:r>
        <w:rPr>
          <w:rFonts w:eastAsia="Amiri" w:cs="Amiri" w:ascii="Amiri" w:hAnsi="Amiri"/>
          <w:color w:val="111111"/>
          <w:sz w:val="28"/>
          <w:szCs w:val="28"/>
          <w:rtl w:val="true"/>
          <w:lang w:bidi="ar-SA"/>
        </w:rPr>
        <w:t>.</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 xml:space="preserve">وليس ابن خزيمة هو الوحيد في نشر التجسيم والتشبيه، فقد سبقه في ذلك خشيش بن أصرم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عرّفه الذهبي بأنّه يردّ فيه على أهل البدع</w:t>
      </w:r>
      <w:r>
        <w:rPr>
          <w:rFonts w:eastAsia="Amiri" w:cs="Amiri" w:ascii="Amiri" w:hAnsi="Amiri"/>
          <w:color w:val="111111"/>
          <w:sz w:val="28"/>
          <w:szCs w:val="28"/>
          <w:rtl w:val="true"/>
          <w:lang w:bidi="ar-SA"/>
        </w:rPr>
        <w:t>.</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ويريد الذهبي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التنزيه الذين لا يُثبتون للّه سبحانه خصائص الموجود الإمكاني وينزّهونه عن الجسم والجسمانية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ولحقه أحمد بن محمد السجستاني السجزي، وقد اعتمد عليه الذهبي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ابن خزيمة حسن الرأي فيه، وكفى بهذا فخراً</w:t>
      </w:r>
      <w:r>
        <w:rPr>
          <w:rFonts w:eastAsia="Amiri" w:cs="Amiri" w:ascii="Amiri" w:hAnsi="Amiri"/>
          <w:color w:val="111111"/>
          <w:sz w:val="28"/>
          <w:szCs w:val="28"/>
          <w:rtl w:val="true"/>
          <w:lang w:bidi="ar-SA"/>
        </w:rPr>
        <w:t>.</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وكان لتلك الأفكار انتشار وصدى في الحواضر الإسلامية، ولأجل نقد هذه المسائل عقد شيخنا الكليني في أُصول الكافي أبواباً وفصولاً عديدة لردّها وإبطالها</w:t>
      </w:r>
      <w:r>
        <w:rPr>
          <w:rFonts w:eastAsia="Amiri" w:cs="Amiri" w:ascii="Amiri" w:hAnsi="Amiri"/>
          <w:color w:val="111111"/>
          <w:sz w:val="28"/>
          <w:szCs w:val="28"/>
          <w:rtl w:val="true"/>
          <w:lang w:bidi="ar-SA"/>
        </w:rPr>
        <w:t>.</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وكان أبو الحسن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المعاصر للكليني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أمره معتزلياً رافعاً لواء العقل والتفكير، إلّاأنّه رجع في عام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عن ذلك المنهج والتحق بمنهج الإمام أحمد منادياً بأعلى صوته في الجامع الكبير في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فقد عرفني، ومَن لم يعرفني فأنا أُعرّفه بنفسي، أنا فلان بن فلان كنت قلتُ بخلق القرآن، وإنّ اللّه لا يُرى بالأبصار، وإنّ أفعال الشرّ أنا أفعلها، وأنا تائب مقلع معتقد للردّ على المعتزلة</w:t>
      </w:r>
      <w:r>
        <w:rPr>
          <w:rFonts w:eastAsia="Amiri" w:cs="Amiri" w:ascii="Amiri" w:hAnsi="Amiri"/>
          <w:color w:val="111111"/>
          <w:sz w:val="28"/>
          <w:szCs w:val="28"/>
          <w:rtl w:val="true"/>
          <w:lang w:bidi="ar-SA"/>
        </w:rPr>
        <w:t>.</w:t>
      </w:r>
      <w:r>
        <w:rPr>
          <w:rStyle w:val="FootnoteAnchor"/>
          <w:rtl w:val="true"/>
        </w:rPr>
        <w:footnoteReference w:id="980"/>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يشير إلى أنّ الجو العام في ذلك العصر لم يكن لصالح الداعين إلى التحرّر من الجمود والتقليد، وإعمال الفكر والنظر</w:t>
      </w:r>
      <w:r>
        <w:rPr>
          <w:rFonts w:eastAsia="Amiri" w:cs="Amiri" w:ascii="Amiri" w:hAnsi="Amiri"/>
          <w:color w:val="111111"/>
          <w:sz w:val="28"/>
          <w:szCs w:val="28"/>
          <w:rtl w:val="true"/>
          <w:lang w:bidi="ar-SA"/>
        </w:rPr>
        <w:t>.</w:t>
      </w:r>
      <w:bookmarkStart w:id="941" w:name="pg16768_165654"/>
    </w:p>
    <w:p>
      <w:pPr>
        <w:pStyle w:val="Heading4"/>
        <w:numPr>
          <w:ilvl w:val="3"/>
          <w:numId w:val="1"/>
        </w:numPr>
        <w:rPr/>
      </w:pPr>
      <w:bookmarkStart w:id="942" w:name="__RefHeading___Toc6864088_73709187"/>
      <w:bookmarkStart w:id="943" w:name="_Toc351"/>
      <w:bookmarkEnd w:id="941"/>
      <w:bookmarkEnd w:id="942"/>
      <w:r>
        <w:rPr>
          <w:rtl w:val="true"/>
        </w:rPr>
        <w:t>ثقافته الواسعة</w:t>
      </w:r>
      <w:bookmarkEnd w:id="943"/>
    </w:p>
    <w:p>
      <w:pPr>
        <w:pStyle w:val="BookText"/>
        <w:rPr/>
      </w:pPr>
      <w:r>
        <w:rPr>
          <w:rFonts w:ascii="Amiri" w:hAnsi="Amiri" w:eastAsia="Amiri" w:cs="Amiri"/>
          <w:color w:val="111111"/>
          <w:sz w:val="28"/>
          <w:sz w:val="28"/>
          <w:szCs w:val="28"/>
          <w:rtl w:val="true"/>
          <w:lang w:bidi="ar-SA"/>
        </w:rPr>
        <w:t>لم يكن الشيخ الكليني متمكّناً من فنّ الحديث فحسب، بل كان مع براعته فيه، ملمّاً بثقافة عصره، مشاركاً أو متخصصاً في أكثر من فرع من فروعها، يظهر ذلك ممّا جاد به قلمه في كتبه العديدة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فأدبه الراقي تبدو ملامحه من خلال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من ثنايا هذا الكتاب،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المحمود لنعمته، المعبود لقدرته، المطاع في سلطانه، المرهوب لجلاله، المرغوب إليه فيما عنده، النافذ أمره في جميع خلقه، علا فاستعلى‌، ودنا فتعالى‌، وارتفع فوق كلّ منظر، الّذي لا بدء لأوّليته، ولا غاية لأزليته</w:t>
      </w:r>
      <w:r>
        <w:rPr>
          <w:rFonts w:eastAsia="Amiri" w:cs="Amiri" w:ascii="Amiri" w:hAnsi="Amiri"/>
          <w:color w:val="111111"/>
          <w:sz w:val="28"/>
          <w:szCs w:val="28"/>
          <w:rtl w:val="true"/>
          <w:lang w:bidi="ar-SA"/>
        </w:rPr>
        <w:t>.</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ومن ملامح أدبه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أفرد كتاباً فيما قيل في الأئمّة عليهم السلام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معرفته بالرجال فتبرز واضحة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الأسانيد الّتي يسوقها قبل الرواية تعرب عن اطّلاعه الواسع على المشايخ والتلاميذ وطبقاتهم، مضافاً إلى أنّ له كتاباً خاصّاً في علم الرجال، ذكره مترجموه، إلّاأنّه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 ولو وصلنا هذا الكتاب لنفعنا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ولم تقتصر معرفة الكليني بالأدب والرجال، وإنّما شملت علم الكلام أيضاً، حيث ذكر بعض آرائه الكلامية في ثنايا الأحاديث، خصوصاً في الجزء الأوّل</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أنّه ألف كتاباً في رد القرامطة أصحاب النحلة الفاسدة المنشقة من الإسماعيلية</w:t>
      </w:r>
      <w:r>
        <w:rPr>
          <w:rFonts w:eastAsia="Amiri" w:cs="Amiri" w:ascii="Amiri" w:hAnsi="Amiri"/>
          <w:color w:val="111111"/>
          <w:sz w:val="28"/>
          <w:szCs w:val="28"/>
          <w:rtl w:val="true"/>
          <w:lang w:bidi="ar-SA"/>
        </w:rPr>
        <w:t>.</w:t>
      </w:r>
      <w:bookmarkStart w:id="944" w:name="pg16768_165655"/>
    </w:p>
    <w:p>
      <w:pPr>
        <w:pStyle w:val="Heading4"/>
        <w:numPr>
          <w:ilvl w:val="3"/>
          <w:numId w:val="1"/>
        </w:numPr>
        <w:rPr/>
      </w:pPr>
      <w:bookmarkStart w:id="945" w:name="__RefHeading___Toc6864090_73709187"/>
      <w:bookmarkStart w:id="946" w:name="_Toc352"/>
      <w:bookmarkEnd w:id="944"/>
      <w:bookmarkEnd w:id="945"/>
      <w:r>
        <w:rPr>
          <w:rtl w:val="true"/>
        </w:rPr>
        <w:t>أثره الخالد</w:t>
      </w:r>
      <w:bookmarkEnd w:id="946"/>
    </w:p>
    <w:p>
      <w:pPr>
        <w:pStyle w:val="BookText"/>
        <w:rPr/>
      </w:pPr>
      <w:r>
        <w:rPr>
          <w:rFonts w:ascii="Amiri" w:hAnsi="Amiri" w:eastAsia="Amiri" w:cs="Amiri"/>
          <w:color w:val="111111"/>
          <w:sz w:val="28"/>
          <w:sz w:val="28"/>
          <w:szCs w:val="28"/>
          <w:rtl w:val="true"/>
          <w:lang w:bidi="ar-SA"/>
        </w:rPr>
        <w:t xml:space="preserve">إنّ أهم أثر تركه شيخنا المحدث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أمضى في تأليفه عشرين عاماً من عمره الشريف، ولذلك أصبح الكتاب من أوثق الكتب الحديثية، وقد وصفه الشيخ المفيد بأنّه من أجلّ كتب الشيعة وأكثرها فائدة</w:t>
      </w:r>
      <w:r>
        <w:rPr>
          <w:rFonts w:eastAsia="Amiri" w:cs="Amiri" w:ascii="Amiri" w:hAnsi="Amiri"/>
          <w:color w:val="111111"/>
          <w:sz w:val="28"/>
          <w:szCs w:val="28"/>
          <w:rtl w:val="true"/>
          <w:lang w:bidi="ar-SA"/>
        </w:rPr>
        <w:t>.</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ويقول الشهيد في إجازته لابن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الّذي لم يعمل الإمامية مثله</w:t>
      </w:r>
      <w:r>
        <w:rPr>
          <w:rFonts w:eastAsia="Amiri" w:cs="Amiri" w:ascii="Amiri" w:hAnsi="Amiri"/>
          <w:color w:val="111111"/>
          <w:sz w:val="28"/>
          <w:szCs w:val="28"/>
          <w:rtl w:val="true"/>
          <w:lang w:bidi="ar-SA"/>
        </w:rPr>
        <w:t>.</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والمشهور أنّه يحتوي على </w:t>
      </w:r>
      <w:r>
        <w:rPr>
          <w:rFonts w:eastAsia="Amiri" w:cs="Amiri" w:ascii="Amiri" w:hAnsi="Amiri"/>
          <w:color w:val="111111"/>
          <w:sz w:val="28"/>
          <w:szCs w:val="28"/>
          <w:lang w:bidi="ar-SA"/>
        </w:rPr>
        <w:t>16199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وهو يزيد على ما في الصحاح الستة من الأحاديث بعد حذف المكررات منها</w:t>
      </w:r>
      <w:r>
        <w:rPr>
          <w:rFonts w:eastAsia="Amiri" w:cs="Amiri" w:ascii="Amiri" w:hAnsi="Amiri"/>
          <w:color w:val="111111"/>
          <w:sz w:val="28"/>
          <w:szCs w:val="28"/>
          <w:rtl w:val="true"/>
          <w:lang w:bidi="ar-SA"/>
        </w:rPr>
        <w:t>.</w:t>
      </w:r>
    </w:p>
    <w:p>
      <w:pPr>
        <w:pStyle w:val="Heading4"/>
        <w:numPr>
          <w:ilvl w:val="3"/>
          <w:numId w:val="1"/>
        </w:numPr>
        <w:rPr/>
      </w:pPr>
      <w:bookmarkStart w:id="947" w:name="__RefHeading___Toc6864092_73709187"/>
      <w:bookmarkStart w:id="948" w:name="_Toc353"/>
      <w:bookmarkEnd w:id="947"/>
      <w:r>
        <w:rPr>
          <w:rtl w:val="true"/>
        </w:rPr>
        <w:t>ثناء العلماء وأقوالهم فيه</w:t>
      </w:r>
      <w:bookmarkEnd w:id="948"/>
    </w:p>
    <w:p>
      <w:pPr>
        <w:pStyle w:val="BookText"/>
        <w:rPr/>
      </w:pPr>
      <w:r>
        <w:rPr>
          <w:rFonts w:ascii="Amiri" w:hAnsi="Amiri" w:eastAsia="Amiri" w:cs="Amiri"/>
          <w:color w:val="111111"/>
          <w:sz w:val="28"/>
          <w:sz w:val="28"/>
          <w:szCs w:val="28"/>
          <w:rtl w:val="true"/>
          <w:lang w:bidi="ar-SA"/>
        </w:rPr>
        <w:t xml:space="preserve">قد سمعت كلمة المفيد والشهيد في حق شيخنا المترجم وكتابه، وإليك كلمات أُخرى لعلماء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وسنقتصر على القليل بدل الكثير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بن إسحاق، أبو جعفر الكليني، شيخ أصحابنا في وقته بالري ووجههم، وكان أوثق الناس في الحديث وأثبتهم، صنّف الكتاب الكبير المعروف الّذي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عشرين سنة</w:t>
      </w:r>
      <w:r>
        <w:rPr>
          <w:rFonts w:eastAsia="Amiri" w:cs="Amiri" w:ascii="Amiri" w:hAnsi="Amiri"/>
          <w:color w:val="111111"/>
          <w:sz w:val="28"/>
          <w:szCs w:val="28"/>
          <w:rtl w:val="true"/>
          <w:lang w:bidi="ar-SA"/>
        </w:rPr>
        <w:t>.</w:t>
      </w:r>
      <w:r>
        <w:rPr>
          <w:rStyle w:val="FootnoteAnchor"/>
          <w:rtl w:val="true"/>
        </w:rPr>
        <w:footnoteReference w:id="984"/>
      </w:r>
      <w:r>
        <w:rPr>
          <w:rFonts w:ascii="Amiri" w:hAnsi="Amiri" w:eastAsia="Amiri" w:cs="Amiri"/>
          <w:color w:val="111111"/>
          <w:sz w:val="28"/>
          <w:sz w:val="28"/>
          <w:szCs w:val="28"/>
          <w:rtl w:val="true"/>
          <w:lang w:bidi="ar-SA"/>
        </w:rPr>
        <w:t>ثمّ ذكر كتبه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الكليني يكنّى أبا جعفر، جليل القدر، عالم بالأخبار، وله مصنّفات يشتمل عليها الكتاب المعروف بالكافي</w:t>
      </w:r>
      <w:r>
        <w:rPr>
          <w:rFonts w:eastAsia="Amiri" w:cs="Amiri" w:ascii="Amiri" w:hAnsi="Amiri"/>
          <w:color w:val="111111"/>
          <w:sz w:val="28"/>
          <w:szCs w:val="28"/>
          <w:rtl w:val="true"/>
          <w:lang w:bidi="ar-SA"/>
        </w:rPr>
        <w:t>.</w:t>
      </w:r>
      <w:r>
        <w:rPr>
          <w:rStyle w:val="FootnoteAnchor"/>
          <w:rtl w:val="true"/>
        </w:rPr>
        <w:footnoteReference w:id="9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يكنّى أبا جعفر، ثقة، عارف بالأخبار، له كتب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ثلاثين كتاباً</w:t>
      </w:r>
      <w:r>
        <w:rPr>
          <w:rFonts w:eastAsia="Amiri" w:cs="Amiri" w:ascii="Amiri" w:hAnsi="Amiri"/>
          <w:color w:val="111111"/>
          <w:sz w:val="28"/>
          <w:szCs w:val="28"/>
          <w:rtl w:val="true"/>
          <w:lang w:bidi="ar-SA"/>
        </w:rPr>
        <w:t>.</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هذا بعض ما قاله علماء الشيعة في حقّه، وإليك بعض النصوص من علماء السنّة، وقد ذكروه بإجلال من دون أيّ غمز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ذكره مجد الدين أبو السعادات المبارك بن محمد المعروف بابن الأثير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ما رواه أبو هريرة عن رسول اللّه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يبعث لهذه الأُمّة على رأس كلّ مائة سنة من يجدّد لها دينها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داود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ذكر أنّ العلماء تكلّموا في تأويل هذا الحديث كلّ واحد في زمانه،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نذكر الآن المذاهب المشهورة في الإسلام التي عليها مدار المسلمين في أقطار الأرض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الشافعي، وأبي حنيفة، ومالك، وأحمد، ومذهب الإمامية، ومن كان المشار إليه من هؤلاء على رأس كلّ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 الإمام الباقر هو مجدّد مذهب الإمامية على رأس المائة الأُولى، والإمام عليّ بن موسى الرضا عليه السلام على رأس المائة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كان على رأس المائة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يعقوب الرازي من الإمامية</w:t>
      </w:r>
      <w:r>
        <w:rPr>
          <w:rFonts w:eastAsia="Amiri" w:cs="Amiri" w:ascii="Amiri" w:hAnsi="Amiri"/>
          <w:color w:val="111111"/>
          <w:sz w:val="28"/>
          <w:szCs w:val="28"/>
          <w:rtl w:val="true"/>
          <w:lang w:bidi="ar-SA"/>
        </w:rPr>
        <w:t>.</w:t>
      </w:r>
      <w:r>
        <w:rPr>
          <w:rStyle w:val="FootnoteAnchor"/>
          <w:rtl w:val="true"/>
        </w:rPr>
        <w:footnoteReference w:id="98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عزّ الدين أبو الحسن علي بن محمد المعروف بابن الأثير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عام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توفّي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الكليني وهو من أئمّة الإمامية وعلمائهم</w:t>
      </w:r>
      <w:r>
        <w:rPr>
          <w:rFonts w:eastAsia="Amiri" w:cs="Amiri" w:ascii="Amiri" w:hAnsi="Amiri"/>
          <w:color w:val="111111"/>
          <w:sz w:val="28"/>
          <w:szCs w:val="28"/>
          <w:rtl w:val="true"/>
          <w:lang w:bidi="ar-SA"/>
        </w:rPr>
        <w:t>.</w:t>
      </w:r>
      <w:r>
        <w:rPr>
          <w:rStyle w:val="FootnoteAnchor"/>
          <w:rtl w:val="true"/>
        </w:rPr>
        <w:footnoteReference w:id="98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عنه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بن إسحاق، أبو جعفر الكليني سكن بغداد وحدّث بها عن محمد بن أحمد بن عبد الجبار وعلي بن إبراهيم بن هاشم، كان من فقهاء الشيعة والمصنفين على مذهبهم، توفّي سنة ثمان وعشرين</w:t>
      </w:r>
      <w:bookmarkStart w:id="949" w:name="pg16768_165657"/>
    </w:p>
    <w:p>
      <w:pPr>
        <w:pStyle w:val="BookText"/>
        <w:rPr/>
      </w:pPr>
      <w:bookmarkEnd w:id="949"/>
      <w:r>
        <w:rPr>
          <w:rFonts w:ascii="Amiri" w:hAnsi="Amiri" w:eastAsia="Amiri" w:cs="Amiri"/>
          <w:color w:val="111111"/>
          <w:sz w:val="28"/>
          <w:sz w:val="28"/>
          <w:szCs w:val="28"/>
          <w:rtl w:val="true"/>
          <w:lang w:bidi="ar-SA"/>
        </w:rPr>
        <w:t>وثلاثمائة ببغداد</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إلى غير ذلك من الكلمات الّتي لا مجال لنقلها</w:t>
      </w:r>
      <w:r>
        <w:rPr>
          <w:rFonts w:eastAsia="Amiri" w:cs="Amiri" w:ascii="Amiri" w:hAnsi="Amiri"/>
          <w:color w:val="111111"/>
          <w:sz w:val="28"/>
          <w:szCs w:val="28"/>
          <w:rtl w:val="true"/>
          <w:lang w:bidi="ar-SA"/>
        </w:rPr>
        <w:t>.</w:t>
      </w:r>
    </w:p>
    <w:p>
      <w:pPr>
        <w:pStyle w:val="Heading4"/>
        <w:numPr>
          <w:ilvl w:val="3"/>
          <w:numId w:val="1"/>
        </w:numPr>
        <w:rPr/>
      </w:pPr>
      <w:bookmarkStart w:id="950" w:name="__RefHeading___Toc6864094_73709187"/>
      <w:bookmarkStart w:id="951" w:name="_Toc354"/>
      <w:bookmarkEnd w:id="950"/>
      <w:r>
        <w:rPr>
          <w:rtl w:val="true"/>
        </w:rPr>
        <w:t>رحلاته في أخذ الحديث وعرض كتابه</w:t>
      </w:r>
      <w:bookmarkEnd w:id="951"/>
    </w:p>
    <w:p>
      <w:pPr>
        <w:pStyle w:val="BookText"/>
        <w:rPr/>
      </w:pPr>
      <w:r>
        <w:rPr>
          <w:rFonts w:ascii="Amiri" w:hAnsi="Amiri" w:eastAsia="Amiri" w:cs="Amiri"/>
          <w:color w:val="111111"/>
          <w:sz w:val="28"/>
          <w:sz w:val="28"/>
          <w:szCs w:val="28"/>
          <w:rtl w:val="true"/>
          <w:lang w:bidi="ar-SA"/>
        </w:rPr>
        <w:t>إنّ التاريخ لم يسجّل رحلات الكليني في أخذ الحديث وعرضه، إذ لا شك أنّه كانت له رحلات في أخذ الحديث وعرض كتابه، فإنّ أكثر مشايخه وإن كانوا متواجدين في قم والري، ولكنّ قسماً منهم كانوا في خارج ذينك البلدين، حتّى أنّ بعض مشايخه كان من منطقة آذربايجان، وبما أنّ الكليني كان ملتزماً بأخذ الحديث من الراوي شفهياً فلابدّ من أن تكون له رحلات إلى بعض المناطق الّتي يتواجد فيها أئمّة الحديث وكتبهم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ذكره التاريخ هو رحلته إلى بغداد عام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ولكنّه لم يقتصر على هذه الرحلة بل إنّه قصد دمشق وبعلبك، وهذا ما يذكره الحافظ أبو القاسم المعروف بابن عساكر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من شيوخ الرافضة قدم دمشق وحدّث ببعلبك عن أبي الحسين محمد بن علي الجعفري السمرقندي، ومحمد بن أحمد الخفاف النيسابوري، وعلي بن 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سعد الكوفي شيخ الشريف المرتضى أبي القاسم علي بن الحسين بن موسى الموسوي، وأبو عبد اللّه أحمد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بياض في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وأبو القاسم علي بن محمد بن عبدوس الكوفي، وعبد اللّه بن محمد</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بياض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جعفر بن أحمد بن حسين بن السراج، أنبأنا أبو القاسم المحسن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بتنيس، أنبأنا أبو علي الحسن بن علي بن جعفر الديبلي بتنيس في المحرم سنة خمس وتسعين وثلاثمائة، أنبأنا أبو القاسم علي بن محمد بن عبدوس الكوفي، أخبرني محمد بن</w:t>
      </w:r>
      <w:bookmarkStart w:id="952" w:name="pg16768_165658"/>
    </w:p>
    <w:p>
      <w:pPr>
        <w:pStyle w:val="BookText"/>
        <w:rPr/>
      </w:pPr>
      <w:bookmarkEnd w:id="952"/>
      <w:r>
        <w:rPr>
          <w:rFonts w:ascii="Amiri" w:hAnsi="Amiri" w:eastAsia="Amiri" w:cs="Amiri"/>
          <w:color w:val="111111"/>
          <w:sz w:val="28"/>
          <w:sz w:val="28"/>
          <w:szCs w:val="28"/>
          <w:rtl w:val="true"/>
          <w:lang w:bidi="ar-SA"/>
        </w:rPr>
        <w:t>يعقوب الكليني، عن علي بن إبراهيم بن هاشم عن موسى بن إبراهيم المحاربي، عن الحسن بن موسى، عن موسى بن عبد اللّه،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إعجاب المرء بنفسه دليل على ضعف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زكريا عبد الرحيم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 القاسم بن السوسي، أنبأنا أبو إسحاق إبراهيم بن يونس، أنبأنا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 الحسين أحمد بن سلامة بن يحيى، أنبأنا سهل بن بشر، أنبأنا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الغني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الكاف والنون بعد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فمحمد بن يعقوب الكليني، من الشيعة المصنفين، مصنف على مذاهب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أبي نصر بن ماكولا، قال</w:t>
      </w:r>
      <w:r>
        <w:rPr>
          <w:rFonts w:eastAsia="Amiri" w:cs="Amiri" w:ascii="Amiri" w:hAnsi="Amiri"/>
          <w:color w:val="111111"/>
          <w:sz w:val="28"/>
          <w:szCs w:val="28"/>
          <w:rtl w:val="true"/>
          <w:lang w:bidi="ar-SA"/>
        </w:rPr>
        <w:t>:</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وأمّا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الكاف، وإمالة اللام، وقبل الياء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يعقوب الكليني الرازي من فقهاء الشيعة المصنفين في مذهبهم، روى عنه أبو عبد اللّه أحمد بن إبراهيم الصيمري وغيره، وكان ينزل بباب الكوفة في درب السلسلة ببغداد، وتوفّي فيها سنة ثمان وعشرين وثلاثمائة، ودفن بباب الكوفة في مقبرتها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الأمير بن ماكولا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أنا قبره بالقرب من صراة الطائي عليه لوح مكتوب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محمد بن يعقوب الرازي الكليني الفقيه</w:t>
      </w:r>
      <w:r>
        <w:rPr>
          <w:rFonts w:eastAsia="Amiri" w:cs="Amiri" w:ascii="Amiri" w:hAnsi="Amiri"/>
          <w:color w:val="111111"/>
          <w:sz w:val="28"/>
          <w:szCs w:val="28"/>
          <w:rtl w:val="true"/>
          <w:lang w:bidi="ar-SA"/>
        </w:rPr>
        <w:t>.</w:t>
      </w:r>
      <w:r>
        <w:rPr>
          <w:rStyle w:val="FootnoteAnchor"/>
          <w:rtl w:val="true"/>
        </w:rPr>
        <w:footnoteReference w:id="991"/>
      </w:r>
    </w:p>
    <w:p>
      <w:pPr>
        <w:pStyle w:val="Heading4"/>
        <w:numPr>
          <w:ilvl w:val="3"/>
          <w:numId w:val="1"/>
        </w:numPr>
        <w:rPr/>
      </w:pPr>
      <w:bookmarkStart w:id="953" w:name="__RefHeading___Toc6864096_73709187"/>
      <w:bookmarkStart w:id="954" w:name="_Toc355"/>
      <w:bookmarkEnd w:id="953"/>
      <w:r>
        <w:rPr>
          <w:rtl w:val="true"/>
        </w:rPr>
        <w:t xml:space="preserve">العناية بكتاب </w:t>
      </w:r>
      <w:r>
        <w:rPr>
          <w:rtl w:val="true"/>
        </w:rPr>
        <w:t>«</w:t>
      </w:r>
      <w:r>
        <w:rPr>
          <w:rtl w:val="true"/>
        </w:rPr>
        <w:t>الكافي</w:t>
      </w:r>
      <w:r>
        <w:rPr>
          <w:rtl w:val="true"/>
        </w:rPr>
        <w:t>»</w:t>
      </w:r>
      <w:bookmarkEnd w:id="954"/>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حظيَ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أن ظهر إلى النور باهتمام العلماء والمحدّثين قراءة واستنساخاً ونشراً، ثمّ تعليقاً وشرحاً ودراسة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بعض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 للكليني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أتردّد إلى المسجد المعروف بمسجد اللؤلؤي، وهو مسجد نفطويه النحوي، أقرأ القرآن على صاحب المسجد، وجماعة من أصحابنا يقرأون كتاب الكافي، على ابن الحسين أحمد بن أحمد الكوفي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الكليني، ورأيت أبا الحسن العقرائي، يرويه عنه</w:t>
      </w:r>
      <w:r>
        <w:rPr>
          <w:rFonts w:eastAsia="Amiri" w:cs="Amiri" w:ascii="Amiri" w:hAnsi="Amiri"/>
          <w:color w:val="111111"/>
          <w:sz w:val="28"/>
          <w:szCs w:val="28"/>
          <w:rtl w:val="true"/>
          <w:lang w:bidi="ar-SA"/>
        </w:rPr>
        <w:t>.</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وهذا يعني أنّ الشيخ العقرائي يروي الكافي عن مؤلفه بلا واسطة وهو صريح قول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في ترجمة العقرائي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الحسن بكران أبو الحسين العقرائي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مر في ترجمة الكليني أنّه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السماع ضعيف في مذهبه، رأيته في الكوفة وهو مجاور وكان يروي كتاب الكليني عنه، وكان في هذا الوقت علواً، فلم أسمع منه شيئاً</w:t>
      </w:r>
      <w:r>
        <w:rPr>
          <w:rFonts w:eastAsia="Amiri" w:cs="Amiri" w:ascii="Amiri" w:hAnsi="Amiri"/>
          <w:color w:val="111111"/>
          <w:sz w:val="28"/>
          <w:szCs w:val="28"/>
          <w:rtl w:val="true"/>
          <w:lang w:bidi="ar-SA"/>
        </w:rPr>
        <w:t>.</w:t>
      </w:r>
      <w:r>
        <w:rPr>
          <w:rStyle w:val="FootnoteAnchor"/>
          <w:rtl w:val="true"/>
        </w:rPr>
        <w:footnoteReference w:id="993"/>
      </w:r>
      <w:r>
        <w:rPr>
          <w:rFonts w:ascii="Amiri" w:hAnsi="Amiri" w:eastAsia="Amiri" w:cs="Amiri"/>
          <w:color w:val="111111"/>
          <w:sz w:val="28"/>
          <w:sz w:val="28"/>
          <w:szCs w:val="28"/>
          <w:rtl w:val="true"/>
          <w:lang w:bidi="ar-SA"/>
        </w:rPr>
        <w:t xml:space="preserve">وفي النسخ المطبوعة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أي أنّه كان طاعناً في السن، وعلواً في الاسناد حيث ينقل عن المؤلف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ما ذكرنا أنّ النجاشي ذكر ذلك في ترجمة أحمد بن عبد الواحد المعروف بابن عبدون،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لقي أبا الحسن علي بن أحمد القرشي المعروف بابن الزبير، وكان علواً في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عمّر مائة سنة ومات ابن الزبير سنة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994"/>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روى كتاب الكافي عن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الشريف جعفر بن محمد بن قولويه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ما ذكره النجاشي في سنده إلى الكافي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جماعة شيوخنا،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النعمان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والحسين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وأحمد بن علي بن</w:t>
      </w:r>
      <w:bookmarkStart w:id="955" w:name="pg16768_165660"/>
    </w:p>
    <w:p>
      <w:pPr>
        <w:pStyle w:val="BookText"/>
        <w:rPr/>
      </w:pPr>
      <w:bookmarkEnd w:id="955"/>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القاسم جعفر بن محمد بن قولويه عنه</w:t>
      </w:r>
      <w:r>
        <w:rPr>
          <w:rFonts w:eastAsia="Amiri" w:cs="Amiri" w:ascii="Amiri" w:hAnsi="Amiri"/>
          <w:color w:val="111111"/>
          <w:sz w:val="28"/>
          <w:szCs w:val="28"/>
          <w:rtl w:val="true"/>
          <w:lang w:bidi="ar-SA"/>
        </w:rPr>
        <w:t>.</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ولأبي غالب أحمد بن محمد الزراري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عناية خاصة بهذا الكتاب، يكشف عنها قوله في رسالته إلى حفيده في ذكر آل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كتاب الكافي تصنيف أبي جعفر محمد بن يعقوب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 قراءةً‌، وبعضه 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نسخت منه كتاب الصلاة والصوم في نسخة، وكتاب الحج في نسخة، وكتاب الطهر والحيض في جزء، والجميع 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وعزمي أن أنسخ بقية الكتاب إن شاء اللّه في جزء واحد، ورقٍّ طلحي</w:t>
      </w:r>
      <w:r>
        <w:rPr>
          <w:rFonts w:eastAsia="Amiri" w:cs="Amiri" w:ascii="Amiri" w:hAnsi="Amiri"/>
          <w:color w:val="111111"/>
          <w:sz w:val="28"/>
          <w:szCs w:val="28"/>
          <w:rtl w:val="true"/>
          <w:lang w:bidi="ar-SA"/>
        </w:rPr>
        <w:t>.</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 xml:space="preserve">وفي هذا المجال يأتي قول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إجازته للسيد ابن مهنا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الكافي للشيخ محمد بن يعقوب الكليني فرويت أحاديثه المذكورة المتصلة بالأئمّة عليهم السلام عنّي وعن والدي والشيخ أبي القاسم جعفر بن سعيد وجمال الدين أحمد بن طاووس وغيرهم باسنادهم المذكور إلى الشيخ المفيد محمد بن محمد بن النعمان، عن أبي القاسم جعفر بن محمد بن قولويه، عن محمد بن يعقوب الكليني، عن رجاله المذكورة في كلّ حديث عن الأئمّة عليهم السلام</w:t>
      </w:r>
      <w:r>
        <w:rPr>
          <w:rFonts w:eastAsia="Amiri" w:cs="Amiri" w:ascii="Amiri" w:hAnsi="Amiri"/>
          <w:color w:val="111111"/>
          <w:sz w:val="28"/>
          <w:szCs w:val="28"/>
          <w:rtl w:val="true"/>
          <w:lang w:bidi="ar-SA"/>
        </w:rPr>
        <w:t>.</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أمّا التعليقات والشروح والدراسات، فلا نرى حاجة للحديث عنها، لكثرتها، وانتشار عدد كبير منها</w:t>
      </w:r>
      <w:r>
        <w:rPr>
          <w:rFonts w:eastAsia="Amiri" w:cs="Amiri" w:ascii="Amiri" w:hAnsi="Amiri"/>
          <w:color w:val="111111"/>
          <w:sz w:val="28"/>
          <w:szCs w:val="28"/>
          <w:rtl w:val="true"/>
          <w:lang w:bidi="ar-SA"/>
        </w:rPr>
        <w:t>.</w:t>
      </w:r>
    </w:p>
    <w:p>
      <w:pPr>
        <w:pStyle w:val="Heading4"/>
        <w:numPr>
          <w:ilvl w:val="3"/>
          <w:numId w:val="1"/>
        </w:numPr>
        <w:rPr/>
      </w:pPr>
      <w:bookmarkStart w:id="956" w:name="__RefHeading___Toc6864098_73709187"/>
      <w:bookmarkStart w:id="957" w:name="_Toc356"/>
      <w:bookmarkEnd w:id="956"/>
      <w:r>
        <w:rPr>
          <w:rtl w:val="true"/>
        </w:rPr>
        <w:t>الكليني وتهمة تحريف القرآن</w:t>
      </w:r>
      <w:bookmarkEnd w:id="957"/>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اتُّهِم الشيخ الكليني بالقول بتحريف القرآن أكثر من الآخرين، وما ذلك إلّا لأنّه أورد في كتابه روايات ربّما يستظهر منها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دراسة السند والمتن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بالتحريف، وقد قام غير واحد من المحقّقين بالإجابة عن هذه الروايات ببيان ضعف أسنادها وعدم دلالتها على ما يرومه الخصم، والّذي يهمّنا</w:t>
      </w:r>
    </w:p>
    <w:p>
      <w:pPr>
        <w:pStyle w:val="BookText"/>
        <w:rPr/>
      </w:pPr>
      <w:r>
        <w:rPr>
          <w:rFonts w:ascii="Amiri" w:hAnsi="Amiri" w:eastAsia="Amiri" w:cs="Amiri"/>
          <w:color w:val="111111"/>
          <w:sz w:val="28"/>
          <w:sz w:val="28"/>
          <w:szCs w:val="28"/>
          <w:rtl w:val="true"/>
          <w:lang w:bidi="ar-SA"/>
        </w:rPr>
        <w:t>هو ما ربّما يوجد في بعض النسخ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الّذي جاء به جبرئيل إلى محمد صلى الله عليه و آله سبعة عشر ألف آية</w:t>
      </w:r>
      <w:r>
        <w:rPr>
          <w:rFonts w:eastAsia="Amiri" w:cs="Amiri" w:ascii="Amiri" w:hAnsi="Amiri"/>
          <w:color w:val="111111"/>
          <w:sz w:val="28"/>
          <w:szCs w:val="28"/>
          <w:rtl w:val="true"/>
          <w:lang w:bidi="ar-SA"/>
        </w:rPr>
        <w:t>».</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وهذه رواية شاذة لا تفيد علماً ولا عملاً ولا يقبلها العقل السليم، مضافاً إلى أنّ نسخ الكافي مختلفة، فهذا هو المحدّث الكبير الفيض الكاشاني نقلها عن الكافي على لفظ سبعة آلاف آية</w:t>
      </w:r>
      <w:r>
        <w:rPr>
          <w:rFonts w:eastAsia="Amiri" w:cs="Amiri" w:ascii="Amiri" w:hAnsi="Amiri"/>
          <w:color w:val="111111"/>
          <w:sz w:val="28"/>
          <w:szCs w:val="28"/>
          <w:rtl w:val="true"/>
          <w:lang w:bidi="ar-SA"/>
        </w:rPr>
        <w:t>.</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يقول المحقّق 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زيادة النساخ أو الرواة والأصل هو سبعة آلاف، فإنّ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القريبة من الواقع الموجود بأيدينا، وظاهر الحديث أنّه ليس بصدد إحصاء عدد الآيات، بل الغاية من ذلك إطلاق العدد التام المتناسب مع الواقع بعد حذف الكسور أو تتميمها، كما هي العادة والمتعارف في الاستعمال</w:t>
      </w:r>
      <w:r>
        <w:rPr>
          <w:rFonts w:eastAsia="Amiri" w:cs="Amiri" w:ascii="Amiri" w:hAnsi="Amiri"/>
          <w:color w:val="111111"/>
          <w:sz w:val="28"/>
          <w:szCs w:val="28"/>
          <w:rtl w:val="true"/>
          <w:lang w:bidi="ar-SA"/>
        </w:rPr>
        <w:t>.</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والعجب أنّ خصوم الكليني بين من ينقله عنه بلفظ سبعة عشر ألف آية، كالآلوسي</w:t>
      </w:r>
      <w:r>
        <w:rPr>
          <w:rStyle w:val="FootnoteAnchor"/>
          <w:rtl w:val="true"/>
        </w:rPr>
        <w:footnoteReference w:id="1001"/>
      </w:r>
      <w:r>
        <w:rPr>
          <w:rFonts w:ascii="Amiri" w:hAnsi="Amiri" w:eastAsia="Amiri" w:cs="Amiri"/>
          <w:color w:val="111111"/>
          <w:sz w:val="28"/>
          <w:sz w:val="28"/>
          <w:szCs w:val="28"/>
          <w:rtl w:val="true"/>
          <w:lang w:bidi="ar-SA"/>
        </w:rPr>
        <w:t>، وبين من ينقله بلفظ سبعة آلاف آية، كموسى جار اللّه</w:t>
      </w:r>
      <w:r>
        <w:rPr>
          <w:rFonts w:eastAsia="Amiri" w:cs="Amiri" w:ascii="Amiri" w:hAnsi="Amiri"/>
          <w:color w:val="111111"/>
          <w:sz w:val="28"/>
          <w:szCs w:val="28"/>
          <w:rtl w:val="true"/>
          <w:lang w:bidi="ar-SA"/>
        </w:rPr>
        <w:t>.</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غير أنّ أحد خصومه كأبي الحسن الندوي لم يرتض كلا العددين، فنقله في رسالته</w:t>
      </w:r>
      <w:r>
        <w:rPr>
          <w:rStyle w:val="FootnoteAnchor"/>
          <w:rtl w:val="true"/>
        </w:rPr>
        <w:footnoteReference w:id="1003"/>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ألف آية</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اقترحه على اللجنة المشرفة على تصحيح الكافي دراسة الموضوع، وملاحظة النسخ قديمها وحديثها حتّى يتجلّى الحق بأظهر 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اقتراحات أُخرى نذكرها تباعاً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التعليق على المواضع الّتي روي فيها الحديث معلّقاً أو الاسناد محولاً، أو نقل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توضيح هذه الموارد في كلّ صفحة وردت فيها دون أن يقتصر على مورد واحد ثم تعطف عليه سائر الموارد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المفردات المشكلة في النثر والنظم الواردين في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التعليق على الأحاديث الشاذة الّتي لا تتفق مع ظاهر الكتاب والسنّة المتواترة، أو ما اتّفقت عليه الإمامية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نشر الكتب الّتي نقل عنها الكليني بواسطة أو بلا واسطة، كبصائر الدرجات والمحاسن للبرقي، والنوادر لأحمد بن محمد بن عيسى، إلى غير ذلك ممّا يمكن أن نصل إليه في المكتبات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للشيخ الكليني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رسائل الأئمّة عليهم السلام، وكان هذا الكتاب موجوداً عند ولد الفيض حيث ينقل عنه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مكاتيب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 فيجدر بأصحاب هذا الشأن البحث عنه في المكتبات، فربّما يكون موجوداً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التأكد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من تأليفه أو لا؟ وعلى الأوّل فهل هو جزء من الكافي أو كتاب مستقل‌؟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الفحص عن قبره في بغداد والاهتمام به، فقد اتّفق المترجمون على أنّه دفن في باب الكوفة ببغداد،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قبره في درب السلسلة ببغداد بالقرب من صراة الطائي</w:t>
      </w:r>
      <w:r>
        <w:rPr>
          <w:rFonts w:eastAsia="Amiri" w:cs="Amiri" w:ascii="Amiri" w:hAnsi="Amiri"/>
          <w:color w:val="111111"/>
          <w:sz w:val="28"/>
          <w:szCs w:val="28"/>
          <w:rtl w:val="true"/>
          <w:lang w:bidi="ar-SA"/>
        </w:rPr>
        <w:t>.</w:t>
      </w:r>
      <w:r>
        <w:rPr>
          <w:rStyle w:val="FootnoteAnchor"/>
          <w:rtl w:val="true"/>
        </w:rPr>
        <w:footnoteReference w:id="100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التحقيق والفحص عن قبور نواب الإمام المهدي عليه السلام الأربعة رحمهمُ اللّه</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الختام نقدّم هذه الصفحات القليلة إلى الإخوة الكرام المشاركين في المؤتمر العالمي لثقة الإسلام الكليني رحمه اللّه، عسى أن نشاركهم في هذا</w:t>
      </w:r>
    </w:p>
    <w:p>
      <w:pPr>
        <w:pStyle w:val="BookText"/>
        <w:rPr/>
      </w:pPr>
      <w:r>
        <w:rPr>
          <w:rFonts w:ascii="Amiri" w:hAnsi="Amiri" w:eastAsia="Amiri" w:cs="Amiri"/>
          <w:color w:val="111111"/>
          <w:sz w:val="28"/>
          <w:sz w:val="28"/>
          <w:szCs w:val="28"/>
          <w:rtl w:val="true"/>
          <w:lang w:bidi="ar-SA"/>
        </w:rPr>
        <w:t>الثواب الجزيل، وأن تكون خدمة متواضعة لروح هذا المحدّث الكبير الّذي لم يزل يشع نور كتابه على العالم الإسلامي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نتقدّم بجزيل الشكر والامتنان إلى الإخوة المحقّقين والمشرفين في مؤسسة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العامرة</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bookmarkStart w:id="958" w:name="pg16768_165664"/>
    </w:p>
    <w:p>
      <w:pPr>
        <w:pStyle w:val="Heading3"/>
        <w:numPr>
          <w:ilvl w:val="2"/>
          <w:numId w:val="1"/>
        </w:numPr>
        <w:rPr/>
      </w:pPr>
      <w:bookmarkStart w:id="959" w:name="__RefHeading___Toc6864100_73709187"/>
      <w:bookmarkStart w:id="960" w:name="_Toc357"/>
      <w:bookmarkEnd w:id="958"/>
      <w:bookmarkEnd w:id="959"/>
      <w:r>
        <w:rPr/>
        <w:t>4</w:t>
      </w:r>
      <w:r>
        <w:rPr>
          <w:rtl w:val="true"/>
        </w:rPr>
        <w:t xml:space="preserve"> </w:t>
      </w:r>
      <w:r>
        <w:rPr>
          <w:rtl w:val="true"/>
        </w:rPr>
        <w:t>الشريف المرتضى رحمه الله</w:t>
      </w:r>
      <w:bookmarkEnd w:id="960"/>
    </w:p>
    <w:p>
      <w:pPr>
        <w:pStyle w:val="Heading4"/>
        <w:numPr>
          <w:ilvl w:val="3"/>
          <w:numId w:val="1"/>
        </w:numPr>
        <w:rPr/>
      </w:pPr>
      <w:bookmarkStart w:id="961" w:name="__RefHeading___Toc6864102_73709187"/>
      <w:bookmarkStart w:id="962" w:name="_Toc358"/>
      <w:bookmarkEnd w:id="961"/>
      <w:r>
        <w:rPr>
          <w:rtl w:val="true"/>
        </w:rPr>
        <w:t>اشارة</w:t>
      </w:r>
      <w:bookmarkEnd w:id="962"/>
    </w:p>
    <w:p>
      <w:pPr>
        <w:pStyle w:val="BookText"/>
        <w:rPr/>
      </w:pPr>
      <w:r>
        <w:rPr>
          <w:rFonts w:ascii="Amiri" w:hAnsi="Amiri" w:eastAsia="Amiri" w:cs="Amiri"/>
          <w:color w:val="111111"/>
          <w:sz w:val="28"/>
          <w:sz w:val="28"/>
          <w:szCs w:val="28"/>
          <w:rtl w:val="true"/>
          <w:lang w:bidi="ar-SA"/>
        </w:rPr>
        <w:t>حياته وآثاره</w:t>
      </w:r>
    </w:p>
    <w:p>
      <w:pPr>
        <w:pStyle w:val="BookText"/>
        <w:rPr/>
      </w:pPr>
      <w:r>
        <w:rPr>
          <w:rFonts w:ascii="Amiri" w:hAnsi="Amiri" w:eastAsia="Amiri" w:cs="Amiri"/>
          <w:color w:val="111111"/>
          <w:sz w:val="28"/>
          <w:sz w:val="28"/>
          <w:szCs w:val="28"/>
          <w:rtl w:val="true"/>
          <w:lang w:bidi="ar-SA"/>
        </w:rPr>
        <w:t>الحمد للّه على جزيل إفضاله وعظيم إنعامه، والصلاة والسلام على خاتم رسله وأنبيائه، محمد وآله الطيبين الطاهرين عيبة علمه، وموئل حكمه، صلاة دائمة مادامت السماء ذات أبراج والأرض ذات فجاج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السهل اليسير ترجمة حياة الشريف المرتضى، الذي فاق أقرانه، وزان أمثاله، فصار يشار إليه بالبنان في مختلف العلوم، فهو في الفقه إمامه، وفي أُصوله مؤسسه، وفي الكلام رائده، وفي الحديث راويته، وبالجملة هو أُسوة في العلم والفضل والأخلاق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لا يكون الشريف المرتضى كذلك، وقد اكتسب من العلوم النصيب الأوفر ولم يترك فضيلة من الفضائل إلاّ حازها</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رحمه الله من الشخصيات اللامعة التي اتّفق المترجمون على الثناء عليه وإطرائه، والإشادة بنبوغه وفضله وعلمه، وانّه القدوة في العلوم الإسلامية، وهو غصن الدوحة العلوية</w:t>
      </w:r>
      <w:r>
        <w:rPr>
          <w:rFonts w:eastAsia="Amiri" w:cs="Amiri" w:ascii="Amiri" w:hAnsi="Amiri"/>
          <w:color w:val="111111"/>
          <w:sz w:val="28"/>
          <w:szCs w:val="28"/>
          <w:rtl w:val="true"/>
          <w:lang w:bidi="ar-SA"/>
        </w:rPr>
        <w:t>.</w:t>
      </w:r>
      <w:bookmarkStart w:id="963" w:name="pg16768_165665"/>
    </w:p>
    <w:p>
      <w:pPr>
        <w:pStyle w:val="Heading4"/>
        <w:numPr>
          <w:ilvl w:val="3"/>
          <w:numId w:val="1"/>
        </w:numPr>
        <w:rPr/>
      </w:pPr>
      <w:bookmarkStart w:id="964" w:name="__RefHeading___Toc6864104_73709187"/>
      <w:bookmarkStart w:id="965" w:name="_Toc359"/>
      <w:bookmarkEnd w:id="963"/>
      <w:bookmarkEnd w:id="964"/>
      <w:r>
        <w:rPr>
          <w:rtl w:val="true"/>
        </w:rPr>
        <w:t>نسبه الشريف</w:t>
      </w:r>
      <w:bookmarkEnd w:id="965"/>
    </w:p>
    <w:p>
      <w:pPr>
        <w:pStyle w:val="BookText"/>
        <w:rPr/>
      </w:pPr>
      <w:r>
        <w:rPr>
          <w:rFonts w:ascii="Amiri" w:hAnsi="Amiri" w:eastAsia="Amiri" w:cs="Amiri"/>
          <w:color w:val="111111"/>
          <w:sz w:val="28"/>
          <w:sz w:val="28"/>
          <w:szCs w:val="28"/>
          <w:rtl w:val="true"/>
          <w:lang w:bidi="ar-SA"/>
        </w:rPr>
        <w:t>هو السيد علي بن الحسين بن موسى بن محمد بن موسى بن إبراهيم بن الإمام موسى الكاظم بن الإمام جعفر الصادق عليهما السلام، أبو القاسم العلوي الموسوي، البغدادي، الملقب بالشريف المرتضى، وبعلم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 السيدة فاطمة بنت الحسين بن أحمد بن حسن بن الناصر الأصم، والتي ينتهي نسبها إلى الإمام زين العابدين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شرف تتابع كابرٌ عن كابرٍ كالرمح انبوب على انبوب</w:t>
      </w:r>
    </w:p>
    <w:p>
      <w:pPr>
        <w:pStyle w:val="Heading4"/>
        <w:numPr>
          <w:ilvl w:val="3"/>
          <w:numId w:val="1"/>
        </w:numPr>
        <w:rPr/>
      </w:pPr>
      <w:bookmarkStart w:id="966" w:name="__RefHeading___Toc6864106_73709187"/>
      <w:bookmarkStart w:id="967" w:name="_Toc360"/>
      <w:bookmarkEnd w:id="966"/>
      <w:r>
        <w:rPr>
          <w:rtl w:val="true"/>
        </w:rPr>
        <w:t>نشأته وسيرته</w:t>
      </w:r>
      <w:bookmarkEnd w:id="967"/>
    </w:p>
    <w:p>
      <w:pPr>
        <w:pStyle w:val="BookText"/>
        <w:rPr/>
      </w:pPr>
      <w:r>
        <w:rPr>
          <w:rFonts w:ascii="Amiri" w:hAnsi="Amiri" w:eastAsia="Amiri" w:cs="Amiri"/>
          <w:color w:val="111111"/>
          <w:sz w:val="28"/>
          <w:sz w:val="28"/>
          <w:szCs w:val="28"/>
          <w:rtl w:val="true"/>
          <w:lang w:bidi="ar-SA"/>
        </w:rPr>
        <w:t xml:space="preserve">ولد في بغداد عام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وتوفّي فيها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ونشأ في بيت علوي طاهر، وعلميّ عريق، وقد درس أوّليات العلوم هو وأخوه الشريف الرضي على ابن نباتة وابن جنّي إلى أن تأهّلا لحضور دروس شيخ الأُمّة المفيد رحمه الله، وقصّة تتلمذهما على يد الشيخ المفيد معروفة ومشهورة، ملخّصها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العلوية فاطمة بنت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بأيديهما ودخلت على الشيخ المفيد فقام لها وسلّم عليها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ولداي قد أحضرتهما إليك لتعلّمهما الفقه، فبكى الشيخ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البارحة في المنام أنّ فاطمة الزهراء عليها السلام بنت الرسول صلى الله عليه و آله دخلت عليّ وأنا في مسجدي بالكرخ ومعها ولداها الحسن والحسين عليهما السلام صغيرين فسلّمتهما إليّ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علّمهما الفقه، فانتبهت من النوم، وتعجّبت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تولّى رحمه الله تعليمهما وفتح اللّه لهما على يديه من العلوم والفضائل ما لا يحصى، وهي باقية ما بقي الدهر</w:t>
      </w:r>
      <w:r>
        <w:rPr>
          <w:rFonts w:eastAsia="Amiri" w:cs="Amiri" w:ascii="Amiri" w:hAnsi="Amiri"/>
          <w:color w:val="111111"/>
          <w:sz w:val="28"/>
          <w:szCs w:val="28"/>
          <w:rtl w:val="true"/>
          <w:lang w:bidi="ar-SA"/>
        </w:rPr>
        <w:t>.</w:t>
      </w:r>
    </w:p>
    <w:p>
      <w:pPr>
        <w:pStyle w:val="Heading4"/>
        <w:numPr>
          <w:ilvl w:val="3"/>
          <w:numId w:val="1"/>
        </w:numPr>
        <w:rPr/>
      </w:pPr>
      <w:bookmarkStart w:id="968" w:name="__RefHeading___Toc6864108_73709187"/>
      <w:bookmarkStart w:id="969" w:name="_Toc361"/>
      <w:bookmarkEnd w:id="968"/>
      <w:r>
        <w:rPr>
          <w:rtl w:val="true"/>
        </w:rPr>
        <w:t>كلمات العلماء في حقّه</w:t>
      </w:r>
      <w:bookmarkEnd w:id="969"/>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أثنى عليه علماء الفريقين، على نحو قلّما يتّفق لغيره مثل هذا الثناء، ونحن نذكر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تلميذه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المرتضى، حاز من العلوم ما لم يدانه فيه أحد في زمانه، وسمع من الحديث فأكثر، وكان متكلّماً شاعراً أديباً، عظيم المنزلة في العلم والدين والدنيا</w:t>
      </w:r>
      <w:r>
        <w:rPr>
          <w:rFonts w:eastAsia="Amiri" w:cs="Amiri" w:ascii="Amiri" w:hAnsi="Amiri"/>
          <w:color w:val="111111"/>
          <w:sz w:val="28"/>
          <w:szCs w:val="28"/>
          <w:rtl w:val="true"/>
          <w:lang w:bidi="ar-SA"/>
        </w:rPr>
        <w:t>.</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وقال تلميذه الآخر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أكثر أهل زمانه أدباً وفضلاً، متكلّم فقيه جامع العلوم كلّها، مدّ اللّه في عمره</w:t>
      </w:r>
      <w:r>
        <w:rPr>
          <w:rFonts w:eastAsia="Amiri" w:cs="Amiri" w:ascii="Amiri" w:hAnsi="Amiri"/>
          <w:color w:val="111111"/>
          <w:sz w:val="28"/>
          <w:szCs w:val="28"/>
          <w:rtl w:val="true"/>
          <w:lang w:bidi="ar-SA"/>
        </w:rPr>
        <w:t>.</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وقال السيد 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الهدى الفقيه النظّار، سيد الشيعة وإمامهم، فقيه أهل البيت، العالم المتكلّم، البعيد المثل، الشاعر المجيد، كان له برٌّ وصدقة وتفقّد في السرّ</w:t>
      </w:r>
      <w:r>
        <w:rPr>
          <w:rFonts w:eastAsia="Amiri" w:cs="Amiri" w:ascii="Amiri" w:hAnsi="Amiri"/>
          <w:color w:val="111111"/>
          <w:sz w:val="28"/>
          <w:szCs w:val="28"/>
          <w:rtl w:val="true"/>
          <w:lang w:bidi="ar-SA"/>
        </w:rPr>
        <w:t>.</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وقال الثعالبي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انتهت الرئاسة اليوم ببغداد إلى المرتضى في المجد والشرف والعلم والأدب والفضل والكرم، وله شعر في نهاية الحسن</w:t>
      </w:r>
      <w:r>
        <w:rPr>
          <w:rFonts w:eastAsia="Amiri" w:cs="Amiri" w:ascii="Amiri" w:hAnsi="Amiri"/>
          <w:color w:val="111111"/>
          <w:sz w:val="28"/>
          <w:szCs w:val="28"/>
          <w:rtl w:val="true"/>
          <w:lang w:bidi="ar-SA"/>
        </w:rPr>
        <w:t>.</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وقال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إماماً في علم الكلام والأدب والشعر، وله تصانيف على مذهب الشيعة، ومقالة في أُصول الدين</w:t>
      </w:r>
      <w:r>
        <w:rPr>
          <w:rFonts w:eastAsia="Amiri" w:cs="Amiri" w:ascii="Amiri" w:hAnsi="Amiri"/>
          <w:color w:val="111111"/>
          <w:sz w:val="28"/>
          <w:szCs w:val="28"/>
          <w:rtl w:val="true"/>
          <w:lang w:bidi="ar-SA"/>
        </w:rPr>
        <w:t>.</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وقال ابن أبي 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جعل داره دار العلم وقدّرها للمناظرة، ويقال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أُمّر ولم يبلغ العشرين، وكان قد حصل على رئاسة الدنيا والعلم مع العمل الكثير، والمواظبة على تلاوة القرآن، وقيام الليل وإفادة العلم، وكان لا يؤثر على العلم شيئاً، مع البلاغة وفصاحة اللهجة</w:t>
      </w:r>
      <w:r>
        <w:rPr>
          <w:rFonts w:eastAsia="Amiri" w:cs="Amiri" w:ascii="Amiri" w:hAnsi="Amiri"/>
          <w:color w:val="111111"/>
          <w:sz w:val="28"/>
          <w:szCs w:val="28"/>
          <w:rtl w:val="true"/>
          <w:lang w:bidi="ar-SA"/>
        </w:rPr>
        <w:t>.</w:t>
      </w:r>
      <w:r>
        <w:rPr>
          <w:rStyle w:val="FootnoteAnchor"/>
          <w:rtl w:val="true"/>
        </w:rPr>
        <w:footnoteReference w:id="1010"/>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 قال الدكتور عبدالرزاق محيي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سابقيهم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إلى فتح باب الاجتهاد في الفقه، وأسبقهم تأليفاً في الفقه المقارن، وأنّه كان</w:t>
      </w:r>
      <w:bookmarkStart w:id="970" w:name="pg16768_165667"/>
    </w:p>
    <w:p>
      <w:pPr>
        <w:pStyle w:val="BookText"/>
        <w:rPr/>
      </w:pPr>
      <w:bookmarkEnd w:id="970"/>
      <w:r>
        <w:rPr>
          <w:rFonts w:ascii="Amiri" w:hAnsi="Amiri" w:eastAsia="Amiri" w:cs="Amiri"/>
          <w:color w:val="111111"/>
          <w:sz w:val="28"/>
          <w:sz w:val="28"/>
          <w:szCs w:val="28"/>
          <w:rtl w:val="true"/>
          <w:lang w:bidi="ar-SA"/>
        </w:rPr>
        <w:t>واضع الأُسس لأُصول الفقه لديهم، ومجلي الفروق بينها و بين أُصول العقائد لدى الشيعة وسواهم، وأنّه في علم الكلام كان قرن القاضي عبد الجبار رأس المعتزلة، وإنّه في جماع ذلك كان يعتبر مجدد المذهب الشيعي الإمامي</w:t>
      </w:r>
      <w:r>
        <w:rPr>
          <w:rFonts w:eastAsia="Amiri" w:cs="Amiri" w:ascii="Amiri" w:hAnsi="Amiri"/>
          <w:color w:val="111111"/>
          <w:sz w:val="28"/>
          <w:szCs w:val="28"/>
          <w:rtl w:val="true"/>
          <w:lang w:bidi="ar-SA"/>
        </w:rPr>
        <w:t>.</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وللشاعر الكبير أبي العلاء المعرّي قصيدة غرّاء، رثى بها النقيب أبا أحمد الموسوي، والتفت فيها إلى مدح ولَديْه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الشريفين المرتضى والرضيّ في أبيات رائعة،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أودى فليتَ الحادثاتِ كَفافِ مالُ المُسيفِ وعنبرُ المُستافِ‌</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أبقيتَ فينا كوكبيْن سناهُما في الصبح والظّلماء ليس بخافِ</w:t>
      </w:r>
    </w:p>
    <w:p>
      <w:pPr>
        <w:pStyle w:val="BookText"/>
        <w:rPr/>
      </w:pPr>
      <w:r>
        <w:rPr>
          <w:rFonts w:ascii="Amiri" w:hAnsi="Amiri" w:eastAsia="Amiri" w:cs="Amiri"/>
          <w:color w:val="111111"/>
          <w:sz w:val="28"/>
          <w:sz w:val="28"/>
          <w:szCs w:val="28"/>
          <w:rtl w:val="true"/>
          <w:lang w:bidi="ar-SA"/>
        </w:rPr>
        <w:t>متأنّقين، وفي المكارم أرتعا متألِّقينِ بسؤدد وعفافِ</w:t>
      </w:r>
    </w:p>
    <w:p>
      <w:pPr>
        <w:pStyle w:val="BookText"/>
        <w:rPr/>
      </w:pPr>
      <w:r>
        <w:rPr>
          <w:rFonts w:ascii="Amiri" w:hAnsi="Amiri" w:eastAsia="Amiri" w:cs="Amiri"/>
          <w:color w:val="111111"/>
          <w:sz w:val="28"/>
          <w:sz w:val="28"/>
          <w:szCs w:val="28"/>
          <w:rtl w:val="true"/>
          <w:lang w:bidi="ar-SA"/>
        </w:rPr>
        <w:t>قَدَرَيْن في الإرداء، بل مَطَريْنِ في ال‍ إجداء، بل قَمَريْن في الإسلاف</w:t>
      </w:r>
    </w:p>
    <w:p>
      <w:pPr>
        <w:pStyle w:val="BookText"/>
        <w:rPr/>
      </w:pPr>
      <w:r>
        <w:rPr>
          <w:rFonts w:ascii="Amiri" w:hAnsi="Amiri" w:eastAsia="Amiri" w:cs="Amiri"/>
          <w:color w:val="111111"/>
          <w:sz w:val="28"/>
          <w:sz w:val="28"/>
          <w:szCs w:val="28"/>
          <w:rtl w:val="true"/>
          <w:lang w:bidi="ar-SA"/>
        </w:rPr>
        <w:t>رُزقا العلاء، فأهلُ نجدٍ كلّما نَطَقا الفصاحةَ مثلُ أهلِ ديافِ</w:t>
      </w:r>
    </w:p>
    <w:p>
      <w:pPr>
        <w:pStyle w:val="BookText"/>
        <w:rPr/>
      </w:pPr>
      <w:r>
        <w:rPr>
          <w:rFonts w:ascii="Amiri" w:hAnsi="Amiri" w:eastAsia="Amiri" w:cs="Amiri"/>
          <w:color w:val="111111"/>
          <w:sz w:val="28"/>
          <w:sz w:val="28"/>
          <w:szCs w:val="28"/>
          <w:rtl w:val="true"/>
          <w:lang w:bidi="ar-SA"/>
        </w:rPr>
        <w:t>ساوى الرضيّ المرتضى وتقاسما خِطط العُلا بتناصفٍ وتصافِ‌</w:t>
      </w:r>
      <w:r>
        <w:rPr>
          <w:rStyle w:val="FootnoteAnchor"/>
          <w:rtl w:val="true"/>
        </w:rPr>
        <w:footnoteReference w:id="1012"/>
      </w:r>
    </w:p>
    <w:p>
      <w:pPr>
        <w:pStyle w:val="Heading4"/>
        <w:numPr>
          <w:ilvl w:val="3"/>
          <w:numId w:val="1"/>
        </w:numPr>
        <w:rPr/>
      </w:pPr>
      <w:bookmarkStart w:id="971" w:name="__RefHeading___Toc6864110_73709187"/>
      <w:bookmarkStart w:id="972" w:name="_Toc362"/>
      <w:bookmarkEnd w:id="971"/>
      <w:r>
        <w:rPr>
          <w:rtl w:val="true"/>
        </w:rPr>
        <w:t>آثاره العلمية</w:t>
      </w:r>
      <w:bookmarkEnd w:id="972"/>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التعرف على شخصية لامعة يحصل من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بسماع أقوال العلماء بحقّه، وأُخرى بالتعرف على آثاره التي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مكانة الإنسان بآرائه وأفكاره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تعرفت على الطريق الأوّل، وأمّا الطريق الثاني فإنّ الإمعان في الآثار يدلّ بوضوح على أنّ السيد الشريف ما ترك حقلاً من حقول العلم والمعرفة إلاّ ورده، ومصنّفاته تدلّ على أنّه كان متخصّصاً في أكثر العلوم الإسلامية و مشاركاً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استقصى الشيخ الأميني رحمه الله مؤلّفاته،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الفضائل ما خطّه مزبره القويم من كتب ورسائل استفاد بها أعلام الدين في أجيالهم وأدوارهم، وإليك أسماؤها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الشافي في الإمامة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الملخّص في الأُصول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الذخيرة في الأُصول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العلم والعمل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الغُرر والدرر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تكملة الغُرر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 في الغَيْبة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في الفقه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الناصريّة في الفقه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الحلبيّة الأُولى‌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الحلبيّة الأخيرة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الجرجانيّة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الطوسيّة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الصباويّة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التبّانيات</w:t>
      </w:r>
      <w:r>
        <w:rPr>
          <w:rStyle w:val="FootnoteAnchor"/>
        </w:rPr>
        <w:footnoteReference w:id="1013"/>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السلاّريّة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مسائل في عدّة آيات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الرازيّة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الكلاميّة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الصيداويّة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الديلميّة في الفقه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البرق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طيف الخيال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 والشباب</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المقمصة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في الفقه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 الرواية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 في أُصول الفقه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بائيّة الحميري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الأنبياء</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إبطال القول بالعدد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والمتشابه</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النجوم والمنجّمون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متولِّي غسل الإمام</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الأُصول الاعتقاديّة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أهل الآخرة</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العصمة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الوجيزة في الغَيْبة</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الأُصول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طبيعة المسلمين</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علم اللّه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الإرادة</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أيضاً رسالة في الإرادة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التوبة</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التأكيد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المتعة</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دليل الخطاب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الاستدلال</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الوعيد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قصيدة له</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الحدود والحقائق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مفردات في أُصول الفقه</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الموصليّة، ثلاث مسائل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الموصليّة الثانية، تسع مسائل</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الموصليّة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الطرابلسيّة الأُولى</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الطرابلسيّة الأخيرة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Style w:val="FootnoteAnchor"/>
        </w:rPr>
        <w:footnoteReference w:id="1014"/>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ميافارقين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الرازيّة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المحمديّات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البادرات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المصريّة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المصريّات الثانية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الرمليّات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مسائل في فنون شتّى‌، نحو مائة 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الرسيّة الأولى</w:t>
      </w:r>
      <w:r>
        <w:rPr>
          <w:rStyle w:val="FootnoteAnchor"/>
          <w:rtl w:val="true"/>
        </w:rPr>
        <w:footnoteReference w:id="1015"/>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الرسيّة الثانية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الانتصار فيما انفردت به الإماميّة</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تفضيل الأنبياء على الملائكة</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النقض على ابن جنّي في الحكاية والمحكي</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شعره يزيد على عشرين ألف بيت</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الصِّرفة في بيان إعجاز القرآن</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الباهرة في العترة الطاهرة</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نقض مقالة ابن عديّ فيما لا يتناهى‌</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 الملاحدة في قِدَم العالم</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تتمّة الأعراض من جمع أبي رشيد</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نكاح أمير المؤمنين ابنته من عمر</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إنقاذ البشر من القضاء والقدر</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أصحاب العدد في شهر رمضان</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الحمد وقطعة من سورة البقرة</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ابن عديّ في حدوث الأجسام</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رَبُّكُمْ عَلَيْكُمْ‌</w:t>
      </w:r>
      <w:r>
        <w:rPr>
          <w:rFonts w:eastAsia="Amiri" w:cs="Amiri" w:ascii="Amiri" w:hAnsi="Amiri"/>
          <w:color w:val="111111"/>
          <w:sz w:val="28"/>
          <w:szCs w:val="28"/>
          <w:rtl w:val="true"/>
          <w:lang w:bidi="ar-SA"/>
        </w:rPr>
        <w:t xml:space="preserve">) </w:t>
      </w:r>
      <w:r>
        <w:rPr>
          <w:rStyle w:val="FootnoteAnchor"/>
          <w:rtl w:val="true"/>
        </w:rPr>
        <w:footnoteReference w:id="1016"/>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الثمانين</w:t>
      </w:r>
      <w:r>
        <w:rPr>
          <w:rStyle w:val="FootnoteAnchor"/>
          <w:rtl w:val="true"/>
        </w:rPr>
        <w:footnoteReference w:id="1017"/>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 على من 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كَرَّمْنا بَنِي آدَمَ وَ حَمَلْناهُمْ فِي الْبَرِّ وَ الْبَحْرِ</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الَّذِينَ آمَنُوا وَ عَمِلُوا الصّالِحاتِ جُناحٌ فِيما طَعِمُوا</w:t>
      </w:r>
      <w:r>
        <w:rPr>
          <w:rFonts w:eastAsia="Amiri" w:cs="Amiri" w:ascii="Amiri" w:hAnsi="Amiri"/>
          <w:color w:val="111111"/>
          <w:sz w:val="28"/>
          <w:szCs w:val="28"/>
          <w:rtl w:val="true"/>
          <w:lang w:bidi="ar-SA"/>
        </w:rPr>
        <w:t xml:space="preserve">) </w:t>
      </w:r>
      <w:r>
        <w:rPr>
          <w:rStyle w:val="FootnoteAnchor"/>
          <w:rtl w:val="true"/>
        </w:rPr>
        <w:footnoteReference w:id="1019"/>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تتبّع أبيات للمتنبّي التي تكلّم عليها ابن جنّي</w:t>
      </w:r>
      <w:r>
        <w:rPr>
          <w:rFonts w:eastAsia="Amiri" w:cs="Amiri" w:ascii="Amiri" w:hAnsi="Amiri"/>
          <w:color w:val="111111"/>
          <w:sz w:val="28"/>
          <w:szCs w:val="28"/>
          <w:rtl w:val="true"/>
          <w:lang w:bidi="ar-SA"/>
        </w:rPr>
        <w:t>.</w:t>
      </w:r>
      <w:r>
        <w:rPr>
          <w:rStyle w:val="FootnoteAnchor"/>
          <w:rtl w:val="true"/>
        </w:rPr>
        <w:footnoteReference w:id="1020"/>
      </w:r>
      <w:bookmarkStart w:id="973" w:name="pg16768_165671"/>
    </w:p>
    <w:p>
      <w:pPr>
        <w:pStyle w:val="Heading4"/>
        <w:numPr>
          <w:ilvl w:val="3"/>
          <w:numId w:val="1"/>
        </w:numPr>
        <w:rPr/>
      </w:pPr>
      <w:bookmarkStart w:id="974" w:name="__RefHeading___Toc6864112_73709187"/>
      <w:bookmarkStart w:id="975" w:name="_Toc363"/>
      <w:bookmarkEnd w:id="973"/>
      <w:bookmarkEnd w:id="974"/>
      <w:r>
        <w:rPr>
          <w:rtl w:val="true"/>
        </w:rPr>
        <w:t>فضائله ومكارم أخلاقه</w:t>
      </w:r>
      <w:bookmarkEnd w:id="975"/>
    </w:p>
    <w:p>
      <w:pPr>
        <w:pStyle w:val="BookText"/>
        <w:rPr/>
      </w:pPr>
      <w:r>
        <w:rPr>
          <w:rFonts w:ascii="Amiri" w:hAnsi="Amiri" w:eastAsia="Amiri" w:cs="Amiri"/>
          <w:color w:val="111111"/>
          <w:sz w:val="28"/>
          <w:sz w:val="28"/>
          <w:szCs w:val="28"/>
          <w:rtl w:val="true"/>
          <w:lang w:bidi="ar-SA"/>
        </w:rPr>
        <w:t>كان الشريف المرتضى قدس سره زاهداً في الدنيا، راغباً عنها، ذامّاً لها، سالكاً طريق أجداده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قدس سره مشهوراً بالبذل والعطاء، والجود والسخاء، مغضياً الطرف عن الحسّاد والأعداء، وإليك غيض من فيض جوده وكرمه ومحاسن أخلاقه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وقف الشريف المرتضى موارد قرية من أملاكه على قرطاس الفقهاء حتى لا يواجهوا أيّة مصاعب في ما يحتاجون لتحرير كتبهم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أنّه كان يملك أراضي كثيرة بين بغداد وكربلاء، وكانت في غاية الإعمار، وقد نُقل في وصف عمارتها أنّه كان بين بغداد وكربلاء نهر كبير، وعلى حافتي النهر كانت القرى إلى الفرات، وكان يعمل في ذلك السفائن، فإذا كان في موسم الثمار كانت السفائن المارّة في ذلك النهر تمتلئ من سقطات تلك الأشجار الواقعة على حافتي النهر، وكان الناس يأكلون منها بلا محذور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أصحاب السير أنّ الناس أصابهم في بعض السنين قحط شديد، فاحتال رجل يهودي على تحصيل قوته، فحضر يوماً مجلس الشريف المرتضى وسأله أن يأذن له في أن يقرأ عليه شيئاً من علم النجوم، وأمر له بجائزة تجري عليه كلّ يوم، فقرأ عليه برهة، ثمّ أسلم على يده</w:t>
      </w:r>
      <w:r>
        <w:rPr>
          <w:rFonts w:eastAsia="Amiri" w:cs="Amiri" w:ascii="Amiri" w:hAnsi="Amiri"/>
          <w:color w:val="111111"/>
          <w:sz w:val="28"/>
          <w:szCs w:val="28"/>
          <w:rtl w:val="true"/>
          <w:lang w:bidi="ar-SA"/>
        </w:rPr>
        <w:t>.</w:t>
      </w:r>
      <w:r>
        <w:rPr>
          <w:rStyle w:val="FootnoteAnchor"/>
          <w:rtl w:val="true"/>
        </w:rPr>
        <w:footnoteReference w:id="10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الحسن علي بن أحمد بن عليّ بن سلّك الفالي الأديب كانت له نسخة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دُريد في غاية الجودة، فدعته الحاجة إلى بيعها فباعها واشتراها الشريف المرتضى بستين ديناراً، فتصفّحها فوجد بها أبياتاً بخطّ بائعها،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أنِسْتُ بها سبعين حولاً وبعتُها لقد طال وَجْدي بعدها وحنيني</w:t>
      </w:r>
    </w:p>
    <w:p>
      <w:pPr>
        <w:pStyle w:val="BookText"/>
        <w:rPr/>
      </w:pPr>
      <w:r>
        <w:rPr>
          <w:rFonts w:ascii="Amiri" w:hAnsi="Amiri" w:eastAsia="Amiri" w:cs="Amiri"/>
          <w:color w:val="111111"/>
          <w:sz w:val="28"/>
          <w:sz w:val="28"/>
          <w:szCs w:val="28"/>
          <w:rtl w:val="true"/>
          <w:lang w:bidi="ar-SA"/>
        </w:rPr>
        <w:t>وما كان ظنّي أنّني سأبيعها ولو خلَّدتْني في السجون ديوني</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لضعفٍ وافتقارٍ وصبيةٍ صغارٍ عليهم تستهلُّ شؤوني</w:t>
      </w:r>
      <w:bookmarkStart w:id="976" w:name="pg16768_165672"/>
    </w:p>
    <w:p>
      <w:pPr>
        <w:pStyle w:val="BookText"/>
        <w:rPr/>
      </w:pPr>
      <w:bookmarkEnd w:id="976"/>
      <w:r>
        <w:rPr>
          <w:rFonts w:ascii="Amiri" w:hAnsi="Amiri" w:eastAsia="Amiri" w:cs="Amiri"/>
          <w:color w:val="111111"/>
          <w:sz w:val="28"/>
          <w:sz w:val="28"/>
          <w:szCs w:val="28"/>
          <w:rtl w:val="true"/>
          <w:lang w:bidi="ar-SA"/>
        </w:rPr>
        <w:t>فقلت ولم أملك سوابق عَبرةٍ مقالة مكويّ الفؤاد حزينِ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تُخرج الحاجات يا أُمّ مالك كرائم من ربّ بهنّ ضنين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فأرجع السيد النسخة إليه وترك له الدنانير</w:t>
      </w:r>
      <w:r>
        <w:rPr>
          <w:rFonts w:eastAsia="Amiri" w:cs="Amiri" w:ascii="Amiri" w:hAnsi="Amiri"/>
          <w:color w:val="111111"/>
          <w:sz w:val="28"/>
          <w:szCs w:val="28"/>
          <w:rtl w:val="true"/>
          <w:lang w:bidi="ar-SA"/>
        </w:rPr>
        <w:t>.</w:t>
      </w:r>
      <w:r>
        <w:rPr>
          <w:rStyle w:val="FootnoteAnchor"/>
          <w:rtl w:val="true"/>
        </w:rPr>
        <w:footnoteReference w:id="102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حكي عن الشيخ أبي إسحاق الشيرازي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الشريف المرتضى ثابت الجأش، ينطق بلسان المعرفة ويردّد الكلمة المسدّدة، فتمرق مروق السهم من الرمية ما أصاب أصمى‌، وما أخطأ أشوى</w:t>
      </w:r>
      <w:r>
        <w:rPr>
          <w:rFonts w:eastAsia="Amiri" w:cs="Amiri" w:ascii="Amiri" w:hAnsi="Amiri"/>
          <w:color w:val="111111"/>
          <w:sz w:val="28"/>
          <w:szCs w:val="28"/>
          <w:rtl w:val="true"/>
          <w:lang w:bidi="ar-SA"/>
        </w:rPr>
        <w:t>.</w:t>
      </w:r>
      <w:r>
        <w:rPr>
          <w:rStyle w:val="FootnoteAnchor"/>
          <w:rtl w:val="true"/>
        </w:rPr>
        <w:footnoteReference w:id="102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أصحاب التراجم أنّ السيد المرتضى كان يجري الرزق على جميع تلامذته حتى أنّه قرّر للشيخ الطوسي كلّ شهر أيّام قراءته عليه اثني عشر ديناراً وعلى ابن البرّاج كلّ شهر ثمانية دنانير ليتفرّغوا بكلّ جهدهم إلى الدراسة من غير تفكير بأزمات المعيشة ومشاكل الحياة</w:t>
      </w:r>
      <w:r>
        <w:rPr>
          <w:rFonts w:eastAsia="Amiri" w:cs="Amiri" w:ascii="Amiri" w:hAnsi="Amiri"/>
          <w:color w:val="111111"/>
          <w:sz w:val="28"/>
          <w:szCs w:val="28"/>
          <w:rtl w:val="true"/>
          <w:lang w:bidi="ar-SA"/>
        </w:rPr>
        <w:t>.</w:t>
      </w:r>
      <w:r>
        <w:rPr>
          <w:rStyle w:val="FootnoteAnchor"/>
          <w:rtl w:val="true"/>
        </w:rPr>
        <w:footnoteReference w:id="102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جعل داره دار العلم وقدّرها للمناظرة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أُمِّر ولم يبلغ العشرين</w:t>
      </w:r>
      <w:r>
        <w:rPr>
          <w:rFonts w:eastAsia="Amiri" w:cs="Amiri" w:ascii="Amiri" w:hAnsi="Amiri"/>
          <w:color w:val="111111"/>
          <w:sz w:val="28"/>
          <w:szCs w:val="28"/>
          <w:rtl w:val="true"/>
          <w:lang w:bidi="ar-SA"/>
        </w:rPr>
        <w:t>.</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ولعلّ هذا المقدار يكفي في تبيين عظمة سيدنا الشريف المرتضى في مجال العلم والفضل والأخلاق والسجايا الحسنة</w:t>
      </w:r>
      <w:r>
        <w:rPr>
          <w:rFonts w:eastAsia="Amiri" w:cs="Amiri" w:ascii="Amiri" w:hAnsi="Amiri"/>
          <w:color w:val="111111"/>
          <w:sz w:val="28"/>
          <w:szCs w:val="28"/>
          <w:rtl w:val="true"/>
          <w:lang w:bidi="ar-SA"/>
        </w:rPr>
        <w:t>.</w:t>
      </w:r>
    </w:p>
    <w:p>
      <w:pPr>
        <w:pStyle w:val="Heading4"/>
        <w:numPr>
          <w:ilvl w:val="3"/>
          <w:numId w:val="1"/>
        </w:numPr>
        <w:rPr/>
      </w:pPr>
      <w:bookmarkStart w:id="977" w:name="__RefHeading___Toc6864114_73709187"/>
      <w:bookmarkStart w:id="978" w:name="_Toc364"/>
      <w:bookmarkEnd w:id="977"/>
      <w:r>
        <w:rPr>
          <w:rtl w:val="true"/>
        </w:rPr>
        <w:t>أشهر تلامذته</w:t>
      </w:r>
      <w:bookmarkEnd w:id="978"/>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أحصى الشيخ الأميني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وعشرين عالماً ممّن درس على يد الشريف المرتضى رحمه الله، نذكر منهم</w:t>
      </w:r>
      <w:r>
        <w:rPr>
          <w:rFonts w:eastAsia="Amiri" w:cs="Amiri" w:ascii="Amiri" w:hAnsi="Amiri"/>
          <w:color w:val="111111"/>
          <w:sz w:val="28"/>
          <w:szCs w:val="28"/>
          <w:rtl w:val="true"/>
          <w:lang w:bidi="ar-SA"/>
        </w:rPr>
        <w:t>:</w:t>
      </w:r>
      <w:bookmarkStart w:id="979" w:name="pg16768_165673"/>
    </w:p>
    <w:p>
      <w:pPr>
        <w:pStyle w:val="BookText"/>
        <w:rPr/>
      </w:pPr>
      <w:bookmarkEnd w:id="97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الطائفة أبو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يعلى سلّار بن عبد العزيز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الصلاح تقي بن نجم الحلبي، خليفته في بلاد حلب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القاضي عبد العزيز بن البراج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 أبو يعلى محمد بن الحسن بن حمزة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026"/>
      </w:r>
    </w:p>
    <w:p>
      <w:pPr>
        <w:pStyle w:val="Heading4"/>
        <w:numPr>
          <w:ilvl w:val="3"/>
          <w:numId w:val="1"/>
        </w:numPr>
        <w:rPr/>
      </w:pPr>
      <w:bookmarkStart w:id="980" w:name="__RefHeading___Toc6864116_73709187"/>
      <w:bookmarkStart w:id="981" w:name="_Toc365"/>
      <w:bookmarkEnd w:id="980"/>
      <w:r>
        <w:rPr>
          <w:rtl w:val="true"/>
        </w:rPr>
        <w:t>إلفات نظر</w:t>
      </w:r>
      <w:bookmarkEnd w:id="981"/>
    </w:p>
    <w:p>
      <w:pPr>
        <w:pStyle w:val="BookText"/>
        <w:rPr/>
      </w:pPr>
      <w:r>
        <w:rPr>
          <w:rFonts w:ascii="Amiri" w:hAnsi="Amiri" w:eastAsia="Amiri" w:cs="Amiri"/>
          <w:color w:val="111111"/>
          <w:sz w:val="28"/>
          <w:sz w:val="28"/>
          <w:szCs w:val="28"/>
          <w:rtl w:val="true"/>
          <w:lang w:bidi="ar-SA"/>
        </w:rPr>
        <w:t>بقيت أُمور تتعلّق ببعض آرائه الخاصة وما نسب إليه من تهم وافتراءات يجب إلفات نظر القارئ إليها،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السيد الشريف المرتضى مع كونه علماً من أعلام الطائفة، ومرجعاً يرجع إليه في المعارف والعقائد والأحكام والشريعة، فمع ذلك كلّه فله آراء تختصّ به ولا يشاركه فيها إلاّ القليل، وإليك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بعدم حجّية خبر العدل الواحد واختصاص الحجية بالمتواتر أو المحفوف بالقرينة المفيدة للعلم، وفي الوقت نفسه هو يعمل بأكثر الأحاديث الواردة في الجوامع الحديثية، وذلك لزعم تواترها أو كونها محفوفة بالقرينة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خالفه في هذه المسألة تلميذه الجليل شيخ الطائفة في كتاب العدّة بوجه 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بالصرفة في إعجاز القرآن، وقد ألّف رسالة باسم الصرفة طبعت أخيراً، وهذا قول غير مرضي عند الطائفة الإمامية، وقد أوضحنا القول الصحيح حول ذلك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الإلهيات</w:t>
      </w:r>
      <w:r>
        <w:rPr>
          <w:rFonts w:eastAsia="Amiri" w:cs="Amiri" w:ascii="Amiri" w:hAnsi="Amiri"/>
          <w:color w:val="111111"/>
          <w:sz w:val="28"/>
          <w:szCs w:val="28"/>
          <w:rtl w:val="true"/>
          <w:lang w:bidi="ar-SA"/>
        </w:rPr>
        <w:t>».</w:t>
      </w:r>
      <w:r>
        <w:rPr>
          <w:rStyle w:val="FootnoteAnchor"/>
          <w:rtl w:val="true"/>
        </w:rPr>
        <w:footnoteReference w:id="10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 الذهبيّ للشريف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ببعض الكلمات التي يناقض بعضها بعضاً، فيصفه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المتكلّم</w:t>
      </w:r>
    </w:p>
    <w:p>
      <w:pPr>
        <w:pStyle w:val="BookText"/>
        <w:rPr/>
      </w:pPr>
      <w:r>
        <w:rPr>
          <w:rFonts w:ascii="Amiri" w:hAnsi="Amiri" w:eastAsia="Amiri" w:cs="Amiri"/>
          <w:color w:val="111111"/>
          <w:sz w:val="28"/>
          <w:sz w:val="28"/>
          <w:szCs w:val="28"/>
          <w:rtl w:val="true"/>
          <w:lang w:bidi="ar-SA"/>
        </w:rPr>
        <w:t>الرافضي المعتزلي</w:t>
      </w:r>
      <w:r>
        <w:rPr>
          <w:rFonts w:eastAsia="Amiri" w:cs="Amiri" w:ascii="Amiri" w:hAnsi="Amiri"/>
          <w:color w:val="111111"/>
          <w:sz w:val="28"/>
          <w:szCs w:val="28"/>
          <w:rtl w:val="true"/>
          <w:lang w:bidi="ar-SA"/>
        </w:rPr>
        <w:t>.</w:t>
      </w:r>
      <w:r>
        <w:rPr>
          <w:rStyle w:val="FootnoteAnchor"/>
          <w:rtl w:val="true"/>
        </w:rPr>
        <w:footnoteReference w:id="1028"/>
      </w:r>
      <w:r>
        <w:rPr>
          <w:rFonts w:ascii="Amiri" w:hAnsi="Amiri" w:eastAsia="Amiri" w:cs="Amiri"/>
          <w:color w:val="111111"/>
          <w:sz w:val="28"/>
          <w:sz w:val="28"/>
          <w:szCs w:val="28"/>
          <w:rtl w:val="true"/>
          <w:lang w:bidi="ar-SA"/>
        </w:rPr>
        <w:t>فهو يجمع له بين الرفض والاعتزال، مع أنّ الاعتزال منهج كلامي من أغصان مدرسة الخلافة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الرافضة فتتمثل بالإمامية والزيدية والإسماعيلية، وأين هؤلاء من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وصف هؤلاء بالرفض من مصاديق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تَنابَزُوا بِالْأَلْقابِ بِئْسَ الاِسْمُ الْفُسُوقُ بَعْدَ الْإِيمانِ‌</w:t>
      </w:r>
      <w:r>
        <w:rPr>
          <w:rFonts w:eastAsia="Amiri" w:cs="Amiri" w:ascii="Amiri" w:hAnsi="Amiri"/>
          <w:color w:val="111111"/>
          <w:sz w:val="28"/>
          <w:szCs w:val="28"/>
          <w:rtl w:val="true"/>
          <w:lang w:bidi="ar-SA"/>
        </w:rPr>
        <w:t>)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والعجب أنّه نسب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الشريف المرتضى،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المتّهم بوضع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الكتاب ليس موضوعاً أوّلاً، ثم هو من جمع أخيه الشريف الرضيّ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منه ما نقله ابن حجر عن ابن حزم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الشريف المرتضى كان من كبار المعتزلة الدعاة، وكان إمامياً</w:t>
      </w:r>
      <w:r>
        <w:rPr>
          <w:rFonts w:eastAsia="Amiri" w:cs="Amiri" w:ascii="Amiri" w:hAnsi="Amiri"/>
          <w:color w:val="111111"/>
          <w:sz w:val="28"/>
          <w:szCs w:val="28"/>
          <w:rtl w:val="true"/>
          <w:lang w:bidi="ar-SA"/>
        </w:rPr>
        <w:t>!!»</w:t>
      </w:r>
      <w:r>
        <w:rPr>
          <w:rStyle w:val="FootnoteAnchor"/>
          <w:rtl w:val="true"/>
        </w:rPr>
        <w:footnoteReference w:id="1030"/>
      </w:r>
      <w:r>
        <w:rPr>
          <w:rFonts w:ascii="Amiri" w:hAnsi="Amiri" w:eastAsia="Amiri" w:cs="Amiri"/>
          <w:color w:val="111111"/>
          <w:sz w:val="28"/>
          <w:sz w:val="28"/>
          <w:szCs w:val="28"/>
          <w:rtl w:val="true"/>
          <w:lang w:bidi="ar-SA"/>
        </w:rPr>
        <w:t xml:space="preserve">مع أنّ الإمامية عن بكرة أبيهم هم غير المعتزلة، وإن كانوا يشاركونهم في القول في بعض الأُصول، ومن أراد أن يقف على الأُصول المشتركة بين الفريقين فليرجع إلى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ومقالات</w:t>
      </w:r>
      <w:r>
        <w:rPr>
          <w:rFonts w:eastAsia="Amiri" w:cs="Amiri" w:ascii="Amiri" w:hAnsi="Amiri"/>
          <w:color w:val="111111"/>
          <w:sz w:val="28"/>
          <w:szCs w:val="28"/>
          <w:rtl w:val="true"/>
          <w:lang w:bidi="ar-SA"/>
        </w:rPr>
        <w:t>».</w:t>
      </w:r>
      <w:r>
        <w:rPr>
          <w:rStyle w:val="FootnoteAnchor"/>
          <w:rtl w:val="true"/>
        </w:rPr>
        <w:footnoteReference w:id="10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الشريف المرتضى وأخيه الرضي قد رميا بالتهم الباطلة وهم برآء منها، مع أنّهما كوكبان في سماء العلم والفضيلة، وقد مضى قول أبي العلاء المعري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أبقيت فينا كوكبين سناهما في الصبح والظلماء ليس بخاف</w:t>
      </w:r>
    </w:p>
    <w:p>
      <w:pPr>
        <w:pStyle w:val="BookText"/>
        <w:rPr/>
      </w:pPr>
      <w:r>
        <w:rPr>
          <w:rFonts w:ascii="Amiri" w:hAnsi="Amiri" w:eastAsia="Amiri" w:cs="Amiri"/>
          <w:color w:val="111111"/>
          <w:sz w:val="28"/>
          <w:sz w:val="28"/>
          <w:szCs w:val="28"/>
          <w:rtl w:val="true"/>
          <w:lang w:bidi="ar-SA"/>
        </w:rPr>
        <w:t>ساوى الرضي المرتضى وتقاسما خطط العُلا بتناصف وتصاف</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كتبنا مقالاً في الأكاذيب التي رمي بها العلمان الجليلان،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المرتضى والرضي كوكبان في سماء العلم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وأُلقي في مؤتمر</w:t>
      </w:r>
      <w:bookmarkStart w:id="982" w:name="pg16768_165675"/>
    </w:p>
    <w:p>
      <w:pPr>
        <w:pStyle w:val="BookText"/>
        <w:rPr/>
      </w:pPr>
      <w:bookmarkEnd w:id="982"/>
      <w:r>
        <w:rPr>
          <w:rFonts w:ascii="Amiri" w:hAnsi="Amiri" w:eastAsia="Amiri" w:cs="Amiri"/>
          <w:color w:val="111111"/>
          <w:sz w:val="28"/>
          <w:sz w:val="28"/>
          <w:szCs w:val="28"/>
          <w:rtl w:val="true"/>
          <w:lang w:bidi="ar-SA"/>
        </w:rPr>
        <w:t xml:space="preserve">تكريمي انعقد بمناسبة مرور ألف عام على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نكتفي بهذا المقدار اليسير من الكلام حول هذه الشخصية الفذّة وننتقل للكلام عن كتابه القيّم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 إلى أُصول الشريعة</w:t>
      </w:r>
      <w:r>
        <w:rPr>
          <w:rFonts w:eastAsia="Amiri" w:cs="Amiri" w:ascii="Amiri" w:hAnsi="Amiri"/>
          <w:color w:val="111111"/>
          <w:sz w:val="28"/>
          <w:szCs w:val="28"/>
          <w:rtl w:val="true"/>
          <w:lang w:bidi="ar-SA"/>
        </w:rPr>
        <w:t>».</w:t>
      </w:r>
    </w:p>
    <w:p>
      <w:pPr>
        <w:pStyle w:val="Heading4"/>
        <w:numPr>
          <w:ilvl w:val="3"/>
          <w:numId w:val="1"/>
        </w:numPr>
        <w:rPr/>
      </w:pPr>
      <w:bookmarkStart w:id="983" w:name="__RefHeading___Toc6864118_73709187"/>
      <w:bookmarkStart w:id="984" w:name="_Toc366"/>
      <w:bookmarkEnd w:id="983"/>
      <w:r>
        <w:rPr>
          <w:rtl w:val="true"/>
        </w:rPr>
        <w:t>السيد المرتضى وأُصول الفقه</w:t>
      </w:r>
      <w:bookmarkEnd w:id="984"/>
    </w:p>
    <w:p>
      <w:pPr>
        <w:pStyle w:val="BookText"/>
        <w:rPr/>
      </w:pPr>
      <w:r>
        <w:rPr>
          <w:rFonts w:ascii="Amiri" w:hAnsi="Amiri" w:eastAsia="Amiri" w:cs="Amiri"/>
          <w:color w:val="111111"/>
          <w:sz w:val="28"/>
          <w:sz w:val="28"/>
          <w:szCs w:val="28"/>
          <w:rtl w:val="true"/>
          <w:lang w:bidi="ar-SA"/>
        </w:rPr>
        <w:t>إذا كان الاجتهاد عبارة عن بذل الوسع في استنباط الأحكام الشرعية أو الوظائف العملية من مصادرها، فهو رهن تأسيس قواعد ممهّدة لاستنباط هذه الأحكام والوظائف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الاجتهاد سر خلود الدين الإسلامي وحياته، وجعله غضّاً طرياً مصوناً عن الاندراس عبر القرون ومغنياً للمسلمين عن التطفّل على موائد الأجانب، فعلم أُصول الفقه في طريق هذا الهدف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عرّفوا علم أُصول الفقه بأنّه عبارة عن القواعد الممهَّدة لاستنباط الأحكام الشرعية وما ينتهي إليه المجتهد في مقام العمل، فالمجتهد يبذل وسعه لاستنباط أحد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استنباط حكم اللّه الواقعي الذي جاء به صاحب الشريعة من الكتاب أو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استنباط الوظيفة العملية عندما تقصر يد المجتهد ولم يتوصّل إلى الحكم الواقعي، فيلتجئ إلى الأُصول العملية كأصل البراءة والاحتياط والتخيير والاستصحاب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فالأُصول العملية تقع في الدرجة الثانية من الاستنباط، لا يعتمد عليها المجتهد إلّابعد اليأس من الوصول إلى الحكم الشرعي الواقعي في المصدرين الرئيسيين، ولذلك وقع علم الأُصول موضع عناية واهتمام العلماء من الفريقين</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علم الأُصول بمحتواه لم يكن أمراً مغفولاً عنه في عصر الأئمة عليهم السلام، فقد</w:t>
      </w:r>
    </w:p>
    <w:p>
      <w:pPr>
        <w:pStyle w:val="BookText"/>
        <w:rPr/>
      </w:pPr>
      <w:r>
        <w:rPr>
          <w:rFonts w:ascii="Amiri" w:hAnsi="Amiri" w:eastAsia="Amiri" w:cs="Amiri"/>
          <w:color w:val="111111"/>
          <w:sz w:val="28"/>
          <w:sz w:val="28"/>
          <w:szCs w:val="28"/>
          <w:rtl w:val="true"/>
          <w:lang w:bidi="ar-SA"/>
        </w:rPr>
        <w:t>أملى الإمام الباقر وأعقبه ولده الإمام الصادق عليهما السلام على أصحابهما قواعد كلية في الاستنباط، رواها أصحاب الحديث في كتبهم، كما قام لفيف من أصحاب الأئمة بتأليف رسائل مختصرة في بعض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فألّف يونس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الحديث ومسائله</w:t>
      </w:r>
      <w:r>
        <w:rPr>
          <w:rFonts w:eastAsia="Amiri" w:cs="Amiri" w:ascii="Amiri" w:hAnsi="Amiri"/>
          <w:color w:val="111111"/>
          <w:sz w:val="28"/>
          <w:szCs w:val="28"/>
          <w:rtl w:val="true"/>
          <w:lang w:bidi="ar-SA"/>
        </w:rPr>
        <w:t>»</w:t>
      </w:r>
      <w:r>
        <w:rPr>
          <w:rStyle w:val="FootnoteAnchor"/>
          <w:rtl w:val="true"/>
        </w:rPr>
        <w:footnoteReference w:id="1033"/>
      </w:r>
      <w:r>
        <w:rPr>
          <w:rFonts w:ascii="Amiri" w:hAnsi="Amiri" w:eastAsia="Amiri" w:cs="Amiri"/>
          <w:color w:val="111111"/>
          <w:sz w:val="28"/>
          <w:sz w:val="28"/>
          <w:szCs w:val="28"/>
          <w:rtl w:val="true"/>
          <w:lang w:bidi="ar-SA"/>
        </w:rPr>
        <w:t>، وهو أشبه بباب التعادل والترجيح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ألّف إسماعيل بن علي النوبختي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الخصوص والعموم والأسماء والأحكام</w:t>
      </w:r>
      <w:r>
        <w:rPr>
          <w:rFonts w:eastAsia="Amiri" w:cs="Amiri" w:ascii="Amiri" w:hAnsi="Amiri"/>
          <w:color w:val="111111"/>
          <w:sz w:val="28"/>
          <w:szCs w:val="28"/>
          <w:rtl w:val="true"/>
          <w:lang w:bidi="ar-SA"/>
        </w:rPr>
        <w:t>».</w:t>
      </w:r>
      <w:r>
        <w:rPr>
          <w:rStyle w:val="FootnoteAnchor"/>
          <w:rtl w:val="true"/>
        </w:rPr>
        <w:footnoteReference w:id="1034"/>
      </w:r>
      <w:r>
        <w:rPr>
          <w:rFonts w:ascii="Amiri" w:hAnsi="Amiri" w:eastAsia="Amiri" w:cs="Amiri"/>
          <w:color w:val="111111"/>
          <w:sz w:val="28"/>
          <w:sz w:val="28"/>
          <w:szCs w:val="28"/>
          <w:rtl w:val="true"/>
          <w:lang w:bidi="ar-SA"/>
        </w:rPr>
        <w:t xml:space="preserve">وألّف كتاباً آخر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 القياس</w:t>
      </w:r>
      <w:r>
        <w:rPr>
          <w:rFonts w:eastAsia="Amiri" w:cs="Amiri" w:ascii="Amiri" w:hAnsi="Amiri"/>
          <w:color w:val="111111"/>
          <w:sz w:val="28"/>
          <w:szCs w:val="28"/>
          <w:rtl w:val="true"/>
          <w:lang w:bidi="ar-SA"/>
        </w:rPr>
        <w:t>».</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وجاء بعده الحسن بن موسى النوبختي، فألّف رسالة في خبر الواحد والعمل به</w:t>
      </w:r>
      <w:r>
        <w:rPr>
          <w:rFonts w:eastAsia="Amiri" w:cs="Amiri" w:ascii="Amiri" w:hAnsi="Amiri"/>
          <w:color w:val="111111"/>
          <w:sz w:val="28"/>
          <w:szCs w:val="28"/>
          <w:rtl w:val="true"/>
          <w:lang w:bidi="ar-SA"/>
        </w:rPr>
        <w:t>.</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وقد جمع الحرّ العاملي قدس سره هذه الأحاديث في كتاب مستقل أسماه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الفصول المهمة في أُصول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المرحلة الأُولى من مراحل تدوين أُصول الفقه، وقد اتّسعت حركة التأليف في المرحلة الثانية، فأفردوا لجميع مسائل أُصول الفقه باباً خاصاً في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مقدّمة هؤلاء شيخ الأُمة محمد بن محمد بن النعمان المعروف بالشيخ المفيد، فألّف كتاباً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في أُصول الفقه</w:t>
      </w:r>
      <w:r>
        <w:rPr>
          <w:rFonts w:eastAsia="Amiri" w:cs="Amiri" w:ascii="Amiri" w:hAnsi="Amiri"/>
          <w:color w:val="111111"/>
          <w:sz w:val="28"/>
          <w:szCs w:val="28"/>
          <w:rtl w:val="true"/>
          <w:lang w:bidi="ar-SA"/>
        </w:rPr>
        <w:t>»</w:t>
      </w:r>
      <w:r>
        <w:rPr>
          <w:rStyle w:val="FootnoteAnchor"/>
          <w:rtl w:val="true"/>
        </w:rPr>
        <w:footnoteReference w:id="1037"/>
      </w:r>
      <w:r>
        <w:rPr>
          <w:rFonts w:ascii="IRNazanin" w:hAnsi="IRNazanin" w:eastAsia="IRNazanin"/>
          <w:color w:val="111111"/>
          <w:sz w:val="28"/>
          <w:sz w:val="28"/>
          <w:szCs w:val="28"/>
          <w:rtl w:val="true"/>
          <w:lang w:bidi="fa-IR"/>
        </w:rPr>
        <w:t>وهو مطبوع ومنتشر</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اقتدى به تلامذته، فألف سلاّر بن عبد العزيز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في ذلك المضمار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 في أُصول الفقه</w:t>
      </w:r>
      <w:r>
        <w:rPr>
          <w:rFonts w:eastAsia="Amiri" w:cs="Amiri" w:ascii="Amiri" w:hAnsi="Amiri"/>
          <w:color w:val="111111"/>
          <w:sz w:val="28"/>
          <w:szCs w:val="28"/>
          <w:rtl w:val="true"/>
          <w:lang w:bidi="ar-SA"/>
        </w:rPr>
        <w:t>».</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 xml:space="preserve">كما ألّف تلميذه الآخر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آخر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طبع عدة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شمّر عن ساعد الجدّ في هذه المرحلة وألّف كتباً عديدة في أُصول الفقه هو السيد الشريف المرتضى، فله تآليف ثلاثة في هذا الصدد،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الخلاف في أُصول الفقه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منفردات في أُصول الفقه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الذريعة في أُصول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والكتاب الثالث هو الأثر الوحيد الباقي في هذا الصدد له قدس سره، ولم نجد أثراً للكتابين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يزل هذا الكتاب منذ تدوينه مرجعاً للفقهاء والمجتهدين ومورد اهتمام العلماء عبر القرون، وقد قاموا بتحريره تارة وتلخيصه أُخرى وشرحه ثالثة، وإليك بيان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قام العلاّمة الحلّي بتحريره وأسماه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النكت البديعة في تحرير 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ذكر 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w:t>
      </w:r>
      <w:r>
        <w:rPr>
          <w:rStyle w:val="FootnoteAnchor"/>
          <w:rtl w:val="true"/>
        </w:rPr>
        <w:footnoteReference w:id="10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 الشيخ أبو الحسن علي بن أبي القاسم زيد بن محمد البيهقي فريد خراسان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بتلخيص الكتاب وأسماه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مسائل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تلميذه محمد بن شهرآشوب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Style w:val="FootnoteAnchor"/>
          <w:rtl w:val="true"/>
        </w:rPr>
        <w:footnoteReference w:id="10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وشرحه الشيخ عماد الدين الطبري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w:t>
      </w:r>
      <w:r>
        <w:rPr>
          <w:rStyle w:val="FootnoteAnchor"/>
          <w:rtl w:val="true"/>
        </w:rPr>
        <w:footnoteReference w:id="104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كمال الدين المرتضى بن المنتهى بن الحسين بن علي الحسيني المرعشي، من مشايخ منتجب الدين كما في فهرسته</w:t>
      </w:r>
      <w:r>
        <w:rPr>
          <w:rFonts w:eastAsia="Amiri" w:cs="Amiri" w:ascii="Amiri" w:hAnsi="Amiri"/>
          <w:color w:val="111111"/>
          <w:sz w:val="28"/>
          <w:szCs w:val="28"/>
          <w:rtl w:val="true"/>
          <w:lang w:bidi="ar-SA"/>
        </w:rPr>
        <w:t>.</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والكتاب يحتوي على مقدمة وأربعة عشر باباً، هي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 في الخطاب وأقسامه وأحكامه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الأمر وأحكامه وأقسامه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أحكام النهي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 في العموم والخصوص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المجمل والبيان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 في النسخ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 في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صفة المتحمّل للخبر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 في الأفعال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 في الإجماع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 في القياس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 في الاجتهاد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 في الحظر والإباحة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النافي والمستصحب للحال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صنّف السيد الشريف هذا الكتاب في السنوات الأخيرة من عمره الشريف، إذ فرغ من تأليفه عام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وقد ذرّف على السبعين، أي أنّه ألّفه بعد أن نضجت أفكاره وأحاط بالعلوم جميعاً واستخرج دقائقها، ولذا صار مصدراً دراسياً منذ تأليفه إلى عدة قرون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 الكتاب مخطوطاً مستوراً عن الأعين إلى أن قام الأُستاذ الكبير الدكتور أبو القاسم الگُرجي بتحقيقه وبذل جهده في مقابلته مع ثلاث نسخ خطية، وبهذا قدم للعلم والعلماء خدمة كبيرة، ومع ذلك لم يكن المطبوع خالياً من هَنٍ وهَن</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اهتم المحقق بتسويد الهوامش وشحنها بالإشارة إلى النسخ المختلفة التي لا حاجة لذكرها لوضوح عدم صحّتها، في حين أهمل تخريج الأحاديث</w:t>
      </w:r>
    </w:p>
    <w:p>
      <w:pPr>
        <w:pStyle w:val="BookText"/>
        <w:rPr/>
      </w:pPr>
      <w:r>
        <w:rPr>
          <w:rFonts w:ascii="Amiri" w:hAnsi="Amiri" w:eastAsia="Amiri" w:cs="Amiri"/>
          <w:color w:val="111111"/>
          <w:sz w:val="28"/>
          <w:sz w:val="28"/>
          <w:szCs w:val="28"/>
          <w:rtl w:val="true"/>
          <w:lang w:bidi="ar-SA"/>
        </w:rPr>
        <w:t>والروايات وأقوال الصحابة وأقوال العلماء وآرائهم، ومع ذلك فالفضل يرجع إليه لأنّنا استفدنا من جهوده وعمله</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ولأهمية هذا الكتاب قامت مؤسستنا مؤسسة الإمام الصادق عليه السلام بتحقيق الكتاب تحقيقاً جديداً منقحّاً كاملاً، مزّيناً بالتعليقات وشرح المعضلات مع فهارس كاملة خدمة للإسلام وهدية ثمينة لطلبة العلوم الدينية</w:t>
      </w:r>
      <w:r>
        <w:rPr>
          <w:rFonts w:eastAsia="Amiri" w:cs="Amiri" w:ascii="Amiri" w:hAnsi="Amiri"/>
          <w:color w:val="111111"/>
          <w:sz w:val="28"/>
          <w:szCs w:val="28"/>
          <w:rtl w:val="true"/>
          <w:lang w:bidi="ar-SA"/>
        </w:rPr>
        <w:t>.</w:t>
      </w:r>
      <w:bookmarkStart w:id="985" w:name="pg16768_165680"/>
    </w:p>
    <w:p>
      <w:pPr>
        <w:pStyle w:val="Heading3"/>
        <w:numPr>
          <w:ilvl w:val="2"/>
          <w:numId w:val="1"/>
        </w:numPr>
        <w:rPr/>
      </w:pPr>
      <w:bookmarkStart w:id="986" w:name="__RefHeading___Toc6864120_73709187"/>
      <w:bookmarkStart w:id="987" w:name="_Toc367"/>
      <w:bookmarkEnd w:id="985"/>
      <w:bookmarkEnd w:id="986"/>
      <w:r>
        <w:rPr/>
        <w:t>5</w:t>
      </w:r>
      <w:r>
        <w:rPr>
          <w:rtl w:val="true"/>
        </w:rPr>
        <w:t xml:space="preserve"> </w:t>
      </w:r>
      <w:r>
        <w:rPr>
          <w:rtl w:val="true"/>
        </w:rPr>
        <w:t>العالم الرباني</w:t>
      </w:r>
      <w:bookmarkEnd w:id="987"/>
    </w:p>
    <w:p>
      <w:pPr>
        <w:pStyle w:val="Heading4"/>
        <w:numPr>
          <w:ilvl w:val="3"/>
          <w:numId w:val="1"/>
        </w:numPr>
        <w:rPr/>
      </w:pPr>
      <w:bookmarkStart w:id="988" w:name="__RefHeading___Toc6864122_73709187"/>
      <w:bookmarkStart w:id="989" w:name="_Toc368"/>
      <w:bookmarkEnd w:id="988"/>
      <w:r>
        <w:rPr>
          <w:rtl w:val="true"/>
        </w:rPr>
        <w:t>اشارة</w:t>
      </w:r>
      <w:bookmarkEnd w:id="989"/>
    </w:p>
    <w:p>
      <w:pPr>
        <w:pStyle w:val="BookText"/>
        <w:rPr/>
      </w:pPr>
      <w:r>
        <w:rPr>
          <w:rFonts w:ascii="Amiri" w:hAnsi="Amiri" w:eastAsia="Amiri" w:cs="Amiri"/>
          <w:color w:val="111111"/>
          <w:sz w:val="28"/>
          <w:sz w:val="28"/>
          <w:szCs w:val="28"/>
          <w:rtl w:val="true"/>
          <w:lang w:bidi="ar-SA"/>
        </w:rPr>
        <w:t>ميثم البحراني</w:t>
      </w:r>
    </w:p>
    <w:p>
      <w:pPr>
        <w:pStyle w:val="BookText"/>
        <w:rPr/>
      </w:pPr>
      <w:r>
        <w:rPr>
          <w:rFonts w:ascii="Amiri" w:hAnsi="Amiri" w:eastAsia="Amiri" w:cs="Amiri"/>
          <w:color w:val="111111"/>
          <w:sz w:val="28"/>
          <w:sz w:val="28"/>
          <w:szCs w:val="28"/>
          <w:rtl w:val="true"/>
          <w:lang w:bidi="ar-SA"/>
        </w:rPr>
        <w:t>جدّ في اكتساب العلم، فاستضاء بنوره، وتمسّك بأهل البيت عليهم السلام، فلجأ إلى ركن 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جال في أكثر من ميدان من ميادين العلم، ولكنّه أولع بعلمَي الحكمة والكلام، واستأثرا بنصيب وافر من جهوده وعنايته، فجلّى في ميدانهما، وذاعت شهرته بهما في الأوساط العلمية، وعند رجال الدولة في العراق، ممّن اهتم بترويج العلم مثل عبد العزيز بن جعفر بن ليث النيسابوري</w:t>
      </w:r>
      <w:r>
        <w:rPr>
          <w:rStyle w:val="FootnoteAnchor"/>
          <w:rtl w:val="true"/>
        </w:rPr>
        <w:footnoteReference w:id="1043"/>
      </w:r>
      <w:r>
        <w:rPr>
          <w:rFonts w:ascii="Amiri" w:hAnsi="Amiri" w:eastAsia="Amiri" w:cs="Amiri"/>
          <w:color w:val="111111"/>
          <w:sz w:val="28"/>
          <w:sz w:val="28"/>
          <w:szCs w:val="28"/>
          <w:rtl w:val="true"/>
          <w:lang w:bidi="ar-SA"/>
        </w:rPr>
        <w:t>، وعلاء الدين عطامَلِك بن بهاء الدين الجويني</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وتدلّك مؤلّفات شيخنا البحراني على غزارة علمه، ومتانة تحقيقه، وعمق أفكاره، ورصانة تعبيره في ما تناوله من موضوعات لاسيما ما يرتبط منها بمباحث الحكمة والكلام والعقائد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حقول يانعة زاهرة في حياة هذا الفيلسوف المتكلّم، والفقيه الأديب، ولكنّني أكتفي هنا بارتياد حقلين منها، يتعلق الأوّل منها بالجانب العلمي، والثاني بالجانب السلوكي، وهما يلتقيان في شخصيته، ويرفد أحدهما الآخر ليعبّرا عن توجّهاته واهتماماته، وعن منهجه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وأود أن أصطحب معي شرحَه لنهج البلاغة المسمّى بمصباح السالكين، لأَلِجَ بواسطته إلى الحقل الأوّل، ولكن لا لأستريح فيه طويلاً، وإنّما لأقف قليلاً في إحدى زواياه، وأشمّ عبير بعض أزهاره، فالوقت لا يسع لأكثر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اتفقت المعاجم على أنّ ميثماً البحراني كان عالماً ربانياً وفيلسوفاً إلهياً جال في أكثر من ميدان من ميادين العلم، إلّاأنّه أولع بعلمي الحكمة والكلام، فجلّى في ميدانها وذاعت شهرته بها في الأوساط العلمية، وعند رجال الدولة في العراق، كعبد العزيز بن جعفر بن ليث النيسابوري وعلاء الدين الجويني اللّذين اهتما بترويج العلم ورعاية العلماء، هذا ما يقوله عنه أصحاب المعاجم وكتب التراجم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التعرّف عليه عن طريق هؤلاء أحد الطرق الّتي راجت في التعرّف على الشخصيات العلمية، إلّاأنّ لنا في المقام طريقاً آخر للتعرف على قابلياته العلمية وإنجازاته وما اكتسبه في الحقلين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 والسلوكي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الطريق يتمثّل في دراسة حياة أساتذته وتلاميذه وما ترك من آثار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دراسة هذه المواضيع الثلاثة تلقي أضواءً على شخصيته وما حصل عليه في مجالي العلم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أساتذته فقد تتلمذ على يد الفيلسوف الكبير نصير الدين الطوسي الّذي يضنّ الدهر بمثله إلّافي فترات يسيرة وبينه وبين أُستاذه مساجلات ومكاتبات تدلّ على رفيع منزلته وولعه باكتساب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تلامذته فنكتفي أنّ العلّامة الحلّى الّذي يضرب به المثل في عالم الذكاء هو ممّن تخرّج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لا يخضع إلّالدرس عالم كبير يروي عطشه</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 وهو التعرّف على الآثار العلمية الّتي تركها، فهي وإن كانت كثيرة</w:t>
      </w:r>
    </w:p>
    <w:p>
      <w:pPr>
        <w:pStyle w:val="BookText"/>
        <w:rPr/>
      </w:pPr>
      <w:r>
        <w:rPr>
          <w:rFonts w:ascii="Amiri" w:hAnsi="Amiri" w:eastAsia="Amiri" w:cs="Amiri"/>
          <w:color w:val="111111"/>
          <w:sz w:val="28"/>
          <w:sz w:val="28"/>
          <w:szCs w:val="28"/>
          <w:rtl w:val="true"/>
          <w:lang w:bidi="ar-SA"/>
        </w:rPr>
        <w:t>فقد تربو على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بيت القصيد من 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له من آثار ومؤلفات مذكورة في المعاجم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شرحه لنهج البلاغة الّذي أسماه بمصباح السالكين، وقد جاء الاسم مطابقاً للمسمّى حيث تناول في هذا الشرح جانباً خاصّاً من جوانب نهج البلاغة وهو الجانب الفلسفي والعرفاني اللّذان قلّما ولجه شُرّاح ذلك الكتاب الّذين ناهز عددهم المئات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موضوعات نهج البلاغة متعددة ومتنوعة، وغالباً ما يكرّس شرّاحُه جهودهم لتفسير وتبيين وتحقيق موضوع واحد منها أو موضوعين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وفق اختصاصه وعلى قدر بضاعته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سائر موضوعاته فيتناولونها بإيجاز أو بشكل غير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ثَمّة شرّاح ركّزوا على الجانب الأدبي فيه، وحاولوا إبراز ما فيه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عجائب البلاغة، وغرائب الفصاحة، وجواهر العربية، وثواقب الكَلِم الدينية والدنيوية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وعُني آخرون بالجانب التاريخي فيه، وتبيان الوقائع والأحداث التاريخية، وجمعَ غيرهم بين هذين الجانبين، في حين اهتم آخرون بموضوعات أُخرى فيه، كعلّامتنا البحراني الّذي سلك فيه مسلكاً يتلاءم مع اختصاصه، حيث ملأه بالمباحث الإلهية والمسائل الكلامية والعقائدية والأسرار العرفانية، وأشبعها بحثاً وتوضيحاً، ولذا لم يُعط سائر الموضوعات حقّها من الشرح والتحقيق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الأجواء السياسية والاجتماعية المضطربة الّتي كانت سائدة في عصره، قد ساعدت في دفعه إلى اختيار هذا المسلك، حيث عاصر الغزو العسكري للبلاد الإسلامية من قِبَل التتار، وانهيارَ الدولة العباسية، وضعف المسلمين، وتغلّبَ الروح الانهزامية لدى معظم ساسة البلاد وقادتها، وانصرافهم إلى اللهو والعبث والفساد، وشاهد بأُمّ عينيه تفشّي الانحرافات في المجتمع وطغيان الروح المادية فيه</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ابن كثير يعكس لنا في تاريخه، الوضع المؤسف السائد في بلاط</w:t>
      </w:r>
    </w:p>
    <w:p>
      <w:pPr>
        <w:pStyle w:val="BookText"/>
        <w:rPr/>
      </w:pPr>
      <w:r>
        <w:rPr>
          <w:rFonts w:ascii="Amiri" w:hAnsi="Amiri" w:eastAsia="Amiri" w:cs="Amiri"/>
          <w:color w:val="111111"/>
          <w:sz w:val="28"/>
          <w:sz w:val="28"/>
          <w:szCs w:val="28"/>
          <w:rtl w:val="true"/>
          <w:lang w:bidi="ar-SA"/>
        </w:rPr>
        <w:t>الخلافة العباسي الّذي كان يرقص فيه الخليفة مع حبيبته، وجيوش التتار أحاطت بسور دار السلام بغداد، ونصبوا عليه المجانيق والعرادات،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 وَ إِذا أَرادَ اللّهُ بِقَوْمٍ سُوْءاً فَلا مَرَدَّ لَهُ وَ ما لَهُمْ مِنْ دُونِهِ مِنْ والٍ‌</w:t>
      </w:r>
      <w:r>
        <w:rPr>
          <w:rFonts w:eastAsia="Amiri" w:cs="Amiri" w:ascii="Amiri" w:hAnsi="Amiri"/>
          <w:color w:val="111111"/>
          <w:sz w:val="28"/>
          <w:szCs w:val="28"/>
          <w:rtl w:val="true"/>
          <w:lang w:bidi="ar-SA"/>
        </w:rPr>
        <w:t xml:space="preserve">) </w:t>
      </w:r>
      <w:r>
        <w:rPr>
          <w:rStyle w:val="FootnoteAnchor"/>
          <w:rtl w:val="true"/>
        </w:rPr>
        <w:footnoteReference w:id="1045"/>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وأحاطت التتار بدار الخلافة يرشقونها بالنبال من كل جانب حتّى أُصيبت جارية تلعب بين يدي الخليفة وتضحكه، وكانت من جملة حظاياه وكانت مولدة تسمى عرفة، جاءها سهم من بعض الشبابيك فقتلها وهي ترقص بين يدي الخليفة، فانزعج الخليفة من ذلك وفزع فزعاً شديداً، وأحضر السهم الّذي أصابها بين يديه فإذا عليه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إنفاذ قضائه وقدره أذهب عن ذوي العقول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الخليفة عند ذلك بزيادة الاحتراز، وكثرت الستائر على دار الخلافة وكان قدوم هولاكوخان بجنوده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نحو مائتي ألف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بغداد في ثاني عشر المحرم من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هو حال الخليفة ومقدار إهتمامه بحفظ الخلافة فمابال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رب البيت بالدف مولعاً فشيمة أهل البيت كلهم الرقصّ‌</w:t>
      </w:r>
    </w:p>
    <w:p>
      <w:pPr>
        <w:pStyle w:val="BookText"/>
        <w:rPr/>
      </w:pPr>
      <w:r>
        <w:rPr>
          <w:rFonts w:ascii="Amiri" w:hAnsi="Amiri" w:eastAsia="Amiri" w:cs="Amiri"/>
          <w:color w:val="111111"/>
          <w:sz w:val="28"/>
          <w:sz w:val="28"/>
          <w:szCs w:val="28"/>
          <w:rtl w:val="true"/>
          <w:lang w:bidi="ar-SA"/>
        </w:rPr>
        <w:t>فالداء الناجع لهذا المجتمع الغارق في العيث والفساد والترفه هو الدعوة إلى القيّم والمثل الأخلاقية وذكر اللّه سبحانه وذكر مقامات الأولياء والأنبياء والمثوبات والعقوبات، وهذا هو الّذي دفع العلّامة إلى التركيز عليه في شرحه 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حاول رحمه الله أن يغرس في النفوس حبَّ اللّه تعالى، وحبَّ الفضائل والمكارم، ويحثّها على انتهاج سبيل الحق، والرجوع إلى اللّه تعالى، وسلوك الطريق الموصل إليه، وضرورة التحلّي بالفضائل النفسانية، والابتعاد عن رذائل الأخلاق</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يدخل في هذا الإطار، قوله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كمال القوة العملية إنّما هو باستكمال الحكمة العملية، وهي استكمال النفس بكمال الملكة التامة على الأفعال الفاضلة حتّى يكون الإنسان ثابتاً على الصراط المستقيم متجنّباً لطَرَفي الإفراط والتفريط في جميع أفعاله</w:t>
      </w:r>
      <w:r>
        <w:rPr>
          <w:rFonts w:eastAsia="Amiri" w:cs="Amiri" w:ascii="Amiri" w:hAnsi="Amiri"/>
          <w:color w:val="111111"/>
          <w:sz w:val="28"/>
          <w:szCs w:val="28"/>
          <w:rtl w:val="true"/>
          <w:lang w:bidi="ar-SA"/>
        </w:rPr>
        <w:t>.</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لن يسمح لنا الوقت بالوقوف أكثر من هذه اللحظات في هذا الحقل، فلننطلق إلى الحقل الثاني لنمّر عليه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ومرورنا هذه المرة يكون من خلال قصة طريفة وقعت للمحقّق البحراني، نقلها بعض العلماء، ومفادها أنّ بعض فضلاء العراق، بعثوا إليه برسالة تتضمّن لومه على اعتزاله عن الناس، مع ما يتمتّع به من مهارة في العلوم، فكتب في جوابهم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طلبتُ فنون العلم أبغي بها العُلا فقصّر بي عما سموتُ به القلُّ</w:t>
      </w:r>
    </w:p>
    <w:p>
      <w:pPr>
        <w:pStyle w:val="BookText"/>
        <w:rPr/>
      </w:pPr>
      <w:r>
        <w:rPr>
          <w:rFonts w:ascii="Amiri" w:hAnsi="Amiri" w:eastAsia="Amiri" w:cs="Amiri"/>
          <w:color w:val="111111"/>
          <w:sz w:val="28"/>
          <w:sz w:val="28"/>
          <w:szCs w:val="28"/>
          <w:rtl w:val="true"/>
          <w:lang w:bidi="ar-SA"/>
        </w:rPr>
        <w:t>تبيّن لي أنّ المحاسن كلَّها فروع، وأنّ المال فيه هو الأصل</w:t>
      </w:r>
    </w:p>
    <w:p>
      <w:pPr>
        <w:pStyle w:val="BookText"/>
        <w:rPr/>
      </w:pPr>
      <w:r>
        <w:rPr>
          <w:rFonts w:ascii="Amiri" w:hAnsi="Amiri" w:eastAsia="Amiri" w:cs="Amiri"/>
          <w:color w:val="111111"/>
          <w:sz w:val="28"/>
          <w:sz w:val="28"/>
          <w:szCs w:val="28"/>
          <w:rtl w:val="true"/>
          <w:lang w:bidi="ar-SA"/>
        </w:rPr>
        <w:t>فلم يرتضوا منه هذا القول، فكتب في جوابهم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قال قوم بغير علمٍ ما المرء إلّابأصغَرَيْهِ</w:t>
      </w:r>
    </w:p>
    <w:p>
      <w:pPr>
        <w:pStyle w:val="BookText"/>
        <w:rPr/>
      </w:pPr>
      <w:r>
        <w:rPr>
          <w:rFonts w:ascii="Amiri" w:hAnsi="Amiri" w:eastAsia="Amiri" w:cs="Amiri"/>
          <w:color w:val="111111"/>
          <w:sz w:val="28"/>
          <w:sz w:val="28"/>
          <w:szCs w:val="28"/>
          <w:rtl w:val="true"/>
          <w:lang w:bidi="ar-SA"/>
        </w:rPr>
        <w:t>فقلتُ قول امرىءٍ حكيم ما المرء إلّابدرهميهِ</w:t>
      </w:r>
    </w:p>
    <w:p>
      <w:pPr>
        <w:pStyle w:val="BookText"/>
        <w:rPr/>
      </w:pPr>
      <w:r>
        <w:rPr>
          <w:rFonts w:ascii="Amiri" w:hAnsi="Amiri" w:eastAsia="Amiri" w:cs="Amiri"/>
          <w:color w:val="111111"/>
          <w:sz w:val="28"/>
          <w:sz w:val="28"/>
          <w:szCs w:val="28"/>
          <w:rtl w:val="true"/>
          <w:lang w:bidi="ar-SA"/>
        </w:rPr>
        <w:t>من لم يكن درهم لديه لم تلتفت عرسه إليهِ‌</w:t>
      </w:r>
    </w:p>
    <w:p>
      <w:pPr>
        <w:pStyle w:val="BookText"/>
        <w:rPr/>
      </w:pPr>
      <w:r>
        <w:rPr>
          <w:rFonts w:ascii="Amiri" w:hAnsi="Amiri" w:eastAsia="Amiri" w:cs="Amiri"/>
          <w:color w:val="111111"/>
          <w:sz w:val="28"/>
          <w:sz w:val="28"/>
          <w:szCs w:val="28"/>
          <w:rtl w:val="true"/>
          <w:lang w:bidi="ar-SA"/>
        </w:rPr>
        <w:t>ثم توجّه إلى العراق، ودخل إحدى حلقات الدرس بثيابه الخشنة الرثّة، فلم يلتفتوا إليه، ثم أخذوا في مناقشة مسألة دقيقة، فراح البحراني يجيب عنها بأجوبة جيدة، فلم يرتضوها، ولما حضر الطعام لم يشركوه فيه، وأفردوه بشيء منه</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جاء في اليوم التالي بملابس فاخرة، ذات أكمام واسعة، فرحّبوا به، ثم جرى نقاش بينهم في إحدى المسائل، فتكلّم فيها صاحبنا بكلام غير علمي، فاستحسنوه، ولما حضرت المائدة بادروا إليه بالآداب، فألقى الشيخ كُمّه في الطعام، وقال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 يا كُمّي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فاستغربوا منه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إنّما أكرمتم أكمامي هذه الواسعة، وإلّا فأنا صاحبكم بالأمس</w:t>
      </w:r>
      <w:r>
        <w:rPr>
          <w:rFonts w:eastAsia="Amiri" w:cs="Amiri" w:ascii="Amiri" w:hAnsi="Amiri"/>
          <w:color w:val="111111"/>
          <w:sz w:val="28"/>
          <w:szCs w:val="28"/>
          <w:rtl w:val="true"/>
          <w:lang w:bidi="ar-SA"/>
        </w:rPr>
        <w:t>!!</w:t>
      </w:r>
      <w:bookmarkStart w:id="990" w:name="pg16768_165685"/>
    </w:p>
    <w:p>
      <w:pPr>
        <w:pStyle w:val="BookText"/>
        <w:rPr/>
      </w:pPr>
      <w:bookmarkEnd w:id="990"/>
      <w:r>
        <w:rPr>
          <w:rFonts w:ascii="Amiri" w:hAnsi="Amiri" w:eastAsia="Amiri" w:cs="Amiri"/>
          <w:color w:val="111111"/>
          <w:sz w:val="28"/>
          <w:sz w:val="28"/>
          <w:szCs w:val="28"/>
          <w:rtl w:val="true"/>
          <w:lang w:bidi="ar-SA"/>
        </w:rPr>
        <w:t xml:space="preserve">هذه القصة ذات مداليل عميقة ترتبط بواقع الأوضاع الاجتماعية في ذلك العصر، فإذا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تقع عليهم مسؤولية التوجيه والتعليم والإرشاد، ومَن يتطلّع إليهم المجتمع على أنّهم الأسوة والقدوة في ترجمة أفكار وقيم الإسلام وتجسيدها في الواقع المعاش، إذا كان هؤلاء قد اختلّت عندهم المقاييس، وعظمت في أعينهم أشياء هذه الحياة الفانية، فما بالُك بسائر شرائح وطبقات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شيخنا البحراني يدين من خلال هذه القصة التناقض الفاضح بين القول والفعل، وبين الشعار والممارسة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أخطر ما يواجه الدين، ويُفضي إلى إبعاد الناس عنه ونفورهم منه، هو اتّساع المسافة بين الكلام عن الدين، وبين تحكيم الدين في الحياة، وكلما قلّت المسافة بينهما أو أُلغيت، كلما ازداد إقبال الناس عليه، وآمنوا بصلاحيته لتنظيم الحياة وقيادتها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لا ريب فيه أنّ العلم والمعرفة لا يُغنيان شيئاً، ولا يُثمران ثماراً طيّبة، إذا لم تتحرك خطوات الإنسان على ضوئهما،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بلا عمل كالرامي بلا 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يهتف بالعمل وإلّا ارتحل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ولنعم ما قاله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تعصي الإله وانت تظهر حبَّه هذا لعمري في الفعال بديع</w:t>
      </w:r>
    </w:p>
    <w:p>
      <w:pPr>
        <w:pStyle w:val="BookText"/>
        <w:rPr/>
      </w:pPr>
      <w:r>
        <w:rPr>
          <w:rFonts w:ascii="Amiri" w:hAnsi="Amiri" w:eastAsia="Amiri" w:cs="Amiri"/>
          <w:color w:val="111111"/>
          <w:sz w:val="28"/>
          <w:sz w:val="28"/>
          <w:szCs w:val="28"/>
          <w:rtl w:val="true"/>
          <w:lang w:bidi="ar-SA"/>
        </w:rPr>
        <w:t>إن كان حبُّك صادقاً لأطعته إن المحبّ لمن يحبّ مطيع</w:t>
      </w:r>
    </w:p>
    <w:p>
      <w:pPr>
        <w:pStyle w:val="BookText"/>
        <w:rPr/>
      </w:pPr>
      <w:r>
        <w:rPr>
          <w:rFonts w:ascii="Amiri" w:hAnsi="Amiri" w:eastAsia="Amiri" w:cs="Amiri"/>
          <w:color w:val="111111"/>
          <w:sz w:val="28"/>
          <w:sz w:val="28"/>
          <w:szCs w:val="28"/>
          <w:rtl w:val="true"/>
          <w:lang w:bidi="ar-SA"/>
        </w:rPr>
        <w:t xml:space="preserve">وفي هذا الإطار يأتي قول الفيلسوف والعالم الفيزيائي الفرنسي باسكال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هي المسافة بعيدة بين أن تعرف اللّه، وأن تُحبَّه</w:t>
      </w:r>
      <w:r>
        <w:rPr>
          <w:rFonts w:eastAsia="Amiri" w:cs="Amiri" w:ascii="Amiri" w:hAnsi="Amiri"/>
          <w:color w:val="111111"/>
          <w:sz w:val="28"/>
          <w:szCs w:val="28"/>
          <w:rtl w:val="true"/>
          <w:lang w:bidi="ar-SA"/>
        </w:rPr>
        <w:t>.</w:t>
      </w:r>
    </w:p>
    <w:p>
      <w:pPr>
        <w:pStyle w:val="Heading4"/>
        <w:numPr>
          <w:ilvl w:val="3"/>
          <w:numId w:val="1"/>
        </w:numPr>
        <w:rPr/>
      </w:pPr>
      <w:bookmarkStart w:id="991" w:name="__RefHeading___Toc6864124_73709187"/>
      <w:bookmarkStart w:id="992" w:name="_Toc369"/>
      <w:bookmarkEnd w:id="991"/>
      <w:r>
        <w:rPr>
          <w:rtl w:val="true"/>
        </w:rPr>
        <w:t>مؤلّفاته وتصانيفه</w:t>
      </w:r>
      <w:bookmarkEnd w:id="992"/>
    </w:p>
    <w:p>
      <w:pPr>
        <w:pStyle w:val="BookText"/>
        <w:rPr/>
      </w:pPr>
      <w:r>
        <w:rPr>
          <w:rFonts w:ascii="Amiri" w:hAnsi="Amiri" w:eastAsia="Amiri" w:cs="Amiri"/>
          <w:color w:val="111111"/>
          <w:sz w:val="28"/>
          <w:sz w:val="28"/>
          <w:szCs w:val="28"/>
          <w:rtl w:val="true"/>
          <w:lang w:bidi="ar-SA"/>
        </w:rPr>
        <w:t>وفي الختام نشير إلى أسماء عدد من مؤلفات العلّامة البحراني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مصباح السالكين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 الكبير لنهج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خمسة أجزاء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مصباح السالكين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 المتوسط لنهج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على المائة كلمة لأمير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قواعد المرام في علم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النجاة في القيامة في تحقيق أمر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الاستقصاء في إمامة الأئمة الاثنى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الوحي والإلهام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الإشارات في الحكمة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الحرام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993" w:name="pg16768_165687"/>
    </w:p>
    <w:p>
      <w:pPr>
        <w:pStyle w:val="Heading3"/>
        <w:numPr>
          <w:ilvl w:val="2"/>
          <w:numId w:val="1"/>
        </w:numPr>
        <w:rPr/>
      </w:pPr>
      <w:bookmarkStart w:id="994" w:name="__RefHeading___Toc6864126_73709187"/>
      <w:bookmarkStart w:id="995" w:name="_Toc370"/>
      <w:bookmarkEnd w:id="993"/>
      <w:bookmarkEnd w:id="994"/>
      <w:r>
        <w:rPr/>
        <w:t>6</w:t>
      </w:r>
      <w:r>
        <w:rPr>
          <w:rtl w:val="true"/>
        </w:rPr>
        <w:t xml:space="preserve"> </w:t>
      </w:r>
      <w:r>
        <w:rPr>
          <w:rtl w:val="true"/>
        </w:rPr>
        <w:t>آقا بزرگ الطهراني وطبقات أعلام الشيعة</w:t>
      </w:r>
      <w:bookmarkEnd w:id="995"/>
    </w:p>
    <w:p>
      <w:pPr>
        <w:pStyle w:val="BookText"/>
        <w:rPr/>
      </w:pPr>
      <w:r>
        <w:rPr>
          <w:rFonts w:ascii="Amiri" w:hAnsi="Amiri" w:eastAsia="Amiri" w:cs="Amiri"/>
          <w:color w:val="111111"/>
          <w:sz w:val="28"/>
          <w:sz w:val="28"/>
          <w:szCs w:val="28"/>
          <w:rtl w:val="true"/>
          <w:lang w:bidi="ar-SA"/>
        </w:rPr>
        <w:t>إنّ في نشر حياة العلماء والإشارة إلى جهودهم المضنية في طريق تحصيل العلم وتعليمه وبثه بين الناس، إشادة بمكانة العلم وترويجه لمدارسته، كما أنّ فيه استجابة لدواعي الوفاء لهم وتثميناً لجهودهم وتعريفاً بمقامهم ومكانتهم، واستلهاماً لعطائهم الثرّ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انّ في دراسة حياة العلماء إحياءً لتراث الأُمّة، وتعريفاً بمن بنى تلك الحضارة ورفع أعمدتها ووضع ركائزها، الأمر الّذي يعزّز من ثقة الجيل الحاضر بنفسه، وكذا الأجيال القادمة، لإدراكهم أنّ حضارتهم عريقة وذات جذور ضاربة في أعماق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نرى أنّ الأُمم المتحضّرة قد اهتمّت بنشر آثار السلف بأساليب مختلفة، وهي تحتفل بذكرياتهم بإقامة المؤتمرات والاجتماعات، وما هذا إلّالأنّ في ذلك حثّاً للجيل الصاعد على الأخذ بطريقتهم والمشي على مسيرتهم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كلّ شيء فإنّ الكتاب العزيز قد أشاد بمقام العلم والعلماء في غير واحدة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آمَنُوا مِنْكُمْ وَ الَّذِينَ أُوتُوا الْعِلْمَ دَرَجاتٍ‌</w:t>
      </w:r>
      <w:r>
        <w:rPr>
          <w:rFonts w:eastAsia="Amiri" w:cs="Amiri" w:ascii="Amiri" w:hAnsi="Amiri"/>
          <w:color w:val="111111"/>
          <w:sz w:val="28"/>
          <w:szCs w:val="28"/>
          <w:rtl w:val="true"/>
          <w:lang w:bidi="ar-SA"/>
        </w:rPr>
        <w:t xml:space="preserve">)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 الْمَلائِكَةُ وَ أُولُوا الْعِلْمِ قائِماً بِالْقِسْطِ</w:t>
      </w:r>
    </w:p>
    <w:p>
      <w:pPr>
        <w:pStyle w:val="BookText"/>
        <w:rPr/>
      </w:pPr>
      <w:r>
        <w:rPr>
          <w:rFonts w:ascii="Amiri" w:hAnsi="Amiri" w:eastAsia="Amiri" w:cs="Amiri"/>
          <w:color w:val="111111"/>
          <w:sz w:val="28"/>
          <w:sz w:val="28"/>
          <w:szCs w:val="28"/>
          <w:rtl w:val="true"/>
          <w:lang w:bidi="ar-SA"/>
        </w:rPr>
        <w:t>لا إِلهَ إِلاّ هُوَ الْعَزِيزُ الْحَكِيمُ‌</w:t>
      </w:r>
      <w:r>
        <w:rPr>
          <w:rFonts w:eastAsia="Amiri" w:cs="Amiri" w:ascii="Amiri" w:hAnsi="Amiri"/>
          <w:color w:val="111111"/>
          <w:sz w:val="28"/>
          <w:szCs w:val="28"/>
          <w:rtl w:val="true"/>
          <w:lang w:bidi="ar-SA"/>
        </w:rPr>
        <w:t xml:space="preserve">)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 مقام ومنزلة أولى وأنبل من ذلك، إذ جاء ذكر العلماء في رديف الملائكة وشهدا مع اللّه سبحانه على أنّه لا إله إلّاهو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فالعلماء مصابيح الظلام وحصون الإيمان وخلفاء الأنبياء بَاقُونَ مَا بَقِيَ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أَعْيَانُهُمْ مَفْقُودَةٌ‌، وَ أَمْثَالُهُمْ فِي الْقُلُوبِ مَوْجُودَةٌ‌</w:t>
      </w:r>
      <w:r>
        <w:rPr>
          <w:rFonts w:eastAsia="Amiri" w:cs="Amiri" w:ascii="Amiri" w:hAnsi="Amiri"/>
          <w:color w:val="111111"/>
          <w:sz w:val="28"/>
          <w:szCs w:val="28"/>
          <w:rtl w:val="true"/>
          <w:lang w:bidi="ar-SA"/>
        </w:rPr>
        <w:t>.</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 xml:space="preserve">هذا وقد قام لفيف من علمائنا الأبرار بتأليف موسوعات حول علماء الشيعة وطبقاتهم وآثارهم وما قدّموا للحضارة الإنسانية من عطاءات وما ابتكروا من علوم، إلّاأنّ ما قام به البحّاثة الكبير والمتتبّع الخبير آية اللّه الشيخ محمد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بآقا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الطهراني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المجال عمل لا يُعادله غيره، ذلك أنّه قام بعملين كبيرين كلّ واحد منهما يُعدّ عمل جماعة، وقد تصدّى له بمفرده، وها نحن نذكر هذين العملين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فيه أسماء مصنفاتهم في مختلف العلوم وقد طبع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أعلام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فيها حياتهم، مبتدئاً بالقرن الرابع الهجري ومختتماً بالقرن الرابع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أفاض رحمه الله في موسوعته هذه، القول في تراجم أعيان تلك الأيام الخالية، وذكر مآثرهم وآثارهم الخالدة، وأسمى كلّ جزء يرجع إلى قرن باسم خاص وإليك ذكرها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نوابغ الرواة في رابعة المئات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إزاحة الحلك الدامس بالشموس المضيئة في القرن الخامس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الثقات العيون في سادس القرون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الساطعة في المائة السابعة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الحقائق الراهنة في تراجم أعيان المائة الثامنة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الضياء اللامع في عباقرة القرن التاسع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إحياء الداثر من مآثر أهل القرن العاشر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النضرة في علماء المائة الحادية 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الكواكب المنتثرة في القرن الثاني بعد العشرة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الكرام البررة في القرن الثالث بعد العشرة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نقباء البشر في القرن الرابع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قامت دور النشر بطبع أكثر أجزاء هذه الموسوعة في بيروت وإيران، غير أنّ القسم الثالث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 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تحت الخباء، وكانت النفوس تشتاق إلى مطالعته، غير أنّه كان في تحقيقه ونشره صعوبة، بل صعوبات، ومع ذلك فقد استسهله المحقّقان الفاضلان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حيدر محمد علي البغدادي، وخليل النايفي، فقاما بتحقيق هذا القسم وبيان مصادر التراجم الواردة فيه، في مؤسسة الإمام الصادق عليه السلام، الّتي وفّرت لهما كلّ ما يلزم للعمل من أجواء مناسبة، وإمكانات متاحة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بذلا في هذا السبيل جهوداً لايقوم بها إلّاالأمثل فالأمثل من عشاق الفضيلة، شكر اللّه مساعي الجميع،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مؤسسة الإمام الصادق عليه السلام</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996" w:name="pg16768_165690"/>
    </w:p>
    <w:p>
      <w:pPr>
        <w:pStyle w:val="Heading3"/>
        <w:numPr>
          <w:ilvl w:val="2"/>
          <w:numId w:val="1"/>
        </w:numPr>
        <w:rPr/>
      </w:pPr>
      <w:bookmarkStart w:id="997" w:name="__RefHeading___Toc6864128_73709187"/>
      <w:bookmarkStart w:id="998" w:name="_Toc371"/>
      <w:bookmarkEnd w:id="996"/>
      <w:bookmarkEnd w:id="997"/>
      <w:r>
        <w:rPr/>
        <w:t>7</w:t>
      </w:r>
      <w:r>
        <w:rPr>
          <w:rtl w:val="true"/>
        </w:rPr>
        <w:t xml:space="preserve"> </w:t>
      </w:r>
      <w:r>
        <w:rPr>
          <w:rtl w:val="true"/>
        </w:rPr>
        <w:t>السيد الشهيد محمد محمد صادق الصدر</w:t>
      </w:r>
      <w:bookmarkEnd w:id="998"/>
    </w:p>
    <w:p>
      <w:pPr>
        <w:pStyle w:val="BookText"/>
        <w:rPr/>
      </w:pPr>
      <w:r>
        <w:rPr>
          <w:rFonts w:ascii="IRNazanin" w:hAnsi="IRNazanin" w:eastAsia="IRNazanin"/>
          <w:color w:val="111111"/>
          <w:sz w:val="28"/>
          <w:sz w:val="28"/>
          <w:szCs w:val="28"/>
          <w:rtl w:val="true"/>
          <w:lang w:bidi="fa-IR"/>
        </w:rPr>
        <w:t>رجل العلم والجهاد</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خاتم رسله، إمام الرحمة، وقائد الخير، ومفتاح البركة، وعلى آله الهداة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الشهادة والكرامة والعُلى وحليف عِلم الدين والآثار</w:t>
      </w:r>
    </w:p>
    <w:p>
      <w:pPr>
        <w:pStyle w:val="BookText"/>
        <w:rPr/>
      </w:pPr>
      <w:r>
        <w:rPr>
          <w:rFonts w:ascii="Amiri" w:hAnsi="Amiri" w:eastAsia="Amiri" w:cs="Amiri"/>
          <w:color w:val="111111"/>
          <w:sz w:val="28"/>
          <w:sz w:val="28"/>
          <w:szCs w:val="28"/>
          <w:rtl w:val="true"/>
          <w:lang w:bidi="ar-SA"/>
        </w:rPr>
        <w:t>نحمد اللّه الّذي رفع منزلة العلماء الصُّلحاء على الشهداء، وفضّل مدادهم على دمائهم، فالشهيد ثمرة من ثمار جهود العالم، استضاء بأنوار علمه، وسلك درب الجهاد على هدى تعاليمه وإرشاداته، ومن هنا فضّل اللّه سبحانه جهود العلماء في ميادين التعليم والتربية، على شهادة الشهداء في مجال الجهاد والنضال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الشهيد ليس بعالم، والعالم ليس بشهيد، وأمّا إذا اجتمع كلا العنوانين في فردٍ، فيكون عالماً محقّقاً، وكاتبا بارعاً، وخطيباً مرشداً، وشجاعاً باسلاً، يحمل هموم المسلمين، ويخوض غمار ساحات الجهاد، ليصون الإسلام من كيد الأعداء، فيحظى بوسام الشهادة، فإنّ مثل هذا الفرد قد بلغ الغاية في الكمال، وفاز بالقدح المعلّى في ميداني العلم والإيثار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شأن العلّامة الراحل آية اللّه السيد الشهيد محمد محمد صادق الصدر رضوان اللّه تعالى عليه</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عاش رحمه الله في بيت علمي عريق، زانه التقى والفضل، فأثمر ثمرات يانعة،</w:t>
      </w:r>
    </w:p>
    <w:p>
      <w:pPr>
        <w:pStyle w:val="BookText"/>
        <w:rPr/>
      </w:pPr>
      <w:r>
        <w:rPr>
          <w:rFonts w:ascii="Amiri" w:hAnsi="Amiri" w:eastAsia="Amiri" w:cs="Amiri"/>
          <w:color w:val="111111"/>
          <w:sz w:val="28"/>
          <w:sz w:val="28"/>
          <w:szCs w:val="28"/>
          <w:rtl w:val="true"/>
          <w:lang w:bidi="ar-SA"/>
        </w:rPr>
        <w:t>وفاح شذا أزهاره، فبلغ كل قريب وبعيد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نكتة نلفت نظر السامع إليها، وهي أنّ طبيعة العلم والعلماء تقتضي الهدوء والدعة والعيش في أجواء بعيدة عن الضوضاء والضجيج، فالعلماء غالباً ما يتواجدون في المعاهد والمدارس والمختبرات وقاعات الدرس والبحث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الشهيد فهو يعيش في خضم الحوادث الدامية في ميادين النضال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يلتقي العلم بالشهادة والشهادة بالعلم، وبالتالي يفوز العالم بمقام الشهادة‌؟</w:t>
      </w:r>
    </w:p>
    <w:p>
      <w:pPr>
        <w:pStyle w:val="BookText"/>
        <w:rPr/>
      </w:pPr>
      <w:r>
        <w:rPr>
          <w:rFonts w:ascii="Amiri" w:hAnsi="Amiri" w:eastAsia="Amiri" w:cs="Amiri"/>
          <w:color w:val="111111"/>
          <w:sz w:val="28"/>
          <w:sz w:val="28"/>
          <w:szCs w:val="28"/>
          <w:rtl w:val="true"/>
          <w:lang w:bidi="ar-SA"/>
        </w:rPr>
        <w:t>وما يدفع العجب، هو وقوفنا على هذه المسألة، وهي أنّ العلم والشهادة يجمعهما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الملكات النفسية السامية والفضائل الأخلاقية العالية، إذ يرى كلّ منهما أنّه مسؤول أمام اللّه تعالى وأمام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العالم يقبض قلمه ويُسيل فكره ليقارع الظلم والفساد ويدعو إلى الصلاح والفلاح، والشهيد يقبض سلاحه، ويُريق دمه، ليستأصل جذور الظلم والطغيان، ويسقي بدمه شجرة الحرية والإيمان، ليعيش المجتمع تحت راية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الآثار العلمية للمرجع الديني الشهيد السيد محمد الصدر؛ تدلنا على علو كعبه في الفقه والأُصول، وهذا ما نراه واضحاً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الكتاب مبتكر في موضوعه، جامع لشتات ما يحتاج إليه الفقيه في الدورة الفقهية، إلى قضايا ومعلومات لها صلة وثيقة بالفقه ولكنها لا تبحث إلّافيه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أجاد السيد الشهيد كلّ الإجادة في جمعها وتحقيقها، وقدّمها للمحقّقين من الفقهاء والأُصوليين في موسوعة ضمّت عشرة أجزاء، تثير العجب من بُعد غوره، وغزارة علمه، وسعة اطّلاعه على العلوم الكونية والطبيعية والتاريخية</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دوره في الإصلاح والتغيير، فكان فاعلاً ومؤثراً، وقد خطا خطوات جريئة على طريق توعية المجتمع، وشحذ عزيمته، وتوجيهه نحو المبادئ والقيم</w:t>
      </w:r>
    </w:p>
    <w:p>
      <w:pPr>
        <w:pStyle w:val="BookText"/>
        <w:rPr/>
      </w:pPr>
      <w:r>
        <w:rPr>
          <w:rFonts w:ascii="Amiri" w:hAnsi="Amiri" w:eastAsia="Amiri" w:cs="Amiri"/>
          <w:color w:val="111111"/>
          <w:sz w:val="28"/>
          <w:sz w:val="28"/>
          <w:szCs w:val="28"/>
          <w:rtl w:val="true"/>
          <w:lang w:bidi="ar-SA"/>
        </w:rPr>
        <w:t>الإسلامية، ووقف بوجه السلطة الغاشمة الظالمة، الّتي سلبت كل الحريات وصادرت عامة ثروات الشعب المادية والمعنوية، حتّى صار أُسوة للآخرين، ورمزاً للأبطال الخالدين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ختام كلمتنا نتمثل بقول الفقيه والشاعر المفلق السيد محمود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رجلان في دنيا الثبات وهبا الحياة إلى الحياة</w:t>
      </w:r>
    </w:p>
    <w:p>
      <w:pPr>
        <w:pStyle w:val="BookText"/>
        <w:rPr/>
      </w:pPr>
      <w:r>
        <w:rPr>
          <w:rFonts w:ascii="Amiri" w:hAnsi="Amiri" w:eastAsia="Amiri" w:cs="Amiri"/>
          <w:color w:val="111111"/>
          <w:sz w:val="28"/>
          <w:sz w:val="28"/>
          <w:szCs w:val="28"/>
          <w:rtl w:val="true"/>
          <w:lang w:bidi="ar-SA"/>
        </w:rPr>
        <w:t xml:space="preserve">رجل الصراع المرّ 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باللئام وبالطغاة</w:t>
      </w:r>
    </w:p>
    <w:p>
      <w:pPr>
        <w:pStyle w:val="BookText"/>
        <w:rPr/>
      </w:pPr>
      <w:r>
        <w:rPr>
          <w:rFonts w:ascii="Amiri" w:hAnsi="Amiri" w:eastAsia="Amiri" w:cs="Amiri"/>
          <w:color w:val="111111"/>
          <w:sz w:val="28"/>
          <w:sz w:val="28"/>
          <w:szCs w:val="28"/>
          <w:rtl w:val="true"/>
          <w:lang w:bidi="ar-SA"/>
        </w:rPr>
        <w:t xml:space="preserve">والعالم الوثّاب 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ية الشعوب الناهضات</w:t>
      </w:r>
    </w:p>
    <w:p>
      <w:pPr>
        <w:pStyle w:val="BookText"/>
        <w:rPr/>
      </w:pPr>
      <w:r>
        <w:rPr>
          <w:rFonts w:ascii="Amiri" w:hAnsi="Amiri" w:eastAsia="Amiri" w:cs="Amiri"/>
          <w:color w:val="111111"/>
          <w:sz w:val="28"/>
          <w:sz w:val="28"/>
          <w:szCs w:val="28"/>
          <w:rtl w:val="true"/>
          <w:lang w:bidi="ar-SA"/>
        </w:rPr>
        <w:t xml:space="preserve">عاشا بلا ذات وما كال‍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 في سحق الذوات</w:t>
      </w:r>
    </w:p>
    <w:p>
      <w:pPr>
        <w:pStyle w:val="BookText"/>
        <w:rPr/>
      </w:pPr>
      <w:r>
        <w:rPr>
          <w:rFonts w:ascii="Amiri" w:hAnsi="Amiri" w:eastAsia="Amiri" w:cs="Amiri"/>
          <w:color w:val="111111"/>
          <w:sz w:val="28"/>
          <w:sz w:val="28"/>
          <w:szCs w:val="28"/>
          <w:rtl w:val="true"/>
          <w:lang w:bidi="ar-SA"/>
        </w:rPr>
        <w:t>فسلام اللّه عليه يوم ولد ويوم استشهد ويوم يبعث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المقدسة مؤسسة الإمام الصادق عليه السلام</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من ربيع الأوّل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999" w:name="pg16768_165693"/>
    </w:p>
    <w:p>
      <w:pPr>
        <w:pStyle w:val="Heading2"/>
        <w:numPr>
          <w:ilvl w:val="1"/>
          <w:numId w:val="1"/>
        </w:numPr>
        <w:rPr/>
      </w:pPr>
      <w:bookmarkStart w:id="1000" w:name="__RefHeading___Toc6864130_73709187"/>
      <w:bookmarkStart w:id="1001" w:name="_Toc372"/>
      <w:bookmarkEnd w:id="999"/>
      <w:bookmarkEnd w:id="1000"/>
      <w:r>
        <w:rPr>
          <w:rtl w:val="true"/>
        </w:rPr>
        <w:t>الفصل الخامس</w:t>
      </w:r>
      <w:r>
        <w:rPr>
          <w:rtl w:val="true"/>
        </w:rPr>
        <w:t xml:space="preserve">: </w:t>
      </w:r>
      <w:r>
        <w:rPr>
          <w:rtl w:val="true"/>
        </w:rPr>
        <w:t>رسائل إرشادية</w:t>
      </w:r>
      <w:bookmarkEnd w:id="1001"/>
    </w:p>
    <w:p>
      <w:pPr>
        <w:pStyle w:val="Heading3"/>
        <w:numPr>
          <w:ilvl w:val="2"/>
          <w:numId w:val="1"/>
        </w:numPr>
        <w:rPr/>
      </w:pPr>
      <w:bookmarkStart w:id="1002" w:name="__RefHeading___Toc6864132_73709187"/>
      <w:bookmarkStart w:id="1003" w:name="_Toc373"/>
      <w:bookmarkEnd w:id="1002"/>
      <w:r>
        <w:rPr>
          <w:rtl w:val="true"/>
        </w:rPr>
        <w:t>اشارة</w:t>
      </w:r>
      <w:bookmarkEnd w:id="10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الشيخ محمد شهيد وجوابنا عنها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إلى أعضاء دارالزهراء</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التقريظ على تفسير الشيخ الملكي الإصفهاني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مفتوحة إلى الشيخ محمد سالم الخضر رئيس مبرّة الآل والأصحاب</w:t>
      </w:r>
      <w:bookmarkStart w:id="1004" w:name="pg16768_165695"/>
    </w:p>
    <w:p>
      <w:pPr>
        <w:pStyle w:val="Heading3"/>
        <w:numPr>
          <w:ilvl w:val="2"/>
          <w:numId w:val="1"/>
        </w:numPr>
        <w:rPr/>
      </w:pPr>
      <w:bookmarkStart w:id="1005" w:name="__RefHeading___Toc6864134_73709187"/>
      <w:bookmarkStart w:id="1006" w:name="_Toc374"/>
      <w:bookmarkEnd w:id="1004"/>
      <w:bookmarkEnd w:id="1005"/>
      <w:r>
        <w:rPr/>
        <w:t>1</w:t>
      </w:r>
      <w:r>
        <w:rPr>
          <w:rtl w:val="true"/>
        </w:rPr>
        <w:t xml:space="preserve"> </w:t>
      </w:r>
      <w:r>
        <w:rPr>
          <w:rtl w:val="true"/>
        </w:rPr>
        <w:t>رسالة الشيخ محمد شهيد وجوابنا عنها</w:t>
      </w:r>
      <w:bookmarkEnd w:id="1006"/>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الحمد للّه رب العالمين، وصلى اللّه على خاتم الأنبياء وحبيب إله العالمين محمد وآل بيته الطاهرين الطيبين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سماحة الشيخ جعفر السبحاني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اسمي محمد شهيد من جنوب افريقيا تخرجت من جامعة الأزهر الشريف والحمد للّه متمسّك بولاية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بهذا الخطاب لسماحتكم أودُّ أن أُعلمكم بأنّني تعلمت كثيراً منكم خلال قراءتي لقليل من مؤلفاتكم، لا سيّما كتابكم المترجم إلى اللغة الإنجليزية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Message of Muhommad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يعني عن حياة الرسول الأعظم صلى الله عليه و آله، وأيضاً كتابكم الفلسفي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زُرتُ الجمهورية الإسلامية في إيران العام الماضي ولكن الوقت ما وسعني لزيارتكم، وكم أرجو العودة إلى مدينة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صانها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إلى ضريح السيدة المعصومة عليها السلام وإلى بيتكم بيت العلم والأخلاق والتقوى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أسأل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يوفّقني لأن أتعلم على أيديكم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يتبقى لي أن أطلب منكم أن تذكرني في دعائكم الصالح إذ أنت الأب الحنون لي وإن أنتم قادتنا لطريق إمام زماننا قائم آل محمد الحجة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في فرجه الشريف وسهل اللّه مخرجه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تلميذكم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شهيد</w:t>
      </w:r>
    </w:p>
    <w:p>
      <w:pPr>
        <w:pStyle w:val="BookText"/>
        <w:rPr/>
      </w:pPr>
      <w:r>
        <w:rPr>
          <w:rFonts w:ascii="Amiri" w:hAnsi="Amiri" w:eastAsia="Amiri" w:cs="Amiri"/>
          <w:color w:val="111111"/>
          <w:sz w:val="28"/>
          <w:sz w:val="28"/>
          <w:szCs w:val="28"/>
          <w:rtl w:val="true"/>
          <w:lang w:bidi="ar-SA"/>
        </w:rPr>
        <w:t>ولدنا الفاضل الشيخ محمد شهيد حفظه الباري تعالى</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 xml:space="preserve">وصلتني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رسالتكم الشريفة، ولمست من خلالها ولاءكم الخالص لأئمة أهل البيت عليهم السلام حشرنا اللّه وإيّاكم معهم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بمطالعة حياة قادتنا الأئمة الاثني عشر عليهم السلام فإنّ فيها حياة القلوب وصفاء الروح، وعليكم بالاتصال بجامعة المصطفى العالمية، وطلب الكتب النافعة منهم، والكراريس الدراسية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من اللّه أن تكونوا في دوام الصحة وأن تدعو لنا بحسن العاقبة، كما أنّي أدعو لكم بالتوفيق لما فيه خير الدنيا والآخرة،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1007" w:name="pg16768_165697"/>
    </w:p>
    <w:p>
      <w:pPr>
        <w:pStyle w:val="Heading3"/>
        <w:numPr>
          <w:ilvl w:val="2"/>
          <w:numId w:val="1"/>
        </w:numPr>
        <w:rPr/>
      </w:pPr>
      <w:bookmarkStart w:id="1008" w:name="__RefHeading___Toc6864136_73709187"/>
      <w:bookmarkStart w:id="1009" w:name="_Toc375"/>
      <w:bookmarkEnd w:id="1007"/>
      <w:bookmarkEnd w:id="1008"/>
      <w:r>
        <w:rPr/>
        <w:t>2</w:t>
      </w:r>
      <w:r>
        <w:rPr>
          <w:rtl w:val="true"/>
        </w:rPr>
        <w:t xml:space="preserve"> </w:t>
      </w:r>
      <w:r>
        <w:rPr>
          <w:rtl w:val="true"/>
        </w:rPr>
        <w:t>رسالة إلى أعضاء دارالزهراء عليها السلام</w:t>
      </w:r>
      <w:bookmarkEnd w:id="100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 إلى أولادكم قبل أن يسبقكم المرجئة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بجميع محامده كلّها، على جميع نعمه كلّها، والصلاة والسلام على خير خلقه محمد وآله المطهرين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إخوتي مسؤولو وأعضاء دارالزهراء عليها السلام، أبنائي وبناتي المشاركين في الدورة الإسلامية الصيفية؛</w:t>
      </w:r>
    </w:p>
    <w:p>
      <w:pPr>
        <w:pStyle w:val="BookText"/>
        <w:rPr/>
      </w:pPr>
      <w:r>
        <w:rPr>
          <w:rFonts w:ascii="Amiri" w:hAnsi="Amiri" w:eastAsia="Amiri" w:cs="Amiri"/>
          <w:color w:val="111111"/>
          <w:sz w:val="28"/>
          <w:sz w:val="28"/>
          <w:szCs w:val="28"/>
          <w:rtl w:val="true"/>
          <w:lang w:bidi="ar-SA"/>
        </w:rPr>
        <w:t>سلام اللّه عليكم جميعاً وبركاته وواسع خيره وجزيل رعايته وفواضل توفيقاته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رسم لنا النبي الأكرم صلى الله عليه و آله وأهل بيته الطاهرون عليهم السلام منهجاً تربوياً حافلاً شاملاً، لا يترك ناحية من نواحي النفس لا يوليها عنايته، ولا تتناولها إرشاداته، ولا تعمّها نصائحه وتوجيهاته وتعليماته، وله في كلّ جانب وعمل آداب سامية وأخلاق رفيعة، وهذا من خصائص ديننا الحنيف التي لا نجدها في غيره من الشرائع أو النظم الوضعية</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فإنّ التعرف على هذا المنهج والسعي إلى تطبيقه مرهون بدراسة ما جاء في القرآن الكريم وسنّة النبي الأكرم صلى الله عليه و آله وأحاديث الأئمّة 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w:t>
      </w:r>
    </w:p>
    <w:p>
      <w:pPr>
        <w:pStyle w:val="BookText"/>
        <w:rPr/>
      </w:pPr>
      <w:r>
        <w:rPr>
          <w:rFonts w:ascii="Amiri" w:hAnsi="Amiri" w:eastAsia="Amiri" w:cs="Amiri"/>
          <w:color w:val="111111"/>
          <w:sz w:val="28"/>
          <w:sz w:val="28"/>
          <w:szCs w:val="28"/>
          <w:rtl w:val="true"/>
          <w:lang w:bidi="ar-SA"/>
        </w:rPr>
        <w:t>ما نوصي به أوّلاً، ثمّ إنّ التدبّر في القرآن الكريم لا ينفك عن إقامة الدروس الخاصّة بحفظه أو حفظ أجزاء منه، فإنّ في حفظ القرآن صيانة للإيمان وتقوية للعقيدة وسنداً لبناء الأخلاق الحميدة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التعرف على أخلاقيات أهل البيت عليهم السلام وسلوكياتهم وإفهامها للطلبة والطالبات من خلال شرحها لهم بمحاضرة أو قصة أو شعر، أو كتابة أحاديثهم بخط جميل من قبل الطلاب ومنح الجوائز لمن يصمّم أجمل زخرفة أو لوحة فنية، كلّ ذلك يُعدّ من وسائل ترسيخ المفاهيم الإسلامية في النفوس وتعبئة الأرواح، وإحياء أمر النبي وأهل بيته عليهم السلام وهو الوقود الحقيقي الذي يحتاجه البشر كافة لخوض عباب بحر الحياة المتلاطم، والوصول إلى الأهداف النبيلة وسواحل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التركيز على مفاهيم الصدق والإنصاف والاستقامة واحترام الكبير وصلة الرحم والصبر على المكاره يعتبر من الضروريات التي لها أولوية التقدّم على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الاهتمام بالرياضة والسلامة البدنية لا يتخلف في الأهمية عن السلامة الروحية المطلوبة، وهذا يتحقق من خلال وضع برنامح متكامل، لبعث النشاط في نفوس وأبدان الطلبة والطالبات، ومنه نستطيع تعويدهم على أداء الصلاة في أوقاتها والنهوض إلى صلاة الصبح في وقتها المفضّل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الشباب اعلموا أنّكم أوّل من يخطط الأعداء لإصابته بسهام شرّهم وعدائهم، إذ أنّ فترة الشباب حساسة جدّاً وخطرة أيضاً، فإذا نجحتم خلالها في صيانة أنفسكم، فقد أغلقتم أمام الشيطان والأعداء ذلك الباب، الباب الذي يحلم أن يبقى مفتوحاً دوماً ليَلجَ من خلاله إلى كيانكم ويحقّق أُمنياته في إفساد المجتمع وجعله خاضعاً لمخططاته ويستعمره فكرياً وروحياً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بالأحداث فإنّهم أسرع إلى كلّ خير</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فليكن ما تشرعون إليه هو الخير والصلاح، واحذروا من سريان الشبهات وما</w:t>
      </w:r>
    </w:p>
    <w:p>
      <w:pPr>
        <w:pStyle w:val="BookText"/>
        <w:rPr/>
      </w:pPr>
      <w:r>
        <w:rPr>
          <w:rFonts w:ascii="Amiri" w:hAnsi="Amiri" w:eastAsia="Amiri" w:cs="Amiri"/>
          <w:color w:val="111111"/>
          <w:sz w:val="28"/>
          <w:sz w:val="28"/>
          <w:szCs w:val="28"/>
          <w:rtl w:val="true"/>
          <w:lang w:bidi="ar-SA"/>
        </w:rPr>
        <w:t>يسبب الانحراف إلى أوساطكم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الاهتمام بالمحاورات الفكرية فيما بينكم وبتوجيه من معلميكم ومناقشة الأفكار والعقائد الإسلامية على ضوء مؤلفات العلماء الأعلام وتفاسير القرآن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الأسلوب سوف تكونون قادرين في المستقبل على الدفاع عن دينكم ومذهبكم، والنهوض بمسؤولية الدعوة إلى الحق والخير، ليحظى الآخرون بالنعمة التي أنعمها اللّه عليكم، وتكونوا مصداقاً لقول سيدنا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فأحببْ لغيرك ما تحبّ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لا يسعنا إلّاأن نجدّد دعاءنا لكم بالخير والسداد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ثامن رجب الأصب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1010" w:name="pg16768_165700"/>
    </w:p>
    <w:p>
      <w:pPr>
        <w:pStyle w:val="Heading3"/>
        <w:numPr>
          <w:ilvl w:val="2"/>
          <w:numId w:val="1"/>
        </w:numPr>
        <w:rPr/>
      </w:pPr>
      <w:bookmarkStart w:id="1011" w:name="__RefHeading___Toc6864138_73709187"/>
      <w:bookmarkStart w:id="1012" w:name="_Toc376"/>
      <w:bookmarkEnd w:id="1010"/>
      <w:bookmarkEnd w:id="1011"/>
      <w:r>
        <w:rPr/>
        <w:t>3</w:t>
      </w:r>
      <w:r>
        <w:rPr>
          <w:rtl w:val="true"/>
        </w:rPr>
        <w:t xml:space="preserve"> </w:t>
      </w:r>
      <w:r>
        <w:rPr>
          <w:rtl w:val="true"/>
        </w:rPr>
        <w:t>التقريظ على تفسير البيّنات</w:t>
      </w:r>
      <w:bookmarkEnd w:id="1012"/>
    </w:p>
    <w:p>
      <w:pPr>
        <w:pStyle w:val="BookText"/>
        <w:rPr/>
      </w:pPr>
      <w:r>
        <w:rPr>
          <w:rFonts w:ascii="Amiri" w:hAnsi="Amiri" w:eastAsia="Amiri" w:cs="Amiri"/>
          <w:color w:val="111111"/>
          <w:sz w:val="28"/>
          <w:sz w:val="28"/>
          <w:szCs w:val="28"/>
          <w:rtl w:val="true"/>
          <w:lang w:bidi="ar-SA"/>
        </w:rPr>
        <w:t>للملكي الإصفهاني</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مَنْ أُنزل عليه الكتاب نوراً لا تُطفأ مصابيحُه، وسراجاً لا يخبو توقّده، وبحراً لا يُدرك قعره، ومنهاجاً لا يضلّ نهجه، وشعاعاً لا يظلم ضوؤه، وفرقاناً لا يخمد برهانه</w:t>
      </w:r>
      <w:r>
        <w:rPr>
          <w:rStyle w:val="FootnoteAnchor"/>
          <w:rtl w:val="true"/>
        </w:rPr>
        <w:footnoteReference w:id="1050"/>
      </w:r>
      <w:r>
        <w:rPr>
          <w:rFonts w:ascii="Amiri" w:hAnsi="Amiri" w:eastAsia="Amiri" w:cs="Amiri"/>
          <w:color w:val="111111"/>
          <w:sz w:val="28"/>
          <w:sz w:val="28"/>
          <w:szCs w:val="28"/>
          <w:rtl w:val="true"/>
          <w:lang w:bidi="ar-SA"/>
        </w:rPr>
        <w:t>وعلى آله الذين هم ينابيع الحكمة، ومصابيح الدجى، وترجمان الوحي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اللّه سبحانه قد بعث رسوله بالمعجزة الكبرى الخالدة على مرّ الدهور والأجيال، إيذاناً بأنّ شريعته شريعة خالدة لا تُنسخ، وأنّ بقاءها رهن ببقاء تلك المعجزة ساطعة النور في كلّ القرون، ومرشدة للأُمم جمعاء إلى نهج الحق</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تلك الغاية القصوى قام علماء الإسلام منذ رحيل الرسول الأكرم صلى الله عليه و آله</w:t>
      </w:r>
    </w:p>
    <w:p>
      <w:pPr>
        <w:pStyle w:val="BookText"/>
        <w:rPr/>
      </w:pPr>
      <w:r>
        <w:rPr>
          <w:rFonts w:ascii="Amiri" w:hAnsi="Amiri" w:eastAsia="Amiri" w:cs="Amiri"/>
          <w:color w:val="111111"/>
          <w:sz w:val="28"/>
          <w:sz w:val="28"/>
          <w:szCs w:val="28"/>
          <w:rtl w:val="true"/>
          <w:lang w:bidi="ar-SA"/>
        </w:rPr>
        <w:t>بتأسيس العلوم التي تساعد على فهم القرآن الكريم، وتكشف الغطاء عن مضامينه ومفاهيمه، ولم يكتفوا بذلك بل ألّفوا تفاسير بأساليب وأنماط مختلفة حسب مقتضيات الزمان وحاجات العصر، فجاءت التفاسير تترى كلٌّ يكمّل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بذل جهده في عصرنا هذا، العالم الفاضل الحجة الشيخ محمود الملكي الإصفهاني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إفاضاته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شمّر عن ساعد الجد وقام بتفسير كتاب اللّه العزيز في صورة بين الإيجاز والإطناب تنسجم وحاجات الجيل الحاضر، وفسّر مفرداته وأوضح فقراته، وآخى بين الجمل والآيات بطريقة 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يقتصر على ما وصل إليه ذهنه الوقّاد، بل استعان بتفاسير الأعاظم وأعلام العصر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إذ نبارك له هذا الأثر القيّم والسفر المنيف، نرجو من اللّه سبحانه أن يوفقه لإكمال مشروعه، إنّه قريب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مؤسسة الإمام الصادق عليه السلام</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المكرّم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1013" w:name="pg16768_165702"/>
    </w:p>
    <w:p>
      <w:pPr>
        <w:pStyle w:val="Heading3"/>
        <w:numPr>
          <w:ilvl w:val="2"/>
          <w:numId w:val="1"/>
        </w:numPr>
        <w:rPr/>
      </w:pPr>
      <w:bookmarkStart w:id="1014" w:name="__RefHeading___Toc6864140_73709187"/>
      <w:bookmarkStart w:id="1015" w:name="_Toc377"/>
      <w:bookmarkEnd w:id="1013"/>
      <w:bookmarkEnd w:id="1014"/>
      <w:r>
        <w:rPr/>
        <w:t>4</w:t>
      </w:r>
      <w:r>
        <w:rPr>
          <w:rtl w:val="true"/>
        </w:rPr>
        <w:t xml:space="preserve"> </w:t>
      </w:r>
      <w:r>
        <w:rPr>
          <w:rtl w:val="true"/>
        </w:rPr>
        <w:t>رسالة مفتوحة إلى الشيخ محمد سالم الخضر</w:t>
      </w:r>
      <w:bookmarkEnd w:id="1015"/>
    </w:p>
    <w:p>
      <w:pPr>
        <w:pStyle w:val="Heading4"/>
        <w:numPr>
          <w:ilvl w:val="3"/>
          <w:numId w:val="1"/>
        </w:numPr>
        <w:rPr/>
      </w:pPr>
      <w:bookmarkStart w:id="1016" w:name="__RefHeading___Toc6864142_73709187"/>
      <w:bookmarkStart w:id="1017" w:name="_Toc378"/>
      <w:bookmarkEnd w:id="1016"/>
      <w:r>
        <w:rPr>
          <w:rtl w:val="true"/>
        </w:rPr>
        <w:t>اشارة</w:t>
      </w:r>
      <w:bookmarkEnd w:id="1017"/>
    </w:p>
    <w:p>
      <w:pPr>
        <w:pStyle w:val="BookText"/>
        <w:rPr/>
      </w:pPr>
      <w:r>
        <w:rPr>
          <w:rFonts w:ascii="Amiri" w:hAnsi="Amiri" w:eastAsia="Amiri" w:cs="Amiri"/>
          <w:color w:val="111111"/>
          <w:sz w:val="28"/>
          <w:sz w:val="28"/>
          <w:szCs w:val="28"/>
          <w:rtl w:val="true"/>
          <w:lang w:bidi="ar-SA"/>
        </w:rPr>
        <w:t>رئيس مركز البحوث والدراسات</w:t>
      </w:r>
    </w:p>
    <w:p>
      <w:pPr>
        <w:pStyle w:val="BookText"/>
        <w:rPr/>
      </w:pPr>
      <w:r>
        <w:rPr>
          <w:rFonts w:ascii="Amiri" w:hAnsi="Amiri" w:eastAsia="Amiri" w:cs="Amiri"/>
          <w:color w:val="111111"/>
          <w:sz w:val="28"/>
          <w:sz w:val="28"/>
          <w:szCs w:val="28"/>
          <w:rtl w:val="true"/>
          <w:lang w:bidi="ar-SA"/>
        </w:rPr>
        <w:t>في مبرّة الآل والأصحاب المحترم</w:t>
      </w:r>
    </w:p>
    <w:p>
      <w:pPr>
        <w:pStyle w:val="BookText"/>
        <w:rPr/>
      </w:pPr>
      <w:r>
        <w:rPr>
          <w:rFonts w:ascii="Amiri" w:hAnsi="Amiri" w:eastAsia="Amiri" w:cs="Amiri"/>
          <w:color w:val="111111"/>
          <w:sz w:val="28"/>
          <w:sz w:val="28"/>
          <w:szCs w:val="28"/>
          <w:rtl w:val="true"/>
          <w:lang w:bidi="ar-SA"/>
        </w:rPr>
        <w:t xml:space="preserve">قرأنا في جريدة الرأي الكويتية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10428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حواراً مع الشيخ محمد سالم الخضر حول 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مبرّة الآل والأصحاب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هدفنا تخليص الأُمّة من الصراع الطائفي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بعض فقرات هذا الحوار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الخضر جواباً عن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جاءت فكرة مبرة الآل والأصحاب‌؟ بزغت الفكرة نتيجة للوضع الطائفي القائم في الأُمّة الإسلامية والذي استغله أعداء الإسلام أسوأ استغلال، فأردنا أن نقوم بعمل شيء إيجابي حتى نخلّص المجتمعَ من الصراع الطائفي الذي وصل إلى الكويت، وصارت فكرة المبرّة مقبولة لدى المعتدلين من الطرفين حيث إنّها مسّت الجرح وتعاملت معه بحكمة، وأبرزت بعض الحقائق الغائبة عن المنتسبين للطرفين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 آل البيت فطري عند جميع المسلمين، وإنّ المبرة على وشك الانتهاء من كتاب يستوعب شخصية الإمام الحسين من ميلاده ونشأته، وقد</w:t>
      </w:r>
    </w:p>
    <w:p>
      <w:pPr>
        <w:pStyle w:val="BookText"/>
        <w:rPr/>
      </w:pPr>
      <w:r>
        <w:rPr>
          <w:rFonts w:ascii="Amiri" w:hAnsi="Amiri" w:eastAsia="Amiri" w:cs="Amiri"/>
          <w:color w:val="111111"/>
          <w:sz w:val="28"/>
          <w:sz w:val="28"/>
          <w:szCs w:val="28"/>
          <w:rtl w:val="true"/>
          <w:lang w:bidi="ar-SA"/>
        </w:rPr>
        <w:t xml:space="preserve">أسميناه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العين في سيرة الإمام الحسين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نعيش في فترة حرجة في حياة الأُمّة تفرض علينا أن نتعقّل في رؤيتنا لمأساة الحسين رضي اللّه عنه، وان نقف موقفاً واحداً ضد النداءات الطائفية المستفزة والتي من شأنها أن تخلق جوّاً من التشاحن البغيض بين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 منها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تستحق من خطباء المنابر و القادة السياسيين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وشيعة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موقفاً موحّداً لما فيها من الاستفزاز الطائفي والتحريض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فيزيد لم يكن سنياً كما أنّ الحسين لم يكن شيعياً، إذ لم يكن في ذلك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وشيعة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العقائدي أصلاً، وترديد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زماننا هذا، وقد مات قتلة الحسين رضي اللّه عنه منذ أكثر من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يعني أنّنا نكرّس في أبنائنا، الطائفية، والرغبة في الانتقام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وعلينا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 يتحمّل دم الحسين رضي اللّه عنه ويستحق أن يُنتقم منه‌؟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تطرق الشيخ الخضر إلى صيام عاشوراء وانّه ليس فكرة طائفية ولا حتى من خصوصيات طائفة دون أُخرى، فإنّ الذين ينتقدون هذه السنّة النبوية يتناسون أنّ المسألة اتفاقية بين أهل السنّة والجماعة وبين الشيعة الاثني عشرية بغضّ النظر عن اجتهادات وآراء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فقرات أربع التقطناها من الحوار الذي أُجري مع الشيخ محمد الخضر رئيس مركز البحوث والدراسات في المبرة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معها وقفات، نريد عطف نظر الرئيس المحترم إليها</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توحيد الكلمة والابتعاد عن التفرق والتشرذم أمر يستحسنه العقل، ويأمر به الشرع، فاللّه سبحانه مدح الوحدة وذم الفرقة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Style w:val="FootnoteAnchor"/>
          <w:rtl w:val="true"/>
        </w:rPr>
        <w:footnoteReference w:id="1051"/>
      </w:r>
      <w:r>
        <w:rPr>
          <w:rFonts w:ascii="Amiri" w:hAnsi="Amiri" w:eastAsia="Amiri" w:cs="Amiri"/>
          <w:color w:val="111111"/>
          <w:sz w:val="28"/>
          <w:sz w:val="28"/>
          <w:szCs w:val="28"/>
          <w:rtl w:val="true"/>
          <w:lang w:bidi="ar-SA"/>
        </w:rPr>
        <w:t>فكأنّ الأُمّة المتفرّقة كالمتردي في البئر، حيث لا تكتب له النجاة إلّابالتمسّك بالحبل الموصول إليه، وهكذا الأُمّة المتفرّقة، لا تنجو من عواقب الفرقة إلّابالتمسّك بحبل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إذا أمعنا النظر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الْقادِرُ عَلى أَنْ يَبْعَثَ عَلَيْكُمْ عَذاباً مِنْ فَوْقِكُمْ أَوْ مِنْ تَحْتِ أَرْجُلِكُمْ أَوْ يَلْبِسَكُمْ شِيَعاً وَ يُذِيقَ بَعْضَكُمْ بَأْسَ بَعْضٍ انْظُرْ كَيْفَ نُصَرِّفُ الْآياتِ لَعَلَّهُمْ يَفْقَهُونَ‌</w:t>
      </w:r>
      <w:r>
        <w:rPr>
          <w:rFonts w:eastAsia="Amiri" w:cs="Amiri" w:ascii="Amiri" w:hAnsi="Amiri"/>
          <w:color w:val="111111"/>
          <w:sz w:val="28"/>
          <w:szCs w:val="28"/>
          <w:rtl w:val="true"/>
          <w:lang w:bidi="ar-SA"/>
        </w:rPr>
        <w:t xml:space="preserve">) </w:t>
      </w:r>
      <w:r>
        <w:rPr>
          <w:rStyle w:val="FootnoteAnchor"/>
          <w:rtl w:val="true"/>
        </w:rPr>
        <w:footnoteReference w:id="1052"/>
      </w:r>
      <w:r>
        <w:rPr>
          <w:rFonts w:ascii="Amiri" w:hAnsi="Amiri" w:eastAsia="Amiri" w:cs="Amiri"/>
          <w:color w:val="111111"/>
          <w:sz w:val="28"/>
          <w:sz w:val="28"/>
          <w:szCs w:val="28"/>
          <w:rtl w:val="true"/>
          <w:lang w:bidi="ar-SA"/>
        </w:rPr>
        <w:t>، نرى أنّه سبحانه جعل تفرّق الأُمّة إلى شيع، في عداد العذاب النازل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بيان أفضل من هذا؟ كما نزّه سبحانه نبيّه الأكرم صلى الله عليه و آله من أن يكون في عداد المفرّقين للدين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فَرَّقُوا دِينَهُمْ وَ كانُوا شِيَعاً لَسْتَ مِنْهُمْ فِي شَيْ‌ءٍ إِنَّما أَمْرُهُمْ إِلَى اللّهِ ثُمَّ يُنَبِّئُهُمْ بِما كانُوا يَفْعَلُونَ‌</w:t>
      </w:r>
      <w:r>
        <w:rPr>
          <w:rFonts w:eastAsia="Amiri" w:cs="Amiri" w:ascii="Amiri" w:hAnsi="Amiri"/>
          <w:color w:val="111111"/>
          <w:sz w:val="28"/>
          <w:szCs w:val="28"/>
          <w:rtl w:val="true"/>
          <w:lang w:bidi="ar-SA"/>
        </w:rPr>
        <w:t>) .</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ويقول الإمام أمير المؤمنين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والزموا السواد الأعظم، فإنّ يد اللّه مع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وإيّاكم والفرقة، فإنّ الشاذّ من الناس للشيطان، كما أنّ الشاذّ من الغنم للذئب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دعا إلى هذا الشعار فاقتلوه ولو كان تحت عمامتي هذه</w:t>
      </w:r>
      <w:r>
        <w:rPr>
          <w:rFonts w:eastAsia="Amiri" w:cs="Amiri" w:ascii="Amiri" w:hAnsi="Amiri"/>
          <w:color w:val="111111"/>
          <w:sz w:val="28"/>
          <w:szCs w:val="28"/>
          <w:rtl w:val="true"/>
          <w:lang w:bidi="ar-SA"/>
        </w:rPr>
        <w:t>».</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وعلى هذا، فالتقريب بين المسلمين و تخليص الأُمّة من الصراع الطائفي، هو أُمنية كل مسلم واعٍ ينبض للإسلام ومصالح المسلمين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تحقيق هذه الأُمنية قام في النصف الثاني من القرن الرابع عشر، رجال مخلصون من الشيعة والسنّة بتأسيس دار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التقريب بين المذاهب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وإصدار مجلة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نجحوا في أهدافهم نجاحاً باهراً يقف عليه كلّ من قرأ شيئاً من منشوراتهم، وما قدّموا للأُمّة من أفكار وآراء وأعمال صادقة تنمُّ عن إخلاصهم وتفانيهم في سبيل التقريب</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ممّا لا نقاش فيه، ونحن نصافق أصحاب المبرة فيما يدعون إليه من</w:t>
      </w:r>
    </w:p>
    <w:p>
      <w:pPr>
        <w:pStyle w:val="BookText"/>
        <w:rPr/>
      </w:pPr>
      <w:r>
        <w:rPr>
          <w:rFonts w:ascii="Amiri" w:hAnsi="Amiri" w:eastAsia="Amiri" w:cs="Amiri"/>
          <w:color w:val="111111"/>
          <w:sz w:val="28"/>
          <w:sz w:val="28"/>
          <w:szCs w:val="28"/>
          <w:rtl w:val="true"/>
          <w:lang w:bidi="ar-SA"/>
        </w:rPr>
        <w:t>التقريب و الوحدة الإسلامية و تخليص الأُمّة من الصراع الطائفي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الفقرة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 أهل البيت أمر فطري وعطف عليه حب الصحابة وإنّه أيضاً فطري، ونحن لا نناقشه في جعل أهل البيت والصحابة في ميزان واحد، مع أنّه لا يقاس بآل محمد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في حقّهم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يقاس بآل محمد صلى الله عليه و آله من هذه الأُمّة أحد، ولا يسوّى بهم من جرت نعمتهم عليه أبداً، هم أساس الدين وعماد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يفيء الغالي، وبهم يلحق التالي، ولهم خصائص حق الولاية، وفيهم الوصية والوراثة</w:t>
      </w:r>
      <w:r>
        <w:rPr>
          <w:rFonts w:eastAsia="Amiri" w:cs="Amiri" w:ascii="Amiri" w:hAnsi="Amiri"/>
          <w:color w:val="111111"/>
          <w:sz w:val="28"/>
          <w:szCs w:val="28"/>
          <w:rtl w:val="true"/>
          <w:lang w:bidi="ar-SA"/>
        </w:rPr>
        <w:t>».</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كيف يقاس بهم غيرهم مع أنّه سبحانه فرض مودّتهم على المسلمين عامة، من غير فرق بين الصحابة وغيرهم،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05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يقاس بهم غيرهم وقد أشركهم النبي صلى الله عليه و آله في المباهلة دون غيرهم،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105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اتّفق أهل السير والحديث والتفسير على أنّه لم يحضر في أرض المباهلة غير النبي وسبطيه وبنته وصهره وأشركهم في المباهلة، وأمرهم بالتأمين بعد دعائه، وترك أزواجه وأقرباءه وعامّة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وكم لآل البيت من فضائل، ومناقب متواترة أو متضافرة أصفق على نقلها أئمة الحديث، وليس لغيرهم ما لهم، وهذا يبعثنا على أن نعطي لكلّ فئة حقّها، ونقيم لهم وزناً خاصّاً، ولا نبخس الناس أشياءهم</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نمر على هذه التسوية مرور الكرام، ولكن نناقشه في أمرين 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الكاتب يدّعي أنّ حب آل البيت أمر فطري، فلازم ذلك أن يُرى أثر الحب على مائدة المدّعين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كتبهم وخطبهم و آرائهم، والدفاع عن محبّيهم إلى غير ذلك من مظاهر الحب، ومن أظهر مظاهر الحب هو الطاعة 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المحب لمن أحب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شاع وذاع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هو الاتّباع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لا نجد في حياة المدّعين أي أثر من آثار الحب سوى هذه الكلمة وما أشبهها، وقد ملأوا كتبهم بآثار غيرهم، واستشهدوا برواياتهم وآرائهم وفتاواهم، ولم يذكروا عن آل البيت عليهم السلام في الفقه والتفسير والأدب والأخلاق والأُصول والفروع إلّاشيئاً يسيراً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أبو هريرة قد عاش مع النبي صلى الله عليه و آله وصحبه أقل من أربع سنين وقد رووا عنه أزيد من خمسة آلاف حديث، في حين عاش علي عليه السلام مع النبي صلى الله عليه و آله منذ بعثته إلى رحيله صلى الله عليه و آله ولكنّهم لم يرووا عنه إلّاعشرما رووا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ينسجم والتسوية بين الآل والأصحاب في الحب والاتّباع‌؟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لازم حب آل البيت عليهم السلام حبّ مَن يحبهم ويطيعهم، ويأخذ منهم حلالهم وحرامهم، وفي الوقت نفسه يأخذ عن غيرهم إذا صحّ الطريق، وهؤلاء هم المعروفون بالشيعة في أقطار العالم، ومنهجهم وديدنهم هو العمل بقول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وانّهما لا يفترقان حتى يردا علي الحوض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المجال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الأبطال المجاهدين في جنوب لبنان هم من الشيعة الإمامية، وقد وقفوا أمام أطماع الصهاينة في الأراضي الإسلامية حتى ردّوا السهام إلى نحورهم، فأعمالهم البطولية وتضحياتهم أمر مشكور يقدّره كل من له غيرة على إسلامه ودينه، ولكن ممّا يثير الدهشة، أنّه في الوقت الذي يقاتل فيه هؤلاء المجاهدون الأبطال في لبنان، القوات الصهيونية المعتدية، دفاعاً عن حياض الوطن وعن كرامة الأُمّة العربية والإسلامية، ويسطّرون أروع الملاحم</w:t>
      </w:r>
    </w:p>
    <w:p>
      <w:pPr>
        <w:pStyle w:val="BookText"/>
        <w:rPr/>
      </w:pPr>
      <w:r>
        <w:rPr>
          <w:rFonts w:ascii="Amiri" w:hAnsi="Amiri" w:eastAsia="Amiri" w:cs="Amiri"/>
          <w:color w:val="111111"/>
          <w:sz w:val="28"/>
          <w:sz w:val="28"/>
          <w:szCs w:val="28"/>
          <w:rtl w:val="true"/>
          <w:lang w:bidi="ar-SA"/>
        </w:rPr>
        <w:t xml:space="preserve">في الثبات والتضحية والفداء، كانت الأصوات المبحوحة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ودعاة وخطباء تلك الفئة المتطرّفة، تدعو الناس إلى عدم تقديم أي شكل من أشكال المساعدة لهم، بل راحوا يفتون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مأجورين من حكّامهم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بتحريم رفع يدي الضراعة إلى اللّه عزّ وجلّ‌، والدعاء لأبطال الجهاد والمقاومة بالنصر وتثبيت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أنّ امرءاً حرّاً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 كان أو غير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أسفاً من هذه المواقف المخزية، ما كان به ملوماً، بل كان جديراً به عند ذوي الضمائر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فأيّة قلوب مختومة تضمّ صدور هؤلاء، حيث لا يفقهون مصالح المسلمين، بل مصلحة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وأية غشاوة على أعينهم، إذ لا يبصرون من يدافع بحقٍّ عن كيان الأُمّة ومقدّراتها ومقدّساتها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وقر في آذانهم، يصمّهم عن سماع صراخ اليتامى والثكالى، وأنين الجرحى والمعذّبين والمشرّدين من أبناء دينهم وأُمّتهم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وأية أنفس شحيحة ينطوون عليها، حين تدفعهم إلى البخل عليهم بالدعاء، بل يأمرون الناس فيه بالبخل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يتلُون الكتاب المجيد، وتلهج ألسنتهم بآياته، وهم يخذلون، ويحضّون على خذلان من يصدّ عدوان أشدّ الناس عداوة للذين آمنوا، وينعتونهم بكل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قَدَّمَتْ لَهُمْ أَنْفُسُهُمْ أَنْ سَخِطَ اللّهُ عَلَيْهِمْ وَ فِي الْعَذابِ هُمْ خالِدُونَ‌</w:t>
      </w:r>
      <w:r>
        <w:rPr>
          <w:rFonts w:eastAsia="Amiri" w:cs="Amiri" w:ascii="Amiri" w:hAnsi="Amiri"/>
          <w:color w:val="111111"/>
          <w:sz w:val="28"/>
          <w:szCs w:val="28"/>
          <w:rtl w:val="true"/>
          <w:lang w:bidi="ar-SA"/>
        </w:rPr>
        <w:t>) .</w:t>
      </w:r>
      <w:r>
        <w:rPr>
          <w:rStyle w:val="FootnoteAnchor"/>
          <w:rtl w:val="true"/>
        </w:rPr>
        <w:footnoteReference w:id="1058"/>
      </w:r>
      <w:r>
        <w:rPr>
          <w:rFonts w:ascii="Amiri" w:hAnsi="Amiri" w:eastAsia="Amiri" w:cs="Amiri"/>
          <w:color w:val="111111"/>
          <w:sz w:val="28"/>
          <w:sz w:val="28"/>
          <w:szCs w:val="28"/>
          <w:rtl w:val="true"/>
          <w:lang w:bidi="ar-SA"/>
        </w:rPr>
        <w:t>ومع ذلك يدّعون حبّ آل البيت وتخليص الأُمّة من الصراع الطائفي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تطرّق الشيخ محمد الخضر في كلامه إلى الشعار الذي ترفعه الشيعة وخطباء المنابر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عن معنى هذا الشعار ومَن الذي يُنتقَم منه‌؟</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التساؤل عن معنى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الغاية المقصودة منه، وقد بات قتلَة الحسين في مزبلة التاريخ، والإيحاء بأنّ‌</w:t>
      </w:r>
    </w:p>
    <w:p>
      <w:pPr>
        <w:pStyle w:val="BookText"/>
        <w:rPr/>
      </w:pPr>
      <w:r>
        <w:rPr>
          <w:rFonts w:ascii="Amiri" w:hAnsi="Amiri" w:eastAsia="Amiri" w:cs="Amiri"/>
          <w:color w:val="111111"/>
          <w:sz w:val="28"/>
          <w:sz w:val="28"/>
          <w:szCs w:val="28"/>
          <w:rtl w:val="true"/>
          <w:lang w:bidi="ar-SA"/>
        </w:rPr>
        <w:t>المناداة به دعوة للانتقام من أتباع سائر المذاهب الإسلامية، ما هو إلّاتساؤل مريب، ومحاولة بائسة للطعن على حملة هذا الشعار، وتشويه سمعتهم، وتمزيق وحدة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فالحسين عليه السلام يمثّل أحد طرفي الصراع المشتعل أُواره بين الحق والباطل، والعدل والجور، والاستقامة والانحراف، والصلاح والفساد، والحرية والاستبداد، ومن هنا بقيت قضيته حيّة خالدة، ولم تمت باستشهاده ولن تموت، ولم تنته بموت قاتليه ولن تنتهي، فكلّ سعي، وكلّ تحرّك، وكلّ موقف ينتصر للحق والعدل والاستقامة والحرية والمبادئ السامية، ويخذل الباطل والظلم والانحراف والاستبداد والانتهازية، فهو انتقامٌ لأبي الأحرار الإمام الحسين عليه السلام، وأخذٌ بثأره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والتاريخ، لم يسجّل في صفحة واحدة من صفحاته الكثيرة، استغلال الشيعة لهذا الشعار استغلالاً سيئاً، باستباحة دم أيّ مسلم من أيّ مذهب كان، على الرغم ممّا تعرّضوا له من ظلم واضطهاد وقتل وسجن وتشريد على أيدي الحكام الجائرين وأشياعهم، وعلى الرغم من امتلاء تاريخهم القديم والحديث بالثورات والانتفاضات والمواقف الجريئة ضد الطغاة المفسدين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وتزداد الصورة نصاعة أكثر، إذا انضمّ إلى ما تقدّم، وقوفهم إلى صفّ أتباع سائر المذاهب الإسلامية في الدفاع عن الإسلام، والمصالح العليا للمسلمين، بل لهم فضل السبق على غيرهم في مواجهة الأعداء والغزاة المستعمرين، كما حصل مثلاً في حركة الجهاد ضد الاحتلال البريطاني الغاشم لمدينة البصرة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ودفاعهم عن الخلافة العثمانية على الرغم مما مارسه العثمانيون ضدهم من قمع وظلم وإقصاء وتهميش، وكما حصل أيضاً في ثورة العشرين العارمة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القوات البريطانية المحتلة للعراق</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الشيخ الخضر كلامه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نفخر أن لدينا مشروعاً عملياً للوحدة الإسلامية منطلقاً من صيام عاشوراء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من إحياء تلك السنة</w:t>
      </w:r>
    </w:p>
    <w:p>
      <w:pPr>
        <w:pStyle w:val="BookText"/>
        <w:rPr/>
      </w:pPr>
      <w:r>
        <w:rPr>
          <w:rFonts w:ascii="Amiri" w:hAnsi="Amiri" w:eastAsia="Amiri" w:cs="Amiri"/>
          <w:color w:val="111111"/>
          <w:sz w:val="28"/>
          <w:sz w:val="28"/>
          <w:szCs w:val="28"/>
          <w:rtl w:val="true"/>
          <w:lang w:bidi="ar-SA"/>
        </w:rPr>
        <w:t>النبويّة فإنّ المسألة اتفاقية بين أهل السنة وبين الشيعة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واستند إلى قول المرجع الديني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الغاية، تخليص الأُمّة من الصراع الطائفي وتجسيد الوحدة الإسلامية من خلال صيام عاشوراء، فنعمت الغاية وبئست الوسيلة، وذلك للأُمور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تسمية صيام ذلك اليوم بالسنّة النبوية يعرب عن الخلط بين السنّة، والنفل، لأنّ المطلوب بلا منع من الترك إن كان ممّا واظب عليه النبي أو الخلفاء الراشدون من بعده فسنّة، وإلّا فمندوب ونفل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روى البخاري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يوم عاشوراء تصومه قريش في الجاهلية وكان رسول اللّه صلى الله عليه و آله يصومه، فلمّا قدم المدينة صامه وأمر بصيامه، فلما فرض رمضان ترك يوم عاشوراء فمن شاء صامه ومن شاء تركه</w:t>
      </w:r>
      <w:r>
        <w:rPr>
          <w:rFonts w:eastAsia="Amiri" w:cs="Amiri" w:ascii="Amiri" w:hAnsi="Amiri"/>
          <w:color w:val="111111"/>
          <w:sz w:val="28"/>
          <w:szCs w:val="28"/>
          <w:rtl w:val="true"/>
          <w:lang w:bidi="ar-SA"/>
        </w:rPr>
        <w:t>.</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وتدل الرواية بوضوح على أنّ الرسول صلى الله عليه و آله والصحابة الكرام تركوا صيامه بعد فرض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كيف يصفه الشيخ بالسنّة، ويريد إحياءها وقد تركه صاحب الشريعة وخلفاؤه‌؟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يدلّ على أنّ صيام عاشوراء كان سنّة جاهلية وقد كان النبي صلى الله عليه و آله يصومه قبل قدومه للمدينة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صحيح البخاري أنّ معاوية بن أبي سفيان بعد ما اغتصب الخلافة، صار بصدد إحياء تلك السنّة الجاهلية، حيث روى عن محمد بن عبد الرحمن أنّه سمع معاوية بن أبي سفيان يوم عاشوراء عام حجّ‌، على المنبر يقول</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أهل المدينة أين علماؤكم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عاشوراء ولم يكتب عليكم صيامه، وأنا صائم فمن شاء فليصم ومن شاء فليفطر</w:t>
      </w:r>
      <w:r>
        <w:rPr>
          <w:rFonts w:eastAsia="Amiri" w:cs="Amiri" w:ascii="Amiri" w:hAnsi="Amiri"/>
          <w:color w:val="111111"/>
          <w:sz w:val="28"/>
          <w:szCs w:val="28"/>
          <w:rtl w:val="true"/>
          <w:lang w:bidi="ar-SA"/>
        </w:rPr>
        <w:t>.</w:t>
      </w:r>
      <w:r>
        <w:rPr>
          <w:rStyle w:val="FootnoteAnchor"/>
          <w:rtl w:val="true"/>
        </w:rPr>
        <w:footnoteReference w:id="1060"/>
      </w:r>
      <w:bookmarkStart w:id="1018" w:name="pg16768_165710"/>
    </w:p>
    <w:p>
      <w:pPr>
        <w:pStyle w:val="Heading4"/>
        <w:numPr>
          <w:ilvl w:val="3"/>
          <w:numId w:val="1"/>
        </w:numPr>
        <w:rPr/>
      </w:pPr>
      <w:bookmarkStart w:id="1019" w:name="__RefHeading___Toc6864144_73709187"/>
      <w:bookmarkStart w:id="1020" w:name="_Toc379"/>
      <w:bookmarkEnd w:id="1018"/>
      <w:bookmarkEnd w:id="1019"/>
      <w:r>
        <w:rPr>
          <w:rtl w:val="true"/>
        </w:rPr>
        <w:t>ما هو المراد بعاشوراء في الحديث النبوي صلى الله عليه و آله‌؟</w:t>
      </w:r>
      <w:bookmarkEnd w:id="1020"/>
    </w:p>
    <w:p>
      <w:pPr>
        <w:pStyle w:val="Heading5"/>
        <w:numPr>
          <w:ilvl w:val="4"/>
          <w:numId w:val="1"/>
        </w:numPr>
        <w:rPr/>
      </w:pPr>
      <w:bookmarkStart w:id="1021" w:name="__RefHeading___Toc6864146_73709187"/>
      <w:bookmarkStart w:id="1022" w:name="_Toc380"/>
      <w:bookmarkEnd w:id="1021"/>
      <w:r>
        <w:rPr>
          <w:rtl w:val="true"/>
        </w:rPr>
        <w:t>اشارة</w:t>
      </w:r>
      <w:bookmarkEnd w:id="1022"/>
    </w:p>
    <w:p>
      <w:pPr>
        <w:pStyle w:val="BookText"/>
        <w:rPr/>
      </w:pPr>
      <w:r>
        <w:rPr>
          <w:rFonts w:ascii="Amiri" w:hAnsi="Amiri" w:eastAsia="Amiri" w:cs="Amiri"/>
          <w:color w:val="111111"/>
          <w:sz w:val="28"/>
          <w:sz w:val="28"/>
          <w:szCs w:val="28"/>
          <w:rtl w:val="true"/>
          <w:lang w:bidi="ar-SA"/>
        </w:rPr>
        <w:t>روى البخاري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النبي المدينة فرأى اليهود تصوم يوم عاشوراء،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نجّى اللّه بني إسرائيل من عدوّهم فصامه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أحقّ بموسى منكم فصامه وأمر بصيامه</w:t>
      </w:r>
      <w:r>
        <w:rPr>
          <w:rFonts w:eastAsia="Amiri" w:cs="Amiri" w:ascii="Amiri" w:hAnsi="Amiri"/>
          <w:color w:val="111111"/>
          <w:sz w:val="28"/>
          <w:szCs w:val="28"/>
          <w:rtl w:val="true"/>
          <w:lang w:bidi="ar-SA"/>
        </w:rPr>
        <w:t>.</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والحديث يدلّ على أنّ صيام يوم عاشوراء من سنن اليهود على خلاف ما دلّ عليه الحديث السابق من أنّها سنة جاهلية عربية، ويمكن الجمع بأنّ العرب في الجاهلية اتخذتها عن اليهود فصارت سنة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سواء أكانت سنة جاهلية أم سنة يهودية، فيوم عاشوراء الذي كانت اليهود يصومون فيه وصام فيه النبي صلى الله عليه و آله بحجّة أنّه أحق بموسى منهم، غير اليوم العاشر من محرّم الحرام الذي يُتصوّر أنّ صيامه سنّة من سنن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الحديث يحكي بوضوح أنّ النبي صلى الله عليه و آله أوان قدومه للمدينة، وجد اليهود يصومون فيه، ومن المعلوم أنّ هجرة النبي صلى الله عليه و آله كانت في النصف الأوّل من ربيع الأوّل، فاليوم الذي صام فيه النبي صلى الله عليه و آله، وأمر بصومه كان في النصف الأوّل من شهر ربيع الأوّل ولا صلة له بعاشر محرم الحرام، فمن يريد أن يعمل بالحديث فليصم اليوم العاشر الذي يصوم فيه اليهود، لا عاشر محرّم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تنبّه بعض الفلكيين من المسلمين لذلك الخطأ الرائج على ألسنة العوام، أعني الفلكي الطائر الصيت أبو ريحان محمد البيروني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انّ عاشوراء هو عبراني معرّب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العاشر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الذي صومه 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اعتُبر في شهور العرب، فجُعل في اليوم العاشر من أوّل شهورهم كما هو في اليوم العاشر من أوّل شهور اليهود</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نقل الرواية من أنّ النبي صلى الله عليه و آله لما قدم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غير صحيحة لأنّ الامتحان يشهد عليها وذلك لأنّ أوّل المحرم كان سنة الهجرة يوم</w:t>
      </w:r>
    </w:p>
    <w:p>
      <w:pPr>
        <w:pStyle w:val="BookText"/>
        <w:rPr/>
      </w:pPr>
      <w:r>
        <w:rPr>
          <w:rFonts w:ascii="Amiri" w:hAnsi="Amiri" w:eastAsia="Amiri" w:cs="Amiri"/>
          <w:color w:val="111111"/>
          <w:sz w:val="28"/>
          <w:sz w:val="28"/>
          <w:szCs w:val="28"/>
          <w:rtl w:val="true"/>
          <w:lang w:bidi="ar-SA"/>
        </w:rPr>
        <w:t>الجمعة، السادس عشر من شهر تمّوز سنة ثلاث وثلاثين وتستعمائة للاسكندر، فإذا حسبنا أوّل سنة اليهود في تلك السنة كان يوم الأحد، الثاني عشر من أيلول ويوافقه اليوم التاسع والعشرون من صفر، ويكون صوم العاشور يوم الثلاثاء التاسع من شهر ربيع الأوّل، وقد كانت هجرة النبي صلى الله عليه و آله في النصف الأوّل من ربيع الأوّل،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على ما ذكرنا قدوم النبي المدينة قبل العاشور بيوم واحد وليس يتفق وقوعه في المحرّم إلّاقبل تلك السنة ببضع سنين أو بعدها بنيّف وعشرين سنة، فكيف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صام عاشوراء لاتفاقه مع العاشور في تلك السنّة‌؟</w:t>
      </w:r>
      <w:r>
        <w:rPr>
          <w:rFonts w:eastAsia="Amiri" w:cs="Amiri" w:ascii="Amiri" w:hAnsi="Amiri"/>
          <w:color w:val="111111"/>
          <w:sz w:val="28"/>
          <w:szCs w:val="28"/>
          <w:rtl w:val="true"/>
          <w:lang w:bidi="ar-SA"/>
        </w:rPr>
        <w:t>!</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وبعبارة أكثر وضوحاً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السنة العبرية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تبدأ في الخريف، بدلاً من منتصف فصل الشتاء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التقويم الميلادي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السنة العبرية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تعتمد على القمر، وتتكون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تشْرى، مرحشوان، كسلو، طبت، شباط، أدار، نيسان، أيار، سيوان، تموز، آب، أيلول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وتتكون الأشهر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بالتبادل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ويضاف في 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شهر قوامه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سبع مرات بين شهري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أدار ونيسان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ويطلق على هذا الشهر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الوقت ذاته يصبح أدار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وعلى ضوء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 أنّه نُدب إلى صيام يوم عاشوراء، وأنّ ثمّة من يريد صوم ذلك اليوم، فليصم في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يقع دائماً في فصل الخريف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التقويم العبري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أن يصوم في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يتحرك عبر الفصول، وفقاً للتقويم الهجري</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يثير العجب ما نقله ابن حجر عن بعض من حاول تصحيح الحديث</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أولئك اليهود كانوا يحسبون يوم عاشوراء بحسب السنين الشمسية فصادف يوم عاشوراء بحسبهم اليوم الذي قدم فيه المدينة</w:t>
      </w:r>
      <w:r>
        <w:rPr>
          <w:rFonts w:eastAsia="Amiri" w:cs="Amiri" w:ascii="Amiri" w:hAnsi="Amiri"/>
          <w:color w:val="111111"/>
          <w:sz w:val="28"/>
          <w:szCs w:val="28"/>
          <w:rtl w:val="true"/>
          <w:lang w:bidi="ar-SA"/>
        </w:rPr>
        <w:t>.</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ولا أظن أنّه يخفى على القارئ وجود التناقض في كلام القائل، إذ كيف يمكن أن يصادف قدوم النبي صلى الله عليه و آله يوم عاشوراء بحسبهم‌؟ ولذلك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سياق الأحاديث تدفع هذا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نلفت نظر الأساتذة الذين يصرون على الاحتفال بيوم عاشوراء أنّ أوّل من احتفل بهذا اليوم الحجاج بن يوسف الثقفي في أيام عبد الملك بن مروان، يقول المقريزي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ملوك بني أيوب الذين أزالوا الفاطميين عن منصة الخلافة كانوا يتخذون يوم عاشوراء يوم سرور، يوسعون فيه على عيالهم ويتبسطون في المطاعم ويصنعون الحلاوات ويتخذون الأواني الجديدة ويكتحلون ويدخلون انلحمام جرياً على عادة أهل الشام التي سنّها لهم الحجاج في أيام عبد الملك بن مروان ليرغموا بذلك آناف شيعة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يتخذون يوم عاشوراء يوم عزاء وحزن فيه على الحسين بن عليّ لأنّه قتل فيه</w:t>
      </w:r>
      <w:r>
        <w:rPr>
          <w:rFonts w:eastAsia="Amiri" w:cs="Amiri" w:ascii="Amiri" w:hAnsi="Amiri"/>
          <w:color w:val="111111"/>
          <w:sz w:val="28"/>
          <w:szCs w:val="28"/>
          <w:rtl w:val="true"/>
          <w:lang w:bidi="ar-SA"/>
        </w:rPr>
        <w:t>.</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وقد لعب الوضاعون الكذّابون دوراً عظيماً في الدعوة إلى إظهار الفرح والسرور في عاشر محرم، واتخاذه عيداً وإظهار الزينة كالخضاب والاكتحال إلى حد، قام غير واحد من المحققين بتكذيب هذه المراسم</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أصيب به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عاشوراء إنّما هو الشهادة الدالة على حظوته ورفعته ودرجته عند اللّه، وإلحاقه بدرجات أهل بيته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بدع الناصبة المتعصبين على أهل البيت من اظهار غاية الفرح والسرور، واتخاذه عيداً وإظهار الزينة فيه، كالخضاب</w:t>
      </w:r>
    </w:p>
    <w:p>
      <w:pPr>
        <w:pStyle w:val="BookText"/>
        <w:rPr/>
      </w:pPr>
      <w:r>
        <w:rPr>
          <w:rFonts w:ascii="Amiri" w:hAnsi="Amiri" w:eastAsia="Amiri" w:cs="Amiri"/>
          <w:color w:val="111111"/>
          <w:sz w:val="28"/>
          <w:sz w:val="28"/>
          <w:szCs w:val="28"/>
          <w:rtl w:val="true"/>
          <w:lang w:bidi="ar-SA"/>
        </w:rPr>
        <w:t xml:space="preserve">والاكتحال ولبس جديد الثياب، وتوسيع النفقات، وطبخ الأطعمة والحبوب الخارجة عن العادات واعتقادهم انّ ذلك من السنة والمعتاد، والسنة ترك ذلك كله فانّه لم يرد في ذلك شيء يعتمد عليه ولا أثر صحيح يرجع إليه، وقد سئل بعض أئمة الحديث عن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لم يرد فيه حديث عنه صلى الله عليه و آله ولا أحد من أصحابه، ولا استحبه أحد من أئمة المسلمين لا من الأربعة ولا من غيرهم، ولم يرد في الكتب المعتمدة في ذلك صحيح أو ضعيف</w:t>
      </w:r>
      <w:r>
        <w:rPr>
          <w:rFonts w:eastAsia="Amiri" w:cs="Amiri" w:ascii="Amiri" w:hAnsi="Amiri"/>
          <w:color w:val="111111"/>
          <w:sz w:val="28"/>
          <w:szCs w:val="28"/>
          <w:rtl w:val="true"/>
          <w:lang w:bidi="ar-SA"/>
        </w:rPr>
        <w:t>....</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فدع عنك نهباً صيح في حَجَراته ولكن حديثاً ما حديث الرواحلِ‌</w:t>
      </w:r>
    </w:p>
    <w:p>
      <w:pPr>
        <w:pStyle w:val="BookText"/>
        <w:rPr/>
      </w:pPr>
      <w:r>
        <w:rPr>
          <w:rFonts w:ascii="Amiri" w:hAnsi="Amiri" w:eastAsia="Amiri" w:cs="Amiri"/>
          <w:color w:val="111111"/>
          <w:sz w:val="28"/>
          <w:sz w:val="28"/>
          <w:szCs w:val="28"/>
          <w:rtl w:val="true"/>
          <w:lang w:bidi="ar-SA"/>
        </w:rPr>
        <w:t>ثمّ إنّ بعض من يريد احياء هذه السنة المتروكة بنص الحديث المتقدم يحاول أن يدعمه بفتوى فقهاء الشيعة والمسكين جاهل بفقههم وانّ استحباب صومه ليس أمراً متفقاً عليه وإليك دراسة كلامه في هذا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القول بأنّ صيام يوم عاشوراء أمر اتّفق على جوازه، السنّة والشيعة، أمر لا يوافق الواقع، فإنّ لفقهاء الإمامية فيه آراء سبعة إليك إجمالها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صومه إذا كان بنية التبرّك بمصرع الحسين وآل بيت النبي عليهم السلام، سواء أثبت صيام عاشوراء عن النبي أم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الإمساك في هذا اليوم عن الأكل والشرب وبقية المفطرات إلى ما بعد صلاة العصر تأسيّاً بعطش الحسين وأهل بيته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صومه كملاً لكن على وجه الحزن فقط، ومعنى ذلك استحبابه بهذا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صومه من دون نيّة الحزن، ولعلّه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صومه من حيث هو</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صومه مطلقاً بأي نيّة كانت، حزناً أم تبركاً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باجتناب صومه مطلقاً بأي نيّة كانت</w:t>
      </w:r>
      <w:r>
        <w:rPr>
          <w:rFonts w:eastAsia="Amiri" w:cs="Amiri" w:ascii="Amiri" w:hAnsi="Amiri"/>
          <w:color w:val="111111"/>
          <w:sz w:val="28"/>
          <w:szCs w:val="28"/>
          <w:rtl w:val="true"/>
          <w:lang w:bidi="ar-SA"/>
        </w:rPr>
        <w:t>.</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ومع ذلك فكيف يصف الشيخ صيام عاشوراء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أصفق عليه الفريقان‌؟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قال السيد الخوئي بكونه مندوباً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مندوباً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بالذات، و حراماً بالعرض، وقد اختزل المتحدّث كلامه فاكتفى بصدره وترك ذيله، وإليك ما قاله في ذيل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حرمة صوم هذا اليوم بعنوان التيمّن والتبرّك والفرح والسرور كما يفعله أجلاف آل زياد والطغاة من بني أُميّة من غير حاجة إلى ورود نص أبداً، بل هو من أعظم المحرّمات، فإنّه ينبئ عن خبث فاعله وخلل في مذهبه ودينه، وهو الّذي أُشير إليه في بعض النصوص المتقدّمة من أنّ أجره مع ابن مرجانة الّذي ليس هو إلّاالنار، ويكون من الأشياع والأتباع الذين هم مورد اللعن في زيارة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لا سترة عليه، بل هو خارج عن محلّ الكلام كما لا يخفى</w:t>
      </w:r>
      <w:r>
        <w:rPr>
          <w:rFonts w:eastAsia="Amiri" w:cs="Amiri" w:ascii="Amiri" w:hAnsi="Amiri"/>
          <w:color w:val="111111"/>
          <w:sz w:val="28"/>
          <w:szCs w:val="28"/>
          <w:rtl w:val="true"/>
          <w:lang w:bidi="ar-SA"/>
        </w:rPr>
        <w:t>.</w:t>
      </w:r>
      <w:r>
        <w:rPr>
          <w:rStyle w:val="FootnoteAnchor"/>
          <w:rtl w:val="true"/>
        </w:rPr>
        <w:footnoteReference w:id="10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سلّمنا، كون صيامه سنّة يليق أن تُحيا فلماذا تُحيا بالابتهاج والسرور، أيجوز في منطق العقل، والعاطفة، الابتهاج بيوم سُفك فيه دم إمامهم سبط رسول اللّه وريحانته، ودماء الأبرار الأتقياء من أهل بيته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هذا دليلاً على أنّ وراء الكواليس شيئاً، وأنّ النيّات ليست بصادقة ولا خالصة، وأنّ المبرة مصيّدة للشيعة أو صد عن انتشار التشيّع الّذي بدأ ينتشر منذ أعوام لقوة منطقه، ووضوح مسالكه</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يجدر بمن تهمّه وحدة خطا المسلمين، ويدعو إلى جمع كلمتهم وإصلاح</w:t>
      </w:r>
      <w:bookmarkStart w:id="1023" w:name="pg16768_165715"/>
    </w:p>
    <w:p>
      <w:pPr>
        <w:pStyle w:val="BookText"/>
        <w:rPr/>
      </w:pPr>
      <w:bookmarkEnd w:id="1023"/>
      <w:r>
        <w:rPr>
          <w:rFonts w:ascii="Amiri" w:hAnsi="Amiri" w:eastAsia="Amiri" w:cs="Amiri"/>
          <w:color w:val="111111"/>
          <w:sz w:val="28"/>
          <w:sz w:val="28"/>
          <w:szCs w:val="28"/>
          <w:rtl w:val="true"/>
          <w:lang w:bidi="ar-SA"/>
        </w:rPr>
        <w:t xml:space="preserve">واقعهم المأساوي، يجدر به أن يعمل على تجنّب إثارة مسائل الخلاف، والتأكيد على المشتركات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لتعزيز روح الثقة، التي هي مفتاح التآخي والتعاون والتآلف بينهم، وأن تكون نياته صادقة في هذا الاتجاه، لا أن يرفع يافطة الوحدة، ليختفي وراءها، ويُخفي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أغراضه السقيمة، فيصبح مصداقاً للمثل السائر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ليسرق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فدعوا هذا الحرص المصطنع على الوحدة والتقارب بين المذاهب الإسلامية، فإنّ إصراركم على استفزاز الآخرين في عقائدهم ومشاعرهم، يكشف عن نياتكم الحقيقية، ويفضح دموع التماسيح التي تذرفونها أسىً كاذباً على مصالح المسلمين، الذين لم يَعُد ينطلي عليهم هذا التمويه والخداع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نفترض أنّ صيام يوم عاشوراء سنّة نبوية، ولكن من أُصول بعض أهل السنّة وعلى رأسهم ابن تيمية، ترجيح ترك السنّة إذا كان شعاراً للمخالف، وله نظائر</w:t>
      </w:r>
      <w:r>
        <w:rPr>
          <w:rFonts w:eastAsia="Amiri" w:cs="Amiri" w:ascii="Amiri" w:hAnsi="Amiri"/>
          <w:color w:val="111111"/>
          <w:sz w:val="28"/>
          <w:szCs w:val="28"/>
          <w:rtl w:val="true"/>
          <w:lang w:bidi="ar-SA"/>
        </w:rPr>
        <w:t>:</w:t>
      </w:r>
    </w:p>
    <w:p>
      <w:pPr>
        <w:pStyle w:val="Heading5"/>
        <w:numPr>
          <w:ilvl w:val="4"/>
          <w:numId w:val="1"/>
        </w:numPr>
        <w:rPr/>
      </w:pPr>
      <w:bookmarkStart w:id="1024" w:name="__RefHeading___Toc6864148_73709187"/>
      <w:bookmarkStart w:id="1025" w:name="_Toc381"/>
      <w:bookmarkEnd w:id="1024"/>
      <w:r>
        <w:rPr/>
        <w:t>1</w:t>
      </w:r>
      <w:r>
        <w:rPr>
          <w:rtl w:val="true"/>
        </w:rPr>
        <w:t xml:space="preserve">. </w:t>
      </w:r>
      <w:r>
        <w:rPr>
          <w:rtl w:val="true"/>
        </w:rPr>
        <w:t>تسطيح القبر</w:t>
      </w:r>
      <w:bookmarkEnd w:id="1025"/>
    </w:p>
    <w:p>
      <w:pPr>
        <w:pStyle w:val="BookText"/>
        <w:rPr/>
      </w:pPr>
      <w:r>
        <w:rPr>
          <w:rFonts w:ascii="Amiri" w:hAnsi="Amiri" w:eastAsia="Amiri" w:cs="Amiri"/>
          <w:color w:val="111111"/>
          <w:sz w:val="28"/>
          <w:sz w:val="28"/>
          <w:szCs w:val="28"/>
          <w:rtl w:val="true"/>
          <w:lang w:bidi="ar-SA"/>
        </w:rPr>
        <w:t>قال الشيخ محمد بن عبد الرحمن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في القبر التسطيح، وهو أولى على الراجح من مذهب الشافعي</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الرافعي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سطّح قبره ابنه، وعن القاسم بن محمد قال رأيت قبر النبي و أبي بكر وعمر مسطّح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الأفضل الآن العدول من التسطيح إلى التسنيم، لأنّ التسطيح صار شعاراً للروافض، فالأولى مخالفتهم وصيانة الميت وأهله عن الاتهام بالبدعة</w:t>
      </w:r>
      <w:r>
        <w:rPr>
          <w:rFonts w:eastAsia="Amiri" w:cs="Amiri" w:ascii="Amiri" w:hAnsi="Amiri"/>
          <w:color w:val="111111"/>
          <w:sz w:val="28"/>
          <w:szCs w:val="28"/>
          <w:rtl w:val="true"/>
          <w:lang w:bidi="ar-SA"/>
        </w:rPr>
        <w:t>.</w:t>
      </w:r>
      <w:r>
        <w:rPr>
          <w:rStyle w:val="FootnoteAnchor"/>
          <w:rtl w:val="true"/>
        </w:rPr>
        <w:footnoteReference w:id="1070"/>
      </w:r>
      <w:bookmarkStart w:id="1026" w:name="pg16768_165716"/>
    </w:p>
    <w:p>
      <w:pPr>
        <w:pStyle w:val="Heading5"/>
        <w:numPr>
          <w:ilvl w:val="4"/>
          <w:numId w:val="1"/>
        </w:numPr>
        <w:rPr/>
      </w:pPr>
      <w:bookmarkStart w:id="1027" w:name="__RefHeading___Toc6864150_73709187"/>
      <w:bookmarkStart w:id="1028" w:name="_Toc382"/>
      <w:bookmarkEnd w:id="1026"/>
      <w:bookmarkEnd w:id="1027"/>
      <w:r>
        <w:rPr/>
        <w:t>2</w:t>
      </w:r>
      <w:r>
        <w:rPr>
          <w:rtl w:val="true"/>
        </w:rPr>
        <w:t xml:space="preserve">. </w:t>
      </w:r>
      <w:r>
        <w:rPr>
          <w:rtl w:val="true"/>
        </w:rPr>
        <w:t>الجهر بالبسملة</w:t>
      </w:r>
      <w:bookmarkEnd w:id="1028"/>
    </w:p>
    <w:p>
      <w:pPr>
        <w:pStyle w:val="BookText"/>
        <w:rPr/>
      </w:pPr>
      <w:r>
        <w:rPr>
          <w:rFonts w:ascii="Amiri" w:hAnsi="Amiri" w:eastAsia="Amiri" w:cs="Amiri"/>
          <w:color w:val="111111"/>
          <w:sz w:val="28"/>
          <w:sz w:val="28"/>
          <w:szCs w:val="28"/>
          <w:rtl w:val="true"/>
          <w:lang w:bidi="ar-SA"/>
        </w:rPr>
        <w:t>روى البيهقي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يجهر بالصلاة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أنّ علي بن أبي طالب عليه السلام يجهر بالتسمية، فقد ثبت بالتواتر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ذكره شرف للذاكرين، ومثل هذا كيف يليق بالعاقل أن يسعى في إخفائه</w:t>
      </w:r>
      <w:r>
        <w:rPr>
          <w:rFonts w:eastAsia="Amiri" w:cs="Amiri" w:ascii="Amiri" w:hAnsi="Amiri"/>
          <w:color w:val="111111"/>
          <w:sz w:val="28"/>
          <w:szCs w:val="28"/>
          <w:rtl w:val="true"/>
          <w:lang w:bidi="ar-SA"/>
        </w:rPr>
        <w:t>.</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ولكن حكى الرافعي عن ابن أبي هريرة أنّ الجهر بالتسمية إن صار في موضع شعار للروافض، فالمستحب هو الإسرار بها مخالفة لهم</w:t>
      </w:r>
      <w:r>
        <w:rPr>
          <w:rFonts w:eastAsia="Amiri" w:cs="Amiri" w:ascii="Amiri" w:hAnsi="Amiri"/>
          <w:color w:val="111111"/>
          <w:sz w:val="28"/>
          <w:szCs w:val="28"/>
          <w:rtl w:val="true"/>
          <w:lang w:bidi="ar-SA"/>
        </w:rPr>
        <w:t>.</w:t>
      </w:r>
      <w:r>
        <w:rPr>
          <w:rStyle w:val="FootnoteAnchor"/>
          <w:rtl w:val="true"/>
        </w:rPr>
        <w:footnoteReference w:id="1072"/>
      </w:r>
    </w:p>
    <w:p>
      <w:pPr>
        <w:pStyle w:val="Heading5"/>
        <w:numPr>
          <w:ilvl w:val="4"/>
          <w:numId w:val="1"/>
        </w:numPr>
        <w:rPr/>
      </w:pPr>
      <w:bookmarkStart w:id="1029" w:name="__RefHeading___Toc6864152_73709187"/>
      <w:bookmarkStart w:id="1030" w:name="_Toc383"/>
      <w:bookmarkEnd w:id="1029"/>
      <w:r>
        <w:rPr/>
        <w:t>3</w:t>
      </w:r>
      <w:r>
        <w:rPr>
          <w:rtl w:val="true"/>
        </w:rPr>
        <w:t xml:space="preserve">. </w:t>
      </w:r>
      <w:r>
        <w:rPr>
          <w:rtl w:val="true"/>
        </w:rPr>
        <w:t>ترك المستحبات إذا صارت شعاراً للشيعة</w:t>
      </w:r>
      <w:bookmarkEnd w:id="1030"/>
    </w:p>
    <w:p>
      <w:pPr>
        <w:pStyle w:val="BookText"/>
        <w:rPr/>
      </w:pPr>
      <w:r>
        <w:rPr>
          <w:rFonts w:ascii="Amiri" w:hAnsi="Amiri" w:eastAsia="Amiri" w:cs="Amiri"/>
          <w:color w:val="111111"/>
          <w:sz w:val="28"/>
          <w:sz w:val="28"/>
          <w:szCs w:val="28"/>
          <w:rtl w:val="true"/>
          <w:lang w:bidi="ar-SA"/>
        </w:rPr>
        <w:t>قال ابن تيمية عند بيان التشبّه بالروافض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ذهب من ذهب من الفقهاء إلى ترك بعض المستحبات إذا صارت شعاراً لهم، فإنّه وإن لم يكن الترك واجباً لذلك، لكن في إظهار ذلك مشابهة لهم ولا يتميّز السنّي من الرافضي، ومصلحة التمييز عنهم لأجل هجرانهم، ومخالفتهم، أعظم من مصلحة هذا المستحب</w:t>
      </w:r>
      <w:r>
        <w:rPr>
          <w:rFonts w:eastAsia="Amiri" w:cs="Amiri" w:ascii="Amiri" w:hAnsi="Amiri"/>
          <w:color w:val="111111"/>
          <w:sz w:val="28"/>
          <w:szCs w:val="28"/>
          <w:rtl w:val="true"/>
          <w:lang w:bidi="ar-SA"/>
        </w:rPr>
        <w:t>.</w:t>
      </w:r>
      <w:r>
        <w:rPr>
          <w:rStyle w:val="FootnoteAnchor"/>
          <w:rtl w:val="true"/>
        </w:rPr>
        <w:footnoteReference w:id="1073"/>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البرسوي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 واللآلي وفضل الشهور والليالي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شهاب الدين الشهير بالرسّام ما يلي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للمؤمن أن يتشبّه بيزيد الملعون في بعض الأفعال، وبالشيعة والروافض والخوارج أيضاً، يعني لا يجعل ذلك اليوم يوم عيد أو يوم مأتم، فمن اكتحل يوم عاشوراء فقد تشبّه بيزيد الملعون وقومه وإن كان للاكتحال في ذلك اليوم أصل صحيح، فإنّ ترك السنّة، سنّة إذا كانت شعاراً لأهل البدع كالتختم باليمين فإنّه في الأصل سنّة، لكن لمّا كان شعار أهل البدعة والظلمة، صارت السنّة أن يجعل الخاتم في خنصر</w:t>
      </w:r>
      <w:bookmarkStart w:id="1031" w:name="pg16768_165717"/>
    </w:p>
    <w:p>
      <w:pPr>
        <w:pStyle w:val="BookText"/>
        <w:rPr/>
      </w:pPr>
      <w:bookmarkEnd w:id="1031"/>
      <w:r>
        <w:rPr>
          <w:rFonts w:ascii="Amiri" w:hAnsi="Amiri" w:eastAsia="Amiri" w:cs="Amiri"/>
          <w:color w:val="111111"/>
          <w:sz w:val="28"/>
          <w:sz w:val="28"/>
          <w:szCs w:val="28"/>
          <w:rtl w:val="true"/>
          <w:lang w:bidi="ar-SA"/>
        </w:rPr>
        <w:t>اليد اليسرى</w:t>
      </w:r>
      <w:r>
        <w:rPr>
          <w:rFonts w:eastAsia="Amiri" w:cs="Amiri" w:ascii="Amiri" w:hAnsi="Amiri"/>
          <w:color w:val="111111"/>
          <w:sz w:val="28"/>
          <w:szCs w:val="28"/>
          <w:rtl w:val="true"/>
          <w:lang w:bidi="ar-SA"/>
        </w:rPr>
        <w:t>.</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إلى غير ذلك من الموارد التي تركوا فيها السنّة لأجل كونها شعاراً للمخالف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هذا هو الأصل المتّبع عند السلف فيليق بالخلف أن يتبع في كلّ سنّة صارت شعاراً للمخالف،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عَلِمَهُ الأكمهُ والأصمُ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صيام عاشوراء صار شعاراً للأمويين بعد مقتل الحسين عليه السلام وشهادته، ويقول باقر العلوم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هذا يوم تبرّكت به بنو أمية وابن آكلة الأكباد بقتلهم الحسين عليه السلام</w:t>
      </w:r>
      <w:r>
        <w:rPr>
          <w:rFonts w:eastAsia="Amiri" w:cs="Amiri" w:ascii="Amiri" w:hAnsi="Amiri"/>
          <w:color w:val="111111"/>
          <w:sz w:val="28"/>
          <w:szCs w:val="28"/>
          <w:rtl w:val="true"/>
          <w:lang w:bidi="ar-SA"/>
        </w:rPr>
        <w:t>...</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فعلى مَن ينبض قلبه بوحدة الكلمة وتوحيد الأُمّة أن لا يصوم يوم عاشوراء لئلّا يتشبّه بالأمويين وأذنابهم ومن سار على نهجهم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رسالتي المفتوحة لرئيس مركز البحوث والدراسات في مبرّة الآل والأصحاب عسى أن ينظر إليها بعين الإنصاف والتجرد عن الرأي المسبق الذي نشأ عليه في بيئته</w:t>
      </w:r>
      <w:r>
        <w:rPr>
          <w:rFonts w:eastAsia="Amiri" w:cs="Amiri" w:ascii="Amiri" w:hAnsi="Amiri"/>
          <w:color w:val="111111"/>
          <w:sz w:val="28"/>
          <w:szCs w:val="28"/>
          <w:rtl w:val="true"/>
          <w:lang w:bidi="ar-SA"/>
        </w:rPr>
        <w:t>.</w:t>
      </w:r>
    </w:p>
    <w:p>
      <w:pPr>
        <w:pStyle w:val="Heading4"/>
        <w:numPr>
          <w:ilvl w:val="3"/>
          <w:numId w:val="1"/>
        </w:numPr>
        <w:rPr/>
      </w:pPr>
      <w:bookmarkStart w:id="1032" w:name="__RefHeading___Toc6864154_73709187"/>
      <w:bookmarkStart w:id="1033" w:name="_Toc384"/>
      <w:bookmarkEnd w:id="1032"/>
      <w:r>
        <w:rPr>
          <w:rtl w:val="true"/>
        </w:rPr>
        <w:t>زاد في الطنبور نغمة</w:t>
      </w:r>
      <w:bookmarkEnd w:id="1033"/>
    </w:p>
    <w:p>
      <w:pPr>
        <w:pStyle w:val="BookText"/>
        <w:rPr/>
      </w:pPr>
      <w:r>
        <w:rPr>
          <w:rFonts w:ascii="Amiri" w:hAnsi="Amiri" w:eastAsia="Amiri" w:cs="Amiri"/>
          <w:color w:val="111111"/>
          <w:sz w:val="28"/>
          <w:sz w:val="28"/>
          <w:szCs w:val="28"/>
          <w:rtl w:val="true"/>
          <w:lang w:bidi="ar-SA"/>
        </w:rPr>
        <w:t>هذا هو حال صوم عاشوراء وقد اتضح انّ النبي صلى الله عليه و آله لو صام، فإنّما صام في شهر ربيع الأوّل الّذي اتفق فيه عاشوراء اليهود ولا صلة له بعاشر محرم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بلغنا أنّ فؤاد الرفاعي صاحب مركز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 يوم عاشوراء يوم فرح وسرور، وقد نشر دعاية لذلك في 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الكويتية يوم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من هذه السنة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والمسكين مع أنّه من مقلّدة ابن تيمية، فقد تجاوز حدّه، فإنّ إمامه يعدّ الفرح في يوم عاشوراء من بدع الناصبيّ الحجّاج بن يوسف الثقفي، وقال في منهاج السنة وقد ثبت في الصحيح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سيكون في ثقيف كذّاب</w:t>
      </w:r>
    </w:p>
    <w:p>
      <w:pPr>
        <w:pStyle w:val="BookText"/>
        <w:rPr/>
      </w:pPr>
      <w:r>
        <w:rPr>
          <w:rFonts w:ascii="Amiri" w:hAnsi="Amiri" w:eastAsia="Amiri" w:cs="Amiri"/>
          <w:color w:val="111111"/>
          <w:sz w:val="28"/>
          <w:sz w:val="28"/>
          <w:szCs w:val="28"/>
          <w:rtl w:val="true"/>
          <w:lang w:bidi="ar-SA"/>
        </w:rPr>
        <w:t>ومبير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الناصبي هو المبير، فأحدث السرور حتّى رووا أنّ من وسّع على أهله يوم عاشوراء، وسّع اللّه عليه سائر 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حرب الكرماني أنّه سأل أحمد بن حنبل عن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 له، وليس له إسناد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 كلّ ما روي من الاكتحال يوم عاشوراء والاغتسال والتوسعة على العيال وإحداث أطعمة غير معتادة كلها بدع، لم يستحب أحد من أئمة المسلمين الأربعة، ولا غيرهم، شيئاً من هذه الأُمور</w:t>
      </w:r>
      <w:r>
        <w:rPr>
          <w:rFonts w:eastAsia="Amiri" w:cs="Amiri" w:ascii="Amiri" w:hAnsi="Amiri"/>
          <w:color w:val="111111"/>
          <w:sz w:val="28"/>
          <w:szCs w:val="28"/>
          <w:rtl w:val="true"/>
          <w:lang w:bidi="ar-SA"/>
        </w:rPr>
        <w:t>.</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فإذا كان داعيتكم، هذا الّذي اتخذتموه إماماً في الأُصول والفروع، ووصفتموه بشيخ الإسلام، وتلقّيتم أنظاره وعقائده كالوحي المنزل، يعدَ ذلك من البدع، أفيصحّ بعد هذا لفؤاد الرفاعي أن يجعل ذلك اليوم، يوم فرح وسرور؟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لَكُمْ كَيْفَ تَحْكُمُونَ‌</w:t>
      </w:r>
      <w:r>
        <w:rPr>
          <w:rFonts w:eastAsia="Amiri" w:cs="Amiri" w:ascii="Amiri" w:hAnsi="Amiri"/>
          <w:color w:val="111111"/>
          <w:sz w:val="28"/>
          <w:szCs w:val="28"/>
          <w:rtl w:val="true"/>
          <w:lang w:bidi="ar-SA"/>
        </w:rPr>
        <w:t>)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ومع ذلك، ففي الأُمّة من أهل السنة من ألقى جلباب التعصّب وأصدر بياناً توضيحياً، نأتي به بنصّه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يوسف هاشم الرفاعي</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اطلعت على ما أصدره ووزعه مركز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منشورات بمناسبة يوم عاشوراء العاشر من شهر محرم الحرام والّتي يدعو الناس فيها بجانب الصوم المسنون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ابداء الفرح والسرور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اليوم الّذي قتل فيه شهيداً مظلوماً سبط رسول اللّه صلى الله عليه و آله الإمام الحسين رضى الله عنه واكرم منزله ومثواه ومن استشهد معه من أهل بيته وأنصاره الكرام في معركة الطف بكربلاء حوالي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وبهذا الخصوص أجد واجباً علي أن أوضح وأبين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نص حديث الصيام الوارد في البخاري وغيره لم يتضمن ولا يفهم منه ولا يستنبط انّ النبي صلى الله عليه و آله يدعو أصحابه ومن بعدهم المسلمين إلى ابداء واظهار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السرور والفرح والأنس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اليوم ولم يؤثر ذلك عن الصحابة الكرام ومن قال ذلك فقد حمّل نص الحديث ما لا يحتمل ونسب إلى الرسول صلى الله عليه و آله ما لم يقل وفي هذا العمل من الإثم العظيم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السواد الأعظم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أتباع المذاهب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الشافعية والحنابلة والمالكية والأحناف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أجمعوا على أنّ الإمام الحسين مات شهيداً مظلوماً ومن معه، ويحمّلون ابن زياد وابن سعد وجنودهما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المظلمة الكبيرة والإثم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تلك الجريمة النكراء الّتي أغضبت اللّه تعالى ورسوله وصالح المسلمين، وكانت نقطة سوداء في تاريخ المسلمين، واعتبروا يزيد بن معاوية ظالماً طاغياً هو وجنوده وجلاوزته وقد قام المسلمون جميعاً بعد ذلك بالاقتصاص منهم فرداً فرداً وقتلهم، وقد كانت تلك المأساة المفجعة الّتي حصلت في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السبب الرئيسي في سخط اللّه وفي سرعة زوال الدولة الأُموية الّتي لم تعمر إلّاقليلاً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w:t>
      </w:r>
      <w:r>
        <w:rPr>
          <w:rStyle w:val="FootnoteAnchor"/>
          <w:rtl w:val="true"/>
        </w:rPr>
        <w:footnoteReference w:id="1078"/>
      </w:r>
      <w:r>
        <w:rPr>
          <w:rFonts w:ascii="Amiri" w:hAnsi="Amiri" w:eastAsia="Amiri" w:cs="Amiri"/>
          <w:color w:val="111111"/>
          <w:sz w:val="28"/>
          <w:sz w:val="28"/>
          <w:szCs w:val="28"/>
          <w:rtl w:val="true"/>
          <w:lang w:bidi="ar-SA"/>
        </w:rPr>
        <w:t>سنة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حفلت كتب أهل السنة والجماعة بما يثبت ويجلي موقفهم المستنكر لهذه المأساة والغاضب عليها، وفي كتاب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الشبلنجي، الشافعي المصري رحمه اللّه تعالى عن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يشفي الغليل ويوضح الدليل على ذلك ومعروف كذلك رأي الإمام أحمد بن حنبل في تكفير واستنكار عمل من أقروا وقاموا وشاركوا بتلك الجريمة النكراء والمأساة الأليمة الّتي لا نزال ندفع ثمنها حتّى اليوم</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وجمهور الأُسرة الرفاعية في الكويت وخارجها، نبرأ ونشجب ولا نقبل بإبداء السرور والفرح في هذا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ذكرى استشهاد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جدنا الإمام</w:t>
      </w:r>
      <w:bookmarkStart w:id="1034" w:name="pg16768_165720"/>
    </w:p>
    <w:p>
      <w:pPr>
        <w:pStyle w:val="BookText"/>
        <w:rPr/>
      </w:pPr>
      <w:bookmarkEnd w:id="1034"/>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يعتصر قلبنا ألماً وحزناً لذكراها وما نال أهلنا أهل البيت الكرام فيها ونترحم عليهم ونحتسبهم عند اللّه تعالى مع الشهداء الأخيار، غير أنّنا لا نلطم خداً ولا نشق جيباً امتثالاً لما أمرنا به ربنا اللّه تعالى ورسوله جدنا وسيدنا رسول اللّه صلى الله عليه و آله ونقول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أكبر ولا حول ولا قوّة إلّاباللّه العليّ العظيم، ولنتذكر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وقوله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أحبوا اللّه لما يغذوكم به من نعمه، وأحبوني بحب اللّه، واحبوا آل بيتي بحبي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وصلّى اللّه على سيّدنا ومولانا محمّد وعلى آله وصحبه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ونرفق ذلك ببيان آخر، كتبه علي يوسف المتروك، وها هو نص البيان، الّذي جاء تحت عنوان</w:t>
      </w:r>
      <w:r>
        <w:rPr>
          <w:rFonts w:eastAsia="Amiri" w:cs="Amiri" w:ascii="Amiri" w:hAnsi="Amiri"/>
          <w:color w:val="111111"/>
          <w:sz w:val="28"/>
          <w:szCs w:val="28"/>
          <w:rtl w:val="true"/>
          <w:lang w:bidi="ar-SA"/>
        </w:rPr>
        <w:t>:</w:t>
      </w:r>
    </w:p>
    <w:p>
      <w:pPr>
        <w:pStyle w:val="Heading4"/>
        <w:numPr>
          <w:ilvl w:val="3"/>
          <w:numId w:val="1"/>
        </w:numPr>
        <w:rPr/>
      </w:pPr>
      <w:bookmarkStart w:id="1035" w:name="__RefHeading___Toc6864156_73709187"/>
      <w:bookmarkStart w:id="1036" w:name="_Toc385"/>
      <w:bookmarkEnd w:id="1035"/>
      <w:r>
        <w:rPr>
          <w:rtl w:val="true"/>
        </w:rPr>
        <w:t>عاشوراء بين الحزن والفرح</w:t>
      </w:r>
      <w:bookmarkEnd w:id="1036"/>
    </w:p>
    <w:p>
      <w:pPr>
        <w:pStyle w:val="BookText"/>
        <w:rPr/>
      </w:pPr>
      <w:r>
        <w:rPr>
          <w:rFonts w:ascii="Amiri" w:hAnsi="Amiri" w:eastAsia="Amiri" w:cs="Amiri"/>
          <w:color w:val="111111"/>
          <w:sz w:val="28"/>
          <w:sz w:val="28"/>
          <w:szCs w:val="28"/>
          <w:rtl w:val="true"/>
          <w:lang w:bidi="ar-SA"/>
        </w:rPr>
        <w:t>لأُولئك الذين يدعون للفرح والمسرة يوم عاشوراء لنجاة موسى وقومه من الغرق، ويتخذون من هذه المناسبة فرصة لاستفزاز المسلمين من محبي آل البيت عليهم السلام، وإذا كان النبي صلوات اللّه عليه وآله قد احتفل بنجاة موسى عليه السلام، فهناك مناسبات لا تقل أهمية عن هذه المناسبة لم نسمع أنّه احتفل بها، كنجاة إبراهيم من نار النمرود، ونجاة يونس من بطن الحوت، ونوح من الغرق، وغير ذلك من حوادث جرت على الأنبياء السابقين</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مجال للمقارنة بين مناسبة حصلت قبل آلاف السنين لأمة خلت مشكوك في صحة توقيتها، لعدم وجود أشهر عربية زمن موسى عليه السلام خاصة باليهود، أو لدى الفراعنة في زمانه، وبين مأساة حدثت بعد خمسين سنة من وفاة المصطفى صلوات اللّه عليه وآله، فسجلت صفحة سوداء بل حمراء قانية في</w:t>
      </w:r>
    </w:p>
    <w:p>
      <w:pPr>
        <w:pStyle w:val="BookText"/>
        <w:rPr/>
      </w:pPr>
      <w:r>
        <w:rPr>
          <w:rFonts w:ascii="Amiri" w:hAnsi="Amiri" w:eastAsia="Amiri" w:cs="Amiri"/>
          <w:color w:val="111111"/>
          <w:sz w:val="28"/>
          <w:sz w:val="28"/>
          <w:szCs w:val="28"/>
          <w:rtl w:val="true"/>
          <w:lang w:bidi="ar-SA"/>
        </w:rPr>
        <w:t>تاريخ الإسلام، وهي استشهاد حفيده وريحانته بل روحه الّتي بين جنبيه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روت أُم سلمة في حديث صحيح رواه الترمذي عن أبي سعيد الأشج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سلمى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 سلمة وهي تبكي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آله وعلى رأسه ولحيته التراب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رسول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قتل الحسين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الإمام أحمد مع حذف الاسناد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في المنام نصف النهار أشعث أغبر معه قارورة فيها دم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وأُمّى يا رسول اللّه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دم الحسين وأصحابه لم أزل التقطه منذ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 بن أبي عمار وهو أحد رواة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فأحصينا ذلك اليوم فوجدناه قد قتل في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تفرد به الإمام أحمد وإسناده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الإمام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باب معانقة الصبي،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مناقب الحسن والحسين وابن ماجه في المقدمة، 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مسند أحمد، ج </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الحاكم في المستدرك ج </w:t>
      </w: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المصادر انّ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مني وأنا من حسين، أحبّ اللّه من أحبّ حسيناً، حسين سبط من الأسباط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المبالغة ان قلنا انّ ما جرى على الحسين من أذى واعتداء كأنّه جرى على رسول اللّه صلى الله عليه و آله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ولابدّ أن نتوقف مع بقية كلامه صلوات اللّه عليه 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سبط من الأسباط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نتعرف على معنى هذاالقول والمنزلة الّتي منحها الباري جل شأنه للأسباط نقرأ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آمَنّا بِاللّهِ وَ ما أُنْزِلَ إِلَيْنا وَ ما أُنْزِلَ إِلى إِبْراهِيمَ وَ إِسْماعِيلَ وَ إِسْحاقَ وَ يَعْقُوبَ وَ الْأَسْباطِ وَ ما أُوتِيَ مُوسى وَ عِيسى وَ ما أُوتِيَ النَّبِيُّونَ مِنْ رَبِّهِمْ لا نُفَرِّقُ بَيْنَ أَحَدٍ مِنْهُمْ وَ نَحْنُ لَهُ مُسْلِمُونَ‌</w:t>
      </w:r>
      <w:r>
        <w:rPr>
          <w:rFonts w:eastAsia="Amiri" w:cs="Amiri" w:ascii="Amiri" w:hAnsi="Amiri"/>
          <w:color w:val="111111"/>
          <w:sz w:val="28"/>
          <w:szCs w:val="28"/>
          <w:rtl w:val="true"/>
          <w:lang w:bidi="ar-SA"/>
        </w:rPr>
        <w:t>) .</w:t>
      </w:r>
      <w:r>
        <w:rPr>
          <w:rStyle w:val="FootnoteAnchor"/>
          <w:rtl w:val="true"/>
        </w:rPr>
        <w:footnoteReference w:id="1080"/>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أكده الحسين يوم عاشوراء وقد عزم القوم على قتله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اعلموا أنّه ليس بين مشرق الأرض ومغربها سبط غيري، فكان يشير إلى</w:t>
      </w:r>
    </w:p>
    <w:p>
      <w:pPr>
        <w:pStyle w:val="BookText"/>
        <w:rPr/>
      </w:pPr>
      <w:r>
        <w:rPr>
          <w:rFonts w:ascii="Amiri" w:hAnsi="Amiri" w:eastAsia="Amiri" w:cs="Amiri"/>
          <w:color w:val="111111"/>
          <w:sz w:val="28"/>
          <w:sz w:val="28"/>
          <w:szCs w:val="28"/>
          <w:rtl w:val="true"/>
          <w:lang w:bidi="ar-SA"/>
        </w:rPr>
        <w:t>حديث رسول اللّه صلى الله عليه و آله انّ الحسين سبط من الأسباط، لم يقتصر الحزن على رسول اللّه صلى الله عليه و آله، وعلى كلّ مسلم يؤمن باللّه واليوم الآخر، ويتأسى بما جرى على أهل بيته الكرام، وذريته الّتي أمر اللّه بمودتها وموالاتها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تعدى ذلك الحزن فشمل الطبيعة، فأمطرت السماء دماً في ذلك اليوم وأصبح الناس وكل شيء لهم مليء دماً، وبقي أثره في الثياب مدة حتّى تقطعت، وانّ هذه الحمرة الّتي ترى في السماء ظهرت بعد قتله عليه السلام ولم تر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سيرين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روح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والحمرة الّتي مع الشفق لم تكن حتّى قتل الحسين وحكمته على ما 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غضبنا يؤثر حمرة الوجه، والحق منزه عن الجسمية، فأظهر تأثير غضبه على من قتله الحسين بحمرة الأُفق، إظهاراً لعظيم الجناية، ولم يرفع حجَر في الدنيا يوم قتله إلّاوجد تحته دم عبيط، وقد ورد هذا المعنى بألفاظ مختلفة في المصادر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ascii="Amiri" w:hAnsi="Amiri" w:eastAsia="Amiri" w:cs="Amiri"/>
          <w:color w:val="111111"/>
          <w:sz w:val="28"/>
          <w:sz w:val="28"/>
          <w:szCs w:val="28"/>
          <w:rtl w:val="true"/>
          <w:lang w:bidi="ar-SA"/>
        </w:rPr>
        <w:t>؛ 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تاريخ دمشق كما في مناقبه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339/4</w:t>
      </w:r>
      <w:r>
        <w:rPr>
          <w:rFonts w:ascii="Amiri" w:hAnsi="Amiri" w:eastAsia="Amiri" w:cs="Amiri"/>
          <w:color w:val="111111"/>
          <w:sz w:val="28"/>
          <w:sz w:val="28"/>
          <w:szCs w:val="28"/>
          <w:rtl w:val="true"/>
          <w:lang w:bidi="ar-SA"/>
        </w:rPr>
        <w:t>؛ والصواعق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الخصائص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تاريخ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349/2</w:t>
      </w:r>
      <w:r>
        <w:rPr>
          <w:rFonts w:ascii="Amiri" w:hAnsi="Amiri" w:eastAsia="Amiri" w:cs="Amiri"/>
          <w:color w:val="111111"/>
          <w:sz w:val="28"/>
          <w:sz w:val="28"/>
          <w:szCs w:val="28"/>
          <w:rtl w:val="true"/>
          <w:lang w:bidi="ar-SA"/>
        </w:rPr>
        <w:t>؛ 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ومصادر أُخرى لم أذكرها اختصاراً للمقال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الشيخ عرفان بن سليم العشا حسونة الدمشقي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حفيداً وشهيداً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مبغضي أهل البيت من أهل الشام كانوا يطبخون الحبوب ويغتسلون، ويتطيبون، ويلبسون أفخر ثيابهم، ويتخذون ذلك اليوم عيداً يظهرون فيه الفرح والسرو، وقد سئل شيخ الإسلام ابن تيمية عما يفعله الناس يوم عاشوراء من الكحل، والاغتسال، والحناء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ملخصه كما ورد في مجموع الفتاوى</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شيء من ذلك حديث صحيح عن النبي صلى الله عليه و آله، ولا عن أصحابه، ولا استحب ذلك أحد من أئمة المسلمين ولا الأئمة الأربعة ولا غيرهم، ولا روى أهل الكتب المعتمدة في ذلك شيئاً لا عن النبي صلى الله عليه و آله ولا الصحابة ولا التابعين، لا صحيحاً ولا ضعيفاً، لا في كتب الصحيح، ولا في السنن، ولا المسانيد، ولا يعرف شيء من هذه الأحاديث على عهد القرون</w:t>
      </w:r>
    </w:p>
    <w:p>
      <w:pPr>
        <w:pStyle w:val="BookText"/>
        <w:rPr/>
      </w:pPr>
      <w:r>
        <w:rPr>
          <w:rFonts w:ascii="Amiri" w:hAnsi="Amiri" w:eastAsia="Amiri" w:cs="Amiri"/>
          <w:color w:val="111111"/>
          <w:sz w:val="28"/>
          <w:sz w:val="28"/>
          <w:szCs w:val="28"/>
          <w:rtl w:val="true"/>
          <w:lang w:bidi="ar-SA"/>
        </w:rPr>
        <w:t>الفاضلة، ورووا في حديث مكذوب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وسع على أهل يوم عاشوراء وسع اللّه عليه سائر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جماعة، أيها المسلمون، إذا كان هذا كلام رسول اللّه صلى الله عليه و آله في سبطه وريحانته الحسين، وما روته أُمّ المؤمنين أُمّ سلمة رضي اللّه عنها وابن عباس، وما رواه البخاري وغيره من كبار أصحاب المسانيد، وكتب الحديث، وما أفتى به شيخ الإسلام ابن تيمية من حرمة الفرح يوم عاشوراء، فماذا ترك من ينادي بالفرح في هذا اليوم المليء بالحزن والأسى لأعداء الإسلام‌؟ أما الصوم في هذا اليوم فإن كان هذا الصوم قربة إلى اللّه ولم يكن على سبيل الشماتة، فلا شك أنّ من قام به يثاب على عمله، فلكل امرئ ما نوى، واللّه أعلم بما تحمل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يوم عاشوراء سلام عليك يا أبا الشهداء، أبداً ما بقيت وبقي الليل والنهار، وعلى الأرواح الّتي حلت بفنائك، وأناخت برحلك مني ومن أُمّة جدّك المصطفى صلى الله عليه و آله في يوم استشهادك العظيم، سلام المحتسبين الصابرين والمؤمنين بقضاء اللّه وقدره، سلام عليكم أهل بيت النبوة ومختلف الملائكة ومهبط الوحي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وحشرنا اللّه تحت رايتكم يوم لا ينفع مال ولا بنون إلّامن أتى اللّه بقلب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يجب أن يكون العلماء الغيارى على الإسلام الذين يحرصون على وحدة الكلمة والتضامن بين الطوائف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ويجتنبون عن النعرات الجاهلية المبغضة، المفكِّكة لعرى الأخوة الإسلامية</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الذي بنعمته تتم الصالحات</w:t>
      </w:r>
      <w:bookmarkStart w:id="1037" w:name="pg16768_165725"/>
    </w:p>
    <w:p>
      <w:pPr>
        <w:pStyle w:val="Heading2"/>
        <w:numPr>
          <w:ilvl w:val="1"/>
          <w:numId w:val="1"/>
        </w:numPr>
        <w:rPr/>
      </w:pPr>
      <w:bookmarkStart w:id="1038" w:name="__RefHeading___Toc6864158_73709187"/>
      <w:bookmarkStart w:id="1039" w:name="_Toc386"/>
      <w:bookmarkEnd w:id="1037"/>
      <w:bookmarkEnd w:id="1038"/>
      <w:r>
        <w:rPr>
          <w:rtl w:val="true"/>
        </w:rPr>
        <w:t>فهرس المحتويات</w:t>
      </w:r>
      <w:bookmarkEnd w:id="1039"/>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الكلام والعقائد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التجسيم والتشبيه في منهج ابن تيمية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طلبهم من موسى عليه السلام الإله المجسّم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طلبهم رؤية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عبادتهم العجل في غياب موسى عليه السلام عنهم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تطرّق فكرة التجسيم إلى النصرانية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دور الأحبار و الرهبان في نشر فكرة التجسيم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عقيدة أهل السنة في التنزيه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إجابة عن سؤال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كلام ابن تيمية في العقيدة الواسطية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موقف أهل البيت عليهم السلام من فكرة التجسيم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ابن تيمية في عقائده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حركة الباري ونزوله عند ابن تيمية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الحركة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الإمكان في المتحرّك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الغاية من الحركة‌؟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الجهة والمكان للّه سبحانه عند ابن تيمية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أخبار الآحاد هي المصدر عنده للعقائد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ابن تيمية وجلوسه سبحانه على العرش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نظرة إلى تكلّمه سبحانه في منهج ابن تيمية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نظرية المعتزلة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نظرية الأشاعرة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نظرية الإمامية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نظرية ابن تيمية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الاستدلال برواية جابر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تحليل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استدلال بحديث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ذاته سبحانه ليست محلّاً للحوادث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عقائد شاذّة نابية لابن تيميّة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العصمة حقيقتها وآثارها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لماذا نبحث عن العصمة‌؟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العصمة في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العصمة في مصطلح المتكلمين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العصمة من مقولة العلم الرادع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العصمة لا تسلب الاختيار عن صاحبها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موقف الشيعة من العصمة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العصمة وآية التطهير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الأحكام الشرعية، ألطاف في الأحكام 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صيرورة الإنسان مستعداً لامتثال الأحكام 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باعثة على معرفة المعبود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تأكيد العقليات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محصلة للقرب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الكشف عن المصالح والمفاسد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الرؤية ومعنى الإله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البداء في الكتاب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البداء ثبوتاً</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البداء إثباتاً</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إخبار يونس عن نزول العذاب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إخبار موسى بثلاثين ليلة في الميقات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إطلاق البداء على اللّه سبحانه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التبرك في الكتاب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التبرّك 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التبرّك اصطلاحاً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النصوص الدالّة على جواز التبرّك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التبرّك في الأُمم السالفة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التبرّك في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تبرّك الصحابة بآثار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التبرّك بماء وضوئه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التبرّك بقدحه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التبرّك بسؤره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التبرّك بمنبره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التبرّك بالدنيانير الّتي لمسها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التبرّك بالعصا الّتي أعطاها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التبرّك بقميص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التبرّك بالبردة المهداة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التبرّك بجبّته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التبرّك بالقبر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التبرّك بالمواضع الّتي صلّى فيها الرسول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التبرّك بخاتم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التبرّك بالمسح واللمس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التبرّك في روايات 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التبرّك باسم اللّه جل وعلا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التبرّك بالقرآن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التبرّك بماء وضوء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التبرّك بقبر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شبهة القائلين بحرمة التبرّك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التوسّل في الكتاب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أنواع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بأسماء اللّه وصفاته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بالقرآن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بالأعمال الصالحة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التوسّل بدعاء الأخ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بدعاء النبي صلى الله عليه و آله في حياته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بدعاء النبي صلى الله عليه و آله بعد رحيله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تكلّم النبي صلى الله عليه و آله مع الهالكين من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سيرة المسلمين بعد رحيل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شبهات المخالفين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البرزخ مانع من الاتصال</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إسماع الموتى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 عمل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بدعاء الأنبياء شرك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الشبهة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دعاء النبي صلى الله عليه و آله بعد رحيله بدعة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بذات النبيّ حال حياته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توسّل الضرير بشخص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بذات النبيّ صلى الله عليه و آله بعد رحيله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بحق الصالحين وحرمتهم ومنزلتهم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بحقّ السائلين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توسّل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بالنبي الأكرم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خاتمة 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الموحدين في توسّلهم بالطيبين والطاهرين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استسقاء عبدالمطلب بالنبي صلى الله عليه و آله وهو 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استسقاء أبي طالب بالنبي صلى الله عليه و آله وهو غلام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توسّل الخليفة بعمّ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الاحتفال بيوم الغدير أو سلمان العودة توّاب عوّاد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تسمية الولد بعبد المسيح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محسن بن علي بين الحقيقة والخيال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في الأُصول والحديث والفقه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أُصول الفقه ومناهجه عبر العصور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أُصول الفقه في أحاديث العترة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أُصول الفقه ومناهجه المختلفة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الطريقة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المتكلّمين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الطريقة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الأحناف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الطريقة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الطريقتين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منهج الإمامية في تدوين أُصول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علوم الحديث والمسانيد في عصر الأئمّة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المسانيد في عصر الأئمّة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منهجية نقد متن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 الحديث على كتاب اللّه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 الحديث على السنّة القطعية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 الحديث على العقل الحصيف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الحديث على التاريخ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 الحديث على اتّفاق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مخالفة الحديث لمسلّمات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وإرشاد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عدد خطبه صلى الله عليه و آله في حجة الوداع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خطبته صلى الله عليه و آله في اليوم السابع والثامن من ذي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كلماته صلى الله عليه و آله في يوم 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رسول اللّه صلى الله عليه و آله يوم 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خطبته صلى الله عليه و آله يوم النحر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خطبته صلى الله عليه و آله في مسجد الخيف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رسول اللّه صلى الله عليه و آله عند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خطبته صلى الله عليه و آله في 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المراد من أنّ الأنبياء لم يورثوا؟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دراسة مضمون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الهدف هو التوقّي من الأعداء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إلى الدكتور عبد الوهاب في رؤية الهلال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التخيير بين الأقل والأكثر أمر لغو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استلزام ذلك فقهاً جديداً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الإفطار في شهر رمضان والصيام في العيد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شركة الأعمال في الفقه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أقوال الفقهاء في شركة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أدّلة القائلين بعدم الجواز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الإجماع على البطلان</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كونها غررية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المعاملات توقيفية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تمليك المعدوم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المزج</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قبيل شركة المنافع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ابن حزم وبطلان شركة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أدلّة المجوّزين من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تصحيح شركة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شركة الأعمال فرع من الشركات المعنوية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وقف الحُلِيّ والأثمان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جواز الوقف</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الوقف</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التردّد وعدم الجزم بشيء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تصحيح وقف الأثمان مع التجارة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إرث 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حول الروايات المعارضة لنظر المشهور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مشكلة اختلال الميزان في الفرائض والأسهم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مشكلة تأخير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الآن حصص الحق</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ترك النبي صلى الله عليه و آله من مصادر التشريع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حكم العباديات والقربيات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تنقيط القرآن وإعرابه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التطوّر في بناء المساجد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المناظرة مع أصحاب المقالات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كتابة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النبي وحج التمتع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التراويح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 النبي صلى الله عليه و آله استلام الحجر بيده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نظرة وتعليق على فتاوى القرضاوي الفقهية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ادّعاء تحريم الزواج المؤقت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أخذ التأبيد في تعريف الزواج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أهداف الزواج</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ادّعاؤه تحريم المتعة على التأبيد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أنّ الرسول صلى الله عليه و آله حرّم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المحرِّم هو الخليفة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كفاية التسمية عند الأكل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حرمة الاستمناء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 السرّية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الغناء والموسيقى في الكتاب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حرمة الغناء في الكتاب والسنّة وأقوال الفقهاء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حرمة المعازف في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دليل القائل بالجواز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عدم مساواة دية المرأة لدية الرجل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اتّفاق الفقهاء على النصف</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تضافر السنّة على النصف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التنصيف في دية الأعضاء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ما هي المصلحة في تنصيف الدية‌؟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مقالات تقريبية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أهل البيت عليهم السلام بين أهل السنّة والشيعة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التعرّف على أهل البيت عليهم السلام وفقههم، وفيه محاور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إفراد البيت في مقابل البيوت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في أهل البيت للعهد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أهل البيت عليهم السلام في لسان النبي الأكرم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حجّية فتاواهم على المسلمين كافة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المحور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فتاواهم</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استنطاق كتاب اللّه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 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السماع عنه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علي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العلم الموهوب</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خاتمة 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كبار الفقهاء إلى أئمة 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المدرسة الفقهية للشيعة الإمامية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المصادر والخصائص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الفقه عند الشيعة الإمامية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المصدر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المصدر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المصدر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المصدر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إزاحة 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فقه الإمامية ومميزاته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العدالة في عامة سند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العمل بالقياس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تخريج المناط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انفتاح باب الاجتهاد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واقعة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التصويب والتخطئة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الأحكام الشرعية إلى واقعية وظاهرية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الموضوعات إلى أوّلية وثانوية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الضرورة والاضطرار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الضَّرر والضِّرار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العسر والحرج</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الأهم والمهم عند التزاحم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صلاحيات الفقيه الجامع للشرائط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التشيّع تاريخاً وعقيدة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التسمية من النبي الأعظم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الأُصول المشتركة بين الشيعة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الفوارق بين الإمامية والأشاعرة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الفوارق بين الشيعة والمعتزلة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الشيعة الإمامية والأحكام الفرعيّة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الأواصر العلمية بين علماء الشيعة والسنّة خطوة نحو التقريب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مدح القرآن للاتحاد وذمّه للانقسام والتفرّق</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الانسجام والتضامن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التضامن الإسلامي في ظلال المذاكرة والحوار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تعاون علماء الفريقين في العصور السابقة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عصر الصادقين عليهما السلام المنير والتضامن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نماذج من التعاون والتآلف بين علماء الفريقين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الكليني في بعلبك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الصدوق في بلاد ماوراء النهر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المفيد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الشريف المرتضى زعيم أهل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الطوسي وكرسيّ التدريس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إدريس الحلّي والتعاون مع الفقيه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منتجب الدين الرازي ومديح الرافعي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 المحقّقين ومديح صاحب القاموس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الخواجه نصير الدين الطوسي ونجاة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الحلّي ومختصر ابن الحاجب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هبة الدين الشهرستاني وصلته بعلماء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شرف الدين العاملي ومكاتبته مع شيخ الأزهر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البروجردي ودعمه للتقريب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رسائل الشيخ الأزهر إلى السيد البروجردي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محمود الآلوسي وصلته بالعلامة الزنجاني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دار التقريب ودورها في تقارب المذاهب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السلفية الوهابية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حفظ الأصالة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مفتوحة إلى الشيخ يوسف القرضاوي والرد على ادّعاءاته ضد الشيعة والتشيع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 النظرية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ادّعاء الوصية لأمير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بالغيب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عصمة العترة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 العملية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تجديد مأساة الحسين عليه السلام كل 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يحدث عند مزارات آل البيت من شركيات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إلى الدكتور عيسى بن مانع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إلى الدكتور عبدالرحمن الصالح المحمود والرد على اتهامه الشيعة في مسألة الإسناد وعلم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الاحتفال بالمولد النبويّ الشريف على ضوء الكتاب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البدعة في اللغة والشرع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الاحتفال بمولد النبي صلى الله عليه و آله له أصل في 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 النبي أصل من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تكريم النبي صلى الله عليه و آله أصل من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 ذكر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نعم اللّه سبحانه وتعالى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الاقتفاء بسنّة نبي اللّه عيسى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أدلّة القائل بالبدعة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إلى أحد أعلام التقريب من أهل السنّة حول تكفير اتباع أهل البيت عليهم السلام من قبل بعض الخطباء والوعاظ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إدانة مثيري الفتنة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إدانة إهانة القرآن الكريم في أمريكا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إلى الدكتور الشيخ أحمد الطيّب شيخ الأزهر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في التراجم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البرقي وأثره الرجالي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بن عبدالرحمن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أحمد بن محمد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عبداللّه بن أحمد بن محمد بن خالد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عليّ بن أحمد بن عبداللّه بن أحمد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الكتاب تأليف الحفيد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القميّ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مكانته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قول العلماء في حقّه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أساتذته</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تلامذته</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طبقته في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وقفة مع تفسيره المتداول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توثيق من وقع في أسناد 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المحدّث الكليني وأثره الخالد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أُسرته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الظروف الّتي نشأ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ثقافته الواسعة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IRNazanin" w:hAnsi="IRNazanin" w:eastAsia="IRNazanin"/>
          <w:color w:val="111111"/>
          <w:sz w:val="28"/>
          <w:sz w:val="28"/>
          <w:szCs w:val="28"/>
          <w:rtl w:val="true"/>
          <w:lang w:bidi="fa-IR"/>
        </w:rPr>
        <w:t>أثره الخالد</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ثناء العلماء وأقوالهم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رحلاته في أخذ الحديث وعرض كتابه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العناية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الكليني وتهمة تحريف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الشريف المرتضى رحمه الله حياته وآثاره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نسبه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نشأته وسيرته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كلمات العلماء في حقّه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آثاره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فضائله ومكارم أخلاقه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IRNazanin" w:hAnsi="IRNazanin" w:eastAsia="IRNazanin"/>
          <w:color w:val="111111"/>
          <w:sz w:val="28"/>
          <w:sz w:val="28"/>
          <w:szCs w:val="28"/>
          <w:rtl w:val="true"/>
          <w:lang w:bidi="fa-IR"/>
        </w:rPr>
        <w:t>أشهر تلامذته</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إلفات نظر</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السيد المرتضى وأُصول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العالم الرباني ميثم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مؤلّفاته وتصانيفه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بزرگ الطهراني وطبقات أعلام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الشهيد محمد محمد صادق الصدر رجل العلم والجهاد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Amiri" w:hAnsi="Amiri" w:eastAsia="Amiri" w:cs="Amiri"/>
          <w:color w:val="111111"/>
          <w:sz w:val="28"/>
          <w:sz w:val="28"/>
          <w:szCs w:val="28"/>
          <w:rtl w:val="true"/>
          <w:lang w:bidi="ar-SA"/>
        </w:rPr>
        <w:t>رسائل إرشادية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الشيخ محمد شهيد وجوابها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إلى أعضاء دارالزهراء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التقريظ على تفسير البيّنات للملكي الإصفهاني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مفتوحة إلى الشيخ محمد سالم الخضر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كلام حول صوم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ما هو المراد بعاشوراء في الحديث النبوي‌؟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النبي صام عاشر الربيع عام وروده المدينة لا عاشر محرم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تحقيق الفلكي البيروني في الآثار الباقية في صيام النبي في مهجره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نماذج من ترجيح ابن تيمية ترك السنّة إذا كانت شعاراً للمخالف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تسطيح القبر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الجهر بالبسملة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 المستحبات إذا صارت شعاراً للشيعة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 xml:space="preserve">الردّ على البيان الذي أصدره مركز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ابن تيمية يرى الاحتفال والسرور يوم عاشوراء بدعة أحدثها الناصبي الحجّاج بن يوسف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تبرّؤ جمهور الأُسرة الرفاعية من هذا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عاشوراء بين الحزن والفرح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الشهاب في الحكم والآداب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معارف القرن العشرين، مادة ثالوث</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شروح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يشبه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العقيدة الطحاوية لابن أبي العز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لقواعد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تحقيق عبد الحميد عبد المجيد تركي،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الغرب الإسلامي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الأوائل وتلخيص الدلائل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 تحقيق أحمد فريد المزيدي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التبصير في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الكتب، تحقيق كمال يوسف الحوت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موافقة صحيح المنقول لصريح المعقول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درء تعارض العقل والنقل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تيمية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طبعة دارالكتب العلمية،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xml:space="preserve">، مؤسسة قرطبة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تحقيق محمد رشاد سالم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تلبيس الجهمية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الحكومة، مكة المكرمة،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تحقيق محمد بن عبد الرحمن بن قاسم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الأسماء و الصفات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باب ما جاء في العرش والكرسي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الكبرى، الرسالة التاسعة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منهاج السنة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دار المعرفة،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موافقة صحيح المنقول لصريح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درء التعارض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دار الكتب العلمية،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نقله من المريسي وما ردّ به عليه فهو من مصاديق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الطالب والمطلوب، فليس معنى القيّوم هو الّذي لا يزول عن مكانه، بل معناه القائم بنفسه في مقابل الممكن القائم بغيره، وأمّا ما رُدّ به فهو من الفضاحة بمكان ولا يحتاج إلى نقد وردّ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2/638</w:t>
      </w:r>
      <w:r>
        <w:rPr>
          <w:rFonts w:ascii="IRNazanin" w:hAnsi="IRNazanin" w:eastAsia="IRNazanin"/>
          <w:b w:val="false"/>
          <w:b w:val="false"/>
          <w:bCs w:val="false"/>
          <w:i w:val="false"/>
          <w:i w:val="false"/>
          <w:iCs w:val="false"/>
          <w:color w:val="333333"/>
          <w:sz w:val="20"/>
          <w:sz w:val="20"/>
          <w:szCs w:val="20"/>
          <w:rtl w:val="true"/>
        </w:rPr>
        <w:t>، تحقيق الدكتور محمد رشاد سالم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باب الدعاء نصف الليل برقم </w:t>
      </w:r>
      <w:r>
        <w:rPr>
          <w:rFonts w:eastAsia="IRNazanin" w:cs="IRNazanin"/>
          <w:b w:val="false"/>
          <w:bCs w:val="false"/>
          <w:i w:val="false"/>
          <w:iCs w:val="false"/>
          <w:color w:val="333333"/>
          <w:sz w:val="20"/>
          <w:szCs w:val="20"/>
        </w:rPr>
        <w:t>6321</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باب الترغيب في الدعاء</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20/284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كتاب التوحيد، باب نفي المكان والزمان والحركة عنه تعالى،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الرحلة لابن بطوطة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طبعة دار الكتب العلمية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 لابن حجر العسقلاني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كتاب التوحيد، باب نفي المكان والزمان والحركة عنه تعالى، الحديث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كتاب التوحيد، باب نفي المكان والزمان والحركة عنه تعالى، الحديث 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الكبرى لابن تيمية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العقيدة الواسطية، الرسالة التاسعة، طبعة محمد علي صبيح</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كتاب التوحيد، باب نفي المكان والزمان والحركة عنه تعالى،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 الطبعة القديمة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المقدس، الإصحاح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سفر التكوين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الحموية الكبرى في مجموعة الرسائل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 الحديث رقم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كتاب العتاقة والولاء، باب ما يجوز من العتق</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إشارات المرام من عبارات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تلبيس الجهمية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الصقيل في الرد على ابن زفيل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بدائع الفوائد لابن القيّم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صفحة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 للقاضي عبد الجبار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و شرح المواقف للسيد الشريف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نهاية الاقدام في علم الكلام،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طبعة اكسفورد،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موافقة صحيح المنقول لصريح المعقول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 xml:space="preserve">، دارالكتب العلمية،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150/6</w:t>
      </w:r>
      <w:r>
        <w:rPr>
          <w:rFonts w:ascii="IRNazanin" w:hAnsi="IRNazanin" w:eastAsia="IRNazanin"/>
          <w:b w:val="false"/>
          <w:b w:val="false"/>
          <w:bCs w:val="false"/>
          <w:i w:val="false"/>
          <w:i w:val="false"/>
          <w:iCs w:val="false"/>
          <w:color w:val="333333"/>
          <w:sz w:val="20"/>
          <w:sz w:val="20"/>
          <w:szCs w:val="20"/>
          <w:rtl w:val="true"/>
        </w:rPr>
        <w:t>، تحقيق عبدالرحمن بن محمد بن قاسم العاصمي النجدي، مكتبة ابن تيمية، الطبعة الثانية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التبصير في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تحقيق كمال يوسف الحوت، طبعة عالم الكتب، بيروت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التوراة، سفر التكوين، الفصل الثالث، الفقرات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نشر دار المعرفة، بيروت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كتاب العلم، باب الخروج في طلب العلم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برقم </w:t>
      </w:r>
      <w:r>
        <w:rPr>
          <w:rFonts w:eastAsia="IRNazanin" w:cs="IRNazanin"/>
          <w:b w:val="false"/>
          <w:bCs w:val="false"/>
          <w:i w:val="false"/>
          <w:iCs w:val="false"/>
          <w:color w:val="333333"/>
          <w:sz w:val="20"/>
          <w:szCs w:val="20"/>
        </w:rPr>
        <w:t>7480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المعانقة برقم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التوحيد، باب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تَنْفَعُ الشَّفاعَةُ‌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7483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حديث الأنبياء، برقم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460/13</w:t>
      </w:r>
      <w:r>
        <w:rPr>
          <w:rFonts w:ascii="IRNazanin" w:hAnsi="IRNazanin" w:eastAsia="IRNazanin"/>
          <w:b w:val="false"/>
          <w:b w:val="false"/>
          <w:bCs w:val="false"/>
          <w:i w:val="false"/>
          <w:i w:val="false"/>
          <w:iCs w:val="false"/>
          <w:color w:val="333333"/>
          <w:sz w:val="20"/>
          <w:sz w:val="20"/>
          <w:szCs w:val="20"/>
          <w:rtl w:val="true"/>
        </w:rPr>
        <w:t>، كتاب التوحيد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الكوثري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طبعة عام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المكتبة الأزهرية للتراث</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 قول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تَنْفَعُ الشَّفاعَةُ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421/2</w:t>
      </w:r>
      <w:r>
        <w:rPr>
          <w:rFonts w:ascii="IRNazanin" w:hAnsi="IRNazanin" w:eastAsia="IRNazanin"/>
          <w:b w:val="false"/>
          <w:b w:val="false"/>
          <w:bCs w:val="false"/>
          <w:i w:val="false"/>
          <w:i w:val="false"/>
          <w:iCs w:val="false"/>
          <w:color w:val="333333"/>
          <w:sz w:val="20"/>
          <w:sz w:val="20"/>
          <w:szCs w:val="20"/>
          <w:rtl w:val="true"/>
        </w:rPr>
        <w:t xml:space="preserve">، كتاب السنّة، باب في الشفاعة، الحديث رقم </w:t>
      </w:r>
      <w:r>
        <w:rPr>
          <w:rFonts w:eastAsia="IRNazanin" w:cs="IRNazanin"/>
          <w:b w:val="false"/>
          <w:bCs w:val="false"/>
          <w:i w:val="false"/>
          <w:iCs w:val="false"/>
          <w:color w:val="333333"/>
          <w:sz w:val="20"/>
          <w:szCs w:val="20"/>
        </w:rPr>
        <w:t>4738</w:t>
      </w:r>
      <w:r>
        <w:rPr>
          <w:rFonts w:ascii="IRNazanin" w:hAnsi="IRNazanin" w:eastAsia="IRNazanin"/>
          <w:b w:val="false"/>
          <w:b w:val="false"/>
          <w:bCs w:val="false"/>
          <w:i w:val="false"/>
          <w:i w:val="false"/>
          <w:iCs w:val="false"/>
          <w:color w:val="333333"/>
          <w:sz w:val="20"/>
          <w:sz w:val="20"/>
          <w:szCs w:val="20"/>
          <w:rtl w:val="true"/>
        </w:rPr>
        <w:t xml:space="preserve">، دار الفكر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والمتفقه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التبصير في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تلبيس الجهمية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النهر الماد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تفسير آية الكرسي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هذه الفقرة تقي الدين أبو بكر الحصني الدمشقي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حيّان النحوي الأندلسي في تفسيره المسمّى بالنهر الماد، في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دفع شبه من شبّه وتمرّد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نشر المكتبة الأزهرية للتراث، مصر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الصقيل ردّ ابن زفيل للسبكي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طبعة مكتبة زهران؛ دفع شبه التشبيه بأكف التنزيه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تحقيق حسن السقاف، طبعة الأردن،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كشف الظنون لحاجي خليفة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من قال بفناء الجنة والنار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القرآن بين صفات الخالق وصفات الأكوان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الشبهة عن الرسول والرسالة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طبعة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القاهرة؛ دفع شبه من شبّه وتمرّد للحصني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طبعة المكتبة الأزهرية للتراث،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والعنوانان هما لكتاب واحد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عقائد الصدوق،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الاعتقادية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تعاليق 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والميزان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شرح عقائد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 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فهرس مخطوطات مكتبة السيد الگلپايگاني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ط مؤسسة الإمام الصادق عليه السلام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الطالبين إلى نهج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الطبعة الأُولى</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اللوامع الإلهية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الطبعة الثانية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 للمحقّق الشعراني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 للمحقّق الآشتياني في تعليقته على الفوائد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بصورة أحد المحتملات للقاعدة، وإن لم يرتضه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بتوضيح منا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ط النجف عام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المحصل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الانقطاع</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نبراس الضياء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w:t>
      </w:r>
      <w:r>
        <w:rPr>
          <w:rFonts w:ascii="IRNazanin" w:hAnsi="IRNazanin" w:eastAsia="IRNazanin"/>
          <w:b w:val="false"/>
          <w:b w:val="false"/>
          <w:bCs w:val="false"/>
          <w:i w:val="false"/>
          <w:i w:val="false"/>
          <w:iCs w:val="false"/>
          <w:color w:val="333333"/>
          <w:sz w:val="20"/>
          <w:sz w:val="20"/>
          <w:szCs w:val="20"/>
          <w:rtl w:val="true"/>
        </w:rPr>
        <w:t>، كتاب الأنبياء، باب حديث أبرص وأعمى وأقرع في بني إسرائيل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النهاية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الكويتية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يجب أن تصحّح للسيد محمد بن علوي المالكي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الطبعة العاشرة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الكتاب المقدس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5687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27454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 بيروت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ومعرفة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9/241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14383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16047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4/368</w:t>
      </w:r>
      <w:r>
        <w:rPr>
          <w:rFonts w:ascii="IRNazanin" w:hAnsi="IRNazanin" w:eastAsia="IRNazanin"/>
          <w:b w:val="false"/>
          <w:b w:val="false"/>
          <w:bCs w:val="false"/>
          <w:i w:val="false"/>
          <w:i w:val="false"/>
          <w:iCs w:val="false"/>
          <w:color w:val="333333"/>
          <w:sz w:val="20"/>
          <w:sz w:val="20"/>
          <w:szCs w:val="20"/>
          <w:rtl w:val="true"/>
        </w:rPr>
        <w:t>؛ والاستيعاب بهامش 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2069</w:t>
      </w:r>
      <w:r>
        <w:rPr>
          <w:rFonts w:ascii="IRNazanin" w:hAnsi="IRNazanin" w:eastAsia="IRNazanin"/>
          <w:b w:val="false"/>
          <w:b w:val="false"/>
          <w:bCs w:val="false"/>
          <w:i w:val="false"/>
          <w:i w:val="false"/>
          <w:iCs w:val="false"/>
          <w:color w:val="333333"/>
          <w:sz w:val="20"/>
          <w:sz w:val="20"/>
          <w:szCs w:val="20"/>
          <w:rtl w:val="true"/>
        </w:rPr>
        <w:t>، باب النهي عن لبس الحرير، كتاب اللباس والزينة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4/115</w:t>
      </w:r>
      <w:r>
        <w:rPr>
          <w:rFonts w:ascii="IRNazanin" w:hAnsi="IRNazanin" w:eastAsia="IRNazanin"/>
          <w:b w:val="false"/>
          <w:b w:val="false"/>
          <w:bCs w:val="false"/>
          <w:i w:val="false"/>
          <w:i w:val="false"/>
          <w:iCs w:val="false"/>
          <w:color w:val="333333"/>
          <w:sz w:val="20"/>
          <w:sz w:val="20"/>
          <w:szCs w:val="20"/>
          <w:rtl w:val="true"/>
        </w:rPr>
        <w:t>، كتاب الفتن والملاحم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كتاب الجنائز</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باب المواضع الّتي صلى فيها النبي صلى الله عليه و آله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لعبدالرزاق الصنعاني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الذكر،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كتاب فضل القرآن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وما يناسبه،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كتاب الحج،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وما يناسبه،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كتاب الحج،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وما يناسبه،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التبرّك والتوسل والصلح مع العدوّ الصهيوني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والقائل عبدالعزيز بن باز مفتي السعودية سابقاً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المباحة،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التبرّك والتوسل والصلح مع العدو الصهيوني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ومعرفة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 دار الفكر، بيروت؛ فتح الباري في شرح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203/9</w:t>
      </w:r>
      <w:r>
        <w:rPr>
          <w:rFonts w:ascii="IRNazanin" w:hAnsi="IRNazanin" w:eastAsia="IRNazanin"/>
          <w:b w:val="false"/>
          <w:b w:val="false"/>
          <w:bCs w:val="false"/>
          <w:i w:val="false"/>
          <w:i w:val="false"/>
          <w:iCs w:val="false"/>
          <w:color w:val="333333"/>
          <w:sz w:val="20"/>
          <w:sz w:val="20"/>
          <w:szCs w:val="20"/>
          <w:rtl w:val="true"/>
        </w:rPr>
        <w:t>، وقد استدرك الحاكم في كتابه الأحاديث الصحيحة حسب شروط البخاري ومسلم ولكن 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ذلك فهذا الحديث صحيح عند الشيخين وهو متفق عليه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مصدر البيتين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11/725</w:t>
      </w:r>
      <w:r>
        <w:rPr>
          <w:rFonts w:ascii="IRNazanin" w:hAnsi="IRNazanin" w:eastAsia="IRNazanin"/>
          <w:b w:val="false"/>
          <w:b w:val="false"/>
          <w:bCs w:val="false"/>
          <w:i w:val="false"/>
          <w:i w:val="false"/>
          <w:iCs w:val="false"/>
          <w:color w:val="333333"/>
          <w:sz w:val="20"/>
          <w:sz w:val="20"/>
          <w:szCs w:val="20"/>
          <w:rtl w:val="true"/>
        </w:rPr>
        <w:t>؛ النهاية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5/515</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أحاديث الأنبياء، الحديث </w:t>
      </w:r>
      <w:r>
        <w:rPr>
          <w:rFonts w:eastAsia="IRNazanin" w:cs="IRNazanin"/>
          <w:b w:val="false"/>
          <w:bCs w:val="false"/>
          <w:i w:val="false"/>
          <w:iCs w:val="false"/>
          <w:color w:val="333333"/>
          <w:sz w:val="20"/>
          <w:szCs w:val="20"/>
        </w:rPr>
        <w:t>3465</w:t>
      </w:r>
      <w:r>
        <w:rPr>
          <w:rFonts w:ascii="IRNazanin" w:hAnsi="IRNazanin" w:eastAsia="IRNazanin"/>
          <w:b w:val="false"/>
          <w:b w:val="false"/>
          <w:bCs w:val="false"/>
          <w:i w:val="false"/>
          <w:i w:val="false"/>
          <w:iCs w:val="false"/>
          <w:color w:val="333333"/>
          <w:sz w:val="20"/>
          <w:sz w:val="20"/>
          <w:szCs w:val="20"/>
          <w:rtl w:val="true"/>
        </w:rPr>
        <w:t xml:space="preserve">؛ وكتاب البيوع، الحديث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3/249</w:t>
      </w:r>
      <w:r>
        <w:rPr>
          <w:rFonts w:ascii="IRNazanin" w:hAnsi="IRNazanin" w:eastAsia="IRNazanin"/>
          <w:b w:val="false"/>
          <w:b w:val="false"/>
          <w:bCs w:val="false"/>
          <w:i w:val="false"/>
          <w:i w:val="false"/>
          <w:iCs w:val="false"/>
          <w:color w:val="333333"/>
          <w:sz w:val="20"/>
          <w:sz w:val="20"/>
          <w:szCs w:val="20"/>
          <w:rtl w:val="true"/>
        </w:rPr>
        <w:t>، في تفسير نفس الآية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كتاب الصلاة، الحديث </w:t>
      </w:r>
      <w:r>
        <w:rPr>
          <w:rFonts w:eastAsia="IRNazanin" w:cs="IRNazanin"/>
          <w:b w:val="false"/>
          <w:bCs w:val="false"/>
          <w:i w:val="false"/>
          <w:iCs w:val="false"/>
          <w:color w:val="333333"/>
          <w:sz w:val="20"/>
          <w:szCs w:val="20"/>
        </w:rPr>
        <w:t>384/735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كتاب الجنائز، الحديث رقم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شرح 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الأسفار لصدر المتألهين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كتاب المغازي، الحديث رقم </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كتاب الجنائز؛ وانظر صفحة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كتاب الجنائز،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4/656</w:t>
      </w:r>
      <w:r>
        <w:rPr>
          <w:rFonts w:ascii="IRNazanin" w:hAnsi="IRNazanin" w:eastAsia="IRNazanin"/>
          <w:b w:val="false"/>
          <w:b w:val="false"/>
          <w:bCs w:val="false"/>
          <w:i w:val="false"/>
          <w:i w:val="false"/>
          <w:iCs w:val="false"/>
          <w:color w:val="333333"/>
          <w:sz w:val="20"/>
          <w:sz w:val="20"/>
          <w:szCs w:val="20"/>
          <w:rtl w:val="true"/>
        </w:rPr>
        <w:t>؛ ولاحظ الروض الأنف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الحلبي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زيني دحلان في هامش سيرة الحلبي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قسم الخطب، الخطبة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المواهب اللدنية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4/583</w:t>
      </w:r>
      <w:r>
        <w:rPr>
          <w:rFonts w:ascii="IRNazanin" w:hAnsi="IRNazanin" w:eastAsia="IRNazanin"/>
          <w:b w:val="false"/>
          <w:b w:val="false"/>
          <w:bCs w:val="false"/>
          <w:i w:val="false"/>
          <w:i w:val="false"/>
          <w:iCs w:val="false"/>
          <w:color w:val="333333"/>
          <w:sz w:val="20"/>
          <w:sz w:val="20"/>
          <w:szCs w:val="20"/>
          <w:rtl w:val="true"/>
        </w:rPr>
        <w:t>؛ وفاء الوفا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4/1361</w:t>
      </w:r>
      <w:r>
        <w:rPr>
          <w:rFonts w:ascii="IRNazanin" w:hAnsi="IRNazanin" w:eastAsia="IRNazanin"/>
          <w:b w:val="false"/>
          <w:b w:val="false"/>
          <w:bCs w:val="false"/>
          <w:i w:val="false"/>
          <w:i w:val="false"/>
          <w:iCs w:val="false"/>
          <w:color w:val="333333"/>
          <w:sz w:val="20"/>
          <w:sz w:val="20"/>
          <w:szCs w:val="20"/>
          <w:rtl w:val="true"/>
        </w:rPr>
        <w:t>؛ 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وغيرها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وانظر أيضاً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4/1361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بتعريف حقوق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المحقّقون لكتاب الشفا وفي هذا الحديث ردّ على من قال بأنّ استقبال القبر الشريف في الدعاء عند الزيارة أمر منكر لم يقل به أحد إلّافي حكاية مفتراة على الإمام مالك يعني هذه القصة وقد أوردها المؤلف له القاضي عياض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وللّه الحمد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صحيح وذكر أنّه تلقاها من عدّة من ثقات مشايخه فهذا مذهب مالك وأحمد والشافعي رضي اللّه عنهم في استحباب استقبال القبر الشريف في الدعاء وهو مسطّر في كتبهم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 إلى حقيقة التوسل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 إلى حقيقة التوسل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 لابن القيّم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 إلى حقيقة التوسل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التبرّك والتوسل والصلح مع العدوالصهيوني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النوع من الدليل عندهم يُستدل به في كل مورد يرونه حراماً، أو بدعة أو شركاً، ولا يختص بمورد واحد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كتاب الدعوات، الباب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3578</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 من المصادر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الرسائل والمسائل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 إلى حقيقة التوسل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 في مفهومها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ط بغداد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ما أُسند إلى عثمان بن حنيف، برقم </w:t>
      </w:r>
      <w:r>
        <w:rPr>
          <w:rFonts w:eastAsia="IRNazanin" w:cs="IRNazanin"/>
          <w:b w:val="false"/>
          <w:bCs w:val="false"/>
          <w:i w:val="false"/>
          <w:iCs w:val="false"/>
          <w:color w:val="333333"/>
          <w:sz w:val="20"/>
          <w:szCs w:val="20"/>
        </w:rPr>
        <w:t>8310</w:t>
      </w:r>
      <w:r>
        <w:rPr>
          <w:rFonts w:ascii="IRNazanin" w:hAnsi="IRNazanin" w:eastAsia="IRNazanin"/>
          <w:b w:val="false"/>
          <w:b w:val="false"/>
          <w:bCs w:val="false"/>
          <w:i w:val="false"/>
          <w:i w:val="false"/>
          <w:iCs w:val="false"/>
          <w:color w:val="333333"/>
          <w:sz w:val="20"/>
          <w:sz w:val="20"/>
          <w:szCs w:val="20"/>
          <w:rtl w:val="true"/>
        </w:rPr>
        <w:t>، والمعجم الصغير له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 إلى حقيقة التوسل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وفي المعجم الصغير له أصبغ بن الفرج مكان أصبغ بن فرح</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على حال روح بن صلاح المصري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المجموعة التي تضم بعض أدعية الإمام علي أمير المؤمنين عليه السلام جمعها الشيخ عبد اللّه السماهيجي</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دعاء الإمام الحسين عليه السلام في عرفات، يوم عرفة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بعض أدعية الإمام زين العابدين عليه السلام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2/494</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باب صلاة الاستسقاء</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جريدة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12799</w:t>
      </w:r>
      <w:r>
        <w:rPr>
          <w:rFonts w:ascii="IRNazanin" w:hAnsi="IRNazanin" w:eastAsia="IRNazanin"/>
          <w:b w:val="false"/>
          <w:b w:val="false"/>
          <w:bCs w:val="false"/>
          <w:i w:val="false"/>
          <w:i w:val="false"/>
          <w:iCs w:val="false"/>
          <w:color w:val="333333"/>
          <w:sz w:val="20"/>
          <w:sz w:val="20"/>
          <w:szCs w:val="20"/>
          <w:rtl w:val="true"/>
        </w:rPr>
        <w:t xml:space="preserve">، يوم الأحد الثاني من شوال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الولاية في طرق الحديث، للحافظ أبي جعفر محمد بن جريرالطبري</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تحقيق الدكتور إحسان عباس</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التنجيم والاشراف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ثمار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إرسال هذه المقالة في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سنذكر مصدره تحت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 في أنساب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المحمدية والنسبة الهاشمية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نسخة مصورة في مجلة الموسم، ع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479/20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الثمين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النفحة العنبرية النسخة مصورة عن نسخة المجمع العلمي العراقي</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المجتمعة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النبوية في نسب خير البرية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المشجر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جوهرة الكلام في مدح السادة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 بهامش مشارق الأنوار للحمزاوي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الجواهر المضيئة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دار الكتاب العربي؛ محاسن الاصطلاح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دار الكتب العلمية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كشاف اصطلاحات الفنون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دار صادر، بيروت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الشهيد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 الراشحة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كليات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المنيف، لابن قيم الجوزية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كتاب القضاء،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في علم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عقائد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أُصول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بطوطة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7/171</w:t>
      </w:r>
      <w:r>
        <w:rPr>
          <w:rFonts w:ascii="IRNazanin" w:hAnsi="IRNazanin" w:eastAsia="IRNazanin"/>
          <w:b w:val="false"/>
          <w:b w:val="false"/>
          <w:bCs w:val="false"/>
          <w:i w:val="false"/>
          <w:i w:val="false"/>
          <w:iCs w:val="false"/>
          <w:color w:val="333333"/>
          <w:sz w:val="20"/>
          <w:sz w:val="20"/>
          <w:szCs w:val="20"/>
          <w:rtl w:val="true"/>
        </w:rPr>
        <w:t>، باب فضائل أبي سفيان بن حرب</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المعلم بفوائد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للقاضي عياض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18/296</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4/245</w:t>
      </w:r>
      <w:r>
        <w:rPr>
          <w:rFonts w:ascii="IRNazanin" w:hAnsi="IRNazanin" w:eastAsia="IRNazanin"/>
          <w:b w:val="false"/>
          <w:b w:val="false"/>
          <w:bCs w:val="false"/>
          <w:i w:val="false"/>
          <w:i w:val="false"/>
          <w:iCs w:val="false"/>
          <w:color w:val="333333"/>
          <w:sz w:val="20"/>
          <w:sz w:val="20"/>
          <w:szCs w:val="20"/>
          <w:rtl w:val="true"/>
        </w:rPr>
        <w:t>؛ 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w:t>
      </w:r>
      <w:r>
        <w:rPr>
          <w:rFonts w:ascii="IRNazanin" w:hAnsi="IRNazanin" w:eastAsia="IRNazanin"/>
          <w:b w:val="false"/>
          <w:b w:val="false"/>
          <w:bCs w:val="false"/>
          <w:i w:val="false"/>
          <w:i w:val="false"/>
          <w:iCs w:val="false"/>
          <w:color w:val="333333"/>
          <w:sz w:val="20"/>
          <w:sz w:val="20"/>
          <w:szCs w:val="20"/>
          <w:rtl w:val="true"/>
        </w:rPr>
        <w:t>؛ المغازي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من يوم القرّ اليوم الحادي عشر من ذي الحجّة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للحلبي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وجاء مثله في؛ السيرة النبويّة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4/337</w:t>
      </w:r>
      <w:r>
        <w:rPr>
          <w:rFonts w:ascii="IRNazanin" w:hAnsi="IRNazanin" w:eastAsia="IRNazanin"/>
          <w:b w:val="false"/>
          <w:b w:val="false"/>
          <w:bCs w:val="false"/>
          <w:i w:val="false"/>
          <w:i w:val="false"/>
          <w:iCs w:val="false"/>
          <w:color w:val="333333"/>
          <w:sz w:val="20"/>
          <w:sz w:val="20"/>
          <w:szCs w:val="20"/>
          <w:rtl w:val="true"/>
        </w:rPr>
        <w:t>، وإمتاع الأسماع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ونيل الأوطار للشوكاني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3/307</w:t>
      </w:r>
      <w:r>
        <w:rPr>
          <w:rFonts w:ascii="IRNazanin" w:hAnsi="IRNazanin" w:eastAsia="IRNazanin"/>
          <w:b w:val="false"/>
          <w:b w:val="false"/>
          <w:bCs w:val="false"/>
          <w:i w:val="false"/>
          <w:i w:val="false"/>
          <w:iCs w:val="false"/>
          <w:color w:val="333333"/>
          <w:sz w:val="20"/>
          <w:sz w:val="20"/>
          <w:szCs w:val="20"/>
          <w:rtl w:val="true"/>
        </w:rPr>
        <w:t>، والسيرة النبويّة للحلبي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5/180</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حبل المشاة بين 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طريقهم الّذي يسلكونه في 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أرادصفّهم ومجتمعهم في مشيهم تشبيهاً بحبل الرمل</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2/726</w:t>
      </w:r>
      <w:r>
        <w:rPr>
          <w:rFonts w:ascii="IRNazanin" w:hAnsi="IRNazanin" w:eastAsia="IRNazanin"/>
          <w:b w:val="false"/>
          <w:b w:val="false"/>
          <w:bCs w:val="false"/>
          <w:i w:val="false"/>
          <w:i w:val="false"/>
          <w:iCs w:val="false"/>
          <w:color w:val="333333"/>
          <w:sz w:val="20"/>
          <w:sz w:val="20"/>
          <w:szCs w:val="20"/>
          <w:rtl w:val="true"/>
        </w:rPr>
        <w:t>؛ ونحوه في 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ورواه ابن المغازلي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وعنه في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ورواه ابن عساكر في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32/294</w:t>
      </w:r>
      <w:r>
        <w:rPr>
          <w:rFonts w:ascii="IRNazanin" w:hAnsi="IRNazanin" w:eastAsia="IRNazanin"/>
          <w:b w:val="false"/>
          <w:b w:val="false"/>
          <w:bCs w:val="false"/>
          <w:i w:val="false"/>
          <w:i w:val="false"/>
          <w:iCs w:val="false"/>
          <w:color w:val="333333"/>
          <w:sz w:val="20"/>
          <w:sz w:val="20"/>
          <w:szCs w:val="20"/>
          <w:rtl w:val="true"/>
        </w:rPr>
        <w:t xml:space="preserve">، ونحوه في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2/726</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2/1022</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فتح الباري في شرح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4/2260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و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74/118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 جمهرة خطب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والسيرة النبويّة للحلبي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3/327</w:t>
      </w:r>
      <w:r>
        <w:rPr>
          <w:rFonts w:ascii="IRNazanin" w:hAnsi="IRNazanin" w:eastAsia="IRNazanin"/>
          <w:b w:val="false"/>
          <w:b w:val="false"/>
          <w:bCs w:val="false"/>
          <w:i w:val="false"/>
          <w:i w:val="false"/>
          <w:iCs w:val="false"/>
          <w:color w:val="333333"/>
          <w:sz w:val="20"/>
          <w:sz w:val="20"/>
          <w:szCs w:val="20"/>
          <w:rtl w:val="true"/>
        </w:rPr>
        <w:t>؛ والسنن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8/111</w:t>
      </w:r>
      <w:r>
        <w:rPr>
          <w:rFonts w:ascii="IRNazanin" w:hAnsi="IRNazanin" w:eastAsia="IRNazanin"/>
          <w:b w:val="false"/>
          <w:b w:val="false"/>
          <w:bCs w:val="false"/>
          <w:i w:val="false"/>
          <w:i w:val="false"/>
          <w:iCs w:val="false"/>
          <w:color w:val="333333"/>
          <w:sz w:val="20"/>
          <w:sz w:val="20"/>
          <w:szCs w:val="20"/>
          <w:rtl w:val="true"/>
        </w:rPr>
        <w:t>؛ ودلائل النبوّة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وتفسير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فأجابه عزوجل</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7/257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وعنه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96/49</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ورواه الشجري في أماليه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ونحوه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9/127</w:t>
      </w:r>
      <w:r>
        <w:rPr>
          <w:rFonts w:ascii="IRNazanin" w:hAnsi="IRNazanin" w:eastAsia="IRNazanin"/>
          <w:b w:val="false"/>
          <w:b w:val="false"/>
          <w:bCs w:val="false"/>
          <w:i w:val="false"/>
          <w:i w:val="false"/>
          <w:iCs w:val="false"/>
          <w:color w:val="333333"/>
          <w:sz w:val="20"/>
          <w:sz w:val="20"/>
          <w:szCs w:val="20"/>
          <w:rtl w:val="true"/>
        </w:rPr>
        <w:t>؛ 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باب الخطبة أوسط أيّام التشريق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96/301</w:t>
      </w:r>
      <w:r>
        <w:rPr>
          <w:rFonts w:ascii="IRNazanin" w:hAnsi="IRNazanin" w:eastAsia="IRNazanin"/>
          <w:b w:val="false"/>
          <w:b w:val="false"/>
          <w:bCs w:val="false"/>
          <w:i w:val="false"/>
          <w:i w:val="false"/>
          <w:iCs w:val="false"/>
          <w:color w:val="333333"/>
          <w:sz w:val="20"/>
          <w:sz w:val="20"/>
          <w:szCs w:val="20"/>
          <w:rtl w:val="true"/>
        </w:rPr>
        <w:t>؛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7/308</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8/274</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خطب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خطبة النبيّ صلى الله عليه و آله بالخيف،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ونحوه في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47/365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محاضرة الأبرار ومسامرة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52/262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الكريمة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جاءَ أَشْراطُها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الضالّة أُعيل عيلاً وعيلاناً فأنا عائل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تدر أيّ وجهة تبغيها؛ عن أبي زيد، وقال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عالني الشيء يعيلني عيلاً ومعيلاً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أعجزك، والمراد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عجزنا عن فهم الثقلين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العمدة لابن البطريق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الطبري في كتاب الولاية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باسناده عن زيد بن أرقم، أنّ رسول اللّه صلى الله عليه و آله قال بعد خطبته تلك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أعطيناك على ذلك عهداً، عن أنفسنا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 ما قلت لكم، وسلّموا على عليّ بإمرة المؤمنين، وقولوا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هدانا لهذا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ما نقله العلّامة المجلسي عن واقعة الغدير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المآل في عدّ مناقب الآل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كثير في تاريخه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رأيت له كتاباً جمع فيه أحاديث غدير خم في مجلدين ضخمين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للعلّامة الأميني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العالمين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لأهل الخلوة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أسنى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المعتصر من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المرقاة في شرح المشكاة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النواقض للروافض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والتعريف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الصلات الفاخرة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 في هامش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أسنى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المؤمنين في مناقب أهل بيت سيد المرسلين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تشنيف الآذان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الموسم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مهرجان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لندن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 هذا الكتاب موسوعة شاملة لكل ما يتعلّق بخطبة النبي صلى الله عليه و آله في غدير خم في اليوم الثامن عشر من ذي الحجة الحرام عام 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شامل لمناقشات تتعلّق بأسانيد الخطبة ودلالتها وما تثبته وتنفيه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4/177</w:t>
      </w:r>
      <w:r>
        <w:rPr>
          <w:rFonts w:ascii="IRNazanin" w:hAnsi="IRNazanin" w:eastAsia="IRNazanin"/>
          <w:b w:val="false"/>
          <w:b w:val="false"/>
          <w:bCs w:val="false"/>
          <w:i w:val="false"/>
          <w:i w:val="false"/>
          <w:iCs w:val="false"/>
          <w:color w:val="333333"/>
          <w:sz w:val="20"/>
          <w:sz w:val="20"/>
          <w:szCs w:val="20"/>
          <w:rtl w:val="true"/>
        </w:rPr>
        <w:t xml:space="preserve">، في تفسير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من كتاب الصوم،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572/1</w:t>
      </w:r>
      <w:r>
        <w:rPr>
          <w:rFonts w:ascii="IRNazanin" w:hAnsi="IRNazanin" w:eastAsia="IRNazanin"/>
          <w:b w:val="false"/>
          <w:b w:val="false"/>
          <w:bCs w:val="false"/>
          <w:i w:val="false"/>
          <w:i w:val="false"/>
          <w:iCs w:val="false"/>
          <w:color w:val="333333"/>
          <w:sz w:val="20"/>
          <w:sz w:val="20"/>
          <w:szCs w:val="20"/>
          <w:rtl w:val="true"/>
        </w:rPr>
        <w:t>، رقم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ونسبه في الهامش إلى 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واللباب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والمجموع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349/4</w:t>
      </w:r>
      <w:r>
        <w:rPr>
          <w:rFonts w:ascii="IRNazanin" w:hAnsi="IRNazanin" w:eastAsia="IRNazanin"/>
          <w:b w:val="false"/>
          <w:b w:val="false"/>
          <w:bCs w:val="false"/>
          <w:i w:val="false"/>
          <w:i w:val="false"/>
          <w:iCs w:val="false"/>
          <w:color w:val="333333"/>
          <w:sz w:val="20"/>
          <w:sz w:val="20"/>
          <w:szCs w:val="20"/>
          <w:rtl w:val="true"/>
        </w:rPr>
        <w:t>، وبداية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الفقهية الكويتية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الينابيع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طبع النشر الإسلامي</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3/330</w:t>
      </w:r>
      <w:r>
        <w:rPr>
          <w:rFonts w:ascii="IRNazanin" w:hAnsi="IRNazanin" w:eastAsia="IRNazanin"/>
          <w:b w:val="false"/>
          <w:b w:val="false"/>
          <w:bCs w:val="false"/>
          <w:i w:val="false"/>
          <w:i w:val="false"/>
          <w:iCs w:val="false"/>
          <w:color w:val="333333"/>
          <w:sz w:val="20"/>
          <w:sz w:val="20"/>
          <w:szCs w:val="20"/>
          <w:rtl w:val="true"/>
        </w:rPr>
        <w:t xml:space="preserve">، كتاب الشركة،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3/330</w:t>
      </w:r>
      <w:r>
        <w:rPr>
          <w:rFonts w:ascii="IRNazanin" w:hAnsi="IRNazanin" w:eastAsia="IRNazanin"/>
          <w:b w:val="false"/>
          <w:b w:val="false"/>
          <w:bCs w:val="false"/>
          <w:i w:val="false"/>
          <w:i w:val="false"/>
          <w:iCs w:val="false"/>
          <w:color w:val="333333"/>
          <w:sz w:val="20"/>
          <w:sz w:val="20"/>
          <w:szCs w:val="20"/>
          <w:rtl w:val="true"/>
        </w:rPr>
        <w:t xml:space="preserve">، كتاب الشركة،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ناظر إلى القاعدة المعروفة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حاز 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رواياتنا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للعين ما رأت ولليد ما أخذت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تحقيق السيد محمد رضا الخرسان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26/296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المضاربة، تقريرات لأبحاث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26/296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ما رواه البيهقي في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باب الشركة في الغنيمة؛ والدارقطني في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ضعيف لوجود الانقطاع بين أبي عبيدة وأبيه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لا يروي عن أبيه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إرواء الغليل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5/295</w:t>
      </w:r>
      <w:r>
        <w:rPr>
          <w:rFonts w:ascii="IRNazanin" w:hAnsi="IRNazanin" w:eastAsia="IRNazanin"/>
          <w:b w:val="false"/>
          <w:b w:val="false"/>
          <w:bCs w:val="false"/>
          <w:i w:val="false"/>
          <w:i w:val="false"/>
          <w:iCs w:val="false"/>
          <w:color w:val="333333"/>
          <w:sz w:val="20"/>
          <w:sz w:val="20"/>
          <w:szCs w:val="20"/>
          <w:rtl w:val="true"/>
        </w:rPr>
        <w:t>؛ 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برقم </w:t>
      </w:r>
      <w:r>
        <w:rPr>
          <w:rFonts w:eastAsia="IRNazanin" w:cs="IRNazanin"/>
          <w:b w:val="false"/>
          <w:bCs w:val="false"/>
          <w:i w:val="false"/>
          <w:iCs w:val="false"/>
          <w:color w:val="333333"/>
          <w:sz w:val="20"/>
          <w:szCs w:val="20"/>
        </w:rPr>
        <w:t>3388</w:t>
      </w:r>
      <w:r>
        <w:rPr>
          <w:rFonts w:ascii="IRNazanin" w:hAnsi="IRNazanin" w:eastAsia="IRNazanin"/>
          <w:b w:val="false"/>
          <w:b w:val="false"/>
          <w:bCs w:val="false"/>
          <w:i w:val="false"/>
          <w:i w:val="false"/>
          <w:iCs w:val="false"/>
          <w:color w:val="333333"/>
          <w:sz w:val="20"/>
          <w:sz w:val="20"/>
          <w:szCs w:val="20"/>
          <w:rtl w:val="true"/>
        </w:rPr>
        <w:t xml:space="preserve">، وابن ماجة برقم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 أيضاً مثل السابق منقطع، لأنّ أبا عبيدة لا يروي عن أبيه شيئاً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أحكام الشركة،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 بمصباح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 في مشكلات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3/209</w:t>
      </w:r>
      <w:r>
        <w:rPr>
          <w:rFonts w:ascii="IRNazanin" w:hAnsi="IRNazanin" w:eastAsia="IRNazanin"/>
          <w:b w:val="false"/>
          <w:b w:val="false"/>
          <w:bCs w:val="false"/>
          <w:i w:val="false"/>
          <w:i w:val="false"/>
          <w:iCs w:val="false"/>
          <w:color w:val="333333"/>
          <w:sz w:val="20"/>
          <w:sz w:val="20"/>
          <w:szCs w:val="20"/>
          <w:rtl w:val="true"/>
        </w:rPr>
        <w:t>؛ الأنوار اللوامع في شرح 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28/90</w:t>
      </w:r>
      <w:r>
        <w:rPr>
          <w:rFonts w:ascii="IRNazanin" w:hAnsi="IRNazanin" w:eastAsia="IRNazanin"/>
          <w:b w:val="false"/>
          <w:b w:val="false"/>
          <w:bCs w:val="false"/>
          <w:i w:val="false"/>
          <w:i w:val="false"/>
          <w:iCs w:val="false"/>
          <w:color w:val="333333"/>
          <w:sz w:val="20"/>
          <w:sz w:val="20"/>
          <w:szCs w:val="20"/>
          <w:rtl w:val="true"/>
        </w:rPr>
        <w:t>؛ تكملة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تحرير المجلة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القسم الثالث</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إشارة إلى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وهكذابقية الروايات الموجودة في هذه الرسالة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ولاحظ أيضاً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التشريع الإسلامي للدكتور شعبان محمد إسماعيل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السلفية مرحلة مباركة لا مذهب 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4/126</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 للقرطبي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باب فضل من قام رمضان</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باب استحباب صلاة النافلة في بيته و جوازها في المسجد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5/474</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تحرير هذه المقالة بتاريخ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المكرّم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الحلال والحرام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باب ما يكره من التبتل والخصاء، من كتاب النكاح</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تَمَتَّعَ بِالْعُمْرَةِ إِلَى الْحَجِّ‌</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w:t>
      </w:r>
      <w:r>
        <w:rPr>
          <w:rFonts w:ascii="IRNazanin" w:hAnsi="IRNazanin" w:eastAsia="IRNazanin"/>
          <w:b w:val="false"/>
          <w:b w:val="false"/>
          <w:bCs w:val="false"/>
          <w:i w:val="false"/>
          <w:i w:val="false"/>
          <w:iCs w:val="false"/>
          <w:color w:val="333333"/>
          <w:sz w:val="20"/>
          <w:sz w:val="20"/>
          <w:szCs w:val="20"/>
          <w:rtl w:val="true"/>
        </w:rPr>
        <w:t>، باب نكاح المتعة من كتاب النكاح</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باب نكاح المتعة من كتاب النكاح</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باب نكاح المتعة من كتاب النكاح</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وللكلام صلة جاء فيها نظر الطائفة الثانية فلاحظ</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تحرير هذه المقالة بتاريخ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المكرم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الحلال والحرام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تحرير هذه المقالة بتاريخ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المكرم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الحلال والحرام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النكاح المحرم،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النكاح المحرم،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تحرير هذه المقالة بتاريخ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الحرام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الحلال والحرام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الغناء والموسيقى في ضوء القرآن والسنة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الموسوعة الفقهية الكويتية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استماع، وقد ذكرت فيها المصادر بالتفصيل</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5/252</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 مصنف 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التفاسير المختلفة حول هذه الآية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الجامع لأحكام القرآن للقرطبي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17/80</w:t>
      </w:r>
      <w:r>
        <w:rPr>
          <w:rFonts w:ascii="IRNazanin" w:hAnsi="IRNazanin" w:eastAsia="IRNazanin"/>
          <w:b w:val="false"/>
          <w:b w:val="false"/>
          <w:bCs w:val="false"/>
          <w:i w:val="false"/>
          <w:i w:val="false"/>
          <w:iCs w:val="false"/>
          <w:color w:val="333333"/>
          <w:sz w:val="20"/>
          <w:sz w:val="20"/>
          <w:szCs w:val="20"/>
          <w:rtl w:val="true"/>
        </w:rPr>
        <w:t>؛ ولاحظ سائر التفاسير في تفسير هذه الآية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5268</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المجموع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آلات الطرب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المعاجم اللغوية،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كوب</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22480</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3690</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259/5</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185/7</w:t>
      </w:r>
      <w:r>
        <w:rPr>
          <w:rFonts w:ascii="IRNazanin" w:hAnsi="IRNazanin" w:eastAsia="IRNazanin"/>
          <w:b w:val="false"/>
          <w:b w:val="false"/>
          <w:bCs w:val="false"/>
          <w:i w:val="false"/>
          <w:i w:val="false"/>
          <w:iCs w:val="false"/>
          <w:color w:val="333333"/>
          <w:sz w:val="20"/>
          <w:sz w:val="20"/>
          <w:szCs w:val="20"/>
          <w:rtl w:val="true"/>
        </w:rPr>
        <w:t>، باب فضل الصحابة، أخرجه عن أبي هريرة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8019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تحرير هذه الرسالة بتاريخ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26/79</w:t>
      </w:r>
      <w:r>
        <w:rPr>
          <w:rFonts w:ascii="IRNazanin" w:hAnsi="IRNazanin" w:eastAsia="IRNazanin"/>
          <w:b w:val="false"/>
          <w:b w:val="false"/>
          <w:bCs w:val="false"/>
          <w:i w:val="false"/>
          <w:i w:val="false"/>
          <w:iCs w:val="false"/>
          <w:color w:val="333333"/>
          <w:sz w:val="20"/>
          <w:sz w:val="20"/>
          <w:szCs w:val="20"/>
          <w:rtl w:val="true"/>
        </w:rPr>
        <w:t>، كتاب الديات</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ولاحظ بقية الروايات في نفس المصدر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انعقد حفل علمي للتعرف على فقه أهل البيت عليهم السلام سنة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نور محمد، فاطمة الزهراء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xml:space="preserve">، باب فضائل أهل بيت النبي صلى الله عليه و آله، دار ابن حزم،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تفسير سورة الأحزاب</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رقم </w:t>
      </w:r>
      <w:r>
        <w:rPr>
          <w:rFonts w:eastAsia="IRNazanin" w:cs="IRNazanin"/>
          <w:b w:val="false"/>
          <w:bCs w:val="false"/>
          <w:i w:val="false"/>
          <w:iCs w:val="false"/>
          <w:color w:val="333333"/>
          <w:sz w:val="20"/>
          <w:szCs w:val="20"/>
        </w:rPr>
        <w:t>6119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برقم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برقم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الخطبة 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 الخطبة 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120/10</w:t>
      </w:r>
      <w:r>
        <w:rPr>
          <w:rFonts w:ascii="IRNazanin" w:hAnsi="IRNazanin" w:eastAsia="IRNazanin"/>
          <w:b w:val="false"/>
          <w:b w:val="false"/>
          <w:bCs w:val="false"/>
          <w:i w:val="false"/>
          <w:i w:val="false"/>
          <w:iCs w:val="false"/>
          <w:color w:val="333333"/>
          <w:sz w:val="20"/>
          <w:sz w:val="20"/>
          <w:szCs w:val="20"/>
          <w:rtl w:val="true"/>
        </w:rPr>
        <w:t xml:space="preserve">، الترجمة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الأمارة، برقم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باب مناقب المهاجرين وفضلهم؛ وإرشاد الساري للقسطلاني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431/5</w:t>
      </w:r>
      <w:r>
        <w:rPr>
          <w:rFonts w:ascii="IRNazanin" w:hAnsi="IRNazanin" w:eastAsia="IRNazanin"/>
          <w:b w:val="false"/>
          <w:b w:val="false"/>
          <w:bCs w:val="false"/>
          <w:i w:val="false"/>
          <w:i w:val="false"/>
          <w:iCs w:val="false"/>
          <w:color w:val="333333"/>
          <w:sz w:val="20"/>
          <w:sz w:val="20"/>
          <w:szCs w:val="20"/>
          <w:rtl w:val="true"/>
        </w:rPr>
        <w:t>؛ و شرح صحيح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الكوثري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فكرة التقريب بين المذاهب</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الكوثري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اللامذهبية قنطرة اللادينية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94/27</w:t>
      </w:r>
      <w:r>
        <w:rPr>
          <w:rFonts w:ascii="IRNazanin" w:hAnsi="IRNazanin" w:eastAsia="IRNazanin"/>
          <w:b w:val="false"/>
          <w:b w:val="false"/>
          <w:bCs w:val="false"/>
          <w:i w:val="false"/>
          <w:i w:val="false"/>
          <w:iCs w:val="false"/>
          <w:color w:val="333333"/>
          <w:sz w:val="20"/>
          <w:sz w:val="20"/>
          <w:szCs w:val="20"/>
          <w:rtl w:val="true"/>
        </w:rPr>
        <w:t>،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الزكية، ليس من أئمة أهل البيت عند الإمامية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المذاهب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الصلة بين التصوّف والتشيّع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باب الرد إلى الكتاب والسنة،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xml:space="preserve">، الحديث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الصيام، الحديث رقم </w:t>
      </w:r>
      <w:r>
        <w:rPr>
          <w:rFonts w:eastAsia="IRNazanin" w:cs="IRNazanin"/>
          <w:b w:val="false"/>
          <w:bCs w:val="false"/>
          <w:i w:val="false"/>
          <w:iCs w:val="false"/>
          <w:color w:val="333333"/>
          <w:sz w:val="20"/>
          <w:szCs w:val="20"/>
        </w:rPr>
        <w:t>24840</w:t>
      </w:r>
      <w:r>
        <w:rPr>
          <w:rFonts w:ascii="IRNazanin" w:hAnsi="IRNazanin" w:eastAsia="IRNazanin"/>
          <w:b w:val="false"/>
          <w:b w:val="false"/>
          <w:bCs w:val="false"/>
          <w:i w:val="false"/>
          <w:i w:val="false"/>
          <w:iCs w:val="false"/>
          <w:color w:val="333333"/>
          <w:sz w:val="20"/>
          <w:sz w:val="20"/>
          <w:szCs w:val="20"/>
          <w:rtl w:val="true"/>
        </w:rPr>
        <w:t>، بتلخيص</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طبعة آل البيت عليهم السلام</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 المقارن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و إرشاد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دعايات الوهابيين التي تطرح من قبل البعض في مقبرة البقيع، على أسماع حجاج بيت اللّه الحرام و زائري قبر رسول اللّه صلى الله عليه و آله وأهل بيته عليهم السلام</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208/4</w:t>
      </w:r>
      <w:r>
        <w:rPr>
          <w:rFonts w:ascii="IRNazanin" w:hAnsi="IRNazanin" w:eastAsia="IRNazanin"/>
          <w:b w:val="false"/>
          <w:b w:val="false"/>
          <w:bCs w:val="false"/>
          <w:i w:val="false"/>
          <w:i w:val="false"/>
          <w:iCs w:val="false"/>
          <w:color w:val="333333"/>
          <w:sz w:val="20"/>
          <w:sz w:val="20"/>
          <w:szCs w:val="20"/>
          <w:rtl w:val="true"/>
        </w:rPr>
        <w:t xml:space="preserve">، كتاب الأنبياء،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الاثنا عشرية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والوسيلة، لابن شمسية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انظر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والمذاهب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أبواب أحكام العيوب،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للفخر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298/56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 الطوسي،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نقلاً عن ابن بسام</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التدوين في أخبار قزوين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 للقوشجي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نقلاً عن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المجلد الثاني،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شعبان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محمود شكري الآلوسي البغدادي ابن السيد عبداللّه ابن المفسر الشهير السيد محمود شهاب الدين أبي الثناء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المعاني في تفسير القرآن العظيم والسبع المثاني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ولادته في بغداد في دار جدّه الكبير السيد أبي الثناء، المجاورة لجامع الشيخ العاقولي في محلة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الحيدرخانة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وموضعها في السنين الأخيرة مدرسة التفيض، وكانت هذه المحلة تعرف في أيام العباسيين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 فراشا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 الخبازين</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والثانية</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الثالث من السنة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وليست هذه الرسالة، الرسالة الوحيدة الّتي تم تبادلها بين شيخي السنّة والشيعة، بل ثمّة رسالة أُخرى كتبها الشيخ عبد المجيد سليم إلى السيد في جواب رسالة شفوية حملها إليه الأمين العام لدار التقريب، وقد نُشر الجواب على صفحات مجلة رسالة الإسلام العدد الثاني من السنة الرابعة عام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الثالث من السنة الثالثة</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نشير إلى أنّ جل علماء الشيعة الإمامية عن بكرة أبيهم اقتداءً بأئمة أهل البيت عليهم السلام ينفون وقوع التحريف في القرآن الكريم وما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إمّا روايات ضعاف، رفضها أئمة الحديث، أو وردت لغاية التفسير لا أنّها جزء من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 هذه الروايات موجودة أيضاً في كتب الفريقين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ننزه الفريقين من القول به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رسالة الإسلام، السنة الحادية عشرة، العدد الثالث</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الإسلام، السنة الثامنة، العدد الأوّل</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كتاب الجنائز؛ وسنن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باب ما جاء في تسوية القبور؛ وسنن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باب تسوية القبر</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النووي على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الطبعة الثالثة، طبعة دار إحياء التراث العربي</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والجواهر للشعراني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الكلمات القصار، برقم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كتاب المغازي</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مجمع الفقه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الشاعر المسيحيّ المفلق بولس سلامة، صاحب الملحمة الشعرية الرائعة في أهل البيت عليهم السلام</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6585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بمقدمة لسان الميزان، إعداد ودراسة محمد عبدالرحمن المرعشلي، الطبعة الأُولى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إحياء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القسطلاني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الخاضبة،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محمد بن أحمد بن عبدالباقي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مفيد بغداد في وقته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نقله المرعشلي عن كتاب 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إيقاظ الوسنان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 في نقد هذا الكتاب، طبع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الصادرة من كلية علوم الحديث في طهران،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9/319</w:t>
      </w:r>
      <w:r>
        <w:rPr>
          <w:rFonts w:ascii="IRNazanin" w:hAnsi="IRNazanin" w:eastAsia="IRNazanin"/>
          <w:b w:val="false"/>
          <w:b w:val="false"/>
          <w:bCs w:val="false"/>
          <w:i w:val="false"/>
          <w:i w:val="false"/>
          <w:iCs w:val="false"/>
          <w:color w:val="333333"/>
          <w:sz w:val="20"/>
          <w:sz w:val="20"/>
          <w:szCs w:val="20"/>
          <w:rtl w:val="true"/>
        </w:rPr>
        <w:t>، ولاحظ الدرر الكامنة 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وتقييد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تدوين السنة الشريفة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بوستان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وتقييد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باب رواية الكتب والحديث،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 الترجمة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للوقوف على التراث الإمامي المؤلف في القرون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تدوين السنة الشريفة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طبع دار الأضواء، بيروت، لبنان</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الخلاصة في الرجال للعلّامة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كتاب الاعتصام بالكتاب والسنّة، باب الاقتداء بسنن رسول اللّه صلى الله عليه و آله؛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باب تخفيف الصلاة والخطبة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بشرح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يجب أن تصحح، المالك العلوي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لطائف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3/149</w:t>
      </w:r>
      <w:r>
        <w:rPr>
          <w:rFonts w:ascii="IRNazanin" w:hAnsi="IRNazanin" w:eastAsia="IRNazanin"/>
          <w:b w:val="false"/>
          <w:b w:val="false"/>
          <w:bCs w:val="false"/>
          <w:i w:val="false"/>
          <w:i w:val="false"/>
          <w:iCs w:val="false"/>
          <w:color w:val="333333"/>
          <w:sz w:val="20"/>
          <w:sz w:val="20"/>
          <w:szCs w:val="20"/>
          <w:rtl w:val="true"/>
        </w:rPr>
        <w:t>، باب صوم يوم عاشوراء؛ وأخرجه البخاري في صحيحه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270/8</w:t>
      </w:r>
      <w:r>
        <w:rPr>
          <w:rFonts w:ascii="IRNazanin" w:hAnsi="IRNazanin" w:eastAsia="IRNazanin"/>
          <w:b w:val="false"/>
          <w:b w:val="false"/>
          <w:bCs w:val="false"/>
          <w:i w:val="false"/>
          <w:i w:val="false"/>
          <w:iCs w:val="false"/>
          <w:color w:val="333333"/>
          <w:sz w:val="20"/>
          <w:sz w:val="20"/>
          <w:szCs w:val="20"/>
          <w:rtl w:val="true"/>
        </w:rPr>
        <w:t xml:space="preserve">، كما أخرجه الترمذي في سننه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والروايات متضافرة على أنّ الآية نزلت في الثامن عشر من ذي الحجة في حجة الوداع في غدير خم</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المصدرين السابقين</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المأمول للدكتور عيسى بن مانع الحميري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xml:space="preserve">، في تفسير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جاؤُ بِالْإِفْكِ‌</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المؤلف</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ضعيفاً في الحديث لا ينافي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حسن المعرفة بالأخبار، لأنّ مراده بالحديث الحديث الديني وروايات الأحكام فلم يكن له فيها يد طولى، بخلاف الأخبار والسير والتاريخ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استندنا في بيان طبقته بروايته عن الإمام الجواد عليه السلام مع أنّ الشيخ عدّه من أصحاب الكاظم والرضا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لأنّنا لم نعثر له على رواية عنهما، حتّى أنّه لم ينقل عن الإمام الجواد عليه السلام إلّاروايتين</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3386</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الأعلام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الطبعة الأُولى</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3/455</w:t>
      </w:r>
      <w:r>
        <w:rPr>
          <w:rFonts w:ascii="IRNazanin" w:hAnsi="IRNazanin" w:eastAsia="IRNazanin"/>
          <w:b w:val="false"/>
          <w:b w:val="false"/>
          <w:bCs w:val="false"/>
          <w:i w:val="false"/>
          <w:i w:val="false"/>
          <w:iCs w:val="false"/>
          <w:color w:val="333333"/>
          <w:sz w:val="20"/>
          <w:sz w:val="20"/>
          <w:szCs w:val="20"/>
          <w:rtl w:val="true"/>
        </w:rPr>
        <w:t xml:space="preserve">، باب تقديم النوافل،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باب فضل القصد،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4/317</w:t>
      </w:r>
      <w:r>
        <w:rPr>
          <w:rFonts w:ascii="IRNazanin" w:hAnsi="IRNazanin" w:eastAsia="IRNazanin"/>
          <w:b w:val="false"/>
          <w:b w:val="false"/>
          <w:bCs w:val="false"/>
          <w:i w:val="false"/>
          <w:i w:val="false"/>
          <w:iCs w:val="false"/>
          <w:color w:val="333333"/>
          <w:sz w:val="20"/>
          <w:sz w:val="20"/>
          <w:szCs w:val="20"/>
          <w:rtl w:val="true"/>
        </w:rPr>
        <w:t xml:space="preserve">، باب من يشرك قرابته من كتاب الحج،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باب الحث على الطلب والتعرض للرزق،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معنى الأمانات،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النعم،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معنى الشجنة،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أسانيد كتاب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والعجب أنّ الأُستاذ حسين علي محفوظ، لم يذكره في مشايخ الكليني في تقديمه على كتاب الكافي، رغم كونه قد صار بصدد استقصائهم</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وفهرست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5766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7816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7830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7830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العسكري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يرو عنهم عليهم السلام</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سورة الحديد</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سورة المائدة</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سورة النور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20/68</w:t>
      </w:r>
      <w:r>
        <w:rPr>
          <w:rFonts w:ascii="IRNazanin" w:hAnsi="IRNazanin" w:eastAsia="IRNazanin"/>
          <w:b w:val="false"/>
          <w:b w:val="false"/>
          <w:bCs w:val="false"/>
          <w:i w:val="false"/>
          <w:i w:val="false"/>
          <w:iCs w:val="false"/>
          <w:color w:val="333333"/>
          <w:sz w:val="20"/>
          <w:sz w:val="20"/>
          <w:szCs w:val="20"/>
          <w:rtl w:val="true"/>
        </w:rPr>
        <w:t>، الفائدة السادسة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الثالثة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باب من لم يرو عنهم عليهم السلام، باب الميم 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باب من لم يرو عنهم عليهم السلام، باب الألف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8446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551/2</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باب من لم يرو عن الأئمّة، باب الميم 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الرقم </w:t>
      </w:r>
      <w:r>
        <w:rPr>
          <w:rFonts w:eastAsia="IRNazanin" w:cs="IRNazanin"/>
          <w:b w:val="false"/>
          <w:bCs w:val="false"/>
          <w:i w:val="false"/>
          <w:iCs w:val="false"/>
          <w:color w:val="333333"/>
          <w:sz w:val="20"/>
          <w:szCs w:val="20"/>
        </w:rPr>
        <w:t>8881</w:t>
      </w:r>
      <w:r>
        <w:rPr>
          <w:rFonts w:ascii="IRNazanin" w:hAnsi="IRNazanin" w:eastAsia="IRNazanin"/>
          <w:b w:val="false"/>
          <w:b w:val="false"/>
          <w:bCs w:val="false"/>
          <w:i w:val="false"/>
          <w:i w:val="false"/>
          <w:iCs w:val="false"/>
          <w:color w:val="333333"/>
          <w:sz w:val="20"/>
          <w:sz w:val="20"/>
          <w:szCs w:val="20"/>
          <w:rtl w:val="true"/>
        </w:rPr>
        <w:t>، في الملاحم باب ما يذكر حول المائة</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موجود في الطبعتين القديمة والحديثة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عام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ولاحظ الطبعة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433/5</w:t>
      </w:r>
      <w:r>
        <w:rPr>
          <w:rFonts w:ascii="IRNazanin" w:hAnsi="IRNazanin" w:eastAsia="IRNazanin"/>
          <w:b w:val="false"/>
          <w:b w:val="false"/>
          <w:bCs w:val="false"/>
          <w:i w:val="false"/>
          <w:i w:val="false"/>
          <w:iCs w:val="false"/>
          <w:color w:val="333333"/>
          <w:sz w:val="20"/>
          <w:sz w:val="20"/>
          <w:szCs w:val="20"/>
          <w:rtl w:val="true"/>
        </w:rPr>
        <w:t>، والمطبوعة مغلوطة أثبتنا ما هو الصحيح</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 لابن ماكولا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146/104</w:t>
      </w:r>
      <w:r>
        <w:rPr>
          <w:rFonts w:ascii="IRNazanin" w:hAnsi="IRNazanin" w:eastAsia="IRNazanin"/>
          <w:b w:val="false"/>
          <w:b w:val="false"/>
          <w:bCs w:val="false"/>
          <w:i w:val="false"/>
          <w:i w:val="false"/>
          <w:iCs w:val="false"/>
          <w:color w:val="333333"/>
          <w:sz w:val="20"/>
          <w:sz w:val="20"/>
          <w:szCs w:val="20"/>
          <w:rtl w:val="true"/>
        </w:rPr>
        <w:t xml:space="preserve">، كتاب الإجازات،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634/2</w:t>
      </w:r>
      <w:r>
        <w:rPr>
          <w:rFonts w:ascii="IRNazanin" w:hAnsi="IRNazanin" w:eastAsia="IRNazanin"/>
          <w:b w:val="false"/>
          <w:b w:val="false"/>
          <w:bCs w:val="false"/>
          <w:i w:val="false"/>
          <w:i w:val="false"/>
          <w:iCs w:val="false"/>
          <w:color w:val="333333"/>
          <w:sz w:val="20"/>
          <w:sz w:val="20"/>
          <w:szCs w:val="20"/>
          <w:rtl w:val="true"/>
        </w:rPr>
        <w:t xml:space="preserve">، الحديث 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1781/19</w:t>
      </w:r>
      <w:r>
        <w:rPr>
          <w:rFonts w:ascii="IRNazanin" w:hAnsi="IRNazanin" w:eastAsia="IRNazanin"/>
          <w:b w:val="false"/>
          <w:b w:val="false"/>
          <w:bCs w:val="false"/>
          <w:i w:val="false"/>
          <w:i w:val="false"/>
          <w:iCs w:val="false"/>
          <w:color w:val="333333"/>
          <w:sz w:val="20"/>
          <w:sz w:val="20"/>
          <w:szCs w:val="20"/>
          <w:rtl w:val="true"/>
        </w:rPr>
        <w:t xml:space="preserve">، الحديث رقم </w:t>
      </w:r>
      <w:r>
        <w:rPr>
          <w:rFonts w:eastAsia="IRNazanin" w:cs="IRNazanin"/>
          <w:b w:val="false"/>
          <w:bCs w:val="false"/>
          <w:i w:val="false"/>
          <w:iCs w:val="false"/>
          <w:color w:val="333333"/>
          <w:sz w:val="20"/>
          <w:szCs w:val="20"/>
        </w:rPr>
        <w:t>7/9089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التحفة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صورتان متضادتان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298/56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الاختصار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يتيمة 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5797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سقط الزّند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طبع القاهرة</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سألها الشيخ أبو عبداللّه محمد بن عبد الملك التبّان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في عشرة فصول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الأميني</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سألها الشيخ أبو الفضل إبراهيم بن الحسن الأباني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الأميني</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سألها العلاّمة أبوالحسين الحسين بن محمد بن الناصر الحسيني الرسّي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الأميني</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القاضي التنوخي كما في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وسائل الشيعة للعلاّمة النوري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الأميني</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نقلاً عن تاريخ ابن أبي 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رمى الصيد فقتله مكانه وهو يراه، أمّا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أخطأ أشوى‌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فيُراد به أنّ السهم إذا أخطأ الصيد، أصاب شواه، والشوى‌، ما كان غير مقتل من الأعضاء، كاليدين والرجلين</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5797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الإلهيات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5827</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5797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و 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ذلك المقال في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لآقا بزرگ الطهراني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لآقا بزرگ الطهراني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برقم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شاهدته ولي عنه رواية</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شيخاً مشكوراً محموداً جواداً، حسن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تولّى مديرية شرطة واسط والبصرة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جليل الشأن، محسناً للعلماء ذا نظر في العلوم الأدبية والعقلية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تنقّل في المناصب إلى أن ولي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خطبة الإمام أمير المؤمنين علي عليه السلام حول عظمة القرآن الكريم، في نهج البلاغة، الخطبة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الصوم، رقم الحديث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الصوم، رقم الحديث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الحديث رقم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الباقية عن القرون الخالية،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تحقيق اذكيائي</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العربية العالمية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مؤسسة أعمال الموسوعة، الرياض، المملكة العربية السعودية، الطبعة الثانية</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الخطط المقريزية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والاعتبار بذكر الخطط والآثار</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بتلخيص ولكلامه ذيل يليق بالمطالعة</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467/5</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105/17</w:t>
      </w:r>
      <w:r>
        <w:rPr>
          <w:rFonts w:ascii="IRNazanin" w:hAnsi="IRNazanin" w:eastAsia="IRNazanin"/>
          <w:b w:val="false"/>
          <w:b w:val="false"/>
          <w:bCs w:val="false"/>
          <w:i w:val="false"/>
          <w:i w:val="false"/>
          <w:iCs w:val="false"/>
          <w:color w:val="333333"/>
          <w:sz w:val="20"/>
          <w:sz w:val="20"/>
          <w:szCs w:val="20"/>
          <w:rtl w:val="true"/>
        </w:rPr>
        <w:t>، الصوم في الشريعة الإسلامية الغراء للكاتب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الرسول المصطفى صلى الله عليه و آله والشعائر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أفاض القول في حكم الصيام مما لا مزيد عليه</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في هامش الميزان للشعراني</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العزيز في شرح الوجيز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العزيز في شرح الوجيز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98/295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تسعين، ولعلّه خطأ الطباعة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image" Target="media/image2.jpeg"/><Relationship Id="rId591" Type="http://schemas.openxmlformats.org/officeDocument/2006/relationships/image" Target="media/image2.jpeg"/><Relationship Id="rId592" Type="http://schemas.openxmlformats.org/officeDocument/2006/relationships/footer" Target="footer585.xml"/><Relationship Id="rId593" Type="http://schemas.openxmlformats.org/officeDocument/2006/relationships/footnotes" Target="footnotes.xml"/><Relationship Id="rId594" Type="http://schemas.openxmlformats.org/officeDocument/2006/relationships/numbering" Target="numbering.xml"/><Relationship Id="rId595" Type="http://schemas.openxmlformats.org/officeDocument/2006/relationships/fontTable" Target="fontTable.xml"/><Relationship Id="rId596" Type="http://schemas.openxmlformats.org/officeDocument/2006/relationships/settings" Target="settings.xml"/><Relationship Id="rId5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611</Pages>
  <Words>61403</Words>
  <Characters>276577</Characters>
  <CharactersWithSpaces>334677</CharactersWithSpaces>
  <Paragraphs>3227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2026-08-22T04:16:18Z</dcterms:created>
  <dc:creator>ghaemiyeh.com</dc:creator>
  <dc:description/>
  <dc:language>en-US</dc:language>
  <cp:lastModifiedBy/>
  <dcterms:modified xsi:type="dcterms:W3CDTF">2026-08-22T07:46:38Z</dcterms:modified>
  <cp:revision>1</cp:revision>
  <dc:subject/>
  <dc:title>رسائل و مقالات تبحث فی مواضیع فقهیه اصولیه کلامیه تراجم و مکاتبات و حورات مع بعض الاعلام جلد 7</dc:title>
</cp:coreProperties>
</file>

<file path=docProps/custom.xml><?xml version="1.0" encoding="utf-8"?>
<Properties xmlns="http://schemas.openxmlformats.org/officeDocument/2006/custom-properties" xmlns:vt="http://schemas.openxmlformats.org/officeDocument/2006/docPropsVTypes"/>
</file>