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31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31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321_73709187">
            <w:r>
              <w:rPr>
                <w:webHidden/>
                <w:rStyle w:val="IndexLink"/>
                <w:rtl w:val="true"/>
              </w:rPr>
              <w:t>[</w:t>
            </w:r>
            <w:r>
              <w:rPr>
                <w:rStyle w:val="IndexLink"/>
                <w:rtl w:val="true"/>
              </w:rPr>
              <w:t>تتمة كتاب الشهادات</w:t>
            </w:r>
            <w:r>
              <w:rPr>
                <w:rStyle w:val="IndexLink"/>
                <w:rtl w:val="true"/>
              </w:rPr>
              <w:t>]</w:t>
              <w:tab/>
            </w:r>
            <w:r>
              <w:rPr>
                <w:rStyle w:val="IndexLink"/>
              </w:rPr>
              <w:t>12</w:t>
            </w:r>
          </w:hyperlink>
        </w:p>
        <w:p>
          <w:pPr>
            <w:pStyle w:val="Contents3"/>
            <w:tabs>
              <w:tab w:val="clear" w:pos="8459"/>
              <w:tab w:val="right" w:pos="9026" w:leader="dot"/>
            </w:tabs>
            <w:rPr/>
          </w:pPr>
          <w:hyperlink w:anchor="__RefHeading___Toc283323_73709187">
            <w:r>
              <w:rPr>
                <w:webHidden/>
                <w:rStyle w:val="IndexLink"/>
                <w:rtl w:val="true"/>
              </w:rPr>
              <w:t>الفصل السادس</w:t>
            </w:r>
            <w:r>
              <w:rPr>
                <w:rStyle w:val="IndexLink"/>
                <w:rtl w:val="true"/>
              </w:rPr>
              <w:t xml:space="preserve">: </w:t>
            </w:r>
            <w:r>
              <w:rPr>
                <w:rStyle w:val="IndexLink"/>
                <w:rtl w:val="true"/>
              </w:rPr>
              <w:t>في بقيّة مسائل الشهادات</w:t>
            </w:r>
            <w:r>
              <w:rPr>
                <w:rStyle w:val="IndexLink"/>
                <w:rtl w:val="true"/>
              </w:rPr>
              <w:tab/>
            </w:r>
            <w:r>
              <w:rPr>
                <w:rStyle w:val="IndexLink"/>
              </w:rPr>
              <w:t>12</w:t>
            </w:r>
          </w:hyperlink>
        </w:p>
        <w:p>
          <w:pPr>
            <w:pStyle w:val="Contents4"/>
            <w:tabs>
              <w:tab w:val="clear" w:pos="8176"/>
              <w:tab w:val="right" w:pos="9026" w:leader="dot"/>
            </w:tabs>
            <w:rPr/>
          </w:pPr>
          <w:hyperlink w:anchor="__RefHeading___Toc283325_73709187">
            <w:r>
              <w:rPr>
                <w:webHidden/>
                <w:rStyle w:val="IndexLink"/>
                <w:rtl w:val="true"/>
              </w:rPr>
              <w:t>لا يَحِلُّ للشاهد أن يشهد إلّامع العلم</w:t>
            </w:r>
            <w:r>
              <w:rPr>
                <w:rStyle w:val="IndexLink"/>
                <w:rtl w:val="true"/>
              </w:rPr>
              <w:tab/>
            </w:r>
            <w:r>
              <w:rPr>
                <w:rStyle w:val="IndexLink"/>
              </w:rPr>
              <w:t>12</w:t>
            </w:r>
          </w:hyperlink>
        </w:p>
        <w:p>
          <w:pPr>
            <w:pStyle w:val="Contents4"/>
            <w:tabs>
              <w:tab w:val="clear" w:pos="8176"/>
              <w:tab w:val="right" w:pos="9026" w:leader="dot"/>
            </w:tabs>
            <w:rPr/>
          </w:pPr>
          <w:hyperlink w:anchor="__RefHeading___Toc283327_73709187">
            <w:r>
              <w:rPr>
                <w:webHidden/>
                <w:rStyle w:val="IndexLink"/>
                <w:rtl w:val="true"/>
              </w:rPr>
              <w:t>البناء في الشّهادة على الاستصحاب</w:t>
            </w:r>
            <w:r>
              <w:rPr>
                <w:rStyle w:val="IndexLink"/>
                <w:rtl w:val="true"/>
              </w:rPr>
              <w:tab/>
            </w:r>
            <w:r>
              <w:rPr>
                <w:rStyle w:val="IndexLink"/>
              </w:rPr>
              <w:t>17</w:t>
            </w:r>
          </w:hyperlink>
        </w:p>
        <w:p>
          <w:pPr>
            <w:pStyle w:val="Contents4"/>
            <w:tabs>
              <w:tab w:val="clear" w:pos="8176"/>
              <w:tab w:val="right" w:pos="9026" w:leader="dot"/>
            </w:tabs>
            <w:rPr/>
          </w:pPr>
          <w:hyperlink w:anchor="__RefHeading___Toc283329_73709187">
            <w:r>
              <w:rPr>
                <w:webHidden/>
                <w:rStyle w:val="IndexLink"/>
                <w:rtl w:val="true"/>
              </w:rPr>
              <w:t>البناء في الشّهادة على الشِّياع</w:t>
            </w:r>
            <w:r>
              <w:rPr>
                <w:rStyle w:val="IndexLink"/>
                <w:rtl w:val="true"/>
              </w:rPr>
              <w:tab/>
            </w:r>
            <w:r>
              <w:rPr>
                <w:rStyle w:val="IndexLink"/>
              </w:rPr>
              <w:t>23</w:t>
            </w:r>
          </w:hyperlink>
        </w:p>
        <w:p>
          <w:pPr>
            <w:pStyle w:val="Contents4"/>
            <w:tabs>
              <w:tab w:val="clear" w:pos="8176"/>
              <w:tab w:val="right" w:pos="9026" w:leader="dot"/>
            </w:tabs>
            <w:rPr/>
          </w:pPr>
          <w:hyperlink w:anchor="__RefHeading___Toc283331_73709187">
            <w:r>
              <w:rPr>
                <w:webHidden/>
                <w:rStyle w:val="IndexLink"/>
                <w:rtl w:val="true"/>
              </w:rPr>
              <w:t>لا يُعتبر في جواز الشّهادة استدعاء المشهود عليه</w:t>
            </w:r>
            <w:r>
              <w:rPr>
                <w:rStyle w:val="IndexLink"/>
                <w:rtl w:val="true"/>
              </w:rPr>
              <w:tab/>
            </w:r>
            <w:r>
              <w:rPr>
                <w:rStyle w:val="IndexLink"/>
              </w:rPr>
              <w:t>28</w:t>
            </w:r>
          </w:hyperlink>
        </w:p>
        <w:p>
          <w:pPr>
            <w:pStyle w:val="Contents4"/>
            <w:tabs>
              <w:tab w:val="clear" w:pos="8176"/>
              <w:tab w:val="right" w:pos="9026" w:leader="dot"/>
            </w:tabs>
            <w:rPr/>
          </w:pPr>
          <w:hyperlink w:anchor="__RefHeading___Toc283333_73709187">
            <w:r>
              <w:rPr>
                <w:webHidden/>
                <w:rStyle w:val="IndexLink"/>
                <w:rtl w:val="true"/>
              </w:rPr>
              <w:t>حرمة كتمان الشّهادة</w:t>
            </w:r>
            <w:r>
              <w:rPr>
                <w:rStyle w:val="IndexLink"/>
                <w:rtl w:val="true"/>
              </w:rPr>
              <w:tab/>
            </w:r>
            <w:r>
              <w:rPr>
                <w:rStyle w:val="IndexLink"/>
              </w:rPr>
              <w:t>30</w:t>
            </w:r>
          </w:hyperlink>
        </w:p>
        <w:p>
          <w:pPr>
            <w:pStyle w:val="Contents4"/>
            <w:tabs>
              <w:tab w:val="clear" w:pos="8176"/>
              <w:tab w:val="right" w:pos="9026" w:leader="dot"/>
            </w:tabs>
            <w:rPr/>
          </w:pPr>
          <w:hyperlink w:anchor="__RefHeading___Toc283335_73709187">
            <w:r>
              <w:rPr>
                <w:webHidden/>
                <w:rStyle w:val="IndexLink"/>
                <w:rtl w:val="true"/>
              </w:rPr>
              <w:t>وجوب تحمّل الشّهادة</w:t>
            </w:r>
            <w:r>
              <w:rPr>
                <w:rStyle w:val="IndexLink"/>
                <w:rtl w:val="true"/>
              </w:rPr>
              <w:tab/>
            </w:r>
            <w:r>
              <w:rPr>
                <w:rStyle w:val="IndexLink"/>
              </w:rPr>
              <w:t>37</w:t>
            </w:r>
          </w:hyperlink>
        </w:p>
        <w:p>
          <w:pPr>
            <w:pStyle w:val="Contents4"/>
            <w:tabs>
              <w:tab w:val="clear" w:pos="8176"/>
              <w:tab w:val="right" w:pos="9026" w:leader="dot"/>
            </w:tabs>
            <w:rPr/>
          </w:pPr>
          <w:hyperlink w:anchor="__RefHeading___Toc283337_73709187">
            <w:r>
              <w:rPr>
                <w:webHidden/>
                <w:rStyle w:val="IndexLink"/>
                <w:rtl w:val="true"/>
              </w:rPr>
              <w:t>يعتبر في الشّهادة معرفة المشهود له أو عليه</w:t>
            </w:r>
            <w:r>
              <w:rPr>
                <w:rStyle w:val="IndexLink"/>
                <w:rtl w:val="true"/>
              </w:rPr>
              <w:tab/>
            </w:r>
            <w:r>
              <w:rPr>
                <w:rStyle w:val="IndexLink"/>
              </w:rPr>
              <w:t>44</w:t>
            </w:r>
          </w:hyperlink>
        </w:p>
        <w:p>
          <w:pPr>
            <w:pStyle w:val="Contents4"/>
            <w:tabs>
              <w:tab w:val="clear" w:pos="8176"/>
              <w:tab w:val="right" w:pos="9026" w:leader="dot"/>
            </w:tabs>
            <w:rPr/>
          </w:pPr>
          <w:hyperlink w:anchor="__RefHeading___Toc283339_73709187">
            <w:r>
              <w:rPr>
                <w:webHidden/>
                <w:rStyle w:val="IndexLink"/>
                <w:rtl w:val="true"/>
              </w:rPr>
              <w:t>الشّهادة على الشّهادة</w:t>
            </w:r>
            <w:r>
              <w:rPr>
                <w:rStyle w:val="IndexLink"/>
                <w:rtl w:val="true"/>
              </w:rPr>
              <w:tab/>
            </w:r>
            <w:r>
              <w:rPr>
                <w:rStyle w:val="IndexLink"/>
              </w:rPr>
              <w:t>48</w:t>
            </w:r>
          </w:hyperlink>
        </w:p>
        <w:p>
          <w:pPr>
            <w:pStyle w:val="Contents4"/>
            <w:tabs>
              <w:tab w:val="clear" w:pos="8176"/>
              <w:tab w:val="right" w:pos="9026" w:leader="dot"/>
            </w:tabs>
            <w:rPr/>
          </w:pPr>
          <w:hyperlink w:anchor="__RefHeading___Toc283341_73709187">
            <w:r>
              <w:rPr>
                <w:webHidden/>
                <w:rStyle w:val="IndexLink"/>
                <w:rtl w:val="true"/>
              </w:rPr>
              <w:t>رجوع الشهود عن الشّهادة قبل الحكم</w:t>
            </w:r>
            <w:r>
              <w:rPr>
                <w:rStyle w:val="IndexLink"/>
                <w:rtl w:val="true"/>
              </w:rPr>
              <w:tab/>
            </w:r>
            <w:r>
              <w:rPr>
                <w:rStyle w:val="IndexLink"/>
              </w:rPr>
              <w:t>63</w:t>
            </w:r>
          </w:hyperlink>
        </w:p>
        <w:p>
          <w:pPr>
            <w:pStyle w:val="Contents4"/>
            <w:tabs>
              <w:tab w:val="clear" w:pos="8176"/>
              <w:tab w:val="right" w:pos="9026" w:leader="dot"/>
            </w:tabs>
            <w:rPr/>
          </w:pPr>
          <w:hyperlink w:anchor="__RefHeading___Toc283343_73709187">
            <w:r>
              <w:rPr>
                <w:webHidden/>
                <w:rStyle w:val="IndexLink"/>
                <w:rtl w:val="true"/>
              </w:rPr>
              <w:t>رجوع الشهود بعد القضاء والاستيفاء</w:t>
            </w:r>
            <w:r>
              <w:rPr>
                <w:rStyle w:val="IndexLink"/>
                <w:rtl w:val="true"/>
              </w:rPr>
              <w:tab/>
            </w:r>
            <w:r>
              <w:rPr>
                <w:rStyle w:val="IndexLink"/>
              </w:rPr>
              <w:t>65</w:t>
            </w:r>
          </w:hyperlink>
        </w:p>
        <w:p>
          <w:pPr>
            <w:pStyle w:val="Contents4"/>
            <w:tabs>
              <w:tab w:val="clear" w:pos="8176"/>
              <w:tab w:val="right" w:pos="9026" w:leader="dot"/>
            </w:tabs>
            <w:rPr/>
          </w:pPr>
          <w:hyperlink w:anchor="__RefHeading___Toc283345_73709187">
            <w:r>
              <w:rPr>
                <w:webHidden/>
                <w:rStyle w:val="IndexLink"/>
                <w:rtl w:val="true"/>
              </w:rPr>
              <w:t>رجوع الشهود قبل الاستيفاء وبعد القضاء</w:t>
            </w:r>
            <w:r>
              <w:rPr>
                <w:rStyle w:val="IndexLink"/>
                <w:rtl w:val="true"/>
              </w:rPr>
              <w:tab/>
            </w:r>
            <w:r>
              <w:rPr>
                <w:rStyle w:val="IndexLink"/>
              </w:rPr>
              <w:t>71</w:t>
            </w:r>
          </w:hyperlink>
        </w:p>
        <w:p>
          <w:pPr>
            <w:pStyle w:val="Contents4"/>
            <w:tabs>
              <w:tab w:val="clear" w:pos="8176"/>
              <w:tab w:val="right" w:pos="9026" w:leader="dot"/>
            </w:tabs>
            <w:rPr/>
          </w:pPr>
          <w:hyperlink w:anchor="__RefHeading___Toc283347_73709187">
            <w:r>
              <w:rPr>
                <w:webHidden/>
                <w:rStyle w:val="IndexLink"/>
                <w:rtl w:val="true"/>
              </w:rPr>
              <w:t>رجوع الشهود عن الشّهادة بالطلاق</w:t>
            </w:r>
            <w:r>
              <w:rPr>
                <w:rStyle w:val="IndexLink"/>
                <w:rtl w:val="true"/>
              </w:rPr>
              <w:tab/>
            </w:r>
            <w:r>
              <w:rPr>
                <w:rStyle w:val="IndexLink"/>
              </w:rPr>
              <w:t>73</w:t>
            </w:r>
          </w:hyperlink>
        </w:p>
        <w:p>
          <w:pPr>
            <w:pStyle w:val="Contents4"/>
            <w:tabs>
              <w:tab w:val="clear" w:pos="8176"/>
              <w:tab w:val="right" w:pos="9026" w:leader="dot"/>
            </w:tabs>
            <w:rPr/>
          </w:pPr>
          <w:hyperlink w:anchor="__RefHeading___Toc283349_73709187">
            <w:r>
              <w:rPr>
                <w:webHidden/>
                <w:rStyle w:val="IndexLink"/>
                <w:rtl w:val="true"/>
              </w:rPr>
              <w:t>شاهد الزُّور</w:t>
            </w:r>
            <w:r>
              <w:rPr>
                <w:rStyle w:val="IndexLink"/>
                <w:rtl w:val="true"/>
              </w:rPr>
              <w:tab/>
            </w:r>
            <w:r>
              <w:rPr>
                <w:rStyle w:val="IndexLink"/>
              </w:rPr>
              <w:t>77</w:t>
            </w:r>
          </w:hyperlink>
        </w:p>
        <w:p>
          <w:pPr>
            <w:pStyle w:val="Contents2"/>
            <w:tabs>
              <w:tab w:val="clear" w:pos="8743"/>
              <w:tab w:val="right" w:pos="9026" w:leader="dot"/>
            </w:tabs>
            <w:rPr/>
          </w:pPr>
          <w:hyperlink w:anchor="__RefHeading___Toc283351_73709187">
            <w:r>
              <w:rPr>
                <w:webHidden/>
                <w:rStyle w:val="IndexLink"/>
                <w:rtl w:val="true"/>
              </w:rPr>
              <w:t>كتاب الحدود و التعزيرات</w:t>
            </w:r>
            <w:r>
              <w:rPr>
                <w:rStyle w:val="IndexLink"/>
                <w:rtl w:val="true"/>
              </w:rPr>
              <w:tab/>
            </w:r>
            <w:r>
              <w:rPr>
                <w:rStyle w:val="IndexLink"/>
              </w:rPr>
              <w:t>80</w:t>
            </w:r>
          </w:hyperlink>
        </w:p>
        <w:p>
          <w:pPr>
            <w:pStyle w:val="Contents3"/>
            <w:tabs>
              <w:tab w:val="clear" w:pos="8459"/>
              <w:tab w:val="right" w:pos="9026" w:leader="dot"/>
            </w:tabs>
            <w:rPr/>
          </w:pPr>
          <w:hyperlink w:anchor="__RefHeading___Toc283353_7370918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283355_73709187">
            <w:r>
              <w:rPr>
                <w:webHidden/>
                <w:rStyle w:val="IndexLink"/>
                <w:rtl w:val="true"/>
              </w:rPr>
              <w:t>الحُدود والتعزيرات</w:t>
            </w:r>
            <w:r>
              <w:rPr>
                <w:rStyle w:val="IndexLink"/>
                <w:rtl w:val="true"/>
              </w:rPr>
              <w:tab/>
            </w:r>
            <w:r>
              <w:rPr>
                <w:rStyle w:val="IndexLink"/>
              </w:rPr>
              <w:t>82</w:t>
            </w:r>
          </w:hyperlink>
        </w:p>
        <w:p>
          <w:pPr>
            <w:pStyle w:val="Contents3"/>
            <w:tabs>
              <w:tab w:val="clear" w:pos="8459"/>
              <w:tab w:val="right" w:pos="9026" w:leader="dot"/>
            </w:tabs>
            <w:rPr/>
          </w:pPr>
          <w:hyperlink w:anchor="__RefHeading___Toc283357_73709187">
            <w:r>
              <w:rPr>
                <w:webHidden/>
                <w:rStyle w:val="IndexLink"/>
                <w:rtl w:val="true"/>
              </w:rPr>
              <w:t>الفصل السَّابع</w:t>
            </w:r>
            <w:r>
              <w:rPr>
                <w:rStyle w:val="IndexLink"/>
                <w:rtl w:val="true"/>
              </w:rPr>
              <w:t xml:space="preserve">: </w:t>
            </w:r>
            <w:r>
              <w:rPr>
                <w:rStyle w:val="IndexLink"/>
                <w:rtl w:val="true"/>
              </w:rPr>
              <w:t>في حَدّ الزِّنا</w:t>
            </w:r>
            <w:r>
              <w:rPr>
                <w:rStyle w:val="IndexLink"/>
                <w:rtl w:val="true"/>
              </w:rPr>
              <w:tab/>
            </w:r>
            <w:r>
              <w:rPr>
                <w:rStyle w:val="IndexLink"/>
              </w:rPr>
              <w:t>85</w:t>
            </w:r>
          </w:hyperlink>
        </w:p>
        <w:p>
          <w:pPr>
            <w:pStyle w:val="Contents4"/>
            <w:tabs>
              <w:tab w:val="clear" w:pos="8176"/>
              <w:tab w:val="right" w:pos="9026" w:leader="dot"/>
            </w:tabs>
            <w:rPr/>
          </w:pPr>
          <w:hyperlink w:anchor="__RefHeading___Toc283359_7370918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83361_73709187">
            <w:r>
              <w:rPr>
                <w:webHidden/>
                <w:rStyle w:val="IndexLink"/>
                <w:rtl w:val="true"/>
              </w:rPr>
              <w:t>ما يتحقّق به الزّنا</w:t>
            </w:r>
            <w:r>
              <w:rPr>
                <w:rStyle w:val="IndexLink"/>
                <w:rtl w:val="true"/>
              </w:rPr>
              <w:tab/>
            </w:r>
            <w:r>
              <w:rPr>
                <w:rStyle w:val="IndexLink"/>
              </w:rPr>
              <w:t>86</w:t>
            </w:r>
          </w:hyperlink>
        </w:p>
        <w:p>
          <w:pPr>
            <w:pStyle w:val="Contents4"/>
            <w:tabs>
              <w:tab w:val="clear" w:pos="8176"/>
              <w:tab w:val="right" w:pos="9026" w:leader="dot"/>
            </w:tabs>
            <w:rPr/>
          </w:pPr>
          <w:hyperlink w:anchor="__RefHeading___Toc283363_73709187">
            <w:r>
              <w:rPr>
                <w:webHidden/>
                <w:rStyle w:val="IndexLink"/>
                <w:rtl w:val="true"/>
              </w:rPr>
              <w:t>يعتبر في ثبوت الحَدّ العقل</w:t>
            </w:r>
            <w:r>
              <w:rPr>
                <w:rStyle w:val="IndexLink"/>
                <w:rtl w:val="true"/>
              </w:rPr>
              <w:tab/>
            </w:r>
            <w:r>
              <w:rPr>
                <w:rStyle w:val="IndexLink"/>
              </w:rPr>
              <w:t>88</w:t>
            </w:r>
          </w:hyperlink>
        </w:p>
        <w:p>
          <w:pPr>
            <w:pStyle w:val="Contents4"/>
            <w:tabs>
              <w:tab w:val="clear" w:pos="8176"/>
              <w:tab w:val="right" w:pos="9026" w:leader="dot"/>
            </w:tabs>
            <w:rPr/>
          </w:pPr>
          <w:hyperlink w:anchor="__RefHeading___Toc283365_73709187">
            <w:r>
              <w:rPr>
                <w:webHidden/>
                <w:rStyle w:val="IndexLink"/>
                <w:rtl w:val="true"/>
              </w:rPr>
              <w:t>اعتبار العلم بالتحريم</w:t>
            </w:r>
            <w:r>
              <w:rPr>
                <w:rStyle w:val="IndexLink"/>
                <w:rtl w:val="true"/>
              </w:rPr>
              <w:tab/>
            </w:r>
            <w:r>
              <w:rPr>
                <w:rStyle w:val="IndexLink"/>
              </w:rPr>
              <w:t>90</w:t>
            </w:r>
          </w:hyperlink>
        </w:p>
        <w:p>
          <w:pPr>
            <w:pStyle w:val="Contents4"/>
            <w:tabs>
              <w:tab w:val="clear" w:pos="8176"/>
              <w:tab w:val="right" w:pos="9026" w:leader="dot"/>
            </w:tabs>
            <w:rPr/>
          </w:pPr>
          <w:hyperlink w:anchor="__RefHeading___Toc283367_73709187">
            <w:r>
              <w:rPr>
                <w:webHidden/>
                <w:rStyle w:val="IndexLink"/>
                <w:rtl w:val="true"/>
              </w:rPr>
              <w:t>سقوط الحَدّ مع الإكراه</w:t>
            </w:r>
            <w:r>
              <w:rPr>
                <w:rStyle w:val="IndexLink"/>
                <w:rtl w:val="true"/>
              </w:rPr>
              <w:tab/>
            </w:r>
            <w:r>
              <w:rPr>
                <w:rStyle w:val="IndexLink"/>
              </w:rPr>
              <w:t>95</w:t>
            </w:r>
          </w:hyperlink>
        </w:p>
        <w:p>
          <w:pPr>
            <w:pStyle w:val="Contents4"/>
            <w:tabs>
              <w:tab w:val="clear" w:pos="8176"/>
              <w:tab w:val="right" w:pos="9026" w:leader="dot"/>
            </w:tabs>
            <w:rPr/>
          </w:pPr>
          <w:hyperlink w:anchor="__RefHeading___Toc283369_73709187">
            <w:r>
              <w:rPr>
                <w:webHidden/>
                <w:rStyle w:val="IndexLink"/>
                <w:rtl w:val="true"/>
              </w:rPr>
              <w:t>فروع حدّ الزِّنا</w:t>
            </w:r>
            <w:r>
              <w:rPr>
                <w:rStyle w:val="IndexLink"/>
                <w:rtl w:val="true"/>
              </w:rPr>
              <w:tab/>
            </w:r>
            <w:r>
              <w:rPr>
                <w:rStyle w:val="IndexLink"/>
              </w:rPr>
              <w:t>98</w:t>
            </w:r>
          </w:hyperlink>
        </w:p>
        <w:p>
          <w:pPr>
            <w:pStyle w:val="Contents4"/>
            <w:tabs>
              <w:tab w:val="clear" w:pos="8176"/>
              <w:tab w:val="right" w:pos="9026" w:leader="dot"/>
            </w:tabs>
            <w:rPr/>
          </w:pPr>
          <w:hyperlink w:anchor="__RefHeading___Toc283371_73709187">
            <w:r>
              <w:rPr>
                <w:webHidden/>
                <w:rStyle w:val="IndexLink"/>
                <w:rtl w:val="true"/>
              </w:rPr>
              <w:t>الأعمى يُحَدّ</w:t>
            </w:r>
            <w:r>
              <w:rPr>
                <w:rStyle w:val="IndexLink"/>
                <w:rtl w:val="true"/>
              </w:rPr>
              <w:tab/>
            </w:r>
            <w:r>
              <w:rPr>
                <w:rStyle w:val="IndexLink"/>
              </w:rPr>
              <w:t>102</w:t>
            </w:r>
          </w:hyperlink>
        </w:p>
        <w:p>
          <w:pPr>
            <w:pStyle w:val="Contents4"/>
            <w:tabs>
              <w:tab w:val="clear" w:pos="8176"/>
              <w:tab w:val="right" w:pos="9026" w:leader="dot"/>
            </w:tabs>
            <w:rPr/>
          </w:pPr>
          <w:hyperlink w:anchor="__RefHeading___Toc283373_73709187">
            <w:r>
              <w:rPr>
                <w:webHidden/>
                <w:rStyle w:val="IndexLink"/>
                <w:rtl w:val="true"/>
              </w:rPr>
              <w:t>الإقرار المُثبِت للزِّنا</w:t>
            </w:r>
            <w:r>
              <w:rPr>
                <w:rStyle w:val="IndexLink"/>
                <w:rtl w:val="true"/>
              </w:rPr>
              <w:tab/>
            </w:r>
            <w:r>
              <w:rPr>
                <w:rStyle w:val="IndexLink"/>
              </w:rPr>
              <w:t>104</w:t>
            </w:r>
          </w:hyperlink>
        </w:p>
        <w:p>
          <w:pPr>
            <w:pStyle w:val="Contents4"/>
            <w:tabs>
              <w:tab w:val="clear" w:pos="8176"/>
              <w:tab w:val="right" w:pos="9026" w:leader="dot"/>
            </w:tabs>
            <w:rPr/>
          </w:pPr>
          <w:hyperlink w:anchor="__RefHeading___Toc283375_73709187">
            <w:r>
              <w:rPr>
                <w:webHidden/>
                <w:rStyle w:val="IndexLink"/>
                <w:rtl w:val="true"/>
              </w:rPr>
              <w:t>لو أقرّ بحَدٍّ ولم يُبيِّنه</w:t>
            </w:r>
            <w:r>
              <w:rPr>
                <w:rStyle w:val="IndexLink"/>
                <w:rtl w:val="true"/>
              </w:rPr>
              <w:tab/>
            </w:r>
            <w:r>
              <w:rPr>
                <w:rStyle w:val="IndexLink"/>
              </w:rPr>
              <w:t>108</w:t>
            </w:r>
          </w:hyperlink>
        </w:p>
        <w:p>
          <w:pPr>
            <w:pStyle w:val="Contents4"/>
            <w:tabs>
              <w:tab w:val="clear" w:pos="8176"/>
              <w:tab w:val="right" w:pos="9026" w:leader="dot"/>
            </w:tabs>
            <w:rPr/>
          </w:pPr>
          <w:hyperlink w:anchor="__RefHeading___Toc283377_73709187">
            <w:r>
              <w:rPr>
                <w:webHidden/>
                <w:rStyle w:val="IndexLink"/>
                <w:rtl w:val="true"/>
              </w:rPr>
              <w:t>البيّنة المُثبتة للزِّنا</w:t>
            </w:r>
            <w:r>
              <w:rPr>
                <w:rStyle w:val="IndexLink"/>
                <w:rtl w:val="true"/>
              </w:rPr>
              <w:tab/>
            </w:r>
            <w:r>
              <w:rPr>
                <w:rStyle w:val="IndexLink"/>
              </w:rPr>
              <w:t>113</w:t>
            </w:r>
          </w:hyperlink>
        </w:p>
        <w:p>
          <w:pPr>
            <w:pStyle w:val="Contents4"/>
            <w:tabs>
              <w:tab w:val="clear" w:pos="8176"/>
              <w:tab w:val="right" w:pos="9026" w:leader="dot"/>
            </w:tabs>
            <w:rPr/>
          </w:pPr>
          <w:hyperlink w:anchor="__RefHeading___Toc283379_73709187">
            <w:r>
              <w:rPr>
                <w:webHidden/>
                <w:rStyle w:val="IndexLink"/>
                <w:rtl w:val="true"/>
              </w:rPr>
              <w:t>اعتبار الاتّفاق والمشاهدة في الشّهادة</w:t>
            </w:r>
            <w:r>
              <w:rPr>
                <w:rStyle w:val="IndexLink"/>
                <w:rtl w:val="true"/>
              </w:rPr>
              <w:tab/>
            </w:r>
            <w:r>
              <w:rPr>
                <w:rStyle w:val="IndexLink"/>
              </w:rPr>
              <w:t>120</w:t>
            </w:r>
          </w:hyperlink>
        </w:p>
        <w:p>
          <w:pPr>
            <w:pStyle w:val="Contents4"/>
            <w:tabs>
              <w:tab w:val="clear" w:pos="8176"/>
              <w:tab w:val="right" w:pos="9026" w:leader="dot"/>
            </w:tabs>
            <w:rPr/>
          </w:pPr>
          <w:hyperlink w:anchor="__RefHeading___Toc283381_73709187">
            <w:r>
              <w:rPr>
                <w:webHidden/>
                <w:rStyle w:val="IndexLink"/>
                <w:rtl w:val="true"/>
              </w:rPr>
              <w:t>حَدّ التقبيل والمضاجعة</w:t>
            </w:r>
            <w:r>
              <w:rPr>
                <w:rStyle w:val="IndexLink"/>
                <w:rtl w:val="true"/>
              </w:rPr>
              <w:tab/>
            </w:r>
            <w:r>
              <w:rPr>
                <w:rStyle w:val="IndexLink"/>
              </w:rPr>
              <w:t>125</w:t>
            </w:r>
          </w:hyperlink>
        </w:p>
        <w:p>
          <w:pPr>
            <w:pStyle w:val="Contents4"/>
            <w:tabs>
              <w:tab w:val="clear" w:pos="8176"/>
              <w:tab w:val="right" w:pos="9026" w:leader="dot"/>
            </w:tabs>
            <w:rPr/>
          </w:pPr>
          <w:hyperlink w:anchor="__RefHeading___Toc283383_73709187">
            <w:r>
              <w:rPr>
                <w:webHidden/>
                <w:rStyle w:val="IndexLink"/>
                <w:rtl w:val="true"/>
              </w:rPr>
              <w:t>لو أقرّ بالزّنا ثمّ أنكر</w:t>
            </w:r>
            <w:r>
              <w:rPr>
                <w:rStyle w:val="IndexLink"/>
                <w:rtl w:val="true"/>
              </w:rPr>
              <w:tab/>
            </w:r>
            <w:r>
              <w:rPr>
                <w:rStyle w:val="IndexLink"/>
              </w:rPr>
              <w:t>128</w:t>
            </w:r>
          </w:hyperlink>
        </w:p>
        <w:p>
          <w:pPr>
            <w:pStyle w:val="Contents4"/>
            <w:tabs>
              <w:tab w:val="clear" w:pos="8176"/>
              <w:tab w:val="right" w:pos="9026" w:leader="dot"/>
            </w:tabs>
            <w:rPr/>
          </w:pPr>
          <w:hyperlink w:anchor="__RefHeading___Toc283385_73709187">
            <w:r>
              <w:rPr>
                <w:webHidden/>
                <w:rStyle w:val="IndexLink"/>
                <w:rtl w:val="true"/>
              </w:rPr>
              <w:t>حَدّ الزّاني بإحدى المحارم</w:t>
            </w:r>
            <w:r>
              <w:rPr>
                <w:rStyle w:val="IndexLink"/>
                <w:rtl w:val="true"/>
              </w:rPr>
              <w:tab/>
            </w:r>
            <w:r>
              <w:rPr>
                <w:rStyle w:val="IndexLink"/>
              </w:rPr>
              <w:t>133</w:t>
            </w:r>
          </w:hyperlink>
        </w:p>
        <w:p>
          <w:pPr>
            <w:pStyle w:val="Contents4"/>
            <w:tabs>
              <w:tab w:val="clear" w:pos="8176"/>
              <w:tab w:val="right" w:pos="9026" w:leader="dot"/>
            </w:tabs>
            <w:rPr/>
          </w:pPr>
          <w:hyperlink w:anchor="__RefHeading___Toc283387_73709187">
            <w:r>
              <w:rPr>
                <w:webHidden/>
                <w:rStyle w:val="IndexLink"/>
                <w:rtl w:val="true"/>
              </w:rPr>
              <w:t>بيان حَدّ اليهودي أو النصراني إذا زنى بمسلمة</w:t>
            </w:r>
            <w:r>
              <w:rPr>
                <w:rStyle w:val="IndexLink"/>
                <w:rtl w:val="true"/>
              </w:rPr>
              <w:tab/>
            </w:r>
            <w:r>
              <w:rPr>
                <w:rStyle w:val="IndexLink"/>
              </w:rPr>
              <w:t>138</w:t>
            </w:r>
          </w:hyperlink>
        </w:p>
        <w:p>
          <w:pPr>
            <w:pStyle w:val="Contents4"/>
            <w:tabs>
              <w:tab w:val="clear" w:pos="8176"/>
              <w:tab w:val="right" w:pos="9026" w:leader="dot"/>
            </w:tabs>
            <w:rPr/>
          </w:pPr>
          <w:hyperlink w:anchor="__RefHeading___Toc283389_73709187">
            <w:r>
              <w:rPr>
                <w:webHidden/>
                <w:rStyle w:val="IndexLink"/>
                <w:rtl w:val="true"/>
              </w:rPr>
              <w:t>بيان حَدّ الزّاني المُحصَّن، والزانية المُحصَّنة</w:t>
            </w:r>
            <w:r>
              <w:rPr>
                <w:rStyle w:val="IndexLink"/>
                <w:rtl w:val="true"/>
              </w:rPr>
              <w:tab/>
            </w:r>
            <w:r>
              <w:rPr>
                <w:rStyle w:val="IndexLink"/>
              </w:rPr>
              <w:t>142</w:t>
            </w:r>
          </w:hyperlink>
        </w:p>
        <w:p>
          <w:pPr>
            <w:pStyle w:val="Contents4"/>
            <w:tabs>
              <w:tab w:val="clear" w:pos="8176"/>
              <w:tab w:val="right" w:pos="9026" w:leader="dot"/>
            </w:tabs>
            <w:rPr/>
          </w:pPr>
          <w:hyperlink w:anchor="__RefHeading___Toc283391_73709187">
            <w:r>
              <w:rPr>
                <w:webHidden/>
                <w:rStyle w:val="IndexLink"/>
                <w:rtl w:val="true"/>
              </w:rPr>
              <w:t>بيان موضوع الإحصان</w:t>
            </w:r>
            <w:r>
              <w:rPr>
                <w:rStyle w:val="IndexLink"/>
                <w:rtl w:val="true"/>
              </w:rPr>
              <w:tab/>
            </w:r>
            <w:r>
              <w:rPr>
                <w:rStyle w:val="IndexLink"/>
              </w:rPr>
              <w:t>146</w:t>
            </w:r>
          </w:hyperlink>
        </w:p>
        <w:p>
          <w:pPr>
            <w:pStyle w:val="Contents4"/>
            <w:tabs>
              <w:tab w:val="clear" w:pos="8176"/>
              <w:tab w:val="right" w:pos="9026" w:leader="dot"/>
            </w:tabs>
            <w:rPr/>
          </w:pPr>
          <w:hyperlink w:anchor="__RefHeading___Toc283393_73709187">
            <w:r>
              <w:rPr>
                <w:webHidden/>
                <w:rStyle w:val="IndexLink"/>
                <w:rtl w:val="true"/>
              </w:rPr>
              <w:t>بيان حَدّ الزّاني غير المُحصَن</w:t>
            </w:r>
            <w:r>
              <w:rPr>
                <w:rStyle w:val="IndexLink"/>
                <w:rtl w:val="true"/>
              </w:rPr>
              <w:tab/>
            </w:r>
            <w:r>
              <w:rPr>
                <w:rStyle w:val="IndexLink"/>
              </w:rPr>
              <w:t>152</w:t>
            </w:r>
          </w:hyperlink>
        </w:p>
        <w:p>
          <w:pPr>
            <w:pStyle w:val="Contents4"/>
            <w:tabs>
              <w:tab w:val="clear" w:pos="8176"/>
              <w:tab w:val="right" w:pos="9026" w:leader="dot"/>
            </w:tabs>
            <w:rPr/>
          </w:pPr>
          <w:hyperlink w:anchor="__RefHeading___Toc283395_73709187">
            <w:r>
              <w:rPr>
                <w:webHidden/>
                <w:rStyle w:val="IndexLink"/>
                <w:rtl w:val="true"/>
              </w:rPr>
              <w:t>لو تكرّر الزِّنا من غير المُحصَن</w:t>
            </w:r>
            <w:r>
              <w:rPr>
                <w:rStyle w:val="IndexLink"/>
                <w:rtl w:val="true"/>
              </w:rPr>
              <w:tab/>
            </w:r>
            <w:r>
              <w:rPr>
                <w:rStyle w:val="IndexLink"/>
              </w:rPr>
              <w:t>157</w:t>
            </w:r>
          </w:hyperlink>
        </w:p>
        <w:p>
          <w:pPr>
            <w:pStyle w:val="Contents4"/>
            <w:tabs>
              <w:tab w:val="clear" w:pos="8176"/>
              <w:tab w:val="right" w:pos="9026" w:leader="dot"/>
            </w:tabs>
            <w:rPr/>
          </w:pPr>
          <w:hyperlink w:anchor="__RefHeading___Toc283397_73709187">
            <w:r>
              <w:rPr>
                <w:webHidden/>
                <w:rStyle w:val="IndexLink"/>
                <w:rtl w:val="true"/>
              </w:rPr>
              <w:t>إقامة الحَدّ على الذِّمي والحامل</w:t>
            </w:r>
            <w:r>
              <w:rPr>
                <w:rStyle w:val="IndexLink"/>
                <w:rtl w:val="true"/>
              </w:rPr>
              <w:tab/>
            </w:r>
            <w:r>
              <w:rPr>
                <w:rStyle w:val="IndexLink"/>
              </w:rPr>
              <w:t>162</w:t>
            </w:r>
          </w:hyperlink>
        </w:p>
        <w:p>
          <w:pPr>
            <w:pStyle w:val="Contents4"/>
            <w:tabs>
              <w:tab w:val="clear" w:pos="8176"/>
              <w:tab w:val="right" w:pos="9026" w:leader="dot"/>
            </w:tabs>
            <w:rPr/>
          </w:pPr>
          <w:hyperlink w:anchor="__RefHeading___Toc283399_73709187">
            <w:r>
              <w:rPr>
                <w:webHidden/>
                <w:rStyle w:val="IndexLink"/>
                <w:rtl w:val="true"/>
              </w:rPr>
              <w:t>لا حَدّ على المريض و المستحاضة</w:t>
            </w:r>
            <w:r>
              <w:rPr>
                <w:rStyle w:val="IndexLink"/>
                <w:rtl w:val="true"/>
              </w:rPr>
              <w:tab/>
            </w:r>
            <w:r>
              <w:rPr>
                <w:rStyle w:val="IndexLink"/>
              </w:rPr>
              <w:t>166</w:t>
            </w:r>
          </w:hyperlink>
        </w:p>
        <w:p>
          <w:pPr>
            <w:pStyle w:val="Contents4"/>
            <w:tabs>
              <w:tab w:val="clear" w:pos="8176"/>
              <w:tab w:val="right" w:pos="9026" w:leader="dot"/>
            </w:tabs>
            <w:rPr/>
          </w:pPr>
          <w:hyperlink w:anchor="__RefHeading___Toc283401_73709187">
            <w:r>
              <w:rPr>
                <w:webHidden/>
                <w:rStyle w:val="IndexLink"/>
                <w:rtl w:val="true"/>
              </w:rPr>
              <w:t>لا يُقام الحَدّ في شِدّة الحَرّ والبرد، ولا في أرض العدو</w:t>
            </w:r>
            <w:r>
              <w:rPr>
                <w:rStyle w:val="IndexLink"/>
                <w:rtl w:val="true"/>
              </w:rPr>
              <w:tab/>
            </w:r>
            <w:r>
              <w:rPr>
                <w:rStyle w:val="IndexLink"/>
              </w:rPr>
              <w:t>168</w:t>
            </w:r>
          </w:hyperlink>
        </w:p>
        <w:p>
          <w:pPr>
            <w:pStyle w:val="Contents4"/>
            <w:tabs>
              <w:tab w:val="clear" w:pos="8176"/>
              <w:tab w:val="right" w:pos="9026" w:leader="dot"/>
            </w:tabs>
            <w:rPr/>
          </w:pPr>
          <w:hyperlink w:anchor="__RefHeading___Toc283403_73709187">
            <w:r>
              <w:rPr>
                <w:webHidden/>
                <w:rStyle w:val="IndexLink"/>
                <w:rtl w:val="true"/>
              </w:rPr>
              <w:t>لو اجتمع الجَلدُ والرَّجم</w:t>
            </w:r>
            <w:r>
              <w:rPr>
                <w:rStyle w:val="IndexLink"/>
                <w:rtl w:val="true"/>
              </w:rPr>
              <w:tab/>
            </w:r>
            <w:r>
              <w:rPr>
                <w:rStyle w:val="IndexLink"/>
              </w:rPr>
              <w:t>170</w:t>
            </w:r>
          </w:hyperlink>
        </w:p>
        <w:p>
          <w:pPr>
            <w:pStyle w:val="Contents4"/>
            <w:tabs>
              <w:tab w:val="clear" w:pos="8176"/>
              <w:tab w:val="right" w:pos="9026" w:leader="dot"/>
            </w:tabs>
            <w:rPr/>
          </w:pPr>
          <w:hyperlink w:anchor="__RefHeading___Toc283405_73709187">
            <w:r>
              <w:rPr>
                <w:webHidden/>
                <w:rStyle w:val="IndexLink"/>
                <w:rtl w:val="true"/>
              </w:rPr>
              <w:t>كيفيّة رجم المرأة</w:t>
            </w:r>
            <w:r>
              <w:rPr>
                <w:rStyle w:val="IndexLink"/>
                <w:rtl w:val="true"/>
              </w:rPr>
              <w:tab/>
            </w:r>
            <w:r>
              <w:rPr>
                <w:rStyle w:val="IndexLink"/>
              </w:rPr>
              <w:t>174</w:t>
            </w:r>
          </w:hyperlink>
        </w:p>
        <w:p>
          <w:pPr>
            <w:pStyle w:val="Contents4"/>
            <w:tabs>
              <w:tab w:val="clear" w:pos="8176"/>
              <w:tab w:val="right" w:pos="9026" w:leader="dot"/>
            </w:tabs>
            <w:rPr/>
          </w:pPr>
          <w:hyperlink w:anchor="__RefHeading___Toc283407_73709187">
            <w:r>
              <w:rPr>
                <w:webHidden/>
                <w:rStyle w:val="IndexLink"/>
                <w:rtl w:val="true"/>
              </w:rPr>
              <w:t>كيفيّة جَلد الرّجل و المرأة</w:t>
            </w:r>
            <w:r>
              <w:rPr>
                <w:rStyle w:val="IndexLink"/>
                <w:rtl w:val="true"/>
              </w:rPr>
              <w:tab/>
            </w:r>
            <w:r>
              <w:rPr>
                <w:rStyle w:val="IndexLink"/>
              </w:rPr>
              <w:t>180</w:t>
            </w:r>
          </w:hyperlink>
        </w:p>
        <w:p>
          <w:pPr>
            <w:pStyle w:val="Contents4"/>
            <w:tabs>
              <w:tab w:val="clear" w:pos="8176"/>
              <w:tab w:val="right" w:pos="9026" w:leader="dot"/>
            </w:tabs>
            <w:rPr/>
          </w:pPr>
          <w:hyperlink w:anchor="__RefHeading___Toc283409_73709187">
            <w:r>
              <w:rPr>
                <w:webHidden/>
                <w:rStyle w:val="IndexLink"/>
                <w:rtl w:val="true"/>
              </w:rPr>
              <w:t>من وجد رجلاً يزني مع زوجته</w:t>
            </w:r>
            <w:r>
              <w:rPr>
                <w:rStyle w:val="IndexLink"/>
                <w:rtl w:val="true"/>
              </w:rPr>
              <w:tab/>
            </w:r>
            <w:r>
              <w:rPr>
                <w:rStyle w:val="IndexLink"/>
              </w:rPr>
              <w:t>184</w:t>
            </w:r>
          </w:hyperlink>
        </w:p>
        <w:p>
          <w:pPr>
            <w:pStyle w:val="Contents3"/>
            <w:tabs>
              <w:tab w:val="clear" w:pos="8459"/>
              <w:tab w:val="right" w:pos="9026" w:leader="dot"/>
            </w:tabs>
            <w:rPr/>
          </w:pPr>
          <w:hyperlink w:anchor="__RefHeading___Toc283411_73709187">
            <w:r>
              <w:rPr>
                <w:webHidden/>
                <w:rStyle w:val="IndexLink"/>
                <w:rtl w:val="true"/>
              </w:rPr>
              <w:t>الفصل الثامن</w:t>
            </w:r>
            <w:r>
              <w:rPr>
                <w:rStyle w:val="IndexLink"/>
                <w:rtl w:val="true"/>
              </w:rPr>
              <w:t xml:space="preserve">: </w:t>
            </w:r>
            <w:r>
              <w:rPr>
                <w:rStyle w:val="IndexLink"/>
                <w:rtl w:val="true"/>
              </w:rPr>
              <w:t>في حَدّ اللّواط</w:t>
            </w:r>
            <w:r>
              <w:rPr>
                <w:rStyle w:val="IndexLink"/>
                <w:rtl w:val="true"/>
              </w:rPr>
              <w:tab/>
            </w:r>
            <w:r>
              <w:rPr>
                <w:rStyle w:val="IndexLink"/>
              </w:rPr>
              <w:t>190</w:t>
            </w:r>
          </w:hyperlink>
        </w:p>
        <w:p>
          <w:pPr>
            <w:pStyle w:val="Contents4"/>
            <w:tabs>
              <w:tab w:val="clear" w:pos="8176"/>
              <w:tab w:val="right" w:pos="9026" w:leader="dot"/>
            </w:tabs>
            <w:rPr/>
          </w:pPr>
          <w:hyperlink w:anchor="__RefHeading___Toc283413_7370918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83415_73709187">
            <w:r>
              <w:rPr>
                <w:webHidden/>
                <w:rStyle w:val="IndexLink"/>
                <w:rtl w:val="true"/>
              </w:rPr>
              <w:t>بيان حَدّ اللّواط مع الإيقاب</w:t>
            </w:r>
            <w:r>
              <w:rPr>
                <w:rStyle w:val="IndexLink"/>
                <w:rtl w:val="true"/>
              </w:rPr>
              <w:tab/>
            </w:r>
            <w:r>
              <w:rPr>
                <w:rStyle w:val="IndexLink"/>
              </w:rPr>
              <w:t>192</w:t>
            </w:r>
          </w:hyperlink>
        </w:p>
        <w:p>
          <w:pPr>
            <w:pStyle w:val="Contents4"/>
            <w:tabs>
              <w:tab w:val="clear" w:pos="8176"/>
              <w:tab w:val="right" w:pos="9026" w:leader="dot"/>
            </w:tabs>
            <w:rPr/>
          </w:pPr>
          <w:hyperlink w:anchor="__RefHeading___Toc283417_73709187">
            <w:r>
              <w:rPr>
                <w:webHidden/>
                <w:rStyle w:val="IndexLink"/>
                <w:rtl w:val="true"/>
              </w:rPr>
              <w:t>حَدّ اللّواط بغير الإيقاب</w:t>
            </w:r>
            <w:r>
              <w:rPr>
                <w:rStyle w:val="IndexLink"/>
                <w:rtl w:val="true"/>
              </w:rPr>
              <w:tab/>
            </w:r>
            <w:r>
              <w:rPr>
                <w:rStyle w:val="IndexLink"/>
              </w:rPr>
              <w:t>196</w:t>
            </w:r>
          </w:hyperlink>
        </w:p>
        <w:p>
          <w:pPr>
            <w:pStyle w:val="Contents4"/>
            <w:tabs>
              <w:tab w:val="clear" w:pos="8176"/>
              <w:tab w:val="right" w:pos="9026" w:leader="dot"/>
            </w:tabs>
            <w:rPr/>
          </w:pPr>
          <w:hyperlink w:anchor="__RefHeading___Toc283419_73709187">
            <w:r>
              <w:rPr>
                <w:webHidden/>
                <w:rStyle w:val="IndexLink"/>
                <w:rtl w:val="true"/>
              </w:rPr>
              <w:t>حَدّ اجتماع الأجنبيّين في إزارٍ واحد مُجرَّدين</w:t>
            </w:r>
            <w:r>
              <w:rPr>
                <w:rStyle w:val="IndexLink"/>
                <w:rtl w:val="true"/>
              </w:rPr>
              <w:tab/>
            </w:r>
            <w:r>
              <w:rPr>
                <w:rStyle w:val="IndexLink"/>
              </w:rPr>
              <w:t>199</w:t>
            </w:r>
          </w:hyperlink>
        </w:p>
        <w:p>
          <w:pPr>
            <w:pStyle w:val="Contents4"/>
            <w:tabs>
              <w:tab w:val="clear" w:pos="8176"/>
              <w:tab w:val="right" w:pos="9026" w:leader="dot"/>
            </w:tabs>
            <w:rPr/>
          </w:pPr>
          <w:hyperlink w:anchor="__RefHeading___Toc283421_73709187">
            <w:r>
              <w:rPr>
                <w:webHidden/>
                <w:rStyle w:val="IndexLink"/>
                <w:rtl w:val="true"/>
              </w:rPr>
              <w:t>حَدّ السُّحق</w:t>
            </w:r>
            <w:r>
              <w:rPr>
                <w:rStyle w:val="IndexLink"/>
                <w:rtl w:val="true"/>
              </w:rPr>
              <w:tab/>
            </w:r>
            <w:r>
              <w:rPr>
                <w:rStyle w:val="IndexLink"/>
              </w:rPr>
              <w:t>204</w:t>
            </w:r>
          </w:hyperlink>
        </w:p>
        <w:p>
          <w:pPr>
            <w:pStyle w:val="Contents4"/>
            <w:tabs>
              <w:tab w:val="clear" w:pos="8176"/>
              <w:tab w:val="right" w:pos="9026" w:leader="dot"/>
            </w:tabs>
            <w:rPr/>
          </w:pPr>
          <w:hyperlink w:anchor="__RefHeading___Toc283423_73709187">
            <w:r>
              <w:rPr>
                <w:webHidden/>
                <w:rStyle w:val="IndexLink"/>
                <w:rtl w:val="true"/>
              </w:rPr>
              <w:t>حَدّ القيادة</w:t>
            </w:r>
            <w:r>
              <w:rPr>
                <w:rStyle w:val="IndexLink"/>
                <w:rtl w:val="true"/>
              </w:rPr>
              <w:tab/>
            </w:r>
            <w:r>
              <w:rPr>
                <w:rStyle w:val="IndexLink"/>
              </w:rPr>
              <w:t>208</w:t>
            </w:r>
          </w:hyperlink>
        </w:p>
        <w:p>
          <w:pPr>
            <w:pStyle w:val="Contents3"/>
            <w:tabs>
              <w:tab w:val="clear" w:pos="8459"/>
              <w:tab w:val="right" w:pos="9026" w:leader="dot"/>
            </w:tabs>
            <w:rPr/>
          </w:pPr>
          <w:hyperlink w:anchor="__RefHeading___Toc283425_73709187">
            <w:r>
              <w:rPr>
                <w:webHidden/>
                <w:rStyle w:val="IndexLink"/>
                <w:rtl w:val="true"/>
              </w:rPr>
              <w:t>الفصل التاسع في حَدّ القذف</w:t>
            </w:r>
            <w:r>
              <w:rPr>
                <w:rStyle w:val="IndexLink"/>
                <w:rtl w:val="true"/>
              </w:rPr>
              <w:tab/>
            </w:r>
            <w:r>
              <w:rPr>
                <w:rStyle w:val="IndexLink"/>
              </w:rPr>
              <w:t>212</w:t>
            </w:r>
          </w:hyperlink>
        </w:p>
        <w:p>
          <w:pPr>
            <w:pStyle w:val="Contents4"/>
            <w:tabs>
              <w:tab w:val="clear" w:pos="8176"/>
              <w:tab w:val="right" w:pos="9026" w:leader="dot"/>
            </w:tabs>
            <w:rPr/>
          </w:pPr>
          <w:hyperlink w:anchor="__RefHeading___Toc283427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83429_73709187">
            <w:r>
              <w:rPr>
                <w:webHidden/>
                <w:rStyle w:val="IndexLink"/>
                <w:rtl w:val="true"/>
              </w:rPr>
              <w:t>موجب الحَدّ</w:t>
            </w:r>
            <w:r>
              <w:rPr>
                <w:rStyle w:val="IndexLink"/>
                <w:rtl w:val="true"/>
              </w:rPr>
              <w:tab/>
            </w:r>
            <w:r>
              <w:rPr>
                <w:rStyle w:val="IndexLink"/>
              </w:rPr>
              <w:t>215</w:t>
            </w:r>
          </w:hyperlink>
        </w:p>
        <w:p>
          <w:pPr>
            <w:pStyle w:val="Contents4"/>
            <w:tabs>
              <w:tab w:val="clear" w:pos="8176"/>
              <w:tab w:val="right" w:pos="9026" w:leader="dot"/>
            </w:tabs>
            <w:rPr/>
          </w:pPr>
          <w:hyperlink w:anchor="__RefHeading___Toc283431_73709187">
            <w:r>
              <w:rPr>
                <w:webHidden/>
                <w:rStyle w:val="IndexLink"/>
                <w:rtl w:val="true"/>
              </w:rPr>
              <w:t>كميّة حَدّ القاذف وكيفيّته</w:t>
            </w:r>
            <w:r>
              <w:rPr>
                <w:rStyle w:val="IndexLink"/>
                <w:rtl w:val="true"/>
              </w:rPr>
              <w:tab/>
            </w:r>
            <w:r>
              <w:rPr>
                <w:rStyle w:val="IndexLink"/>
              </w:rPr>
              <w:t>216</w:t>
            </w:r>
          </w:hyperlink>
        </w:p>
        <w:p>
          <w:pPr>
            <w:pStyle w:val="Contents4"/>
            <w:tabs>
              <w:tab w:val="clear" w:pos="8176"/>
              <w:tab w:val="right" w:pos="9026" w:leader="dot"/>
            </w:tabs>
            <w:rPr/>
          </w:pPr>
          <w:hyperlink w:anchor="__RefHeading___Toc283433_73709187">
            <w:r>
              <w:rPr>
                <w:webHidden/>
                <w:rStyle w:val="IndexLink"/>
                <w:rtl w:val="true"/>
              </w:rPr>
              <w:t>حكمُ ما لو قَذَف واحدٌ جماعة</w:t>
            </w:r>
            <w:r>
              <w:rPr>
                <w:rStyle w:val="IndexLink"/>
                <w:rtl w:val="true"/>
              </w:rPr>
              <w:tab/>
            </w:r>
            <w:r>
              <w:rPr>
                <w:rStyle w:val="IndexLink"/>
              </w:rPr>
              <w:t>226</w:t>
            </w:r>
          </w:hyperlink>
        </w:p>
        <w:p>
          <w:pPr>
            <w:pStyle w:val="Contents4"/>
            <w:tabs>
              <w:tab w:val="clear" w:pos="8176"/>
              <w:tab w:val="right" w:pos="9026" w:leader="dot"/>
            </w:tabs>
            <w:rPr/>
          </w:pPr>
          <w:hyperlink w:anchor="__RefHeading___Toc283435_73709187">
            <w:r>
              <w:rPr>
                <w:webHidden/>
                <w:rStyle w:val="IndexLink"/>
                <w:rtl w:val="true"/>
              </w:rPr>
              <w:t>الحَدّ يورث كالمال</w:t>
            </w:r>
            <w:r>
              <w:rPr>
                <w:rStyle w:val="IndexLink"/>
                <w:rtl w:val="true"/>
              </w:rPr>
              <w:tab/>
            </w:r>
            <w:r>
              <w:rPr>
                <w:rStyle w:val="IndexLink"/>
              </w:rPr>
              <w:t>229</w:t>
            </w:r>
          </w:hyperlink>
        </w:p>
        <w:p>
          <w:pPr>
            <w:pStyle w:val="Contents4"/>
            <w:tabs>
              <w:tab w:val="clear" w:pos="8176"/>
              <w:tab w:val="right" w:pos="9026" w:leader="dot"/>
            </w:tabs>
            <w:rPr/>
          </w:pPr>
          <w:hyperlink w:anchor="__RefHeading___Toc283437_73709187">
            <w:r>
              <w:rPr>
                <w:webHidden/>
                <w:rStyle w:val="IndexLink"/>
                <w:rtl w:val="true"/>
              </w:rPr>
              <w:t>وجوب قتل من سَبّ النبيّ صلى الله عليه و آله</w:t>
            </w:r>
            <w:r>
              <w:rPr>
                <w:rStyle w:val="IndexLink"/>
                <w:rtl w:val="true"/>
              </w:rPr>
              <w:tab/>
            </w:r>
            <w:r>
              <w:rPr>
                <w:rStyle w:val="IndexLink"/>
              </w:rPr>
              <w:t>233</w:t>
            </w:r>
          </w:hyperlink>
        </w:p>
        <w:p>
          <w:pPr>
            <w:pStyle w:val="Contents3"/>
            <w:tabs>
              <w:tab w:val="clear" w:pos="8459"/>
              <w:tab w:val="right" w:pos="9026" w:leader="dot"/>
            </w:tabs>
            <w:rPr/>
          </w:pPr>
          <w:hyperlink w:anchor="__RefHeading___Toc283439_73709187">
            <w:r>
              <w:rPr>
                <w:webHidden/>
                <w:rStyle w:val="IndexLink"/>
                <w:rtl w:val="true"/>
              </w:rPr>
              <w:t>الفصل العاشر في حَدّ متناول المُسكِر</w:t>
            </w:r>
            <w:r>
              <w:rPr>
                <w:rStyle w:val="IndexLink"/>
                <w:rtl w:val="true"/>
              </w:rPr>
              <w:tab/>
            </w:r>
            <w:r>
              <w:rPr>
                <w:rStyle w:val="IndexLink"/>
              </w:rPr>
              <w:t>239</w:t>
            </w:r>
          </w:hyperlink>
        </w:p>
        <w:p>
          <w:pPr>
            <w:pStyle w:val="Contents4"/>
            <w:tabs>
              <w:tab w:val="clear" w:pos="8176"/>
              <w:tab w:val="right" w:pos="9026" w:leader="dot"/>
            </w:tabs>
            <w:rPr/>
          </w:pPr>
          <w:hyperlink w:anchor="__RefHeading___Toc283441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83443_73709187">
            <w:r>
              <w:rPr>
                <w:webHidden/>
                <w:rStyle w:val="IndexLink"/>
                <w:rtl w:val="true"/>
              </w:rPr>
              <w:t>بيان حَدّ شارب الخمر وكيفيّته</w:t>
            </w:r>
            <w:r>
              <w:rPr>
                <w:rStyle w:val="IndexLink"/>
                <w:rtl w:val="true"/>
              </w:rPr>
              <w:tab/>
            </w:r>
            <w:r>
              <w:rPr>
                <w:rStyle w:val="IndexLink"/>
              </w:rPr>
              <w:t>242</w:t>
            </w:r>
          </w:hyperlink>
        </w:p>
        <w:p>
          <w:pPr>
            <w:pStyle w:val="Contents4"/>
            <w:tabs>
              <w:tab w:val="clear" w:pos="8176"/>
              <w:tab w:val="right" w:pos="9026" w:leader="dot"/>
            </w:tabs>
            <w:rPr/>
          </w:pPr>
          <w:hyperlink w:anchor="__RefHeading___Toc283445_73709187">
            <w:r>
              <w:rPr>
                <w:webHidden/>
                <w:rStyle w:val="IndexLink"/>
                <w:rtl w:val="true"/>
              </w:rPr>
              <w:t>حكم من شَرِب الخَمر مُستحلّاً</w:t>
            </w:r>
            <w:r>
              <w:rPr>
                <w:rStyle w:val="IndexLink"/>
                <w:rtl w:val="true"/>
              </w:rPr>
              <w:tab/>
            </w:r>
            <w:r>
              <w:rPr>
                <w:rStyle w:val="IndexLink"/>
              </w:rPr>
              <w:t>246</w:t>
            </w:r>
          </w:hyperlink>
        </w:p>
        <w:p>
          <w:pPr>
            <w:pStyle w:val="Contents4"/>
            <w:tabs>
              <w:tab w:val="clear" w:pos="8176"/>
              <w:tab w:val="right" w:pos="9026" w:leader="dot"/>
            </w:tabs>
            <w:rPr/>
          </w:pPr>
          <w:hyperlink w:anchor="__RefHeading___Toc283447_73709187">
            <w:r>
              <w:rPr>
                <w:webHidden/>
                <w:rStyle w:val="IndexLink"/>
                <w:rtl w:val="true"/>
              </w:rPr>
              <w:t>توبة الشارب قبل أن يُحدّ</w:t>
            </w:r>
            <w:r>
              <w:rPr>
                <w:rStyle w:val="IndexLink"/>
                <w:rtl w:val="true"/>
              </w:rPr>
              <w:tab/>
            </w:r>
            <w:r>
              <w:rPr>
                <w:rStyle w:val="IndexLink"/>
              </w:rPr>
              <w:t>248</w:t>
            </w:r>
          </w:hyperlink>
        </w:p>
        <w:p>
          <w:pPr>
            <w:pStyle w:val="Contents3"/>
            <w:tabs>
              <w:tab w:val="clear" w:pos="8459"/>
              <w:tab w:val="right" w:pos="9026" w:leader="dot"/>
            </w:tabs>
            <w:rPr/>
          </w:pPr>
          <w:hyperlink w:anchor="__RefHeading___Toc283449_73709187">
            <w:r>
              <w:rPr>
                <w:webHidden/>
                <w:rStyle w:val="IndexLink"/>
                <w:rtl w:val="true"/>
              </w:rPr>
              <w:t>الفصل الحادي عشر في حَدّ السَّرقة</w:t>
            </w:r>
            <w:r>
              <w:rPr>
                <w:rStyle w:val="IndexLink"/>
                <w:rtl w:val="true"/>
              </w:rPr>
              <w:tab/>
            </w:r>
            <w:r>
              <w:rPr>
                <w:rStyle w:val="IndexLink"/>
              </w:rPr>
              <w:t>254</w:t>
            </w:r>
          </w:hyperlink>
        </w:p>
        <w:p>
          <w:pPr>
            <w:pStyle w:val="Contents4"/>
            <w:tabs>
              <w:tab w:val="clear" w:pos="8176"/>
              <w:tab w:val="right" w:pos="9026" w:leader="dot"/>
            </w:tabs>
            <w:rPr/>
          </w:pPr>
          <w:hyperlink w:anchor="__RefHeading___Toc283451_7370918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83453_73709187">
            <w:r>
              <w:rPr>
                <w:webHidden/>
                <w:rStyle w:val="IndexLink"/>
                <w:rtl w:val="true"/>
              </w:rPr>
              <w:t>اعتبار كون المال محرزاً</w:t>
            </w:r>
            <w:r>
              <w:rPr>
                <w:rStyle w:val="IndexLink"/>
                <w:rtl w:val="true"/>
              </w:rPr>
              <w:tab/>
            </w:r>
            <w:r>
              <w:rPr>
                <w:rStyle w:val="IndexLink"/>
              </w:rPr>
              <w:t>259</w:t>
            </w:r>
          </w:hyperlink>
        </w:p>
        <w:p>
          <w:pPr>
            <w:pStyle w:val="Contents4"/>
            <w:tabs>
              <w:tab w:val="clear" w:pos="8176"/>
              <w:tab w:val="right" w:pos="9026" w:leader="dot"/>
            </w:tabs>
            <w:rPr/>
          </w:pPr>
          <w:hyperlink w:anchor="__RefHeading___Toc283455_73709187">
            <w:r>
              <w:rPr>
                <w:webHidden/>
                <w:rStyle w:val="IndexLink"/>
                <w:rtl w:val="true"/>
              </w:rPr>
              <w:t>المسروق وما يعتبر فيه</w:t>
            </w:r>
            <w:r>
              <w:rPr>
                <w:rStyle w:val="IndexLink"/>
                <w:rtl w:val="true"/>
              </w:rPr>
              <w:tab/>
            </w:r>
            <w:r>
              <w:rPr>
                <w:rStyle w:val="IndexLink"/>
              </w:rPr>
              <w:t>264</w:t>
            </w:r>
          </w:hyperlink>
        </w:p>
        <w:p>
          <w:pPr>
            <w:pStyle w:val="Contents4"/>
            <w:tabs>
              <w:tab w:val="clear" w:pos="8176"/>
              <w:tab w:val="right" w:pos="9026" w:leader="dot"/>
            </w:tabs>
            <w:rPr/>
          </w:pPr>
          <w:hyperlink w:anchor="__RefHeading___Toc283457_73709187">
            <w:r>
              <w:rPr>
                <w:webHidden/>
                <w:rStyle w:val="IndexLink"/>
                <w:rtl w:val="true"/>
              </w:rPr>
              <w:t>بيان حَدّ السارق وكيفيّته</w:t>
            </w:r>
            <w:r>
              <w:rPr>
                <w:rStyle w:val="IndexLink"/>
                <w:rtl w:val="true"/>
              </w:rPr>
              <w:tab/>
            </w:r>
            <w:r>
              <w:rPr>
                <w:rStyle w:val="IndexLink"/>
              </w:rPr>
              <w:t>269</w:t>
            </w:r>
          </w:hyperlink>
        </w:p>
        <w:p>
          <w:pPr>
            <w:pStyle w:val="Contents4"/>
            <w:tabs>
              <w:tab w:val="clear" w:pos="8176"/>
              <w:tab w:val="right" w:pos="9026" w:leader="dot"/>
            </w:tabs>
            <w:rPr/>
          </w:pPr>
          <w:hyperlink w:anchor="__RefHeading___Toc283459_73709187">
            <w:r>
              <w:rPr>
                <w:webHidden/>
                <w:rStyle w:val="IndexLink"/>
                <w:rtl w:val="true"/>
              </w:rPr>
              <w:t>حكم ما لو تكرّرت السَّرقة</w:t>
            </w:r>
            <w:r>
              <w:rPr>
                <w:rStyle w:val="IndexLink"/>
                <w:rtl w:val="true"/>
              </w:rPr>
              <w:tab/>
            </w:r>
            <w:r>
              <w:rPr>
                <w:rStyle w:val="IndexLink"/>
              </w:rPr>
              <w:t>275</w:t>
            </w:r>
          </w:hyperlink>
        </w:p>
        <w:p>
          <w:pPr>
            <w:pStyle w:val="Contents4"/>
            <w:tabs>
              <w:tab w:val="clear" w:pos="8176"/>
              <w:tab w:val="right" w:pos="9026" w:leader="dot"/>
            </w:tabs>
            <w:rPr/>
          </w:pPr>
          <w:hyperlink w:anchor="__RefHeading___Toc283461_73709187">
            <w:r>
              <w:rPr>
                <w:webHidden/>
                <w:rStyle w:val="IndexLink"/>
                <w:rtl w:val="true"/>
              </w:rPr>
              <w:t>مستثنيات قطع السارق</w:t>
            </w:r>
            <w:r>
              <w:rPr>
                <w:rStyle w:val="IndexLink"/>
                <w:rtl w:val="true"/>
              </w:rPr>
              <w:tab/>
            </w:r>
            <w:r>
              <w:rPr>
                <w:rStyle w:val="IndexLink"/>
              </w:rPr>
              <w:t>280</w:t>
            </w:r>
          </w:hyperlink>
        </w:p>
        <w:p>
          <w:pPr>
            <w:pStyle w:val="Contents4"/>
            <w:tabs>
              <w:tab w:val="clear" w:pos="8176"/>
              <w:tab w:val="right" w:pos="9026" w:leader="dot"/>
            </w:tabs>
            <w:rPr/>
          </w:pPr>
          <w:hyperlink w:anchor="__RefHeading___Toc283463_73709187">
            <w:r>
              <w:rPr>
                <w:webHidden/>
                <w:rStyle w:val="IndexLink"/>
                <w:rtl w:val="true"/>
              </w:rPr>
              <w:t>حكم السّارق من المواضع المتناوبة</w:t>
            </w:r>
            <w:r>
              <w:rPr>
                <w:rStyle w:val="IndexLink"/>
                <w:rtl w:val="true"/>
              </w:rPr>
              <w:tab/>
            </w:r>
            <w:r>
              <w:rPr>
                <w:rStyle w:val="IndexLink"/>
              </w:rPr>
              <w:t>283</w:t>
            </w:r>
          </w:hyperlink>
        </w:p>
        <w:p>
          <w:pPr>
            <w:pStyle w:val="Contents4"/>
            <w:tabs>
              <w:tab w:val="clear" w:pos="8176"/>
              <w:tab w:val="right" w:pos="9026" w:leader="dot"/>
            </w:tabs>
            <w:rPr/>
          </w:pPr>
          <w:hyperlink w:anchor="__RefHeading___Toc283465_73709187">
            <w:r>
              <w:rPr>
                <w:webHidden/>
                <w:rStyle w:val="IndexLink"/>
                <w:rtl w:val="true"/>
              </w:rPr>
              <w:t>حكم سارق الكفن</w:t>
            </w:r>
            <w:r>
              <w:rPr>
                <w:rStyle w:val="IndexLink"/>
                <w:rtl w:val="true"/>
              </w:rPr>
              <w:tab/>
            </w:r>
            <w:r>
              <w:rPr>
                <w:rStyle w:val="IndexLink"/>
              </w:rPr>
              <w:t>288</w:t>
            </w:r>
          </w:hyperlink>
        </w:p>
        <w:p>
          <w:pPr>
            <w:pStyle w:val="Contents4"/>
            <w:tabs>
              <w:tab w:val="clear" w:pos="8176"/>
              <w:tab w:val="right" w:pos="9026" w:leader="dot"/>
            </w:tabs>
            <w:rPr/>
          </w:pPr>
          <w:hyperlink w:anchor="__RefHeading___Toc283467_73709187">
            <w:r>
              <w:rPr>
                <w:webHidden/>
                <w:rStyle w:val="IndexLink"/>
                <w:rtl w:val="true"/>
              </w:rPr>
              <w:t>حكم السرقة المشتركة</w:t>
            </w:r>
            <w:r>
              <w:rPr>
                <w:rStyle w:val="IndexLink"/>
                <w:rtl w:val="true"/>
              </w:rPr>
              <w:tab/>
            </w:r>
            <w:r>
              <w:rPr>
                <w:rStyle w:val="IndexLink"/>
              </w:rPr>
              <w:t>293</w:t>
            </w:r>
          </w:hyperlink>
        </w:p>
        <w:p>
          <w:pPr>
            <w:pStyle w:val="Contents4"/>
            <w:tabs>
              <w:tab w:val="clear" w:pos="8176"/>
              <w:tab w:val="right" w:pos="9026" w:leader="dot"/>
            </w:tabs>
            <w:rPr/>
          </w:pPr>
          <w:hyperlink w:anchor="__RefHeading___Toc283469_73709187">
            <w:r>
              <w:rPr>
                <w:webHidden/>
                <w:rStyle w:val="IndexLink"/>
                <w:rtl w:val="true"/>
              </w:rPr>
              <w:t>حكم ما لو هتك الحِرز شخص ٌ وأخرج المال غيره</w:t>
            </w:r>
            <w:r>
              <w:rPr>
                <w:rStyle w:val="IndexLink"/>
                <w:rtl w:val="true"/>
              </w:rPr>
              <w:tab/>
            </w:r>
            <w:r>
              <w:rPr>
                <w:rStyle w:val="IndexLink"/>
              </w:rPr>
              <w:t>295</w:t>
            </w:r>
          </w:hyperlink>
        </w:p>
        <w:p>
          <w:pPr>
            <w:pStyle w:val="Contents4"/>
            <w:tabs>
              <w:tab w:val="clear" w:pos="8176"/>
              <w:tab w:val="right" w:pos="9026" w:leader="dot"/>
            </w:tabs>
            <w:rPr/>
          </w:pPr>
          <w:hyperlink w:anchor="__RefHeading___Toc283471_73709187">
            <w:r>
              <w:rPr>
                <w:webHidden/>
                <w:rStyle w:val="IndexLink"/>
                <w:rtl w:val="true"/>
              </w:rPr>
              <w:t>بيان ما يثبت به السَّرقة</w:t>
            </w:r>
            <w:r>
              <w:rPr>
                <w:rStyle w:val="IndexLink"/>
                <w:rtl w:val="true"/>
              </w:rPr>
              <w:tab/>
            </w:r>
            <w:r>
              <w:rPr>
                <w:rStyle w:val="IndexLink"/>
              </w:rPr>
              <w:t>298</w:t>
            </w:r>
          </w:hyperlink>
        </w:p>
        <w:p>
          <w:pPr>
            <w:pStyle w:val="Contents4"/>
            <w:tabs>
              <w:tab w:val="clear" w:pos="8176"/>
              <w:tab w:val="right" w:pos="9026" w:leader="dot"/>
            </w:tabs>
            <w:rPr/>
          </w:pPr>
          <w:hyperlink w:anchor="__RefHeading___Toc283473_73709187">
            <w:r>
              <w:rPr>
                <w:webHidden/>
                <w:rStyle w:val="IndexLink"/>
                <w:rtl w:val="true"/>
              </w:rPr>
              <w:t>قطع السّارق موقوفٌ على المرافعة</w:t>
            </w:r>
            <w:r>
              <w:rPr>
                <w:rStyle w:val="IndexLink"/>
                <w:rtl w:val="true"/>
              </w:rPr>
              <w:tab/>
            </w:r>
            <w:r>
              <w:rPr>
                <w:rStyle w:val="IndexLink"/>
              </w:rPr>
              <w:t>304</w:t>
            </w:r>
          </w:hyperlink>
        </w:p>
        <w:p>
          <w:pPr>
            <w:pStyle w:val="Contents3"/>
            <w:tabs>
              <w:tab w:val="clear" w:pos="8459"/>
              <w:tab w:val="right" w:pos="9026" w:leader="dot"/>
            </w:tabs>
            <w:rPr/>
          </w:pPr>
          <w:hyperlink w:anchor="__RefHeading___Toc283475_73709187">
            <w:r>
              <w:rPr>
                <w:webHidden/>
                <w:rStyle w:val="IndexLink"/>
                <w:rtl w:val="true"/>
              </w:rPr>
              <w:t>الفصل الثاني عشر في حَدّ المُحارب</w:t>
            </w:r>
            <w:r>
              <w:rPr>
                <w:rStyle w:val="IndexLink"/>
                <w:rtl w:val="true"/>
              </w:rPr>
              <w:tab/>
            </w:r>
            <w:r>
              <w:rPr>
                <w:rStyle w:val="IndexLink"/>
              </w:rPr>
              <w:t>309</w:t>
            </w:r>
          </w:hyperlink>
        </w:p>
        <w:p>
          <w:pPr>
            <w:pStyle w:val="Contents4"/>
            <w:tabs>
              <w:tab w:val="clear" w:pos="8176"/>
              <w:tab w:val="right" w:pos="9026" w:leader="dot"/>
            </w:tabs>
            <w:rPr/>
          </w:pPr>
          <w:hyperlink w:anchor="__RefHeading___Toc283477_7370918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283479_73709187">
            <w:r>
              <w:rPr>
                <w:webHidden/>
                <w:rStyle w:val="IndexLink"/>
                <w:rtl w:val="true"/>
              </w:rPr>
              <w:t>كيفيّة حَدّ المحارب</w:t>
            </w:r>
            <w:r>
              <w:rPr>
                <w:rStyle w:val="IndexLink"/>
                <w:rtl w:val="true"/>
              </w:rPr>
              <w:tab/>
            </w:r>
            <w:r>
              <w:rPr>
                <w:rStyle w:val="IndexLink"/>
              </w:rPr>
              <w:t>312</w:t>
            </w:r>
          </w:hyperlink>
        </w:p>
        <w:p>
          <w:pPr>
            <w:pStyle w:val="Contents4"/>
            <w:tabs>
              <w:tab w:val="clear" w:pos="8176"/>
              <w:tab w:val="right" w:pos="9026" w:leader="dot"/>
            </w:tabs>
            <w:rPr/>
          </w:pPr>
          <w:hyperlink w:anchor="__RefHeading___Toc283481_73709187">
            <w:r>
              <w:rPr>
                <w:webHidden/>
                <w:rStyle w:val="IndexLink"/>
                <w:rtl w:val="true"/>
              </w:rPr>
              <w:t>أحكام اللِّص إذا دخل داراً</w:t>
            </w:r>
            <w:r>
              <w:rPr>
                <w:rStyle w:val="IndexLink"/>
                <w:rtl w:val="true"/>
              </w:rPr>
              <w:tab/>
            </w:r>
            <w:r>
              <w:rPr>
                <w:rStyle w:val="IndexLink"/>
              </w:rPr>
              <w:t>322</w:t>
            </w:r>
          </w:hyperlink>
        </w:p>
        <w:p>
          <w:pPr>
            <w:pStyle w:val="Contents4"/>
            <w:tabs>
              <w:tab w:val="clear" w:pos="8176"/>
              <w:tab w:val="right" w:pos="9026" w:leader="dot"/>
            </w:tabs>
            <w:rPr/>
          </w:pPr>
          <w:hyperlink w:anchor="__RefHeading___Toc283483_73709187">
            <w:r>
              <w:rPr>
                <w:webHidden/>
                <w:rStyle w:val="IndexLink"/>
                <w:rtl w:val="true"/>
              </w:rPr>
              <w:t>من كابر امرأة على فرجها</w:t>
            </w:r>
            <w:r>
              <w:rPr>
                <w:rStyle w:val="IndexLink"/>
                <w:rtl w:val="true"/>
              </w:rPr>
              <w:tab/>
            </w:r>
            <w:r>
              <w:rPr>
                <w:rStyle w:val="IndexLink"/>
              </w:rPr>
              <w:t>327</w:t>
            </w:r>
          </w:hyperlink>
        </w:p>
        <w:p>
          <w:pPr>
            <w:pStyle w:val="Contents4"/>
            <w:tabs>
              <w:tab w:val="clear" w:pos="8176"/>
              <w:tab w:val="right" w:pos="9026" w:leader="dot"/>
            </w:tabs>
            <w:rPr/>
          </w:pPr>
          <w:hyperlink w:anchor="__RefHeading___Toc283485_73709187">
            <w:r>
              <w:rPr>
                <w:webHidden/>
                <w:rStyle w:val="IndexLink"/>
                <w:rtl w:val="true"/>
              </w:rPr>
              <w:t>حكم المُختلس والمُستَلب</w:t>
            </w:r>
            <w:r>
              <w:rPr>
                <w:rStyle w:val="IndexLink"/>
                <w:rtl w:val="true"/>
              </w:rPr>
              <w:tab/>
            </w:r>
            <w:r>
              <w:rPr>
                <w:rStyle w:val="IndexLink"/>
              </w:rPr>
              <w:t>329</w:t>
            </w:r>
          </w:hyperlink>
        </w:p>
        <w:p>
          <w:pPr>
            <w:pStyle w:val="Contents4"/>
            <w:tabs>
              <w:tab w:val="clear" w:pos="8176"/>
              <w:tab w:val="right" w:pos="9026" w:leader="dot"/>
            </w:tabs>
            <w:rPr/>
          </w:pPr>
          <w:hyperlink w:anchor="__RefHeading___Toc283487_73709187">
            <w:r>
              <w:rPr>
                <w:webHidden/>
                <w:rStyle w:val="IndexLink"/>
                <w:rtl w:val="true"/>
              </w:rPr>
              <w:t>حَدُّ وطء البهائم</w:t>
            </w:r>
            <w:r>
              <w:rPr>
                <w:rStyle w:val="IndexLink"/>
                <w:rtl w:val="true"/>
              </w:rPr>
              <w:tab/>
            </w:r>
            <w:r>
              <w:rPr>
                <w:rStyle w:val="IndexLink"/>
              </w:rPr>
              <w:t>332</w:t>
            </w:r>
          </w:hyperlink>
        </w:p>
        <w:p>
          <w:pPr>
            <w:pStyle w:val="Contents4"/>
            <w:tabs>
              <w:tab w:val="clear" w:pos="8176"/>
              <w:tab w:val="right" w:pos="9026" w:leader="dot"/>
            </w:tabs>
            <w:rPr/>
          </w:pPr>
          <w:hyperlink w:anchor="__RefHeading___Toc283489_73709187">
            <w:r>
              <w:rPr>
                <w:webHidden/>
                <w:rStyle w:val="IndexLink"/>
                <w:rtl w:val="true"/>
              </w:rPr>
              <w:t>بيان حَدّ وطء الميّتة من بنات آدم</w:t>
            </w:r>
            <w:r>
              <w:rPr>
                <w:rStyle w:val="IndexLink"/>
                <w:rtl w:val="true"/>
              </w:rPr>
              <w:tab/>
            </w:r>
            <w:r>
              <w:rPr>
                <w:rStyle w:val="IndexLink"/>
              </w:rPr>
              <w:t>337</w:t>
            </w:r>
          </w:hyperlink>
        </w:p>
        <w:p>
          <w:pPr>
            <w:pStyle w:val="Contents4"/>
            <w:tabs>
              <w:tab w:val="clear" w:pos="8176"/>
              <w:tab w:val="right" w:pos="9026" w:leader="dot"/>
            </w:tabs>
            <w:rPr/>
          </w:pPr>
          <w:hyperlink w:anchor="__RefHeading___Toc283491_73709187">
            <w:r>
              <w:rPr>
                <w:webHidden/>
                <w:rStyle w:val="IndexLink"/>
                <w:rtl w:val="true"/>
              </w:rPr>
              <w:t>الإستمناء موجبُ التعزير</w:t>
            </w:r>
            <w:r>
              <w:rPr>
                <w:rStyle w:val="IndexLink"/>
                <w:rtl w:val="true"/>
              </w:rPr>
              <w:tab/>
            </w:r>
            <w:r>
              <w:rPr>
                <w:rStyle w:val="IndexLink"/>
              </w:rPr>
              <w:t>341</w:t>
            </w:r>
          </w:hyperlink>
        </w:p>
        <w:p>
          <w:pPr>
            <w:pStyle w:val="Contents2"/>
            <w:tabs>
              <w:tab w:val="clear" w:pos="8743"/>
              <w:tab w:val="right" w:pos="9026" w:leader="dot"/>
            </w:tabs>
            <w:rPr/>
          </w:pPr>
          <w:hyperlink w:anchor="__RefHeading___Toc283493_73709187">
            <w:r>
              <w:rPr>
                <w:webHidden/>
                <w:rStyle w:val="IndexLink"/>
                <w:rtl w:val="true"/>
              </w:rPr>
              <w:t>كتابُ القِصاص</w:t>
            </w:r>
            <w:r>
              <w:rPr>
                <w:rStyle w:val="IndexLink"/>
                <w:rtl w:val="true"/>
              </w:rPr>
              <w:tab/>
            </w:r>
            <w:r>
              <w:rPr>
                <w:rStyle w:val="IndexLink"/>
              </w:rPr>
              <w:t>346</w:t>
            </w:r>
          </w:hyperlink>
        </w:p>
        <w:p>
          <w:pPr>
            <w:pStyle w:val="Contents3"/>
            <w:tabs>
              <w:tab w:val="clear" w:pos="8459"/>
              <w:tab w:val="right" w:pos="9026" w:leader="dot"/>
            </w:tabs>
            <w:rPr/>
          </w:pPr>
          <w:hyperlink w:anchor="__RefHeading___Toc283495_7370918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283497_73709187">
            <w:r>
              <w:rPr>
                <w:webHidden/>
                <w:rStyle w:val="IndexLink"/>
                <w:rtl w:val="true"/>
              </w:rPr>
              <w:t>[</w:t>
            </w:r>
            <w:r>
              <w:rPr>
                <w:rStyle w:val="IndexLink"/>
                <w:rtl w:val="true"/>
              </w:rPr>
              <w:t>الفصل الأوّل</w:t>
            </w:r>
            <w:r>
              <w:rPr>
                <w:rStyle w:val="IndexLink"/>
                <w:rtl w:val="true"/>
              </w:rPr>
              <w:t xml:space="preserve">: </w:t>
            </w:r>
            <w:r>
              <w:rPr>
                <w:rStyle w:val="IndexLink"/>
                <w:rtl w:val="true"/>
              </w:rPr>
              <w:t>في أقسام القتل</w:t>
            </w:r>
            <w:r>
              <w:rPr>
                <w:rStyle w:val="IndexLink"/>
                <w:rtl w:val="true"/>
              </w:rPr>
              <w:t>]</w:t>
              <w:tab/>
            </w:r>
            <w:r>
              <w:rPr>
                <w:rStyle w:val="IndexLink"/>
              </w:rPr>
              <w:t>350</w:t>
            </w:r>
          </w:hyperlink>
        </w:p>
        <w:p>
          <w:pPr>
            <w:pStyle w:val="Contents4"/>
            <w:tabs>
              <w:tab w:val="clear" w:pos="8176"/>
              <w:tab w:val="right" w:pos="9026" w:leader="dot"/>
            </w:tabs>
            <w:rPr/>
          </w:pPr>
          <w:hyperlink w:anchor="__RefHeading___Toc283499_73709187">
            <w:r>
              <w:rPr>
                <w:webHidden/>
                <w:rStyle w:val="IndexLink"/>
                <w:rtl w:val="true"/>
              </w:rPr>
              <w:t>البحث عن القتل العَمدي</w:t>
            </w:r>
            <w:r>
              <w:rPr>
                <w:rStyle w:val="IndexLink"/>
                <w:rtl w:val="true"/>
              </w:rPr>
              <w:tab/>
            </w:r>
            <w:r>
              <w:rPr>
                <w:rStyle w:val="IndexLink"/>
              </w:rPr>
              <w:t>350</w:t>
            </w:r>
          </w:hyperlink>
        </w:p>
        <w:p>
          <w:pPr>
            <w:pStyle w:val="Contents4"/>
            <w:tabs>
              <w:tab w:val="clear" w:pos="8176"/>
              <w:tab w:val="right" w:pos="9026" w:leader="dot"/>
            </w:tabs>
            <w:rPr/>
          </w:pPr>
          <w:hyperlink w:anchor="__RefHeading___Toc283501_73709187">
            <w:r>
              <w:rPr>
                <w:webHidden/>
                <w:rStyle w:val="IndexLink"/>
                <w:rtl w:val="true"/>
              </w:rPr>
              <w:t>شبيه العَمد</w:t>
            </w:r>
            <w:r>
              <w:rPr>
                <w:rStyle w:val="IndexLink"/>
                <w:rtl w:val="true"/>
              </w:rPr>
              <w:tab/>
            </w:r>
            <w:r>
              <w:rPr>
                <w:rStyle w:val="IndexLink"/>
              </w:rPr>
              <w:t>355</w:t>
            </w:r>
          </w:hyperlink>
        </w:p>
        <w:p>
          <w:pPr>
            <w:pStyle w:val="Contents4"/>
            <w:tabs>
              <w:tab w:val="clear" w:pos="8176"/>
              <w:tab w:val="right" w:pos="9026" w:leader="dot"/>
            </w:tabs>
            <w:rPr/>
          </w:pPr>
          <w:hyperlink w:anchor="__RefHeading___Toc283503_73709187">
            <w:r>
              <w:rPr>
                <w:webHidden/>
                <w:rStyle w:val="IndexLink"/>
                <w:rtl w:val="true"/>
              </w:rPr>
              <w:t>لا فرق بين القتل بالمباشرة أو التسبيب</w:t>
            </w:r>
            <w:r>
              <w:rPr>
                <w:rStyle w:val="IndexLink"/>
                <w:rtl w:val="true"/>
              </w:rPr>
              <w:tab/>
            </w:r>
            <w:r>
              <w:rPr>
                <w:rStyle w:val="IndexLink"/>
              </w:rPr>
              <w:t>358</w:t>
            </w:r>
          </w:hyperlink>
        </w:p>
        <w:p>
          <w:pPr>
            <w:pStyle w:val="Contents4"/>
            <w:tabs>
              <w:tab w:val="clear" w:pos="8176"/>
              <w:tab w:val="right" w:pos="9026" w:leader="dot"/>
            </w:tabs>
            <w:rPr/>
          </w:pPr>
          <w:hyperlink w:anchor="__RefHeading___Toc283505_73709187">
            <w:r>
              <w:rPr>
                <w:webHidden/>
                <w:rStyle w:val="IndexLink"/>
                <w:rtl w:val="true"/>
              </w:rPr>
              <w:t>الموت بالإلقاء في النّار</w:t>
            </w:r>
            <w:r>
              <w:rPr>
                <w:rStyle w:val="IndexLink"/>
                <w:rtl w:val="true"/>
              </w:rPr>
              <w:tab/>
            </w:r>
            <w:r>
              <w:rPr>
                <w:rStyle w:val="IndexLink"/>
              </w:rPr>
              <w:t>361</w:t>
            </w:r>
          </w:hyperlink>
        </w:p>
        <w:p>
          <w:pPr>
            <w:pStyle w:val="Contents4"/>
            <w:tabs>
              <w:tab w:val="clear" w:pos="8176"/>
              <w:tab w:val="right" w:pos="9026" w:leader="dot"/>
            </w:tabs>
            <w:rPr/>
          </w:pPr>
          <w:hyperlink w:anchor="__RefHeading___Toc283507_73709187">
            <w:r>
              <w:rPr>
                <w:webHidden/>
                <w:rStyle w:val="IndexLink"/>
                <w:rtl w:val="true"/>
              </w:rPr>
              <w:t>موتُ المَجنيّ عليه بالسِّراية اتّفاقاً</w:t>
            </w:r>
            <w:r>
              <w:rPr>
                <w:rStyle w:val="IndexLink"/>
                <w:rtl w:val="true"/>
              </w:rPr>
              <w:tab/>
            </w:r>
            <w:r>
              <w:rPr>
                <w:rStyle w:val="IndexLink"/>
              </w:rPr>
              <w:t>365</w:t>
            </w:r>
          </w:hyperlink>
        </w:p>
        <w:p>
          <w:pPr>
            <w:pStyle w:val="Contents4"/>
            <w:tabs>
              <w:tab w:val="clear" w:pos="8176"/>
              <w:tab w:val="right" w:pos="9026" w:leader="dot"/>
            </w:tabs>
            <w:rPr/>
          </w:pPr>
          <w:hyperlink w:anchor="__RefHeading___Toc283509_73709187">
            <w:r>
              <w:rPr>
                <w:webHidden/>
                <w:rStyle w:val="IndexLink"/>
                <w:rtl w:val="true"/>
              </w:rPr>
              <w:t>حكمُ ما لو كان الجارح والقاتل واحداً</w:t>
            </w:r>
            <w:r>
              <w:rPr>
                <w:rStyle w:val="IndexLink"/>
                <w:rtl w:val="true"/>
              </w:rPr>
              <w:tab/>
            </w:r>
            <w:r>
              <w:rPr>
                <w:rStyle w:val="IndexLink"/>
              </w:rPr>
              <w:t>366</w:t>
            </w:r>
          </w:hyperlink>
        </w:p>
        <w:p>
          <w:pPr>
            <w:pStyle w:val="Contents4"/>
            <w:tabs>
              <w:tab w:val="clear" w:pos="8176"/>
              <w:tab w:val="right" w:pos="9026" w:leader="dot"/>
            </w:tabs>
            <w:rPr/>
          </w:pPr>
          <w:hyperlink w:anchor="__RefHeading___Toc283511_73709187">
            <w:r>
              <w:rPr>
                <w:webHidden/>
                <w:rStyle w:val="IndexLink"/>
                <w:rtl w:val="true"/>
              </w:rPr>
              <w:t>الإكراه على القتل</w:t>
            </w:r>
            <w:r>
              <w:rPr>
                <w:rStyle w:val="IndexLink"/>
                <w:rtl w:val="true"/>
              </w:rPr>
              <w:tab/>
            </w:r>
            <w:r>
              <w:rPr>
                <w:rStyle w:val="IndexLink"/>
              </w:rPr>
              <w:t>372</w:t>
            </w:r>
          </w:hyperlink>
        </w:p>
        <w:p>
          <w:pPr>
            <w:pStyle w:val="Contents4"/>
            <w:tabs>
              <w:tab w:val="clear" w:pos="8176"/>
              <w:tab w:val="right" w:pos="9026" w:leader="dot"/>
            </w:tabs>
            <w:rPr/>
          </w:pPr>
          <w:hyperlink w:anchor="__RefHeading___Toc283513_73709187">
            <w:r>
              <w:rPr>
                <w:webHidden/>
                <w:rStyle w:val="IndexLink"/>
                <w:rtl w:val="true"/>
              </w:rPr>
              <w:t>لو قال اقتلني فَقَتله</w:t>
            </w:r>
            <w:r>
              <w:rPr>
                <w:rStyle w:val="IndexLink"/>
                <w:rtl w:val="true"/>
              </w:rPr>
              <w:tab/>
            </w:r>
            <w:r>
              <w:rPr>
                <w:rStyle w:val="IndexLink"/>
              </w:rPr>
              <w:t>379</w:t>
            </w:r>
          </w:hyperlink>
        </w:p>
        <w:p>
          <w:pPr>
            <w:pStyle w:val="Contents4"/>
            <w:tabs>
              <w:tab w:val="clear" w:pos="8176"/>
              <w:tab w:val="right" w:pos="9026" w:leader="dot"/>
            </w:tabs>
            <w:rPr/>
          </w:pPr>
          <w:hyperlink w:anchor="__RefHeading___Toc283515_73709187">
            <w:r>
              <w:rPr>
                <w:webHidden/>
                <w:rStyle w:val="IndexLink"/>
                <w:rtl w:val="true"/>
              </w:rPr>
              <w:t>لو أمر بقَتل نفسه</w:t>
            </w:r>
            <w:r>
              <w:rPr>
                <w:rStyle w:val="IndexLink"/>
                <w:rtl w:val="true"/>
              </w:rPr>
              <w:tab/>
            </w:r>
            <w:r>
              <w:rPr>
                <w:rStyle w:val="IndexLink"/>
              </w:rPr>
              <w:t>380</w:t>
            </w:r>
          </w:hyperlink>
        </w:p>
        <w:p>
          <w:pPr>
            <w:pStyle w:val="Contents4"/>
            <w:tabs>
              <w:tab w:val="clear" w:pos="8176"/>
              <w:tab w:val="right" w:pos="9026" w:leader="dot"/>
            </w:tabs>
            <w:rPr/>
          </w:pPr>
          <w:hyperlink w:anchor="__RefHeading___Toc283517_73709187">
            <w:r>
              <w:rPr>
                <w:webHidden/>
                <w:rStyle w:val="IndexLink"/>
                <w:rtl w:val="true"/>
              </w:rPr>
              <w:t>لو أمسكه شخصٌ وقَتَله آخر</w:t>
            </w:r>
            <w:r>
              <w:rPr>
                <w:rStyle w:val="IndexLink"/>
                <w:rtl w:val="true"/>
              </w:rPr>
              <w:tab/>
            </w:r>
            <w:r>
              <w:rPr>
                <w:rStyle w:val="IndexLink"/>
              </w:rPr>
              <w:t>382</w:t>
            </w:r>
          </w:hyperlink>
        </w:p>
        <w:p>
          <w:pPr>
            <w:pStyle w:val="Contents3"/>
            <w:tabs>
              <w:tab w:val="clear" w:pos="8459"/>
              <w:tab w:val="right" w:pos="9026" w:leader="dot"/>
            </w:tabs>
            <w:rPr/>
          </w:pPr>
          <w:hyperlink w:anchor="__RefHeading___Toc283519_73709187">
            <w:r>
              <w:rPr>
                <w:webHidden/>
                <w:rStyle w:val="IndexLink"/>
                <w:rtl w:val="true"/>
              </w:rPr>
              <w:t>الفصل الثاني شرائط القِصاص</w:t>
            </w:r>
            <w:r>
              <w:rPr>
                <w:rStyle w:val="IndexLink"/>
                <w:rtl w:val="true"/>
              </w:rPr>
              <w:tab/>
            </w:r>
            <w:r>
              <w:rPr>
                <w:rStyle w:val="IndexLink"/>
              </w:rPr>
              <w:t>384</w:t>
            </w:r>
          </w:hyperlink>
        </w:p>
        <w:p>
          <w:pPr>
            <w:pStyle w:val="Contents4"/>
            <w:tabs>
              <w:tab w:val="clear" w:pos="8176"/>
              <w:tab w:val="right" w:pos="9026" w:leader="dot"/>
            </w:tabs>
            <w:rPr/>
          </w:pPr>
          <w:hyperlink w:anchor="__RefHeading___Toc283521_7370918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283523_73709187">
            <w:r>
              <w:rPr>
                <w:webHidden/>
                <w:rStyle w:val="IndexLink"/>
                <w:rtl w:val="true"/>
              </w:rPr>
              <w:t>إشتراط التساوي في الدين</w:t>
            </w:r>
            <w:r>
              <w:rPr>
                <w:rStyle w:val="IndexLink"/>
                <w:rtl w:val="true"/>
              </w:rPr>
              <w:tab/>
            </w:r>
            <w:r>
              <w:rPr>
                <w:rStyle w:val="IndexLink"/>
              </w:rPr>
              <w:t>384</w:t>
            </w:r>
          </w:hyperlink>
        </w:p>
        <w:p>
          <w:pPr>
            <w:pStyle w:val="Contents4"/>
            <w:tabs>
              <w:tab w:val="clear" w:pos="8176"/>
              <w:tab w:val="right" w:pos="9026" w:leader="dot"/>
            </w:tabs>
            <w:rPr/>
          </w:pPr>
          <w:hyperlink w:anchor="__RefHeading___Toc283525_73709187">
            <w:r>
              <w:rPr>
                <w:webHidden/>
                <w:rStyle w:val="IndexLink"/>
                <w:rtl w:val="true"/>
              </w:rPr>
              <w:t>حكمُ ما لو كان القاتلُ كافراً</w:t>
            </w:r>
            <w:r>
              <w:rPr>
                <w:rStyle w:val="IndexLink"/>
                <w:rtl w:val="true"/>
              </w:rPr>
              <w:tab/>
            </w:r>
            <w:r>
              <w:rPr>
                <w:rStyle w:val="IndexLink"/>
              </w:rPr>
              <w:t>391</w:t>
            </w:r>
          </w:hyperlink>
        </w:p>
        <w:p>
          <w:pPr>
            <w:pStyle w:val="Contents4"/>
            <w:tabs>
              <w:tab w:val="clear" w:pos="8176"/>
              <w:tab w:val="right" w:pos="9026" w:leader="dot"/>
            </w:tabs>
            <w:rPr/>
          </w:pPr>
          <w:hyperlink w:anchor="__RefHeading___Toc283527_73709187">
            <w:r>
              <w:rPr>
                <w:webHidden/>
                <w:rStyle w:val="IndexLink"/>
                <w:rtl w:val="true"/>
              </w:rPr>
              <w:t>حكم قتل الذِّمي المسلم</w:t>
            </w:r>
            <w:r>
              <w:rPr>
                <w:rStyle w:val="IndexLink"/>
                <w:rtl w:val="true"/>
              </w:rPr>
              <w:tab/>
            </w:r>
            <w:r>
              <w:rPr>
                <w:rStyle w:val="IndexLink"/>
              </w:rPr>
              <w:t>393</w:t>
            </w:r>
          </w:hyperlink>
        </w:p>
        <w:p>
          <w:pPr>
            <w:pStyle w:val="Contents4"/>
            <w:tabs>
              <w:tab w:val="clear" w:pos="8176"/>
              <w:tab w:val="right" w:pos="9026" w:leader="dot"/>
            </w:tabs>
            <w:rPr/>
          </w:pPr>
          <w:hyperlink w:anchor="__RefHeading___Toc283529_73709187">
            <w:r>
              <w:rPr>
                <w:webHidden/>
                <w:rStyle w:val="IndexLink"/>
                <w:rtl w:val="true"/>
              </w:rPr>
              <w:t>حكمُ اختلاف حالتي المجنيّ عليه</w:t>
            </w:r>
            <w:r>
              <w:rPr>
                <w:rStyle w:val="IndexLink"/>
                <w:rtl w:val="true"/>
              </w:rPr>
              <w:tab/>
            </w:r>
            <w:r>
              <w:rPr>
                <w:rStyle w:val="IndexLink"/>
              </w:rPr>
              <w:t>397</w:t>
            </w:r>
          </w:hyperlink>
        </w:p>
        <w:p>
          <w:pPr>
            <w:pStyle w:val="Contents4"/>
            <w:tabs>
              <w:tab w:val="clear" w:pos="8176"/>
              <w:tab w:val="right" w:pos="9026" w:leader="dot"/>
            </w:tabs>
            <w:rPr/>
          </w:pPr>
          <w:hyperlink w:anchor="__RefHeading___Toc283531_73709187">
            <w:r>
              <w:rPr>
                <w:webHidden/>
                <w:rStyle w:val="IndexLink"/>
                <w:rtl w:val="true"/>
              </w:rPr>
              <w:t>حكمُ قتل من وَجَب قتله</w:t>
            </w:r>
            <w:r>
              <w:rPr>
                <w:rStyle w:val="IndexLink"/>
                <w:rtl w:val="true"/>
              </w:rPr>
              <w:tab/>
            </w:r>
            <w:r>
              <w:rPr>
                <w:rStyle w:val="IndexLink"/>
              </w:rPr>
              <w:t>399</w:t>
            </w:r>
          </w:hyperlink>
        </w:p>
        <w:p>
          <w:pPr>
            <w:pStyle w:val="Contents4"/>
            <w:tabs>
              <w:tab w:val="clear" w:pos="8176"/>
              <w:tab w:val="right" w:pos="9026" w:leader="dot"/>
            </w:tabs>
            <w:rPr/>
          </w:pPr>
          <w:hyperlink w:anchor="__RefHeading___Toc283533_73709187">
            <w:r>
              <w:rPr>
                <w:webHidden/>
                <w:rStyle w:val="IndexLink"/>
                <w:rtl w:val="true"/>
              </w:rPr>
              <w:t>دية جناية الذِّمي خطأً في ماله</w:t>
            </w:r>
            <w:r>
              <w:rPr>
                <w:rStyle w:val="IndexLink"/>
                <w:rtl w:val="true"/>
              </w:rPr>
              <w:tab/>
            </w:r>
            <w:r>
              <w:rPr>
                <w:rStyle w:val="IndexLink"/>
              </w:rPr>
              <w:t>401</w:t>
            </w:r>
          </w:hyperlink>
        </w:p>
        <w:p>
          <w:pPr>
            <w:pStyle w:val="Contents4"/>
            <w:tabs>
              <w:tab w:val="clear" w:pos="8176"/>
              <w:tab w:val="right" w:pos="9026" w:leader="dot"/>
            </w:tabs>
            <w:rPr/>
          </w:pPr>
          <w:hyperlink w:anchor="__RefHeading___Toc283535_73709187">
            <w:r>
              <w:rPr>
                <w:webHidden/>
                <w:rStyle w:val="IndexLink"/>
                <w:rtl w:val="true"/>
              </w:rPr>
              <w:t>اشتراط أن لا يكون القاتل أباً</w:t>
            </w:r>
            <w:r>
              <w:rPr>
                <w:rStyle w:val="IndexLink"/>
                <w:rtl w:val="true"/>
              </w:rPr>
              <w:tab/>
            </w:r>
            <w:r>
              <w:rPr>
                <w:rStyle w:val="IndexLink"/>
              </w:rPr>
              <w:t>403</w:t>
            </w:r>
          </w:hyperlink>
        </w:p>
        <w:p>
          <w:pPr>
            <w:pStyle w:val="Contents4"/>
            <w:tabs>
              <w:tab w:val="clear" w:pos="8176"/>
              <w:tab w:val="right" w:pos="9026" w:leader="dot"/>
            </w:tabs>
            <w:rPr/>
          </w:pPr>
          <w:hyperlink w:anchor="__RefHeading___Toc283537_73709187">
            <w:r>
              <w:rPr>
                <w:webHidden/>
                <w:rStyle w:val="IndexLink"/>
                <w:rtl w:val="true"/>
              </w:rPr>
              <w:t>لو قتل شخصاً وادّعى أنّه ابنه</w:t>
            </w:r>
            <w:r>
              <w:rPr>
                <w:rStyle w:val="IndexLink"/>
                <w:rtl w:val="true"/>
              </w:rPr>
              <w:tab/>
            </w:r>
            <w:r>
              <w:rPr>
                <w:rStyle w:val="IndexLink"/>
              </w:rPr>
              <w:t>406</w:t>
            </w:r>
          </w:hyperlink>
        </w:p>
        <w:p>
          <w:pPr>
            <w:pStyle w:val="Contents4"/>
            <w:tabs>
              <w:tab w:val="clear" w:pos="8176"/>
              <w:tab w:val="right" w:pos="9026" w:leader="dot"/>
            </w:tabs>
            <w:rPr/>
          </w:pPr>
          <w:hyperlink w:anchor="__RefHeading___Toc283539_73709187">
            <w:r>
              <w:rPr>
                <w:webHidden/>
                <w:rStyle w:val="IndexLink"/>
                <w:rtl w:val="true"/>
              </w:rPr>
              <w:t>لو قتل الرّجل زوجته</w:t>
            </w:r>
            <w:r>
              <w:rPr>
                <w:rStyle w:val="IndexLink"/>
                <w:rtl w:val="true"/>
              </w:rPr>
              <w:tab/>
            </w:r>
            <w:r>
              <w:rPr>
                <w:rStyle w:val="IndexLink"/>
              </w:rPr>
              <w:t>409</w:t>
            </w:r>
          </w:hyperlink>
        </w:p>
        <w:p>
          <w:pPr>
            <w:pStyle w:val="Contents4"/>
            <w:tabs>
              <w:tab w:val="clear" w:pos="8176"/>
              <w:tab w:val="right" w:pos="9026" w:leader="dot"/>
            </w:tabs>
            <w:rPr/>
          </w:pPr>
          <w:hyperlink w:anchor="__RefHeading___Toc283541_73709187">
            <w:r>
              <w:rPr>
                <w:webHidden/>
                <w:rStyle w:val="IndexLink"/>
                <w:rtl w:val="true"/>
              </w:rPr>
              <w:t>اشتراط كمال العقل</w:t>
            </w:r>
            <w:r>
              <w:rPr>
                <w:rStyle w:val="IndexLink"/>
                <w:rtl w:val="true"/>
              </w:rPr>
              <w:tab/>
            </w:r>
            <w:r>
              <w:rPr>
                <w:rStyle w:val="IndexLink"/>
              </w:rPr>
              <w:t>412</w:t>
            </w:r>
          </w:hyperlink>
        </w:p>
        <w:p>
          <w:pPr>
            <w:pStyle w:val="Contents4"/>
            <w:tabs>
              <w:tab w:val="clear" w:pos="8176"/>
              <w:tab w:val="right" w:pos="9026" w:leader="dot"/>
            </w:tabs>
            <w:rPr/>
          </w:pPr>
          <w:hyperlink w:anchor="__RefHeading___Toc283543_73709187">
            <w:r>
              <w:rPr>
                <w:webHidden/>
                <w:rStyle w:val="IndexLink"/>
                <w:rtl w:val="true"/>
              </w:rPr>
              <w:t>حكم البالغ إذا قتل صبيّاً</w:t>
            </w:r>
            <w:r>
              <w:rPr>
                <w:rStyle w:val="IndexLink"/>
                <w:rtl w:val="true"/>
              </w:rPr>
              <w:tab/>
            </w:r>
            <w:r>
              <w:rPr>
                <w:rStyle w:val="IndexLink"/>
              </w:rPr>
              <w:t>417</w:t>
            </w:r>
          </w:hyperlink>
        </w:p>
        <w:p>
          <w:pPr>
            <w:pStyle w:val="Contents4"/>
            <w:tabs>
              <w:tab w:val="clear" w:pos="8176"/>
              <w:tab w:val="right" w:pos="9026" w:leader="dot"/>
            </w:tabs>
            <w:rPr/>
          </w:pPr>
          <w:hyperlink w:anchor="__RefHeading___Toc283545_73709187">
            <w:r>
              <w:rPr>
                <w:webHidden/>
                <w:rStyle w:val="IndexLink"/>
                <w:rtl w:val="true"/>
              </w:rPr>
              <w:t>حكم قتل العاقل مجنوناً</w:t>
            </w:r>
            <w:r>
              <w:rPr>
                <w:rStyle w:val="IndexLink"/>
                <w:rtl w:val="true"/>
              </w:rPr>
              <w:tab/>
            </w:r>
            <w:r>
              <w:rPr>
                <w:rStyle w:val="IndexLink"/>
              </w:rPr>
              <w:t>420</w:t>
            </w:r>
          </w:hyperlink>
        </w:p>
        <w:p>
          <w:pPr>
            <w:pStyle w:val="Contents4"/>
            <w:tabs>
              <w:tab w:val="clear" w:pos="8176"/>
              <w:tab w:val="right" w:pos="9026" w:leader="dot"/>
            </w:tabs>
            <w:rPr/>
          </w:pPr>
          <w:hyperlink w:anchor="__RefHeading___Toc283547_73709187">
            <w:r>
              <w:rPr>
                <w:webHidden/>
                <w:rStyle w:val="IndexLink"/>
                <w:rtl w:val="true"/>
              </w:rPr>
              <w:t>لو كان القاتلُ سكراناً</w:t>
            </w:r>
            <w:r>
              <w:rPr>
                <w:rStyle w:val="IndexLink"/>
                <w:rtl w:val="true"/>
              </w:rPr>
              <w:tab/>
            </w:r>
            <w:r>
              <w:rPr>
                <w:rStyle w:val="IndexLink"/>
              </w:rPr>
              <w:t>422</w:t>
            </w:r>
          </w:hyperlink>
        </w:p>
        <w:p>
          <w:pPr>
            <w:pStyle w:val="Contents4"/>
            <w:tabs>
              <w:tab w:val="clear" w:pos="8176"/>
              <w:tab w:val="right" w:pos="9026" w:leader="dot"/>
            </w:tabs>
            <w:rPr/>
          </w:pPr>
          <w:hyperlink w:anchor="__RefHeading___Toc283549_73709187">
            <w:r>
              <w:rPr>
                <w:webHidden/>
                <w:rStyle w:val="IndexLink"/>
                <w:rtl w:val="true"/>
              </w:rPr>
              <w:t>لو كان القاتلُ أعمى</w:t>
            </w:r>
            <w:r>
              <w:rPr>
                <w:rStyle w:val="IndexLink"/>
                <w:rtl w:val="true"/>
              </w:rPr>
              <w:tab/>
            </w:r>
            <w:r>
              <w:rPr>
                <w:rStyle w:val="IndexLink"/>
              </w:rPr>
              <w:t>426</w:t>
            </w:r>
          </w:hyperlink>
        </w:p>
        <w:p>
          <w:pPr>
            <w:pStyle w:val="Contents4"/>
            <w:tabs>
              <w:tab w:val="clear" w:pos="8176"/>
              <w:tab w:val="right" w:pos="9026" w:leader="dot"/>
            </w:tabs>
            <w:rPr/>
          </w:pPr>
          <w:hyperlink w:anchor="__RefHeading___Toc283551_73709187">
            <w:r>
              <w:rPr>
                <w:webHidden/>
                <w:rStyle w:val="IndexLink"/>
                <w:rtl w:val="true"/>
              </w:rPr>
              <w:t>في اشتراط كون المقتول محقون الدَّم</w:t>
            </w:r>
            <w:r>
              <w:rPr>
                <w:rStyle w:val="IndexLink"/>
                <w:rtl w:val="true"/>
              </w:rPr>
              <w:tab/>
            </w:r>
            <w:r>
              <w:rPr>
                <w:rStyle w:val="IndexLink"/>
              </w:rPr>
              <w:t>431</w:t>
            </w:r>
          </w:hyperlink>
        </w:p>
        <w:p>
          <w:pPr>
            <w:pStyle w:val="Contents3"/>
            <w:tabs>
              <w:tab w:val="clear" w:pos="8459"/>
              <w:tab w:val="right" w:pos="9026" w:leader="dot"/>
            </w:tabs>
            <w:rPr/>
          </w:pPr>
          <w:hyperlink w:anchor="__RefHeading___Toc283553_73709187">
            <w:r>
              <w:rPr>
                <w:webHidden/>
                <w:rStyle w:val="IndexLink"/>
                <w:rtl w:val="true"/>
              </w:rPr>
              <w:t>الفصل الثالث حكم اشتراك جماعةٍ في قتل واحد</w:t>
            </w:r>
            <w:r>
              <w:rPr>
                <w:rStyle w:val="IndexLink"/>
                <w:rtl w:val="true"/>
              </w:rPr>
              <w:tab/>
            </w:r>
            <w:r>
              <w:rPr>
                <w:rStyle w:val="IndexLink"/>
              </w:rPr>
              <w:t>432</w:t>
            </w:r>
          </w:hyperlink>
        </w:p>
        <w:p>
          <w:pPr>
            <w:pStyle w:val="Contents4"/>
            <w:tabs>
              <w:tab w:val="clear" w:pos="8176"/>
              <w:tab w:val="right" w:pos="9026" w:leader="dot"/>
            </w:tabs>
            <w:rPr/>
          </w:pPr>
          <w:hyperlink w:anchor="__RefHeading___Toc283555_7370918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283557_73709187">
            <w:r>
              <w:rPr>
                <w:webHidden/>
                <w:rStyle w:val="IndexLink"/>
                <w:rtl w:val="true"/>
              </w:rPr>
              <w:t>اشتراك الرّجل والمرأة في قتل رجل</w:t>
            </w:r>
            <w:r>
              <w:rPr>
                <w:rStyle w:val="IndexLink"/>
                <w:rtl w:val="true"/>
              </w:rPr>
              <w:tab/>
            </w:r>
            <w:r>
              <w:rPr>
                <w:rStyle w:val="IndexLink"/>
              </w:rPr>
              <w:t>436</w:t>
            </w:r>
          </w:hyperlink>
        </w:p>
        <w:p>
          <w:pPr>
            <w:pStyle w:val="Contents3"/>
            <w:tabs>
              <w:tab w:val="clear" w:pos="8459"/>
              <w:tab w:val="right" w:pos="9026" w:leader="dot"/>
            </w:tabs>
            <w:rPr/>
          </w:pPr>
          <w:hyperlink w:anchor="__RefHeading___Toc283559_73709187">
            <w:r>
              <w:rPr>
                <w:webHidden/>
                <w:rStyle w:val="IndexLink"/>
                <w:rtl w:val="true"/>
              </w:rPr>
              <w:t>الفصل الرابع فيما يثبُتُ به القتل</w:t>
            </w:r>
            <w:r>
              <w:rPr>
                <w:rStyle w:val="IndexLink"/>
                <w:rtl w:val="true"/>
              </w:rPr>
              <w:tab/>
            </w:r>
            <w:r>
              <w:rPr>
                <w:rStyle w:val="IndexLink"/>
              </w:rPr>
              <w:t>439</w:t>
            </w:r>
          </w:hyperlink>
        </w:p>
        <w:p>
          <w:pPr>
            <w:pStyle w:val="Contents4"/>
            <w:tabs>
              <w:tab w:val="clear" w:pos="8176"/>
              <w:tab w:val="right" w:pos="9026" w:leader="dot"/>
            </w:tabs>
            <w:rPr/>
          </w:pPr>
          <w:hyperlink w:anchor="__RefHeading___Toc283561_73709187">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283563_73709187">
            <w:r>
              <w:rPr>
                <w:webHidden/>
                <w:rStyle w:val="IndexLink"/>
                <w:rtl w:val="true"/>
              </w:rPr>
              <w:t>لو أقرّ شخصٌ بالقتل وأقرَّ آخر أنّه القاتل</w:t>
            </w:r>
            <w:r>
              <w:rPr>
                <w:rStyle w:val="IndexLink"/>
                <w:rtl w:val="true"/>
              </w:rPr>
              <w:tab/>
            </w:r>
            <w:r>
              <w:rPr>
                <w:rStyle w:val="IndexLink"/>
              </w:rPr>
              <w:t>443</w:t>
            </w:r>
          </w:hyperlink>
        </w:p>
        <w:p>
          <w:pPr>
            <w:pStyle w:val="Contents4"/>
            <w:tabs>
              <w:tab w:val="clear" w:pos="8176"/>
              <w:tab w:val="right" w:pos="9026" w:leader="dot"/>
            </w:tabs>
            <w:rPr/>
          </w:pPr>
          <w:hyperlink w:anchor="__RefHeading___Toc283565_73709187">
            <w:r>
              <w:rPr>
                <w:webHidden/>
                <w:rStyle w:val="IndexLink"/>
                <w:rtl w:val="true"/>
              </w:rPr>
              <w:t>لو أقرّ شخصٌ بالقَتل عَمداً وأقرّ آخر به خطأً</w:t>
            </w:r>
            <w:r>
              <w:rPr>
                <w:rStyle w:val="IndexLink"/>
                <w:rtl w:val="true"/>
              </w:rPr>
              <w:tab/>
            </w:r>
            <w:r>
              <w:rPr>
                <w:rStyle w:val="IndexLink"/>
              </w:rPr>
              <w:t>447</w:t>
            </w:r>
          </w:hyperlink>
        </w:p>
        <w:p>
          <w:pPr>
            <w:pStyle w:val="Contents4"/>
            <w:tabs>
              <w:tab w:val="clear" w:pos="8176"/>
              <w:tab w:val="right" w:pos="9026" w:leader="dot"/>
            </w:tabs>
            <w:rPr/>
          </w:pPr>
          <w:hyperlink w:anchor="__RefHeading___Toc283567_73709187">
            <w:r>
              <w:rPr>
                <w:webHidden/>
                <w:rStyle w:val="IndexLink"/>
                <w:rtl w:val="true"/>
              </w:rPr>
              <w:t>ثبوت القتل بالبيّنة</w:t>
            </w:r>
            <w:r>
              <w:rPr>
                <w:rStyle w:val="IndexLink"/>
                <w:rtl w:val="true"/>
              </w:rPr>
              <w:tab/>
            </w:r>
            <w:r>
              <w:rPr>
                <w:rStyle w:val="IndexLink"/>
              </w:rPr>
              <w:t>449</w:t>
            </w:r>
          </w:hyperlink>
        </w:p>
        <w:p>
          <w:pPr>
            <w:pStyle w:val="Contents4"/>
            <w:tabs>
              <w:tab w:val="clear" w:pos="8176"/>
              <w:tab w:val="right" w:pos="9026" w:leader="dot"/>
            </w:tabs>
            <w:rPr/>
          </w:pPr>
          <w:hyperlink w:anchor="__RefHeading___Toc283569_73709187">
            <w:r>
              <w:rPr>
                <w:webHidden/>
                <w:rStyle w:val="IndexLink"/>
                <w:rtl w:val="true"/>
              </w:rPr>
              <w:t>ثبوتُ القَتل بشاهدٍ وامرأتين</w:t>
            </w:r>
            <w:r>
              <w:rPr>
                <w:rStyle w:val="IndexLink"/>
                <w:rtl w:val="true"/>
              </w:rPr>
              <w:tab/>
            </w:r>
            <w:r>
              <w:rPr>
                <w:rStyle w:val="IndexLink"/>
              </w:rPr>
              <w:t>451</w:t>
            </w:r>
          </w:hyperlink>
        </w:p>
        <w:p>
          <w:pPr>
            <w:pStyle w:val="Contents4"/>
            <w:tabs>
              <w:tab w:val="clear" w:pos="8176"/>
              <w:tab w:val="right" w:pos="9026" w:leader="dot"/>
            </w:tabs>
            <w:rPr/>
          </w:pPr>
          <w:hyperlink w:anchor="__RefHeading___Toc283571_73709187">
            <w:r>
              <w:rPr>
                <w:webHidden/>
                <w:rStyle w:val="IndexLink"/>
                <w:rtl w:val="true"/>
              </w:rPr>
              <w:t>لو قامت بيّنةٌ على أنّ زيداً قاتلٌ وأُخرى على أنّه عَمرو</w:t>
            </w:r>
            <w:r>
              <w:rPr>
                <w:rStyle w:val="IndexLink"/>
                <w:rtl w:val="true"/>
              </w:rPr>
              <w:tab/>
            </w:r>
            <w:r>
              <w:rPr>
                <w:rStyle w:val="IndexLink"/>
              </w:rPr>
              <w:t>455</w:t>
            </w:r>
          </w:hyperlink>
        </w:p>
        <w:p>
          <w:pPr>
            <w:pStyle w:val="Contents4"/>
            <w:tabs>
              <w:tab w:val="clear" w:pos="8176"/>
              <w:tab w:val="right" w:pos="9026" w:leader="dot"/>
            </w:tabs>
            <w:rPr/>
          </w:pPr>
          <w:hyperlink w:anchor="__RefHeading___Toc283573_73709187">
            <w:r>
              <w:rPr>
                <w:webHidden/>
                <w:rStyle w:val="IndexLink"/>
                <w:rtl w:val="true"/>
              </w:rPr>
              <w:t>حكم تعارض البيّنة والإقرار</w:t>
            </w:r>
            <w:r>
              <w:rPr>
                <w:rStyle w:val="IndexLink"/>
                <w:rtl w:val="true"/>
              </w:rPr>
              <w:tab/>
            </w:r>
            <w:r>
              <w:rPr>
                <w:rStyle w:val="IndexLink"/>
              </w:rPr>
              <w:t>459</w:t>
            </w:r>
          </w:hyperlink>
        </w:p>
        <w:p>
          <w:pPr>
            <w:pStyle w:val="Contents4"/>
            <w:tabs>
              <w:tab w:val="clear" w:pos="8176"/>
              <w:tab w:val="right" w:pos="9026" w:leader="dot"/>
            </w:tabs>
            <w:rPr/>
          </w:pPr>
          <w:hyperlink w:anchor="__RefHeading___Toc283575_73709187">
            <w:r>
              <w:rPr>
                <w:webHidden/>
                <w:rStyle w:val="IndexLink"/>
                <w:rtl w:val="true"/>
              </w:rPr>
              <w:t>القَسامة</w:t>
            </w:r>
            <w:r>
              <w:rPr>
                <w:rStyle w:val="IndexLink"/>
                <w:rtl w:val="true"/>
              </w:rPr>
              <w:tab/>
            </w:r>
            <w:r>
              <w:rPr>
                <w:rStyle w:val="IndexLink"/>
              </w:rPr>
              <w:t>465</w:t>
            </w:r>
          </w:hyperlink>
        </w:p>
        <w:p>
          <w:pPr>
            <w:pStyle w:val="Contents4"/>
            <w:tabs>
              <w:tab w:val="clear" w:pos="8176"/>
              <w:tab w:val="right" w:pos="9026" w:leader="dot"/>
            </w:tabs>
            <w:rPr/>
          </w:pPr>
          <w:hyperlink w:anchor="__RefHeading___Toc283577_73709187">
            <w:r>
              <w:rPr>
                <w:webHidden/>
                <w:rStyle w:val="IndexLink"/>
                <w:rtl w:val="true"/>
              </w:rPr>
              <w:t>اللّوث واعتباره في القَسامة</w:t>
            </w:r>
            <w:r>
              <w:rPr>
                <w:rStyle w:val="IndexLink"/>
                <w:rtl w:val="true"/>
              </w:rPr>
              <w:tab/>
            </w:r>
            <w:r>
              <w:rPr>
                <w:rStyle w:val="IndexLink"/>
              </w:rPr>
              <w:t>467</w:t>
            </w:r>
          </w:hyperlink>
        </w:p>
        <w:p>
          <w:pPr>
            <w:pStyle w:val="Contents4"/>
            <w:tabs>
              <w:tab w:val="clear" w:pos="8176"/>
              <w:tab w:val="right" w:pos="9026" w:leader="dot"/>
            </w:tabs>
            <w:rPr/>
          </w:pPr>
          <w:hyperlink w:anchor="__RefHeading___Toc283579_73709187">
            <w:r>
              <w:rPr>
                <w:webHidden/>
                <w:rStyle w:val="IndexLink"/>
                <w:rtl w:val="true"/>
              </w:rPr>
              <w:t>كيفيّة القَسامة وكميتها</w:t>
            </w:r>
            <w:r>
              <w:rPr>
                <w:rStyle w:val="IndexLink"/>
                <w:rtl w:val="true"/>
              </w:rPr>
              <w:tab/>
            </w:r>
            <w:r>
              <w:rPr>
                <w:rStyle w:val="IndexLink"/>
              </w:rPr>
              <w:t>470</w:t>
            </w:r>
          </w:hyperlink>
        </w:p>
        <w:p>
          <w:pPr>
            <w:pStyle w:val="Contents4"/>
            <w:tabs>
              <w:tab w:val="clear" w:pos="8176"/>
              <w:tab w:val="right" w:pos="9026" w:leader="dot"/>
            </w:tabs>
            <w:rPr/>
          </w:pPr>
          <w:hyperlink w:anchor="__RefHeading___Toc283581_73709187">
            <w:r>
              <w:rPr>
                <w:webHidden/>
                <w:rStyle w:val="IndexLink"/>
                <w:rtl w:val="true"/>
              </w:rPr>
              <w:t>ثبوت القَسامة على المدّعى عليه</w:t>
            </w:r>
            <w:r>
              <w:rPr>
                <w:rStyle w:val="IndexLink"/>
                <w:rtl w:val="true"/>
              </w:rPr>
              <w:tab/>
            </w:r>
            <w:r>
              <w:rPr>
                <w:rStyle w:val="IndexLink"/>
              </w:rPr>
              <w:t>475</w:t>
            </w:r>
          </w:hyperlink>
        </w:p>
        <w:p>
          <w:pPr>
            <w:pStyle w:val="Contents4"/>
            <w:tabs>
              <w:tab w:val="clear" w:pos="8176"/>
              <w:tab w:val="right" w:pos="9026" w:leader="dot"/>
            </w:tabs>
            <w:rPr/>
          </w:pPr>
          <w:hyperlink w:anchor="__RefHeading___Toc283583_73709187">
            <w:r>
              <w:rPr>
                <w:webHidden/>
                <w:rStyle w:val="IndexLink"/>
                <w:rtl w:val="true"/>
              </w:rPr>
              <w:t>ثبوت القَسامة في الجروح</w:t>
            </w:r>
            <w:r>
              <w:rPr>
                <w:rStyle w:val="IndexLink"/>
                <w:rtl w:val="true"/>
              </w:rPr>
              <w:tab/>
            </w:r>
            <w:r>
              <w:rPr>
                <w:rStyle w:val="IndexLink"/>
              </w:rPr>
              <w:t>481</w:t>
            </w:r>
          </w:hyperlink>
        </w:p>
        <w:p>
          <w:pPr>
            <w:pStyle w:val="Contents4"/>
            <w:tabs>
              <w:tab w:val="clear" w:pos="8176"/>
              <w:tab w:val="right" w:pos="9026" w:leader="dot"/>
            </w:tabs>
            <w:rPr/>
          </w:pPr>
          <w:hyperlink w:anchor="__RefHeading___Toc283585_73709187">
            <w:r>
              <w:rPr>
                <w:webHidden/>
                <w:rStyle w:val="IndexLink"/>
                <w:rtl w:val="true"/>
              </w:rPr>
              <w:t>موارد ثبوت اللّوث</w:t>
            </w:r>
            <w:r>
              <w:rPr>
                <w:rStyle w:val="IndexLink"/>
                <w:rtl w:val="true"/>
              </w:rPr>
              <w:tab/>
            </w:r>
            <w:r>
              <w:rPr>
                <w:rStyle w:val="IndexLink"/>
              </w:rPr>
              <w:t>483</w:t>
            </w:r>
          </w:hyperlink>
        </w:p>
        <w:p>
          <w:pPr>
            <w:pStyle w:val="Contents4"/>
            <w:tabs>
              <w:tab w:val="clear" w:pos="8176"/>
              <w:tab w:val="right" w:pos="9026" w:leader="dot"/>
            </w:tabs>
            <w:rPr/>
          </w:pPr>
          <w:hyperlink w:anchor="__RefHeading___Toc283587_73709187">
            <w:r>
              <w:rPr>
                <w:webHidden/>
                <w:rStyle w:val="IndexLink"/>
                <w:rtl w:val="true"/>
              </w:rPr>
              <w:t>مورد ثبوت الدِّية على بيت المال</w:t>
            </w:r>
            <w:r>
              <w:rPr>
                <w:rStyle w:val="IndexLink"/>
                <w:rtl w:val="true"/>
              </w:rPr>
              <w:tab/>
            </w:r>
            <w:r>
              <w:rPr>
                <w:rStyle w:val="IndexLink"/>
              </w:rPr>
              <w:t>488</w:t>
            </w:r>
          </w:hyperlink>
        </w:p>
        <w:p>
          <w:pPr>
            <w:pStyle w:val="Contents2"/>
            <w:tabs>
              <w:tab w:val="clear" w:pos="8743"/>
              <w:tab w:val="right" w:pos="9026" w:leader="dot"/>
            </w:tabs>
            <w:rPr/>
          </w:pPr>
          <w:hyperlink w:anchor="__RefHeading___Toc283589_73709187">
            <w:r>
              <w:rPr>
                <w:webHidden/>
                <w:rStyle w:val="IndexLink"/>
                <w:rtl w:val="true"/>
              </w:rPr>
              <w:t>فهرس الموضوعات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4_112225"/>
      <w:bookmarkStart w:id="1" w:name="pg11384_112225"/>
      <w:bookmarkEnd w:id="1"/>
    </w:p>
    <w:p>
      <w:pPr>
        <w:pStyle w:val="Heading2"/>
        <w:numPr>
          <w:ilvl w:val="1"/>
          <w:numId w:val="1"/>
        </w:numPr>
        <w:rPr/>
      </w:pPr>
      <w:bookmarkStart w:id="2" w:name="pg11384_112225"/>
      <w:bookmarkStart w:id="3" w:name="__RefHeading___Toc28331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31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المُبين، وأفضل صلواته على رسوله صاحب الشريعة الخالدة، وعلى آله العُلماء باللّه، الأُمناء على حلاله وحرامه، سيّما بقيّة اللّه في الأرضين، أرواحنا فداه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التاسع والثلاثون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وفّقنا لطبعه، والمرجوّ من اللّه تعالى التوفيق لنشر ما بقي من أجزاء هذه الموسوعة الفقهيّة، فإنّه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4_112231"/>
      <w:bookmarkStart w:id="8" w:name="pg11384_112231"/>
      <w:bookmarkEnd w:id="8"/>
    </w:p>
    <w:p>
      <w:pPr>
        <w:pStyle w:val="BookText"/>
        <w:rPr/>
      </w:pPr>
      <w:bookmarkStart w:id="9" w:name="pg11384_112231"/>
      <w:bookmarkEnd w:id="9"/>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مسائل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للشاهد أن يشهد إلّامع العلم،</w:t>
      </w:r>
    </w:p>
    <w:p>
      <w:pPr>
        <w:pStyle w:val="Heading2"/>
        <w:numPr>
          <w:ilvl w:val="1"/>
          <w:numId w:val="1"/>
        </w:numPr>
        <w:rPr/>
      </w:pPr>
      <w:bookmarkStart w:id="10" w:name="__RefHeading___Toc283321_73709187"/>
      <w:bookmarkStart w:id="11" w:name="_Toc3"/>
      <w:bookmarkEnd w:id="10"/>
      <w:r>
        <w:rPr>
          <w:rtl w:val="true"/>
        </w:rPr>
        <w:t>[</w:t>
      </w:r>
      <w:r>
        <w:rPr>
          <w:rtl w:val="true"/>
        </w:rPr>
        <w:t>تتمة كتاب الشهادات</w:t>
      </w:r>
      <w:r>
        <w:rPr>
          <w:rtl w:val="true"/>
        </w:rPr>
        <w:t>]</w:t>
      </w:r>
      <w:bookmarkEnd w:id="11"/>
    </w:p>
    <w:p>
      <w:pPr>
        <w:pStyle w:val="Heading3"/>
        <w:numPr>
          <w:ilvl w:val="2"/>
          <w:numId w:val="1"/>
        </w:numPr>
        <w:rPr/>
      </w:pPr>
      <w:bookmarkStart w:id="12" w:name="__RefHeading___Toc283323_73709187"/>
      <w:bookmarkStart w:id="13" w:name="_Toc4"/>
      <w:bookmarkEnd w:id="12"/>
      <w:r>
        <w:rPr>
          <w:rtl w:val="true"/>
        </w:rPr>
        <w:t>الفصل السادس</w:t>
      </w:r>
      <w:r>
        <w:rPr>
          <w:rtl w:val="true"/>
        </w:rPr>
        <w:t xml:space="preserve">: </w:t>
      </w:r>
      <w:r>
        <w:rPr>
          <w:rtl w:val="true"/>
        </w:rPr>
        <w:t>في بقيّة مسائل الشهادات</w:t>
      </w:r>
      <w:bookmarkEnd w:id="13"/>
    </w:p>
    <w:p>
      <w:pPr>
        <w:pStyle w:val="Heading4"/>
        <w:numPr>
          <w:ilvl w:val="3"/>
          <w:numId w:val="1"/>
        </w:numPr>
        <w:rPr/>
      </w:pPr>
      <w:bookmarkStart w:id="14" w:name="__RefHeading___Toc283325_73709187"/>
      <w:bookmarkStart w:id="15" w:name="_Toc5"/>
      <w:bookmarkEnd w:id="14"/>
      <w:r>
        <w:rPr>
          <w:rtl w:val="true"/>
        </w:rPr>
        <w:t>لا يَحِلُّ للشاهد أن يشهد إلّامع العلم</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 في بقيّة مسائل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للشّاهد أن يشهد إلّامع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الشّهادة إخبارٌ، فلا تجوزُ مع عدم ثبوت المخبر عنه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الكذب، وهو الإخبار عن المخالف للواقع، فلو لم يُحرز ذلك، يُشكّ في كونه كذباً، فمقتضى أصالة البراءة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شكَّ في المخالفة للواقع والموافقة، يحصل له العلم الإجمالي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إخباره بذلك، أو بنقيضه كذباً، وهذا العلم الإجمالي يمنعُ عن جريان البراءة في شيء من الطرفين، ومقتضاه لزوم الاحتياط بترك الإخبار بكلٍّ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غياث،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علي بن غُراب عنه عليه السلام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لا تكون الشّهادة إلّابعلم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سُئل عن الشّهادة‌؟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جعفر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جاءني جيران لنا بكتابٍ زعموا أنّهم أشهدوني على ما فيه، وفي الكتاب اسمي بخطّي قد عرفته، ولستُ أذكر الشّهادة، وقد دعوني إليها، فأشهدُ لهم على معرفتي أنّ اسمي في الكتاب ولستُ أذكُرُ الشّهادة، أو لا تجبُ الشّهادة عَليّ حتّى أذكرها، كان اسمي في الكتاب أو لم يكن‌؟</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بشهادة لا تذكرها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يجوز شهادة الضرير إذا حفظ الشّهادة، وحفظ الوقت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ورد في الشّهادة على المرأة، الدّال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على إقرار المرأة إن عرفتَ بعينها أو حَضَر من يعرفها، وإلّا لا يجوزُ أن يشهد عليها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تُسفِر وينظر إليها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الواردة في الأبواب المختلفة، وهذا ممّا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جمعاً من الأصحاب</w:t>
      </w:r>
      <w:r>
        <w:rPr>
          <w:rStyle w:val="FootnoteAnchor"/>
          <w:rtl w:val="true"/>
        </w:rPr>
        <w:footnoteReference w:id="10"/>
      </w:r>
      <w:r>
        <w:rPr>
          <w:rFonts w:ascii="Amiri" w:hAnsi="Amiri" w:eastAsia="Amiri" w:cs="Amiri"/>
          <w:color w:val="111111"/>
          <w:sz w:val="28"/>
          <w:sz w:val="28"/>
          <w:szCs w:val="28"/>
          <w:rtl w:val="true"/>
          <w:lang w:bidi="ar-SA"/>
        </w:rPr>
        <w:t>أضافوا إلى ذلك اعتبار أن يكون العلم حاصلاً من الرؤية أو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رأو أنّ بعض الأشياء لا يحصلُ العلم به عن طريق السمع والبصر، بل يكون ذلك بالذّوق والشَّم كماء الورد الذي يُراد الشّهادة بكونه مغصوباً مثلاً، أضاف إليه بعضهم</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الحاصل من سائر الحواس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أنّ بعض الاُمور لا يحصلُ العلم بها من أحد الحواس الظاهريّة كالنَسَب والمِلْك وماشاكل، واستثنوا تلكم الموارد وحكموا بالاكتفاءبالعلم الحاصل من الاستفاضة في تلكم الموارد، وأنهى الشهيد رحمه الله</w:t>
      </w:r>
      <w:r>
        <w:rPr>
          <w:rStyle w:val="FootnoteAnchor"/>
          <w:rtl w:val="true"/>
        </w:rPr>
        <w:footnoteReference w:id="12"/>
      </w:r>
      <w:r>
        <w:rPr>
          <w:rFonts w:ascii="Amiri" w:hAnsi="Amiri" w:eastAsia="Amiri" w:cs="Amiri"/>
          <w:color w:val="111111"/>
          <w:sz w:val="28"/>
          <w:sz w:val="28"/>
          <w:szCs w:val="28"/>
          <w:rtl w:val="true"/>
          <w:lang w:bidi="ar-SA"/>
        </w:rPr>
        <w:t>تلكم الموارد إلى تسعة،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والمِلْك المطلق، والوقف، والنكاح، والموت، والولاية، والولاء، والعتق، والرِّق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 ذلك في غير محلّه؛ فإنّه لا دليل على شيء من ذلك، ولا يعتبر في الشّهادة سوى العلم من أيّ طريقٍ حصل، وذلك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الكلام في الموارد التي لا يمكن حصول العلم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الأصحاب ورود رواياتٍ بجوازالشّهادة مع إخبار ثقتين بشيء، أو كون الشيء بيد الشخص أو ما شاكل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يشهدني على شهادة، فأعرف خطّي وخاتمي ولا أذكرُ من الباقي قليلاً ولا كثيراً؟</w:t>
      </w:r>
    </w:p>
    <w:p>
      <w:pPr>
        <w:pStyle w:val="BookText"/>
        <w:rPr/>
      </w:pPr>
      <w:r>
        <w:rPr>
          <w:rFonts w:ascii="Amiri" w:hAnsi="Amiri" w:eastAsia="Amiri" w:cs="Amiri"/>
          <w:color w:val="111111"/>
          <w:sz w:val="28"/>
          <w:sz w:val="28"/>
          <w:szCs w:val="28"/>
          <w:rtl w:val="true"/>
          <w:lang w:bidi="ar-SA"/>
        </w:rPr>
        <w:t>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ومعه رجلٌ ثقة، فاشهد 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بالشهادة على إقرار المرأة، وليست بمُسْفِرة إذا عُرفت بعينها أو حضر من يعرفها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ولا أشهد أنّه له؛ فلعلّه لغيره‌؟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 هو لي، وتحلف عليه، ولا يجوزُ أن تنسبه إلى من صار ملكه مِن قِبله إليك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التزم بعضهم كالصَّدوق</w:t>
      </w:r>
      <w:r>
        <w:rPr>
          <w:rStyle w:val="FootnoteAnchor"/>
          <w:rtl w:val="true"/>
        </w:rPr>
        <w:footnoteReference w:id="16"/>
      </w:r>
      <w:r>
        <w:rPr>
          <w:rFonts w:ascii="Amiri" w:hAnsi="Amiri" w:eastAsia="Amiri" w:cs="Amiri"/>
          <w:color w:val="111111"/>
          <w:sz w:val="28"/>
          <w:sz w:val="28"/>
          <w:szCs w:val="28"/>
          <w:rtl w:val="true"/>
          <w:lang w:bidi="ar-SA"/>
        </w:rPr>
        <w:t>وغيره بردّ ما تضمّن الشّهادة بإخبار عدلين؛ه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لمنافاته مع ما دلّ على اعتبار العلم في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آخر</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لا يُعتمد عليها، مع أنّها معتبرة، وعمل بها قدماء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والتزم ثالثٌ‌</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الظّن، وعدم اعتبار العلم، وفي الشّهادة مستندة إلى اليد التزموا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تماميّة شيء من ذلك، ولا ينافي شيء من هذه النصوص مع ما دلّ على اعتبار العلم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للعلم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صفةٌ من صفات النفس، قائمةٌ بها قيام الوصف بالموصوف، أو قيام الفعل بالفاعل على اختلاف المسلكين في حقيقة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طريقاً إلى الواقع، ومبرِزاً له، وكاشفاً عنه، وهذه الجهة ذاتيّة للعلم،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العلم حقيقة طريقية إلى الواقع، بل ليس العلم إلّا الطريق التامّ‌، ولذلك يُطلق عليه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الجَري العملي على طبق الواقع، فإنّ الوجودات الواقعيّة غير محرّكة للعضلات نحو الفعل، ولذا يمكن أن يموت الشخص عطشاناً وعنده ماء لا يعلم به، وهذا بخلاف ما لو علم به فإنّه بطبعه يتصدّى للشرب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فإنّ أخذ العلم من الجهة الثانية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 w:name="pg11384_112236"/>
    </w:p>
    <w:p>
      <w:pPr>
        <w:pStyle w:val="BookText"/>
        <w:rPr/>
      </w:pPr>
      <w:bookmarkEnd w:id="16"/>
      <w:r>
        <w:rPr>
          <w:rFonts w:ascii="Amiri" w:hAnsi="Amiri" w:eastAsia="Amiri" w:cs="Amiri"/>
          <w:color w:val="111111"/>
          <w:sz w:val="28"/>
          <w:sz w:val="28"/>
          <w:szCs w:val="28"/>
          <w:rtl w:val="true"/>
          <w:lang w:bidi="ar-SA"/>
        </w:rPr>
        <w:t xml:space="preserve">أخذه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الأمارات أعمّ من البيّنة واليد وغيرهما مقامه، فهذه النصوص لاتنافي مع ما دلّ على اعتبار العلم في جواز الشّهادة، بل لو لم يكن هذه الروايات لكنّا ملتزمين بذلك، فهي مطابقة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في وجه قيام الأمارات مقام العلم المأخوذ في الموضوع على وجه الطريقيّة، محلّ آخر، وقد حقّقناه في الاُصول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أنّه لو دلّ دليلٌ على جواز الشّهادة، مستندةً إلى الاستصحاب، لم يكن ذلك منافياً لنصوص اعتبار العلم في جواز الشّهادة، بل كان ذلك كاشفاً عن أخذ العلم من الجهة الثالثة في الموضوع؛ فإنّ المجعول في باب الاستصحاب هو الجَري العملي الذي هو جهةٌ ثالثة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دليلٌ على ذلك كان مقتضى القاعدة عدم القيام؛ إذ الظاهر من أخذ العلم في الموضوع أخذه فيه بما أنّه 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وغيرها ممّااُفيد في المقام</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83327_73709187"/>
      <w:bookmarkStart w:id="18" w:name="_Toc6"/>
      <w:bookmarkEnd w:id="17"/>
      <w:r>
        <w:rPr>
          <w:rtl w:val="true"/>
        </w:rPr>
        <w:t>البناء في الشّهادة على الاستصحاب</w:t>
      </w:r>
      <w:bookmarkEnd w:id="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تجوز الشّهادة مستندةً إلى الاستصحاب، وهل يدلّ عليه دليل أم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معاوية بن وهب يدلّ على 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ويدع فيها عياله، ثمّ يأتينا هلاكه، ونحنُ لا ندري ما أحدثَ في داره، ولا ندري ما أحدث له من الولد، إلّاأنّا لا نعلم أنّه أحدث في داره شيئاً، ولا حدث له ولد، ولا تقسّم هذه الدار على ورثته الذين تُركوا في الدار، حتّى يشهد شاهدا عدلٍ أنّ هذه الدار دارُ فلان بن فلان، مات وتركها ميراثاً بين فلان وفلان، أو نشهد على هذا؟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الشّهادة بكون الدار لفلان، وأنّه لا وارث له غير من تُرك في الدار، وكلاهما ثابتان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على إرادة حصول العلم باعتبار خلطه واطّلاعه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السائل بأنّا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ندري ما أحدث في داره، ولا ندري ما أحدث له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إرادة الشّهادة بما يعلم به، أي كون الدار له قبل سنين، ولم يكن له وارثٌ غير الموجودين في الدار، ثمّ الحاكم بنفسه يستصحب بقاء الملكيّة وعدم الوارث، بشهادة خبره الآخر،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ليلى يسألني الشّهادة عن هذه الدار، مات فلان وتركها ميراثاً، وأنّه ليس له وارث غير الذي شهدنا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بما هو علمك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توضيح ما أفاده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بالشهادة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بالمستصحب، فهي شهادة بعلمٍ لا بالاستصحاب، ولا مدخليّة للاستصحاب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الشّهادة بالاستصحاب بمعنى الشّهادة الآن بشُغل الذّمة، وكونها زوجته، وإن لم يكن عالماً بذلك، بل كان مستند ذلك علمه السابق، فلا ريب في عدم صدق تعريف الشّهادة عليه، بل هو شاهدٌ بما لا يعلم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إلى آخر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الثاني إنّما يدلّ على الأمر بالشهادة بالعلم، فلو دلّ الدليل على جواز الشّهادة بالاستصحاب، كان ذلك حاكماً عليه ودالّاً على أنّ المراد بالعلم فيه العلم بما أنّه مقتضٍ للجري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أنّه لو شهد بالاستصحاب، كان شاهداً بما لا يعلم فقد مرّ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ينافيه ذيله الوارد فيه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 أبِقَ غلامي، أو أبِقَتْ أَمَتي فيؤخذ بالبلد، فيكلّفه القاضي البيّنة، أنّ هذا غلام فلانٍ لم يبعه ولم يهبه، أفنشهد على هذا إذا كلّفناه ونحن لا نعلم أنّه أحدث شيئاً؟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من يد المرء المُسلم غلامه أو أَمَته، أو غاب عنك لم تشهد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بنفسه روى عن أبي عبد اللّه عليه السلام رواية أُخرى مصرّحة بجواز الشّهادة في المورد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غلامي أو أمتي، فيكلّفونه القضاة شاهدين بأنّ هذا غلامه أو أَمَته، لم يبع ولم يهب، أنشهد على هذا إذا كلّفناه‌؟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يقتضي البناء على مرجوحيّة الشّهادة في المورد، كما عن المحدِّث الكاشاني رحمه الله</w:t>
      </w:r>
      <w:r>
        <w:rPr>
          <w:rStyle w:val="FootnoteAnchor"/>
          <w:rtl w:val="true"/>
        </w:rPr>
        <w:footnoteReference w:id="26"/>
      </w:r>
      <w:r>
        <w:rPr>
          <w:rFonts w:ascii="Amiri" w:hAnsi="Amiri" w:eastAsia="Amiri" w:cs="Amiri"/>
          <w:color w:val="111111"/>
          <w:sz w:val="28"/>
          <w:sz w:val="28"/>
          <w:szCs w:val="28"/>
          <w:rtl w:val="true"/>
          <w:lang w:bidi="ar-SA"/>
        </w:rPr>
        <w:t>الجمع بينهما بذلك، وتبعه المحقّق النراقي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إنْ كانت جائزة تكون واجبة، فلا معنى لمرجوحيّتها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الشّهادة بما عنده، لا بالمِلْك المطلق والشيء المستصحب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لم يشهد أنّه كذا وكذا فعلاً، وإنْ وجبت بأنّه كان كذا وكذا سابقاً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تماميّة دلالته، وكذا خبره الأخير، ولكنّه بالنسبة إلى عدم الوارث غير الموجودين في الدار، وأمّا بالنسبة إلى بقاء الملكيّة فيمكن أنْ يكون الوجه فيه يد المالك، فإنّ المفروض أنّ الدار تحت تصرفه وسلطنته بالتسبيب، ومثل هذا اليد أيضاً كاشفة عن الملكيّة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يكفي رؤية الخَطّ مع عدم الذكر،</w:t>
      </w:r>
    </w:p>
    <w:p>
      <w:pPr>
        <w:pStyle w:val="BookText"/>
        <w:rPr/>
      </w:pPr>
      <w:r>
        <w:rPr>
          <w:rFonts w:ascii="Amiri" w:hAnsi="Amiri" w:eastAsia="Amiri" w:cs="Amiri"/>
          <w:color w:val="111111"/>
          <w:sz w:val="28"/>
          <w:sz w:val="28"/>
          <w:szCs w:val="28"/>
          <w:rtl w:val="true"/>
          <w:lang w:bidi="ar-SA"/>
        </w:rPr>
        <w:t>وعليه، فمانُسب إلى المشهور</w:t>
      </w:r>
      <w:r>
        <w:rPr>
          <w:rStyle w:val="FootnoteAnchor"/>
          <w:rtl w:val="true"/>
        </w:rPr>
        <w:footnoteReference w:id="28"/>
      </w:r>
      <w:r>
        <w:rPr>
          <w:rFonts w:ascii="Amiri" w:hAnsi="Amiri" w:eastAsia="Amiri" w:cs="Amiri"/>
          <w:color w:val="111111"/>
          <w:sz w:val="28"/>
          <w:sz w:val="28"/>
          <w:szCs w:val="28"/>
          <w:rtl w:val="true"/>
          <w:lang w:bidi="ar-SA"/>
        </w:rPr>
        <w:t>من جوازالشّهادة بالاستصحاب،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ظهرممّا ذكرناه أنّ الاكتفاء بالشّهادة بالأمارة والاستصحاب، لا يَستلزم جواز الاكتفاء بكل ظن غير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رؤية الخَطّ مع عدم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قيام البيّنة على أنّه خطّه، كما 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يُشهدني على شهادةٍ‌، فأعرف خطّي وخاتمي، ولا أذكر من الباقي قليلاً ولا كثيراً؟</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ومعه رجل ثقة فاشهد 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عدم جوازه من دون قيام البيّنة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جاءني جيران لنا بكتاب زعموا أنّهم أشهدوني على مافيه، وفي الكتاب اسمي بخطّي قد عرفته ولست أذكر الشّهادة، وقددعوني إليها، فأشهد لهم على معرفتي أنّ اسمي في الكتاب، ولستُ أذكر الشّهادة، أو لا تجبُ الشّهادة عليَّ حتّى أذكرها، كان اسمي بخطّي في الكتاب أو لم يكن‌؟</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أقام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الشّهادة بالمِلْك مشاهدته متصرّفاً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لا تذكرها، فإنّه من شاء كتب كتاباً ونقش خاتماً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الخبر الأوّل يظهر جواز الشّهادة مع قيام البيّنة بأنّه خطّه وخاتمه، وبذلك يظهر ما في كلامه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الشّهادة بالمِلْك مشاهدته متصرّفاً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 وقد دلّ عليه النّص</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الكلام في أنّه هل يكفي مجرّد اليد، أم يعتبر كونه متصرّفاً فيه‌؟ فمحرَّرٌ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كثيراً من أحكام اليد 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كلمات في المقام، يظهر ما فيها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الجميع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الشّهادة بالتصرّف، لأنّه دلالة على المِلْك وليس بملك</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إذ بعد تسليم الدلالة على الملك، لا وجه لعدم الشّهادة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أنّه لا تكون الملكيّة ثابتة بالرؤية والسماع، ويعتبر في الشّهادة أن يكون المشهود به ثابتاً بأحد الطريقين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أفسد؛ فإنّه لا وجه لاعتبار ذلك سوى تصريح جماعةٍ من الفقهاء</w:t>
      </w:r>
      <w:r>
        <w:rPr>
          <w:rStyle w:val="FootnoteAnchor"/>
          <w:rtl w:val="true"/>
        </w:rPr>
        <w:footnoteReference w:id="34"/>
      </w:r>
      <w:r>
        <w:rPr>
          <w:rFonts w:ascii="IRNazanin" w:hAnsi="IRNazanin" w:eastAsia="IRNazanin"/>
          <w:color w:val="111111"/>
          <w:sz w:val="28"/>
          <w:sz w:val="28"/>
          <w:szCs w:val="28"/>
          <w:rtl w:val="true"/>
          <w:lang w:bidi="fa-IR"/>
        </w:rPr>
        <w:t>به، وهم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9" w:name="pg11384_112242"/>
    </w:p>
    <w:p>
      <w:pPr>
        <w:pStyle w:val="BookText"/>
        <w:rPr/>
      </w:pPr>
      <w:bookmarkEnd w:id="19"/>
      <w:r>
        <w:rPr>
          <w:rFonts w:ascii="Amiri" w:hAnsi="Amiri" w:eastAsia="Amiri" w:cs="Amiri"/>
          <w:color w:val="111111"/>
          <w:sz w:val="28"/>
          <w:sz w:val="28"/>
          <w:szCs w:val="28"/>
          <w:rtl w:val="true"/>
          <w:lang w:bidi="ar-SA"/>
        </w:rPr>
        <w:t>ويثبتُ بالشِّياع النَسَب، والمِلْك المُطلق، والوقف،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بأنفهسم قد صرّحوا باستثناء اُمور منها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ممّا حقّقناه ما هو الحقّ في المقام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83329_73709187"/>
      <w:bookmarkStart w:id="21" w:name="_Toc7"/>
      <w:bookmarkEnd w:id="20"/>
      <w:r>
        <w:rPr>
          <w:rtl w:val="true"/>
        </w:rPr>
        <w:t>البناء في الشّهادة على الشِّياع</w:t>
      </w:r>
      <w:bookmarkEnd w:id="21"/>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وإن اختلفوا في تعداد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خصّها بالنَسَب كالإسكافي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عدّها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والمِلْك المُطلق، والوقف، والزوجيّة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ستّة بزيادة الولاء، والعتق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والولاية للقاضي، ونقص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والعدالة، ونقص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جمعٍ من المتأخّرين</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حصرها في اُمور مخصوصة، بل جوّزوها في كلّ ما تعذّر فيه المشاهدة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اختلفوا من جهة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الشِّياع الذي يجوز الاستناد إليه في الشّهادة، هل يعتبر فيه إفادته العلم كما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والمصنّف رحمه الله في جملةٍ من كتبه</w:t>
      </w:r>
      <w:r>
        <w:rPr>
          <w:rStyle w:val="FootnoteAnchor"/>
          <w:rtl w:val="true"/>
        </w:rPr>
        <w:footnoteReference w:id="44"/>
      </w:r>
      <w:r>
        <w:rPr>
          <w:rFonts w:ascii="Amiri" w:hAnsi="Amiri" w:eastAsia="Amiri" w:cs="Amiri"/>
          <w:color w:val="111111"/>
          <w:sz w:val="28"/>
          <w:sz w:val="28"/>
          <w:szCs w:val="28"/>
          <w:rtl w:val="true"/>
          <w:lang w:bidi="ar-SA"/>
        </w:rPr>
        <w:t>وغيرهما</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الظّن المتاخم للعلم،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 اللّمعتين</w:t>
      </w:r>
      <w:r>
        <w:rPr>
          <w:rStyle w:val="FootnoteAnchor"/>
          <w:rtl w:val="true"/>
        </w:rPr>
        <w:footnoteReference w:id="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مطلق الظّن،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الشِّياع إن أفاد العلم جاز الشّهادة فيها وفي غيرها من الموارد؛ لما تقدّم من أنّه لا يعتبر في جواز الشّهادة سوى العلم، من أيّ سببٍ حصل، ولا يعتبر الرؤية والسماع وما شاكل وإن لم يحصل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حَصَل الظّن المتاخم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علمٌ عرفي فكذلك؛ لأنّه حجّة عند العقلاء، ولم يردع الشارع الأقدس عنه، وقد مرَّ قيام الأمارات مقام العلم المأخوذ في الموضوع وإن لم يحصل منه ذلك أيضاً، بل كان الحاصل هو الظّن المطلق، فمقتضى ما دلّ على اعتبار العلم، أو ما يقوم مقامه، في جواز الشّهادة، عدم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للجواز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يختصّ ببعض تلكم الموارد وبعضها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يونس،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البيّنة إذا اُقيمت على الحقّ‌، أيحلّ للقاضي أن يقضي بقول البيّنة إذا لم يعرفهم من غير 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الولايات، والتناكح، والمواريث، والذبائح، والشهادات، فإذا كان ظاهره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هي النسبة الخَبريّة، وظهور هذه النسبة عبارة عن الشيوع والاستفاضة، فيدلّ المرسل على أنّه يجوز الأخذ بهذا الظهور الخبري في هذه الاُمور الخمسة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الحكم هو النسبة لا الخبريّة، وظهور النسبة عبارة عن ظهور الحال، وهو غير ظهور الخبر عنها وشيوعه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ربما تكون عدالة زيد أو ولديّته لعمروٍ ظاهرة، ولكن الخبر عنها ليس شائعاً، والشاهد على إرادة ذلك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في أنّ الظاهر مقابل الباطن،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 المقري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المتضمّن لقصّة إسماعيل،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إنّي لم أرَهُ يَشربُ الخمر، إنّما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اللّه ويُصدّق للمؤمنين،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أمر بترتيب آثارالواقع على مجرّد قول النّاس، الذي هو عبارة عن الشِّياع، وجعل عليه السلام من يقول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يشربُ الخمر،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ليس ترتيب آثار الواقع بأجمعها، بل خصوص ما ينفع المخبر إليه، ولا يضرّ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تصديق المُخبر المأمور به في الخبر، وبين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أخيك، فإنْ شهد عندك خمسون قسامة، 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 فصدّقه وكذّبهم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عليه السلام أمرَ بتكذيب خمسين قسامة، وتصديق قول الواحد، وليس ذلك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الشِّياع أقوى من الظّن الحاصل من البيّنة العادلة، فما دلّ على جواز الشّهادة مستندة إليها، يدلّ بالأولويّة على جوازها مستندة إلى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ملاك حجيّة البيّنة إفادتها الظّن، بل الثابت خلافه، فإنّه يجوزُ الشّهادة لو قامت وإن لم يحصل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دليل الانسداد في كلّ ما يَعسُر إقامة البيّنة عليه، كالنَسَب والوقف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فيها عَسِرٌ، وكذلك البيّنة العادلة، ويلزم من إجراء الأصل من أصالة عدم النَسَب، أو عدم الوقف، الوقوع في خلاف الواقع كثيراً، والاحتياط متعذّرٌ أو متعسّر، فلا مناص عن التنزّل إلى الظّن؛ 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تلكم الاُمور بالأمارات القائمة عليها، كقاعدة الفراش، وإقرار من بيده المال، وما شاكل، ليس متعذّراً ولا متعسِّراً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الثانية لا تُفيد ما لا ينضمّ إليها أنّ الوقوع في خلاف الواقع منافٍ لغرض الشارع، إذ لو لم يُحرز ذلك كما في باب الطهارة، لما كان محذور في إجراء الأصل، وحيث إنّه غيرُ ثابتٍ فلا يتمّ هذا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 w:name="pg11384_112247"/>
    </w:p>
    <w:p>
      <w:pPr>
        <w:pStyle w:val="BookText"/>
        <w:rPr/>
      </w:pPr>
      <w:bookmarkEnd w:id="22"/>
      <w:r>
        <w:rPr>
          <w:rFonts w:ascii="Amiri" w:hAnsi="Amiri" w:eastAsia="Amiri" w:cs="Amiri"/>
          <w:color w:val="111111"/>
          <w:sz w:val="28"/>
          <w:sz w:val="28"/>
          <w:szCs w:val="28"/>
          <w:rtl w:val="true"/>
          <w:lang w:bidi="ar-SA"/>
        </w:rPr>
        <w:t>ولو سمع الإقرار شَهِد وإنْ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الشّهادة مستندة إلى الشِّياع في شيء من الموارد، ما لم يحصل منه العلم أو الاطمئنان الذي هو حجّة عقلائيّة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83331_73709187"/>
      <w:bookmarkStart w:id="24" w:name="_Toc8"/>
      <w:bookmarkEnd w:id="23"/>
      <w:r>
        <w:rPr>
          <w:rtl w:val="true"/>
        </w:rPr>
        <w:t>لا يُعتبر في جواز الشّهادة استدعاء المشهود عليه</w:t>
      </w:r>
      <w:bookmarkEnd w:id="24"/>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الشاهد متحمّلاً للشهادة بما يكون مُثبتاً لما يشهد به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يستدعه المشهود على تحمّل الشّهادة، فيجوزُ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له لا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تتحمّل الشّهادة، من غير فرقٍ بين كون ما ثبت عندما يوجبُ حكماً عليه أو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إلّامن الإسكافي</w:t>
      </w:r>
      <w:r>
        <w:rPr>
          <w:rStyle w:val="FootnoteAnchor"/>
          <w:rtl w:val="true"/>
        </w:rPr>
        <w:footnoteReference w:id="57"/>
      </w:r>
      <w:r>
        <w:rPr>
          <w:rFonts w:ascii="Amiri" w:hAnsi="Amiri" w:eastAsia="Amiri" w:cs="Amiri"/>
          <w:color w:val="111111"/>
          <w:sz w:val="28"/>
          <w:sz w:val="28"/>
          <w:szCs w:val="28"/>
          <w:rtl w:val="true"/>
          <w:lang w:bidi="ar-SA"/>
        </w:rPr>
        <w:t>في الثاني وما يأتي، وهو شاذٌ لا يُعبأ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الأدلّة، إذ لم يدلّ دليلٌ على اعتبار أزيد من العلم بما يشهد به،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عليها، فهو بالخيار إنْ شاء شهد وإنْ شاء سكت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صحيح هشام،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اشهد لم يكن له إلّاأن يشهد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صحيح محمّد، أو موثّقه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علم من الظالم فيشهد له، ولا يحلّ له إلّاأن يشهد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يشهد حساب الرجلين، ثمّ يُدعى إلى الشّهادة‌؟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شهد وإن شاء لم يشهد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الآتية جملة أُخرى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تدلّ على جواز الشّهادة مع عدم الاستدعاء، فبالملازمة تدلّ على تحقّق التحمّل بمجرّد السماع، مع عدم 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أنّه هل يجوز للحاكم أن يحكم لمن شهدت البيّنة له، مع عدم إقامة ذي الحقّ إيّاها، أو نهيه عن الشّهادة، كلامٌ‌؛ نظراً إلى أنّ إقامتها حقّ له، فله اسقاطها بل له رفع اليد عن الدّعوى، وقد تقدّم تفصيل القول في ذلك في كتاب القضاء</w:t>
      </w:r>
      <w:r>
        <w:rPr>
          <w:rStyle w:val="FootnoteAnchor"/>
          <w:rtl w:val="true"/>
        </w:rPr>
        <w:footnoteReference w:id="63"/>
      </w:r>
      <w:r>
        <w:rPr>
          <w:rFonts w:ascii="Amiri" w:hAnsi="Amiri" w:eastAsia="Amiri" w:cs="Amiri"/>
          <w:color w:val="111111"/>
          <w:sz w:val="28"/>
          <w:sz w:val="28"/>
          <w:szCs w:val="28"/>
          <w:rtl w:val="true"/>
          <w:lang w:bidi="ar-SA"/>
        </w:rPr>
        <w:t>، ولا نعيد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 w:name="pg11384_112249"/>
    </w:p>
    <w:p>
      <w:pPr>
        <w:pStyle w:val="BookText"/>
        <w:rPr/>
      </w:pPr>
      <w:bookmarkEnd w:id="2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للشّاهد كتمان الشّهادة مع العلم،</w:t>
      </w:r>
    </w:p>
    <w:p>
      <w:pPr>
        <w:pStyle w:val="Heading4"/>
        <w:numPr>
          <w:ilvl w:val="3"/>
          <w:numId w:val="1"/>
        </w:numPr>
        <w:rPr/>
      </w:pPr>
      <w:bookmarkStart w:id="26" w:name="__RefHeading___Toc283333_73709187"/>
      <w:bookmarkStart w:id="27" w:name="_Toc9"/>
      <w:bookmarkEnd w:id="26"/>
      <w:r>
        <w:rPr>
          <w:rtl w:val="true"/>
        </w:rPr>
        <w:t>حرمة كتمان الشّهادة</w:t>
      </w:r>
      <w:bookmarkEnd w:id="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بتحمل الشّهادة وأدائها، والكلام فيها يتحقّق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باستدعاء صاحب الحقّ للتحمّل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باستدعائه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للشاهد كتمان الشّهادة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يقوم مقامه، ويجب أدائها، بل حكاية الإجماع عليه مستفيضة</w:t>
      </w:r>
      <w:r>
        <w:rPr>
          <w:rStyle w:val="FootnoteAnchor"/>
          <w:rtl w:val="true"/>
        </w:rPr>
        <w:footnoteReference w:id="64"/>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بعدّة طرق، عن جابر، عن الإمام الباقر عليه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شهادةً أو شهد بها ليهدر بها دم إمرئ مُسلم، أو ليزوي بها</w:t>
      </w:r>
      <w:r>
        <w:rPr>
          <w:rStyle w:val="FootnoteAnchor"/>
          <w:rtl w:val="true"/>
        </w:rPr>
        <w:footnoteReference w:id="67"/>
      </w:r>
      <w:r>
        <w:rPr>
          <w:rFonts w:ascii="Amiri" w:hAnsi="Amiri" w:eastAsia="Amiri" w:cs="Amiri"/>
          <w:color w:val="111111"/>
          <w:sz w:val="28"/>
          <w:sz w:val="28"/>
          <w:szCs w:val="28"/>
          <w:rtl w:val="true"/>
          <w:lang w:bidi="ar-SA"/>
        </w:rPr>
        <w:t xml:space="preserve">مال إمرئ مسلمٍ‌، أتى يوم القيامة ولوجهه ظلمة مَدّ البصر، وفي وجهه </w:t>
      </w:r>
    </w:p>
    <w:p>
      <w:pPr>
        <w:pStyle w:val="BookText"/>
        <w:rPr/>
      </w:pPr>
      <w:r>
        <w:rPr>
          <w:rFonts w:ascii="Amiri" w:hAnsi="Amiri" w:eastAsia="Amiri" w:cs="Amiri"/>
          <w:color w:val="111111"/>
          <w:sz w:val="28"/>
          <w:sz w:val="28"/>
          <w:szCs w:val="28"/>
          <w:rtl w:val="true"/>
          <w:lang w:bidi="ar-SA"/>
        </w:rPr>
        <w:t>كُدُوح</w:t>
      </w:r>
      <w:r>
        <w:rPr>
          <w:rStyle w:val="FootnoteAnchor"/>
          <w:rtl w:val="true"/>
        </w:rPr>
        <w:footnoteReference w:id="68"/>
      </w:r>
      <w:r>
        <w:rPr>
          <w:rFonts w:ascii="Amiri" w:hAnsi="Amiri" w:eastAsia="Amiri" w:cs="Amiri"/>
          <w:color w:val="111111"/>
          <w:sz w:val="28"/>
          <w:sz w:val="28"/>
          <w:szCs w:val="28"/>
          <w:rtl w:val="true"/>
          <w:lang w:bidi="ar-SA"/>
        </w:rPr>
        <w:t>يعرفه الخلائق باسمه ونَسَبه، ومن شهد بشهادة حقّ ليحيي بها حقّ إمرئ مسلمٍ‌، أتى يوم القيامة ولوجهه نورٌ مَدّ البصر، تعرفه الخلائق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 اللّه عزّوجلّيقول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اَلشَّهادَةَ 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الحسين بن زيد، عن الإمام الصادق، عن آبائه عليهم السلام، عن النبيّ صلى الله عليه و آله في حديث المناهي أنّه نهى عن كتمان الشّهادة،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كتمها أطعمه اللّه لحمه على رؤوس الخلائق، وهو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يزيدبن سليط، عن موسيبن جعفر عليه السلام في حديث النّص على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سئلت عن الشّهادة فأدّها،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كَتَمَ شَهادَةً عِنْدَهُ مِنَ اَللّهِ‌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التحمّل باستدعائه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نسبته إلى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الكتمان ووجوب الأداء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وعن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77"/>
      </w:r>
      <w:r>
        <w:rPr>
          <w:rFonts w:ascii="Amiri" w:hAnsi="Amiri" w:eastAsia="Amiri" w:cs="Amiri"/>
          <w:color w:val="111111"/>
          <w:sz w:val="28"/>
          <w:sz w:val="28"/>
          <w:szCs w:val="28"/>
          <w:rtl w:val="true"/>
          <w:lang w:bidi="ar-SA"/>
        </w:rPr>
        <w:t>، وابن الجُنيد</w:t>
      </w:r>
      <w:r>
        <w:rPr>
          <w:rStyle w:val="FootnoteAnchor"/>
          <w:rtl w:val="true"/>
        </w:rPr>
        <w:footnoteReference w:id="78"/>
      </w:r>
      <w:r>
        <w:rPr>
          <w:rFonts w:ascii="IRNazanin" w:hAnsi="IRNazanin" w:eastAsia="IRNazanin"/>
          <w:color w:val="111111"/>
          <w:sz w:val="28"/>
          <w:sz w:val="28"/>
          <w:szCs w:val="28"/>
          <w:rtl w:val="true"/>
          <w:lang w:bidi="fa-IR"/>
        </w:rPr>
        <w:t>، وأبو الصّلاح</w:t>
      </w:r>
      <w:r>
        <w:rPr>
          <w:rStyle w:val="FootnoteAnchor"/>
          <w:rtl w:val="true"/>
        </w:rPr>
        <w:footnoteReference w:id="79"/>
      </w:r>
      <w:r>
        <w:rPr>
          <w:rFonts w:ascii="Amiri" w:hAnsi="Amiri" w:eastAsia="Amiri" w:cs="Amiri"/>
          <w:color w:val="111111"/>
          <w:sz w:val="28"/>
          <w:sz w:val="28"/>
          <w:szCs w:val="28"/>
          <w:rtl w:val="true"/>
          <w:lang w:bidi="ar-SA"/>
        </w:rPr>
        <w:t>، بل نُسب إلى المشهور بينهم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وأنّه بالخيار إن شاء شهد وإن شاء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الآيات والروايات المتقدّمة، دالّة على الوجوب وحرمة الكتمان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ولأنّها أمانة جُعلت عنده، فوجبَ عليه الخروج منها، كما أنّ الأمانات الماليّة تارةً تحصل عنده بقبولها كالوديعة، وتارةً بغيره كتطير الريح</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النصوص الخاصّة، منها ما تقدّم في المسألة السابقة، تدلّ على أنّه بالخيار في الشّهادة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بين الأدلّة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بالبناء على أنّه مع الاستدعاء يكون وجوب الأداء عينيّاً، وبدونه يكون واجباً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الخاصّة هو جواز الترك، وإن لم يكن شاهد آخر، أو كان ولم يشهد، مع أنّ الواجب الكفائي يصير عينيّاً مع 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ماسيأتي من تسالم الأصحاب على كونه مع الاستدعاء أيضاً كفائيّاً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النزاع لفظيّاً لامعنويّاً؛ نظراً إلى أنّه فرض كفاية، فيجوز تركه إذا قام غيره مقامه، ولو لم يقم غيره مقامه وخاف لحوق ضرر بإبطال الحقّ‌، وجبَ عليه إقامة الشّهادة، ولا فرق بين أن يشهد من غير استدعاء، وبين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النصوص الخاصّة فصّل الإمام عليه السلام بين ما لو دُعي إلى الشّهادة فَحَكم عليه السلام بوجوب الأداء، وبين ما لم يُدعَ إلى ذلك فَحَكم عليه بأنّه بالخيار، وعليه فالنزاع معنوي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المسألة، ولا وجه له؛ فإنّ تعيّن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المطلق الكتاب والمقيّد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والنصوص الخاصّة صحيحة الإسناد واضحة الدلالة، فلا وجه للتوقّف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المختار من عدم الوجوب، إنّما هو فيما إذا لم يعلم الشاهد ذهاب حقّ المُحِقّ بسكوته، كما صرّح به جماعة منهم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محمّد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 فهو بالخيار، إن شاء شهد، وإن شاء سكت، إلّاإذا علم من الظالم فيشهد، ولا يحلّ له أن لا يشهد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أحمد بن أشيم،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طهرت امرأته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لم يقل لهم اشهدوا، أيقع الطلاق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 أفيتركها معلّقة</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شهادة إذا كان صاحبه مظلوماً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الأدلّة المتقدّمة الدالّة على وجوب أداء الشّهادة، كونه عينيّاً، إلّاأن ظاهر الأصحاب، بل صريح جماعةٍ منهم</w:t>
      </w:r>
      <w:r>
        <w:rPr>
          <w:rStyle w:val="FootnoteAnchor"/>
          <w:rtl w:val="true"/>
        </w:rPr>
        <w:footnoteReference w:id="92"/>
      </w:r>
      <w:r>
        <w:rPr>
          <w:rFonts w:ascii="Amiri" w:hAnsi="Amiri" w:eastAsia="Amiri" w:cs="Amiri"/>
          <w:color w:val="111111"/>
          <w:sz w:val="28"/>
          <w:sz w:val="28"/>
          <w:szCs w:val="28"/>
          <w:rtl w:val="true"/>
          <w:lang w:bidi="ar-SA"/>
        </w:rPr>
        <w:t>، الاتّفاق على أنّه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استفاض في عباراتهم نقل الإجماع،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مؤيّداً بظهور كون الحكمة في وجوب الأداء وحرمة الكتمان ضياع الحقّ‌، ومن المعلوم عدم توقّف ذلك على شهادة الجميع، وأنّه يكفي فيه ما يقوم به من الشهود دون ما زاد، وهذا معنى الكفائي</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 ما أفاده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مناسبة الحكم والموضوع يستفاد الكفائيّة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المقصود والغرض من وجوب أداء الشّهادة، إنّما يحصل بأداء شاهدين، فالمأمور به هو ذلك، فإذا وجّه الخِطاب إلى جماعةٍ بفعلٍ واحد قائم ببعضهم، كان ذلك ظاهراً في كونه واجباً كفائيّاً على الجميع، ويؤيّده ما ورد في خبر جابر المتقدّم من قوله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كتم شهادةً أو شهد بها ليهدر دم إمرئ مسلم، أو ليزوي بها مال إمرئ</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وانتفاء الضَّرر 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أتى يوم القيامة ولوجهه ظلمة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أنّه يدلّ بالمفهوم على أنّ من يؤدِّ الشّهادة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عدم الحاجة إلى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 فلا إشكال في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من جعل وجوبها عينيّاً عليتقدير 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الوجوب الكفائي على توقّف إحقاق الحقّ عليها، بل لو علم بأنّه إن لم يشهد لا يذهب الحقّ‌، من جهة أنّ المُنكِر لا يحلفُ ويردّ اليمين على المُدّعي، وهو يحلف، يجب أداء الشّهادة، بل يجبُ ما لم يعلم بقيام الغير بذلك، كما هو الشأن في جميع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يظهر الفرق بين القول بالوجوب الكفائي على تقدير عدم الاستدعاء وعدمه، إلّامع توقّف إحقاق الحقّ على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وجوب أداء الشّهادة إنّما 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الضَّرر 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بسبب الشّهادة على الشاهد، أو المشهود عليه، أو بعض المؤمنين، وإلّا فلا يجبُ‌، بلا خلافٍ أجده فيه،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الحكم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لا ضرر ولا ضرار</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خبر علي بن سويد،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الشّهادة للّه ولو علينفسك أو الوالدين والأقربين فيما بينك وبينهم، فإنْ خفت على أخيك ضيماً فلا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القاسم بن الفضيل، عن أبي الحسن عليه السلام، الوارد في المُعسِر المديون،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الشهود من مواليك قد عرفوه أنّه لا يقدُر، هل يجوز أن يشهدوا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يشهدوا عليه ولا ينوى ظلمه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داود بن الحصين،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الشّهادة على الوالدين والولد، ولا تقيموها على الأخ في الدين الضير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فيه صاحب الحقّ الذي يدّعيه قبله خلاف ما أمر اللّه به ورسوله، ومثل ذلك أن يكون لآخر على آخر دينٌ وهو معسِرٌ، وقد أمر اللّه تعاليبإنظاره حتّى ييسرّ،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ويسألك أن تقيم الشّهادة، وأنتَ تعرفه بالعُسر، فلايحلّ لك أن تُقيم الشّهادة في حال العُسر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بذلك ما لو كان أداء الشّهادة موجباً للعُسر والحرج، كما لو توقّف على السفر إلى بلدٍ آخر يشقّ عليه تلك، فإنّ مقتضى قاعدة نفي الحَرج والعُسر الثابتة بالكتاب</w:t>
      </w:r>
      <w:r>
        <w:rPr>
          <w:rStyle w:val="FootnoteAnchor"/>
          <w:rtl w:val="true"/>
        </w:rPr>
        <w:footnoteReference w:id="100"/>
      </w:r>
      <w:r>
        <w:rPr>
          <w:rFonts w:ascii="Amiri" w:hAnsi="Amiri" w:eastAsia="Amiri" w:cs="Amiri"/>
          <w:color w:val="111111"/>
          <w:sz w:val="28"/>
          <w:sz w:val="28"/>
          <w:szCs w:val="28"/>
          <w:rtl w:val="true"/>
          <w:lang w:bidi="ar-SA"/>
        </w:rPr>
        <w:t>والسُّنة</w:t>
      </w:r>
      <w:r>
        <w:rPr>
          <w:rStyle w:val="FootnoteAnchor"/>
          <w:rtl w:val="true"/>
        </w:rPr>
        <w:footnoteReference w:id="101"/>
      </w:r>
      <w:r>
        <w:rPr>
          <w:rFonts w:ascii="IRNazanin" w:hAnsi="IRNazanin" w:eastAsia="IRNazanin"/>
          <w:color w:val="111111"/>
          <w:sz w:val="28"/>
          <w:sz w:val="28"/>
          <w:szCs w:val="28"/>
          <w:rtl w:val="true"/>
          <w:lang w:bidi="fa-IR"/>
        </w:rPr>
        <w:t>، عدم وجوبه</w:t>
      </w:r>
      <w:r>
        <w:rPr>
          <w:rFonts w:eastAsia="IRNazanin" w:cs="IRNazanin"/>
          <w:color w:val="111111"/>
          <w:sz w:val="28"/>
          <w:szCs w:val="28"/>
          <w:rtl w:val="true"/>
          <w:lang w:bidi="fa-IR"/>
        </w:rPr>
        <w:t xml:space="preserve">. </w:t>
      </w:r>
      <w:bookmarkStart w:id="28" w:name="pg11384_112256"/>
    </w:p>
    <w:p>
      <w:pPr>
        <w:pStyle w:val="BookText"/>
        <w:rPr/>
      </w:pPr>
      <w:bookmarkEnd w:id="28"/>
      <w:r>
        <w:rPr>
          <w:rFonts w:ascii="Amiri" w:hAnsi="Amiri" w:eastAsia="Amiri" w:cs="Amiri"/>
          <w:color w:val="111111"/>
          <w:sz w:val="28"/>
          <w:sz w:val="28"/>
          <w:szCs w:val="28"/>
          <w:rtl w:val="true"/>
          <w:lang w:bidi="ar-SA"/>
        </w:rPr>
        <w:t>ولو دُعِي للتحمّل، وَجَب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هذه الصورة لو تحمّل المشقّة، وشهد جاز، وفي الصورة السابقة ظاهر النصوص الخاصّة عدم الجواز،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محلّ كلامهم في المقام خصوص الشّهادة في صورة المخاصمة التي تقام عند الحاكم، وأمّا الشّهادة في غيرها كالشهادة بالاجتهاد والعدالة ونحوها ممّا لا ترجعُ إلى مخاصمةٍ عند الحاكم، ويُراد إثباتها عنده، فلا يبعدُ القول بوجوبها عيناً على كلّ من 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مدخليّة لكيفيّة التحمّل فيها، لظهور الأدلّة السّالمة عن المعارض بالنسبة إليذلك، بعد تنزيل الإجماعات المزبورة على غير هذه الصورة الّتي لا غَرَض بمقدارٍ مخصوص منها، بل ربما كان الغرض تعدّد الشّهادة فيها، لكونه أتمّ للمقصود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حمل الأدلّة على الوجوب الكفائي، كيف يُبنى عليوجوبهاالعيني، مع أنّ الوجه المذكور للوجوب الكفائي في غير هذه الصورة جارٍ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Style w:val="FootnoteAnchor"/>
          <w:rtl w:val="true"/>
        </w:rPr>
        <w:footnoteReference w:id="103"/>
      </w:r>
      <w:r>
        <w:rPr>
          <w:rFonts w:ascii="Amiri" w:hAnsi="Amiri" w:eastAsia="Amiri" w:cs="Amiri"/>
          <w:color w:val="111111"/>
          <w:sz w:val="28"/>
          <w:sz w:val="28"/>
          <w:szCs w:val="28"/>
          <w:rtl w:val="true"/>
          <w:lang w:bidi="ar-SA"/>
        </w:rPr>
        <w:t>الدالّة على عدم وجوب الشّهادة في صورة عدم الاستدعاء، فبعضها وإنْ اختصّ بصورة المخاصمة، إلّاأنّ بعضها الآخر المتقدّم مطلقٌ‌، وعليه فلا وجه لعدم البناء عليه، فالأظهر هو عدم الفرق</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83335_73709187"/>
      <w:bookmarkStart w:id="30" w:name="_Toc10"/>
      <w:bookmarkEnd w:id="29"/>
      <w:r>
        <w:rPr>
          <w:rtl w:val="true"/>
        </w:rPr>
        <w:t>وجوب تحمّل الشّهادة</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دُعي للتحمّل، وجبَ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والمفيد</w:t>
      </w:r>
      <w:r>
        <w:rPr>
          <w:rStyle w:val="FootnoteAnchor"/>
          <w:rtl w:val="true"/>
        </w:rPr>
        <w:footnoteReference w:id="105"/>
      </w:r>
      <w:r>
        <w:rPr>
          <w:rFonts w:ascii="Amiri" w:hAnsi="Amiri" w:eastAsia="Amiri" w:cs="Amiri"/>
          <w:color w:val="111111"/>
          <w:sz w:val="28"/>
          <w:sz w:val="28"/>
          <w:szCs w:val="28"/>
          <w:rtl w:val="true"/>
          <w:lang w:bidi="ar-SA"/>
        </w:rPr>
        <w:t>، والإسكافي</w:t>
      </w:r>
      <w:r>
        <w:rPr>
          <w:rStyle w:val="FootnoteAnchor"/>
          <w:rtl w:val="true"/>
        </w:rPr>
        <w:footnoteReference w:id="106"/>
      </w:r>
      <w:r>
        <w:rPr>
          <w:rFonts w:ascii="Amiri" w:hAnsi="Amiri" w:eastAsia="Amiri" w:cs="Amiri"/>
          <w:color w:val="111111"/>
          <w:sz w:val="28"/>
          <w:sz w:val="28"/>
          <w:szCs w:val="28"/>
          <w:rtl w:val="true"/>
          <w:lang w:bidi="ar-SA"/>
        </w:rPr>
        <w:t>، والحلبي</w:t>
      </w:r>
      <w:r>
        <w:rPr>
          <w:rStyle w:val="FootnoteAnchor"/>
          <w:rtl w:val="true"/>
        </w:rPr>
        <w:footnoteReference w:id="107"/>
      </w:r>
      <w:r>
        <w:rPr>
          <w:rFonts w:ascii="Amiri" w:hAnsi="Amiri" w:eastAsia="Amiri" w:cs="Amiri"/>
          <w:color w:val="111111"/>
          <w:sz w:val="28"/>
          <w:sz w:val="28"/>
          <w:szCs w:val="28"/>
          <w:rtl w:val="true"/>
          <w:lang w:bidi="ar-SA"/>
        </w:rPr>
        <w:t>، والقاضي</w:t>
      </w:r>
      <w:r>
        <w:rPr>
          <w:rStyle w:val="FootnoteAnchor"/>
          <w:rtl w:val="true"/>
        </w:rPr>
        <w:footnoteReference w:id="108"/>
      </w:r>
      <w:r>
        <w:rPr>
          <w:rFonts w:ascii="Amiri" w:hAnsi="Amiri" w:eastAsia="Amiri" w:cs="Amiri"/>
          <w:color w:val="111111"/>
          <w:sz w:val="28"/>
          <w:sz w:val="28"/>
          <w:szCs w:val="28"/>
          <w:rtl w:val="true"/>
          <w:lang w:bidi="ar-SA"/>
        </w:rPr>
        <w:t>، وابن زُهرة</w:t>
      </w:r>
      <w:r>
        <w:rPr>
          <w:rStyle w:val="FootnoteAnchor"/>
          <w:rtl w:val="true"/>
        </w:rPr>
        <w:footnoteReference w:id="109"/>
      </w:r>
      <w:r>
        <w:rPr>
          <w:rFonts w:ascii="Amiri" w:hAnsi="Amiri" w:eastAsia="Amiri" w:cs="Amiri"/>
          <w:color w:val="111111"/>
          <w:sz w:val="28"/>
          <w:sz w:val="28"/>
          <w:szCs w:val="28"/>
          <w:rtl w:val="true"/>
          <w:lang w:bidi="ar-SA"/>
        </w:rPr>
        <w:t>، والمحقّق</w:t>
      </w:r>
      <w:r>
        <w:rPr>
          <w:rStyle w:val="FootnoteAnchor"/>
          <w:rtl w:val="true"/>
        </w:rPr>
        <w:footnoteReference w:id="110"/>
      </w:r>
      <w:r>
        <w:rPr>
          <w:rFonts w:ascii="Amiri" w:hAnsi="Amiri" w:eastAsia="Amiri" w:cs="Amiri"/>
          <w:color w:val="111111"/>
          <w:sz w:val="28"/>
          <w:sz w:val="28"/>
          <w:szCs w:val="28"/>
          <w:rtl w:val="true"/>
          <w:lang w:bidi="ar-SA"/>
        </w:rPr>
        <w:t>، والمصنّف</w:t>
      </w:r>
      <w:r>
        <w:rPr>
          <w:rStyle w:val="FootnoteAnchor"/>
          <w:rtl w:val="true"/>
        </w:rPr>
        <w:footnoteReference w:id="111"/>
      </w:r>
      <w:r>
        <w:rPr>
          <w:rFonts w:ascii="Amiri" w:hAnsi="Amiri" w:eastAsia="Amiri" w:cs="Amiri"/>
          <w:color w:val="111111"/>
          <w:sz w:val="28"/>
          <w:sz w:val="28"/>
          <w:szCs w:val="28"/>
          <w:rtl w:val="true"/>
          <w:lang w:bidi="ar-SA"/>
        </w:rPr>
        <w:t>، والشهيدين</w:t>
      </w:r>
      <w:r>
        <w:rPr>
          <w:rStyle w:val="FootnoteAnchor"/>
          <w:rtl w:val="true"/>
        </w:rPr>
        <w:footnoteReference w:id="112"/>
      </w:r>
      <w:r>
        <w:rPr>
          <w:rFonts w:ascii="Amiri" w:hAnsi="Amiri" w:eastAsia="Amiri" w:cs="Amiri"/>
          <w:color w:val="111111"/>
          <w:sz w:val="28"/>
          <w:sz w:val="28"/>
          <w:szCs w:val="28"/>
          <w:rtl w:val="true"/>
          <w:lang w:bidi="ar-SA"/>
        </w:rPr>
        <w:t>، وغيرهم</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في تقريب الاستدلال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شاملٌ بعمومه الأمرين، أو مختصٌّ بهذه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لإرادة الخاصّ منه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هشام،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الصباح،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ليشهد عليها أن يقول لا أشهد لكم عليها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الفضيل، عن أبي الحسن عليه السلام عن الآية الكريمة،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أبي عبد اللّه عليه السلام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إذا دُعي إلى شهادةٍ ليشهد عليها أن يقول لا أشهد لكم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4"/>
      </w:r>
      <w:r>
        <w:rPr>
          <w:rFonts w:ascii="Amiri" w:hAnsi="Amiri" w:eastAsia="Amiri" w:cs="Amiri"/>
          <w:color w:val="111111"/>
          <w:sz w:val="28"/>
          <w:sz w:val="28"/>
          <w:szCs w:val="28"/>
          <w:rtl w:val="true"/>
          <w:lang w:bidi="ar-SA"/>
        </w:rPr>
        <w:t xml:space="preserve">عدم وجوب التحمّل، ونُسب ذلك إلى طائفةٍ‌، وإلى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بدعوى أنّ اللّه تعالى سمّاهم شهداء، ونهاهم عن الإباء إذا ما دُعوا إليها، وإنّما يُسمّى شاهداً بعد تحمّلها، فالآية بالأداء أشبه، وأُجيب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النصوص المتقدّمة بأنّها أخبار آحاد،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معرض الإرشاد بالاشهاد، لأنّه تعالى أمر بالكتابة حال المداينة، ونهى الكاتب عن الإباء، ثمّ أمر بالاشهاد، ونهى الشاهد عن الإباء، فسياق الآية يقتضي إرادة المعنى المذكور، مع أنّها فُسِّرت في النصوص بذلك، وعليه فما أفاده اجتهادٌ في مقابل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أخبار 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استفاضتها، أنّ الخبر الواحد الصحيح أو الموثّق حجّة عندنا، وفي نصوص المقام طائفة من الصحاح والموثّقات، ولذلك 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 عن الحِلّي، ونسبة ذلك إلى أنّه من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القران وعليه، واستفاضة الأخبار به، وفتوى متقدِّمي علمائنا به جهلٌ منه وقلّة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دلالة الآية الكريمة على الاستحباب بأنّها على طولها مشتملة على الآداب، بل ملاحظة ما قبلها وما بعدها، وأنّها على مساقٍ واحد، خصوصاً ما كان منها مثل اللّفظ المزبور،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آخرها، فإنّ ذلك كلّه يورث الظَّن القوي بكون ذلك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الوجوب والاستحباب، وكذا الحرمة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والكراهة أمران انتزاعيّان من الترخيص في مخالفة ما تعلّق به الأمر أو النهي وعدمه، وإلّا فالموضوع له والمستعمل فيه في الموردين واحدٌ، فلا مورد للتمسّك بوحدة السياق، وحيث أنّ التكليف توجّه بالإباء عن التحمّل ولم يُرخِّص في مخالفته، فيتعيّن البناء على أنّه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متضمّنة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 الشاهد أن يُجيب حين يُدعى قبل الكتاب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جملةٍ منها لا يدلّ على كون الحكم غير لزومي، غايته الإجمال، فيبيّن بغيرها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المرويّ عن تفسير الإمام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عنقه شهادة، فلا يأب إذا دُعي لإقامتها وليقمها، ولينصح فيها، ولا تأخذه في اللّه لومة لائم، وليأمر بالمعروف، ولينه عن المنكر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فلا يصلح لمقاومة ما تقدّم، سيّما وفيه قال وفي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فيمن إذا دُعي لسماع الشّهادة وأبى‌، ونزلت فيمن امتنع عن أداء الشّهادة إذا كانت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القدّاح، عن مولانا الصادق، عن أبيه عليهما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الأنصار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تشهد لي على نحلٍ نَحلتُها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فنحلتهم كما نحلته‌؟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معاشر الأنبياء لا نشهدُ على الحيف</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الذي استدلّ به للقول بعدم الوجوب، بتقريب أنّ المراد بالحيف ليس هو الحرام، وإلّا حكم صلى الله عليه و آله ببطلان نحلته، بل خلاف الأولى، ولا يجوزُ ترك الواجب لذلك، وليس ذلك أيضاً من الخصائص ليدلّ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الحيف الحرام، وعدم حكمه ببطلان النحلة من جهة أنّ حرمة المعاملة لا تستلزمُ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ذلك بالأنبياء، ولو كان الحكم عامّاً لما كان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في واقعة، فلعلّه صلى الله عليه و آله رأى شهادة غيره بذلك، فلم يكن يجبُ عليه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وجوب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وجوبه كفائي كما عن أكثر المتأخّرين، أم عيني كما عن جماعةٍ من القدماء؟</w:t>
      </w:r>
    </w:p>
    <w:p>
      <w:pPr>
        <w:pStyle w:val="BookText"/>
        <w:rPr/>
      </w:pPr>
      <w:r>
        <w:rPr>
          <w:rFonts w:ascii="Amiri" w:hAnsi="Amiri" w:eastAsia="Amiri" w:cs="Amiri"/>
          <w:color w:val="111111"/>
          <w:sz w:val="28"/>
          <w:sz w:val="28"/>
          <w:szCs w:val="28"/>
          <w:rtl w:val="true"/>
          <w:lang w:bidi="ar-SA"/>
        </w:rPr>
        <w:t>وجهان، ظاهر الآية والأخبار هو الثاني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بإطباق المتأخّرين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وأولويّته بذلك من الإقامة التي قد عرفت أنّ وجوبها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وبجعل وجوبه مقابلاً لوجوب الأداء الذي هو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اللّه سبحانه أمر أوّلاً باستشهاد رجلين، وإنْ لم يكونا فرجلٌ وامرأتين،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واللّام في ذلك للعهد الذُكري،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الرَّجلان والرّجل والمرأتان من الإجابة، فالنهي ليس متوجّهاً إلى كلّ أحدٍ، بل إلى الرّجلين، أو رجلٌ وامرأتين، فبعد إشهادهما لا أمر بالشهادة ولا نهي عن الإجابة كما هو شأن الواجب على الكفاية، والأصل عدم الوجوب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إطباق المتأخّرين لا وقع له في مقابل ظهور الآية، والأخبار، وفتوى الأساطين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فلا أصل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ممنوعة، فإنّه لا أثر للشهادة بعد أداء الشاهدين إيّاها، بخلاف التحمّل، فإنّ فائدته ظاهرة، لاحتمال الغفلة أو النسيان أو الغيبة أو الفسق أو الموت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وجوبه مقابلاً لوجوب الأداء، لا إشعار فيه بذلك، فضلاً عن الدلالة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أخيراً وإنْ كان متيناً، وعلى ذلك بنينا كون وجوب الأداء كفائيّاً، إلّا أنّه لا يتمّ في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 w:name="pg11384_112263"/>
    </w:p>
    <w:p>
      <w:pPr>
        <w:pStyle w:val="BookText"/>
        <w:rPr/>
      </w:pPr>
      <w:bookmarkEnd w:id="31"/>
      <w:r>
        <w:rPr>
          <w:rFonts w:ascii="Amiri" w:hAnsi="Amiri" w:eastAsia="Amiri" w:cs="Amiri"/>
          <w:color w:val="111111"/>
          <w:sz w:val="28"/>
          <w:sz w:val="28"/>
          <w:szCs w:val="28"/>
          <w:rtl w:val="true"/>
          <w:lang w:bidi="ar-SA"/>
        </w:rPr>
        <w:t>ولا يَشهَدُ على من لا يَعرفه إلّابمعرفة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فُضيل المتقدّم، وكذا خبر داود، ونحوهما بعض آخر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 وجوبه عينيّاً، غاية الأمر كسائر التكاليف مشروطٌ بعدم لزوم الضَّرر أو العُسر والحَرج منه، وإلّا فلا يجبُ‌، لقاعدتي لا ضَرر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التحمّل علي خصوص من له أهليّة الشّهادة، كما عن الشيخ</w:t>
      </w:r>
      <w:r>
        <w:rPr>
          <w:rStyle w:val="FootnoteAnchor"/>
          <w:rtl w:val="true"/>
        </w:rPr>
        <w:footnoteReference w:id="135"/>
      </w:r>
      <w:r>
        <w:rPr>
          <w:rFonts w:ascii="Amiri" w:hAnsi="Amiri" w:eastAsia="Amiri" w:cs="Amiri"/>
          <w:color w:val="111111"/>
          <w:sz w:val="28"/>
          <w:sz w:val="28"/>
          <w:szCs w:val="28"/>
          <w:rtl w:val="true"/>
          <w:lang w:bidi="ar-SA"/>
        </w:rPr>
        <w:t>وجماعة</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يعمّه وغيره كما هو ظاهر إطلاق آخرين‌؟</w:t>
      </w:r>
    </w:p>
    <w:p>
      <w:pPr>
        <w:pStyle w:val="BookText"/>
        <w:rPr/>
      </w:pPr>
      <w:r>
        <w:rPr>
          <w:rFonts w:ascii="Amiri" w:hAnsi="Amiri" w:eastAsia="Amiri" w:cs="Amiri"/>
          <w:color w:val="111111"/>
          <w:sz w:val="28"/>
          <w:sz w:val="28"/>
          <w:szCs w:val="28"/>
          <w:rtl w:val="true"/>
          <w:lang w:bidi="ar-SA"/>
        </w:rPr>
        <w:t>أم يفصّل بين من لا يتصوّر في حقّه الأهليّة كالولد على والده، والمرأة في الطلاق وما شاكل، فلا يجبُ عليه التحمّل، وبين من يمكن فرض الأهليّة في حقّه كالفاسق بتجدّد العدالة، فيجبُ كما اختاره بعض المحقّقين‌؟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والظاهر هو الثاني؛ لإطلاق الأدلّة، واحتمال الفائدة بتحصيل الشِّياع المورث للعلم أو الاطمئنان، ورفع المانع في من يمكن في حقّه ذلك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83337_73709187"/>
      <w:bookmarkStart w:id="33" w:name="_Toc11"/>
      <w:bookmarkEnd w:id="32"/>
      <w:r>
        <w:rPr>
          <w:rtl w:val="true"/>
        </w:rPr>
        <w:t>يعتبر في الشّهادة معرفة المشهود له أو عليه</w:t>
      </w:r>
      <w:bookmarkEnd w:id="3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ظهر ممّا قدّمناه، من اشتراط العلم في الشّهادة،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على من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بمعرفة عدلين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أعاده في المقام مع معلوميّته ممّا سبق، لورود النّص الخاصّ‌، وللرّد </w:t>
      </w:r>
    </w:p>
    <w:p>
      <w:pPr>
        <w:pStyle w:val="BookText"/>
        <w:rPr/>
      </w:pPr>
      <w:r>
        <w:rPr>
          <w:rFonts w:ascii="Amiri" w:hAnsi="Amiri" w:eastAsia="Amiri" w:cs="Amiri"/>
          <w:color w:val="111111"/>
          <w:sz w:val="28"/>
          <w:sz w:val="28"/>
          <w:szCs w:val="28"/>
          <w:rtl w:val="true"/>
          <w:lang w:bidi="ar-SA"/>
        </w:rPr>
        <w:t>على ما عن العامّة من عدم جواز الشّهادة على إقرار المرأة دون أن تُسفِر، فَينظُر إليها الشهود ولو عُرفت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لجواز الشّهادة مع المعرفة، أو معرفة من قوله حجّة شرعيّة، وعدم جوازها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بالشهادة على إقرار المرأة وليست بمُسْفِرة، إذا عُرفت بعينها، أو حَضَر من يعرفها، فأمّا إذا كانت لا تُعرف بعينها، ولا يحضر من يعرفها، فلا يجوزُ للشهود أن يشهدوا عليها وعلى إقرارها، دون أن تُسفِر وينظرون إليها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مكاتبة الصفّار الصحيحة عن الفقيه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أراد أن يشهد على امرأةٍ ليس لها بمَحْرم، هل يجوزُ له أن يشهد عليها من وراء السِّتر، ويسمع كلامها إذا شهد رجلان عدلان أنّها فلانة بنت فلان، التي تشهدكَ بهذا كلامه، أو لا تجوزُ له الشّهادة عليها حتّى تُبرز وتثبتها بعينها؟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وتظهر للشهادة إن شاء اللّه تعالى‌</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الصفّار،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التوقيع عندي بخطّه عليه السلام فلا يعارضه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بظهورها للشهادة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ظهورها للرّجل الذي أراد أن يشهد عليها، فمع التنقّب أيّ فائدة في 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ظهورها للشهود اللّذين يعرفونها، ويكون المراد تظهر لهم وتتنقّب من هذا الرّجل، فإنّه يشهد بذلك ما في بعض النسخ من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تتنقّب وتَظهر للشهود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ذلك، فلا ينافي ما تقدّم، مع أنّه لو سُلّم المنافاة يتعيّن طرحها، لمخالفتها لفتوى الأصحاب وموافقتها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به 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بالشهادة على إقرار المرأة وليست بمُسْفِرة إذا عُرفت بعينها، ولا يجوزُ عندهم أن يشهد الشهود على إقرارٍ دون أن تُسفِر فيُنظَر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مرجع الضمير هو العامّة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مكاتبة، والغالب فيها التقيّة، فلا تصلح لمعارضة خبر ابن يقطين المعمول به بين الأصحاب، المنجبر ضعفه لو كان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النظر إلى وجه امرأةٍ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 النظر إلى وجه امرأةٍ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تُسفِر المرأة ويكشف عن وجهها ليعرفها الشاهد إن لها أو عليها، إذا لم يمكن معرفتها بشهادة العدلين، بلا خلافٍ بينهم، كما صرّح به غير واحد</w:t>
      </w:r>
      <w:r>
        <w:rPr>
          <w:rStyle w:val="FootnoteAnchor"/>
          <w:rtl w:val="true"/>
        </w:rPr>
        <w:footnoteReference w:id="141"/>
      </w:r>
      <w:r>
        <w:rPr>
          <w:rFonts w:ascii="Amiri" w:hAnsi="Amiri" w:eastAsia="Amiri" w:cs="Amiri"/>
          <w:color w:val="111111"/>
          <w:sz w:val="28"/>
          <w:sz w:val="28"/>
          <w:szCs w:val="28"/>
          <w:rtl w:val="true"/>
          <w:lang w:bidi="ar-SA"/>
        </w:rPr>
        <w:t>، ويشهد به خبر علي بن يقطين المتقدّم، بل والمكاتبة المتقدّمة، بناءً على إرادة الظهور للشهود،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بعدم جواز النظر إلى وجه المرأة بغير ريبةٍ‌، ووجوب السّتر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بجوازه، وعدم وجوب السَّتر عليها، فلا يتوقّفان على القيد المذكور، كما لا يخفى‌، وقد مرّ الكلام في المبنى في كتاب النكاح</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4" w:name="pg11384_112267"/>
    </w:p>
    <w:p>
      <w:pPr>
        <w:pStyle w:val="BookText"/>
        <w:rPr/>
      </w:pPr>
      <w:bookmarkEnd w:id="3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في الدِّيون والأموال والحقوق،</w:t>
      </w:r>
    </w:p>
    <w:p>
      <w:pPr>
        <w:pStyle w:val="Heading4"/>
        <w:numPr>
          <w:ilvl w:val="3"/>
          <w:numId w:val="1"/>
        </w:numPr>
        <w:rPr/>
      </w:pPr>
      <w:bookmarkStart w:id="35" w:name="__RefHeading___Toc283339_73709187"/>
      <w:bookmarkStart w:id="36" w:name="_Toc12"/>
      <w:bookmarkEnd w:id="35"/>
      <w:r>
        <w:rPr>
          <w:rtl w:val="true"/>
        </w:rPr>
        <w:t>الشّهادة على الشّهادة</w:t>
      </w:r>
      <w:bookmarkEnd w:id="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ولا 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الشّهادة على الشّهادة في الدِّيون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كالقرض والقِراض، وعقود المعاوضات،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بالآدمي، سواءٌ أكانت عقوبة كالقصاص، أو غيرها كالطلاق، والنَسَب، وعيوب النساء، والولادة، والاستهلال، وما شاكل، بلا خلافٍ أجده، 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وعن غير واحدٍ دعوى 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لعلّ المحكيّ منه على ذلك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العمومات الدالّة على 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الشّهادة على شهادة الرّجل وهو بالحضرة في البلد؟ </w:t>
      </w:r>
    </w:p>
    <w:p>
      <w:pPr>
        <w:pStyle w:val="BookText"/>
        <w:rPr/>
      </w:pPr>
      <w:r>
        <w:rPr>
          <w:rFonts w:ascii="IRNazanin" w:hAnsi="IRNazanin" w:eastAsia="IRNazanin"/>
          <w:color w:val="111111"/>
          <w:sz w:val="28"/>
          <w:sz w:val="28"/>
          <w:szCs w:val="28"/>
          <w:rtl w:val="true"/>
          <w:lang w:bidi="fa-IR"/>
        </w:rPr>
        <w:t>لا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خلف ساريةٍ يجوز ذلك، إذا كان لا يمكنه أن يقيمها هو لعلّةٍ تمنعه من أن يحضره ويقيمها، فلا بأس بإقامة الشّهادة على شهادة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طلحة بن زيد، عن أبي عبد اللّه،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يُجيز شهادة رجلٍ على رجل إلّاشهادة رجلين على رجل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لا يُجيز شهادة رجلٍ على شهادة رجل، إلّاشهادة رجلين على شهادة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 على شهادة رجلٍ‌، فإنّ شهادته تُقبل، وهي نصف شهادته، وإنْ شهد رجلان عَدْلان على شهادة رجلٍ‌، فقد ثبت شهادته على شهادة رجل واحدٍ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خبره الآخر عنه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رجلٍ على رجل حَيّ‌، وإنْ كان باليمين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فمحمولٌ على خبره السابق،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الشّهادة على الشّهادة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عقوبةً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وغيرهما</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طلحة بن زيد، عن أبي عبد اللّه، عن أبيه، عن أميرالمؤمنين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يُجيز شهادة على شهادة في حَدّ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غياث بن إبراهيم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يختصّ عدم القبول بما إذا كان الحَدّ للّه محضاً كحَدّ الزّنا والسُّحق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وابن حمزة</w:t>
      </w:r>
      <w:r>
        <w:rPr>
          <w:rStyle w:val="FootnoteAnchor"/>
          <w:rtl w:val="true"/>
        </w:rPr>
        <w:footnoteReference w:id="154"/>
      </w:r>
      <w:r>
        <w:rPr>
          <w:rFonts w:ascii="IRNazanin" w:hAnsi="IRNazanin" w:eastAsia="IRNazanin"/>
          <w:color w:val="111111"/>
          <w:sz w:val="28"/>
          <w:sz w:val="28"/>
          <w:szCs w:val="28"/>
          <w:rtl w:val="true"/>
          <w:lang w:bidi="fa-IR"/>
        </w:rPr>
        <w:t>، وفخر الإسلام</w:t>
      </w:r>
      <w:r>
        <w:rPr>
          <w:rStyle w:val="FootnoteAnchor"/>
          <w:rtl w:val="true"/>
        </w:rPr>
        <w:footnoteReference w:id="15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يعمّ ما كان مشتركاً بينه تعالى وبين الآدمي كحَدّ السَّرقة والقذف، كما هو المشهور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لإطلاق الخبرين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ما دلّ على قبولها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أجود، لعدم دليلٍ صالحٍ للتخصيص فيهما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ونظره قدس سره إلى ما صرّح به قبل ذلك من ضعف الطريق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ضعف الخبرين، لا إشكال في انجبار ضعفهما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حقوق اللّه غير الحَدّ كالزكاة، وأوقاف المساجد، والجهات العامّة، والأهلّة، لإطلاق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لا تثبتُ في سائر حقوق اللّه تعالى‌، كما قطع به الأصحاب ومنه الأهلّة،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بالشهادة على الشّهادة عند علمائنا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واختصاص ورود القبول بالأموال وحقوق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الأصل لا يُرجع إليه مع عموم وإطلاق الأدلّة العامّة والخاصّة، والاختصاص ممنوعٌ لعدم القرينة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في الحدود المشتركة وإن لم تُقبل الشّهادة على الشّهادة، إلّاأنّه يثبتُ بها غير الحَدّ من الأحكام المترتّبة على موضوع الحَدّ كنشر الحُرمة بأُمّ الموطوء واُخته وبنته، وبنت العمّة والخالة بالزّنا بهما، وغير ذلك، كما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يكفي أقلّ من عَدلين على أصلٍ‌،</w:t>
      </w:r>
    </w:p>
    <w:p>
      <w:pPr>
        <w:pStyle w:val="BookText"/>
        <w:rPr/>
      </w:pPr>
      <w:r>
        <w:rPr>
          <w:rFonts w:ascii="Amiri" w:hAnsi="Amiri" w:eastAsia="Amiri" w:cs="Amiri"/>
          <w:color w:val="111111"/>
          <w:sz w:val="28"/>
          <w:sz w:val="28"/>
          <w:szCs w:val="28"/>
          <w:rtl w:val="true"/>
          <w:lang w:bidi="ar-SA"/>
        </w:rPr>
        <w:t xml:space="preserve">المُحقّق، والمصنّف،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الأمرين، لكونهما معلولين لعلّة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تلازمهما شرعيٌ‌، فلا مانع من التفكيك بينهما مع الدليل، وقد دلّ الدليل على ذلك، فإنّ مقتضى العمومات ثبوت الجميع بها، خَرج منها الحَدّ بالإجماع والنّص،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الذي ادّعاه جماعة</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يُشترط المغايرة، لعدم الدليل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 اثنان على كلّ واحدٍ من الأصلين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اثنان على كلّ واحدٍ من الأصلين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تُقبل شهادة أحد الأصلين مع الآخر على شهادة الأصل الآخر ونحو ذلك، بلا خلافٍ أجده فيه،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الذي ادّعاه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سيّما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شهادة الفرع تُقبل، كان شاهد الأصل رجلاً أو امرأة، أو رجلاً وامرأة، فيما يقبل فيه شهادة المرأة، لإطلاق الأدلّة العامّة، وللإجماع، وإنْ كانت النصوص الخاصّة مختصّة بالشهادة على شهادة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 شهادة الفرع إنْ كان الشاهد امرأة أو لا؟</w:t>
      </w:r>
    </w:p>
    <w:p>
      <w:pPr>
        <w:pStyle w:val="BookText"/>
        <w:rPr/>
      </w:pPr>
      <w:r>
        <w:rPr>
          <w:rFonts w:ascii="Amiri" w:hAnsi="Amiri" w:eastAsia="Amiri" w:cs="Amiri"/>
          <w:color w:val="111111"/>
          <w:sz w:val="28"/>
          <w:sz w:val="28"/>
          <w:szCs w:val="28"/>
          <w:rtl w:val="true"/>
          <w:lang w:bidi="ar-SA"/>
        </w:rPr>
        <w:t>نُسب إلى الإسكافي</w:t>
      </w:r>
      <w:r>
        <w:rPr>
          <w:rStyle w:val="FootnoteAnchor"/>
          <w:rtl w:val="true"/>
        </w:rPr>
        <w:footnoteReference w:id="171"/>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اختيار الأوّل في الموضع الذي تُقبل فيه شهادتها منفردة أو منضمّة، وادّعى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مخالفاً على المنع</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بيان ما يُراد إثباته بشهادة الفرع، ثمّ ملاحظة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شهد شاهدٌ على أنّ الأصل شهد بذلك، كأن شهد زيدٌ بأنّ عمرواً شهد باشتغال ذمّة بكرٍ لخالد،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مذهب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إثبات شهادة شاهد الأصل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أصرَّ المحقّق النراقي</w:t>
      </w:r>
      <w:r>
        <w:rPr>
          <w:rStyle w:val="FootnoteAnchor"/>
          <w:rtl w:val="true"/>
        </w:rPr>
        <w:footnoteReference w:id="181"/>
      </w:r>
      <w:r>
        <w:rPr>
          <w:rFonts w:ascii="Amiri" w:hAnsi="Amiri" w:eastAsia="Amiri" w:cs="Amiri"/>
          <w:color w:val="111111"/>
          <w:sz w:val="28"/>
          <w:sz w:val="28"/>
          <w:szCs w:val="28"/>
          <w:rtl w:val="true"/>
          <w:lang w:bidi="ar-SA"/>
        </w:rPr>
        <w:t>بأنّ‌المقصود إثبات المشهود به الأصل، وهو اشتغال الذِّمة في المثال لا شهادة عمروٍ، وقد ذكر شواهد على أنّ مراد الأصحاب أيضاً ذلك، فشاهد الفرع بحكم النائب عن شاهد الأصل، فعلى الأوّل تجوزُ شهادة النساء على الشّهادة بناءً على ما اخترناه من أنّ الأصل قبول شهادتهنّ إلّاما خرج بالدليل، وليست شهادة الأصل ممّا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فيتمّ استدلال المصنّف لقبولها بالأصل، وإطلاق الأدلّة،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بأخبار الفرقة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ينافيها اختصاص النصوص الخاصّة بشهادة الرجال، فإنّه لا مفهوم 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 تدلّ على عدم قبول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الأصل عدم قبول شهادتهنّ إلّاما خرج بالدليل، تعيّن البناء على عدم قبول شهادتهنّ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 والأخبار التي أشار إليهافيه،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وخبر السكوني المتقدّم المتضمّن لقبول شهادتهنّ في الدِّيون، وفحوى ما دلّ على قبول شهادة الأصل في ما تقبل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المنقول المخالف للشهرة المحقّقة ليس بحجّة، والأخبار لم تصل إلينا، والآية الكريمة وخبر السكوني في الشّهادة في الديون، وشهادة الفرع ليست منها، والفحوى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القبول، لأنّ جميع أدلّة قبول الشّهادة مختصّة بشهادة الأصل، ولا تشمل شهادة الفرع في إثبات المشهود به الأصل، وكون شاهد الفرع نائباً عن شاهد الأصل، ونصوص الباب مختصّة بشهادة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المبنى، فالظاهر من الأخبار هو الأوّل، 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رجلٌ على شهادة رجلٍ‌، فإنّ شهادته تُقبل وهي نصف شهادة، وإنْ شَهد رجلان عدلان على شهادةٍ‌، فقد ثبت شهادة رجلٍ واحد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كالصريح في أنّ المقصود بالإثبات هو شهادة الأصل، ومن الغريب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استدلال المحقّق النراقي</w:t>
      </w:r>
      <w:r>
        <w:rPr>
          <w:rStyle w:val="FootnoteAnchor"/>
          <w:rtl w:val="true"/>
        </w:rPr>
        <w:footnoteReference w:id="184"/>
      </w:r>
      <w:r>
        <w:rPr>
          <w:rFonts w:ascii="IRNazanin" w:hAnsi="IRNazanin" w:eastAsia="IRNazanin"/>
          <w:color w:val="111111"/>
          <w:sz w:val="28"/>
          <w:sz w:val="28"/>
          <w:szCs w:val="28"/>
          <w:rtl w:val="true"/>
          <w:lang w:bidi="fa-IR"/>
        </w:rPr>
        <w:t>بهذا الخبر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لا يُجيز شهادة رجلٍ على شهادة رجل، إلّاشهادة رجلين على شهادة رجل</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بمفهوم الاستثناء على جواز شهادة رجلين على شهادة رجل واحد، لا على ما شهد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المتقدّم، المتضمّن لقبول شهادة الفرع مع عدم إمكان حضور شهود الأصل، فلا يكون ظاهراً في أنّ المقصود إثبات المشهود به، فضلاً عن النصوصيّة التي ادّعاها المحقّق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يلزمُ قبول شهادة النساء على الشّهادة، حتّى فيما لاتُقبل فيه شهادتهنّ كالهلال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الإجماع لكنّا ملتزمين بذلك، وقد ادّعوه على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وتبعه غيره</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لتحمّل شاهد الفرع مراتب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شاهد الأصل لشاهد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على شهادتي إنّي أشهدُ على فلان بن فلان لفلان بن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استرعاءً لالتماس شاهد الأصل رعاية شهادته والشّهادة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شاهد الفرع أنّ شاهد الأصل يشهد عند الحاكم، فإذا سمع أنّه يشهد عنده صار متحمّلاً للشهادة، قالوا وهذه أخفضُ من الأُولى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أشهدُ لفلان بن فلان على فلان بن فلان بكذا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السَّبب، مثل أن يقول من ثمن ثوبٍ أو 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على جواز التحمّل في الأُولى، والمشهور بينهم جوازه في الأخيرتين، وخالفهم الإسكافي</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فحكم بعدم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والمحقّق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رحمه الله</w:t>
      </w:r>
      <w:r>
        <w:rPr>
          <w:rStyle w:val="FootnoteAnchor"/>
          <w:rtl w:val="true"/>
        </w:rPr>
        <w:footnoteReference w:id="189"/>
      </w:r>
      <w:r>
        <w:rPr>
          <w:rFonts w:ascii="Amiri" w:hAnsi="Amiri" w:eastAsia="Amiri" w:cs="Amiri"/>
          <w:color w:val="111111"/>
          <w:sz w:val="28"/>
          <w:sz w:val="28"/>
          <w:szCs w:val="28"/>
          <w:rtl w:val="true"/>
          <w:lang w:bidi="ar-SA"/>
        </w:rPr>
        <w:t>فإنّهما تردّدا فيه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اتّفقوا على عدم جواز التحمّل في غير هذه الصور، وهو أن يقول شاهد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أشهدُ أنّ عليه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استرعاء ولا في مجلس الحكم، ولا ذَكر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هذه وبين ذكر السَّبب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نظره في الإشكال، إلى إلحاق الأُولى بالثانية في المنع من القبول، ويمكن أن يكون إلى إلحاق الثانية بالأُولى فيما هو وجه القبول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لا نصّ خاص في المسألة، ولا إجماع تعبّدي لاستناد المجمعين إلى ما سيمرّ عليك، بل لعلّه غير ثابتٍ‌، لأنّه لم أرَ من تعرّض لذلك قبل الشيخ والإسكافي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فيتمّ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الرجوع إلى مقتضى الاُصول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فحيثُ عرفت أنّ المعتبر في الشّهادة العلم بالمشهود به، ولا يُعتبر شيءٌ آخر وراء ذلك، ففي الصورة الرابعة إنْ كانت شهادة الأصل بنحو الجزم، لا بصورة التردّد، أو ما يقبل التسامح باحتمال إرادة الوعد، بمعنى أنّ المشهود عليه كان قد وَعَد المشهود له بذلك، فجعلها عليه، لأنّ الوفاء بالوعد من مكارم الأخلاق، فينزله منزلة الدّين،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لفلان على فلان ديناً جزميّاً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فالأظهر هو القبول، وجواز التحمّل، ولا فرق حينئذٍ بين ذلك وبين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شهد بالسَّبب، يكون ذلك ظاهراً في المشاهدة، ولو شهد بالحقّ من دون ذكره، ولا عند الحاكم، ولا بالاسترعاء، فغاية ما هناك كونها عن علمٍ وجزم، ولا قرينة على حصول العلم من المشاهدة، لاستعمال الشّهادة في الإخبار الجزمي الحاصل من غير المشاهدة، وهذا هو الفرق بين الصورتين، وهو الوجه في عدم القبول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فساد المبنى، وأنّ الشّهادة إذا كانت مستندةً إلى العلم والجزم تُقبل من أيّ سببٍ حصل العلم والجزم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احتمل في شهادة الأصل التسامح بنحوٍ لا ينافي عدالته، تمّ ما ذكروه من عدم القبول، وعدم جواز التحمّل، وهذا الاحتمال لا يجري مع ذكر السَّبب، وهو الفارق بين الصورتين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تُقبل مع تعذّر حضور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الأصلُ‌</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حضور شاهد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فلو تمكّن منه، كما لو كان حاضراً في البلد، أو في موضعٍ يمكنه الحضور، لا تُقبل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91"/>
      </w:r>
      <w:r>
        <w:rPr>
          <w:rFonts w:ascii="Amiri" w:hAnsi="Amiri" w:eastAsia="Amiri" w:cs="Amiri"/>
          <w:color w:val="111111"/>
          <w:sz w:val="28"/>
          <w:sz w:val="28"/>
          <w:szCs w:val="28"/>
          <w:rtl w:val="true"/>
          <w:lang w:bidi="ar-SA"/>
        </w:rPr>
        <w:t>، ويشهد به صحيح محمّد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الحضور، لكن مع مشقّةٍ رافعة للتكليف، فهل تُقبل شهادة الفرع‌؟</w:t>
      </w:r>
    </w:p>
    <w:p>
      <w:pPr>
        <w:pStyle w:val="BookText"/>
        <w:rPr/>
      </w:pPr>
      <w:r>
        <w:rPr>
          <w:rFonts w:ascii="Amiri" w:hAnsi="Amiri" w:eastAsia="Amiri" w:cs="Amiri"/>
          <w:color w:val="111111"/>
          <w:sz w:val="28"/>
          <w:sz w:val="28"/>
          <w:szCs w:val="28"/>
          <w:rtl w:val="true"/>
          <w:lang w:bidi="ar-SA"/>
        </w:rPr>
        <w:t>الظاهر ذلك، لأنّ النّص وإنْ اختصّ بما إذا تعذّر الحضور، ولكن بما أنّ مقتضى قاعدة نفي الحرج، عدم وجوب الحضور على الأصل، فيدور الأمر بين قبول شهادة الفرع، وبين إبطال المشهود له، والثاني باطلٌ إجماعاً،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 الفرع،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والقاضي</w:t>
      </w:r>
      <w:r>
        <w:rPr>
          <w:rStyle w:val="FootnoteAnchor"/>
          <w:rtl w:val="true"/>
        </w:rPr>
        <w:footnoteReference w:id="193"/>
      </w:r>
      <w:r>
        <w:rPr>
          <w:rFonts w:ascii="Amiri" w:hAnsi="Amiri" w:eastAsia="Amiri" w:cs="Amiri"/>
          <w:color w:val="111111"/>
          <w:sz w:val="28"/>
          <w:sz w:val="28"/>
          <w:szCs w:val="28"/>
          <w:rtl w:val="true"/>
          <w:lang w:bidi="ar-SA"/>
        </w:rPr>
        <w:t>، والصدوقين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بأعدلهما، فإنْ تساويا اطرح الفرع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9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إذا أنكر بعد الحكم، وأمّا قبله فيُطرح الفرع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جماعةٍ من الأصحاب، منهم المصنّف رحمه الله في جملةٍ من كتبه</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يُلتفت إلى شهادة الفرع بعد الحكم، بل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القائلين بالقول الأوّل إنّما يقولون به فيما إذا كان الإنكار قبل الحكم، وأمّا بعده فلم يقل به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شهادة الفرع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النصوص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يقتضيه النّص بعد الجمع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قبل الحكم، وحَضَر الأصل وأنكر، لا يُعتنى بشاهد الفرع، لما تقدّم من اعتبار عدم حضور الأصل في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يحضر، بل كان إنكاره بإنفاذ خبرٍ محفوف بالقرينة، أو اشهاد عدلين آخرين،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تُطرح شهادة الفرع، إذ إمّا أن يكون هو كاذباً فشهادته مردودة، أو يكون الأصل كاذباً فلا تفيد شهادته، لما عرفت من أنّ بها تثبت شهادة الأصل، لا المشهود به الأصل، فهي مطروحة على التقديرين؛ إمّا لمانعٍ عن القبول، أو لعدم الفائدة والأثر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كون شاهد الأصل كاذباً، وكون الفسق عارضاً، وحينئذٍ فيثبتُ بشهادته في حال العدالة الحقّ‌، ويصحّ الحكم بناءً على ما مر من أنّ عروض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الفسق لا يمنعُ عن الاستناد إلى الشّهادة، والظاهر حينئذٍ تقديم شهادة الفرع، فإنّ مورد التكاذب ليس ثبوت المشهود به الأصل بل شهادة الأصل، فالمُثبِت له اثنان، والنافي واحد، والاثنان حجّة شرعيّة، والواحد ليس بحجّة في المقام، ولا يصلح اللّاحجّة للمعارضة مع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الحكم، فلا توقّف في عدم الالتفات إلى الإنكار لما مرَّ، وللإجماع المحكيّ‌، ولنفوذ الحكم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البصري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أشهد؟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 وإنْكانت عدالتهما واحدة لم تجز شهادته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سنان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مختصّان بما قبل الحكم، إذ بعد الحكم التعبير بجواز الشّهادة وعدمه غير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الشمول، فالنسبة بينهما وبين ما دلّ على نفوذ حكم الحاكم ما لم يعلم بطلانه، عموم من وجه، والترجيحُ له للشهرة العظيمة، بل الإجماع على عدم الالتفات إلى الإنكار بعد الحُكم، فيختصّان بما قبل الحكم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إطلاقهما عدم الفرق بين صورة حضور الأصل مجلس الأداء إنكاره بإنفاذ الخبر المحفوف بالقرينة وما شاكل، بل لا يبعد القول بظهوره في صورة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رُدَّتِ الشّهادة مع عدم الحكم، ولا تُسمع الشّهادة الثالثة في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الحضور، فيعارضان ما دلّ على أنّه لا يُلتفت إلى شهادة الفرع مع حضور شاهد الأصل، وحيث إنّهما أخصّ منه، أو لا أقلّ من التعارض بالعموم من وجه، والترجيح لهما من ناحية صفات الراوي التي هي ثاني المرجّحات بعد عدم إحراز أن المشهور رَدّ شهادة الفرع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الخاصّة، أنّه لا يُلتفت إلى إنكار الأصل بعد الحكم، وقبل الحكم يُعمل بأعدلهما، ومع التساوي يُطرح الفرع كما 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والصدوقين بعد تقييد ما أفادوه بما قبل الحكم كما صرّح به جماعة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الشّهادة مع عدم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ما سائر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تُسمع الشّهادة الثالثة في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الشّهادة على الشّهادة على الشّهادة، والظاهر أنّه إجماعي، ويشهد به خبر عمرو بن جميع، عن الإمام الصادق،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شهادة على شهادة على شهادة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المنجبر ضعفه بالاستناد و العمل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7" w:name="pg11384_112282"/>
    </w:p>
    <w:p>
      <w:pPr>
        <w:pStyle w:val="BookText"/>
        <w:rPr/>
      </w:pPr>
      <w:bookmarkEnd w:id="37"/>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الشّاهدان قبل الحُكم بَطَل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83341_73709187"/>
      <w:bookmarkStart w:id="39" w:name="_Toc13"/>
      <w:bookmarkEnd w:id="38"/>
      <w:r>
        <w:rPr>
          <w:rtl w:val="true"/>
        </w:rPr>
        <w:t>رجوع الشهود عن الشّهادة قبل الحكم</w:t>
      </w:r>
      <w:bookmarkEnd w:id="39"/>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الحكم؛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بشهادتهما، بلا خلافٍ كما صرّح به غير واحدٍ</w:t>
      </w:r>
      <w:r>
        <w:rPr>
          <w:rStyle w:val="FootnoteAnchor"/>
          <w:rtl w:val="true"/>
        </w:rPr>
        <w:footnoteReference w:id="20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الصحيح لكونه المُرسِل، ولرواية ابن أبي عمير عنه، عمّن أخبره، عن أحدهما عليهما السلام،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الشهود إذا رجعوا عن شهادتهم، وقد قضي على الرّجل، ضَمنوا ما شهدوا به وغرموا، وإن لم يكن قُضي، طُرحت شهادتهم، ولم يغرموا الشهود شيئاً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السكوني، عن جعفر، عن أبيه، عن أميرالمؤمنين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أخذناه بالأوّل، وطرحنا الأخير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فإن أمكن حمله على ما بعد الحكم، فهو المتعيّن، وإلّا فيُطرح لأنّه لا يصلحُ للمقاومة مع المرسل من وجوهٍ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 الشهود بتعمّد الكَذِب فهم فَسَقة، وإنْقالوا أخطأنا، أو غلطنا فلا 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تُقبل شهادتهم لو أعادوها، لعموم الأدلّة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تُقبل تلك الشّهادة،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لحسن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شَهد عليه رجلان أنّه سرق، فقطع يده حتّى إذا كان بعد ذلك جاء الشاهدان برجلٍ‌آخر،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وليس الذي قَطعتَ يده، إنّما شبهنا ذلك بهذا، فقضى عليهما أن غَرمهما نصف الدِّية، ولم يُجز شهادتهما على الآخر</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وجهان؛ لا من جهة أنّ الخبر المزبور يقصر عن معارضة العمومات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الخاصّ يقدم على العام مطلقاً، بل لأنّ الخبر فيما بعد الحكم، ويُحتمل الاختصاص، سيّما وأنّ المفروض فيه ليس إعادة الشّهادة الأُولى‌، بل الشّهادة على غير من شهدوا عليه أوّلاً، وعليه فالأظهر هو القبول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المشهود به الزّنا، واعترفوا بتعمّد الكَذِب حُدُّوا للقذف، وإن قالوا غَلطنا، فهل يحدّون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التعيير، وكان من حقّهم التثبّت والاحتياط، ولمرسل ابن محبوب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بعد ما قُتِل الرّجل‌؟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0" w:name="pg11384_112284"/>
    </w:p>
    <w:p>
      <w:pPr>
        <w:pStyle w:val="BookText"/>
        <w:rPr/>
      </w:pPr>
      <w:bookmarkEnd w:id="40"/>
      <w:r>
        <w:rPr>
          <w:rFonts w:ascii="Amiri" w:hAnsi="Amiri" w:eastAsia="Amiri" w:cs="Amiri"/>
          <w:color w:val="111111"/>
          <w:sz w:val="28"/>
          <w:sz w:val="28"/>
          <w:szCs w:val="28"/>
          <w:rtl w:val="true"/>
          <w:lang w:bidi="ar-SA"/>
        </w:rPr>
        <w:t>وإنْ كانَ بعده لم يُنقض الحُكُم وغُرِما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إنْقال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أوهمتُضُرِب الحَدّ، واُغرم الدِّية، وإنْقال تعمّدتُ‌، قُتل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لا يحدّون، لأنّ الغالط معذورٌ، والحدود تُدرأ بالشُّبهات، فضلاً عن الاشتباه والغلط، وكون حقّهم التثبّت والاحتياط لا يوجبُ الحَدّ بعدما كانوا عاملين بوظيفتهم، لفرض العدالة المانعة عن التساهل والتسامح، والمرسل فيما بعد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الشهيد الثاني على القول بوجوب الحَدّ أنّه تُردّ شهادتهم، وأنّه لو قلنا لا حَدّ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يكاد يظهر له معنى محصّلٍ موافقٍ لما ذكره أوّلاً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كلامه في السابق خصوص تلك الشّهادة لو أعادوها، ومدركه الحَسَن المتقدّم، ومفروضه في المقام مطلق شهاداتهم، نظراً إلى ما دلّ على أنّه لاتُقبل شهادة المحدود إلّاإذا تاب بعد الحَدّ، فلا إيراد عليه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83343_73709187"/>
      <w:bookmarkStart w:id="42" w:name="_Toc14"/>
      <w:bookmarkEnd w:id="41"/>
      <w:r>
        <w:rPr>
          <w:rtl w:val="true"/>
        </w:rPr>
        <w:t>رجوع الشهود بعد القضاء والاستيفاء</w:t>
      </w:r>
      <w:bookmarkEnd w:id="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يُنقض الحكم، وغُرِما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ضمنا، </w:t>
      </w:r>
    </w:p>
    <w:p>
      <w:pPr>
        <w:pStyle w:val="BookText"/>
        <w:rPr/>
      </w:pPr>
      <w:r>
        <w:rPr>
          <w:rFonts w:ascii="Amiri" w:hAnsi="Amiri" w:eastAsia="Amiri" w:cs="Amiri"/>
          <w:color w:val="111111"/>
          <w:sz w:val="28"/>
          <w:sz w:val="28"/>
          <w:szCs w:val="28"/>
          <w:rtl w:val="true"/>
          <w:lang w:bidi="ar-SA"/>
        </w:rPr>
        <w:t>ولو ثَبَت تزويرهما استُعِيدت العينُ‌، فإن تلفت أو تعذّر الإستعادة ضَمِن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وأغرمه المشهود عليه بلا خلافٍ فيه مع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المتقدّم، والنبويّ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عندنا بشهادةٍ ثمّ غيّر أخذناه بالأُولى وطرحنا الأُخرى‌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أنّه لا ينقضُ الحكم، ولا تُستعاد العين،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عامّة متأخّري أصحابنا، بل وقدمائهم أيضاً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وابن حمزة</w:t>
      </w:r>
      <w:r>
        <w:rPr>
          <w:rStyle w:val="FootnoteAnchor"/>
          <w:rtl w:val="true"/>
        </w:rPr>
        <w:footnoteReference w:id="218"/>
      </w:r>
      <w:r>
        <w:rPr>
          <w:rFonts w:ascii="Amiri" w:hAnsi="Amiri" w:eastAsia="Amiri" w:cs="Amiri"/>
          <w:color w:val="111111"/>
          <w:sz w:val="28"/>
          <w:sz w:val="28"/>
          <w:szCs w:val="28"/>
          <w:rtl w:val="true"/>
          <w:lang w:bidi="ar-SA"/>
        </w:rPr>
        <w:t>، والقاضي</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تُردُّ العين على صاحبها، ولا غرامة على الشهود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الماتن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ثبت تزويرهما، استُعِيدت العين، فإن تلفت أو تعذّر الاستعادة، ضَمِن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شهودُ القَتل بعد القِصاص أخطأنا غُرِموا،</w:t>
      </w:r>
    </w:p>
    <w:p>
      <w:pPr>
        <w:pStyle w:val="BookText"/>
        <w:rPr/>
      </w:pPr>
      <w:r>
        <w:rPr>
          <w:rFonts w:ascii="Amiri" w:hAnsi="Amiri" w:eastAsia="Amiri" w:cs="Amiri"/>
          <w:color w:val="111111"/>
          <w:sz w:val="28"/>
          <w:sz w:val="28"/>
          <w:szCs w:val="28"/>
          <w:rtl w:val="true"/>
          <w:lang w:bidi="ar-SA"/>
        </w:rPr>
        <w:t>وحاصل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ثبوت التزوير، وكونهما شاهدي زور، تُستعاد العين، ومع عدم ثبوته لا تُستعاد العين، وهو مختار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والأظهر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الاستعادة في صورة ثبوت التزوير فلصحيح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 الزُّور؟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 على صاحبه، وإنْ لم يكن قائماً بعينه، ضَمِن بقدر ما أتلف من مال الرّجل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عدمها في صورة عدم ثبوته، فلإطلاق مرسل جميل المتقدّم والنبويّ‌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المشهود به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شُهُود القَتل بعد القِصاص أخطأنا، غُرِموا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محبوب</w:t>
      </w:r>
      <w:r>
        <w:rPr>
          <w:rStyle w:val="FootnoteAnchor"/>
          <w:rtl w:val="true"/>
        </w:rPr>
        <w:footnoteReference w:id="222"/>
      </w:r>
      <w:r>
        <w:rPr>
          <w:rFonts w:ascii="Amiri" w:hAnsi="Amiri" w:eastAsia="Amiri" w:cs="Amiri"/>
          <w:color w:val="111111"/>
          <w:sz w:val="28"/>
          <w:sz w:val="28"/>
          <w:szCs w:val="28"/>
          <w:rtl w:val="true"/>
          <w:lang w:bidi="ar-SA"/>
        </w:rPr>
        <w:t>، عن بعض أصحابه،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بعدما قُتِل الرّجل‌؟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ضُرِبَ الحَدّ، واُغرم الدِّية، وإنْ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ثبوت الدِّية خبر مسمع كردين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قالوا تعمّدنا اقتصّ منهم، أو من بعضهم، ويردُّ على البعض ما وَجَب عليهم، فإن فَضُل شيء أتمّه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الدِّية على العاقلة من جهة اعترافهم بأنّه خطائي، وحيث إنّ دعواهم دعوى لا تُعرف إلّامن قِبلهم، كما إليه يميل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تكون في أموالهم، لأنّه شبيه عمدٍ، ولا يثبتُ بإقرارهم الخطأ،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جههما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أخذ الدِّية في موضعٍ لا يُقتصّ فيه من المُتعمّد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ما فَضُل عن جناية صاحبه على ورثة المقتصّ منهم، إنْ كانوا جميعاً الشهود، وإلّا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الباقين أن يردّوا على ورثة المقتصّ منه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شيءٌ أتمّه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اقتصّ من أكثر من واحدٍ،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كلّ واحدٍ منهم تمام السَّبب، بل جزأه، فحكمهم حُكم ما لو قَتلوا جميعاً واحداً، ومع ذلك فصحيح الأزدي شاهدٌ به،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شهدوا على رجل بالزّنا، فلمّا قُتِل رَجَع أحدهم عن شهادته‌؟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بعضهم ذلك رَدَّ عليه الوليّ ما يَفضُلُ عن جنايته، واقتصّ منه إنْ كان عمداً، أو أخذ منه ما قابل فعله من الدِّية إن قال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الرابع، ويؤدّي الثلاثة إلى أهله ثلاثة أرباع الدِّية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وبعضهم أخطأنا، فعلى المُقرّ بالعَمد القِصاص، وعلى المُقرّ بالخطاء نصيبه من الدِّية، بلا خلافٍ في شيء من ذلك،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تقدّم يظهر وجهه، كما يظهر أنّه لو اقتصّ من العامد يُردُّ الفاضل على دية صاحبه، أو يُردّ الباقون على قدر جنايتهم بالتفصيل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بعضهم ذلك، رَدَّ عليه الوليّ ما يَفضُلُ عن جنايته، واقتصّ منه إنْ كان عمداً، أو أخذ منه ما قابل فعله من الدِّية إن قال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w:t>
      </w:r>
      <w:r>
        <w:rPr>
          <w:rStyle w:val="FootnoteAnchor"/>
          <w:rtl w:val="true"/>
        </w:rPr>
        <w:footnoteReference w:id="228"/>
      </w:r>
      <w:r>
        <w:rPr>
          <w:rFonts w:ascii="Amiri" w:hAnsi="Amiri" w:eastAsia="Amiri" w:cs="Amiri"/>
          <w:color w:val="111111"/>
          <w:sz w:val="28"/>
          <w:sz w:val="28"/>
          <w:szCs w:val="28"/>
          <w:rtl w:val="true"/>
          <w:lang w:bidi="ar-SA"/>
        </w:rPr>
        <w:t>، ولا يكون إقراره ماضياً على غيره، والنصوص المتقدّمة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تلك النصوص لزوم تمام الدِّية على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التتبّع في النصوص الآتية جملة منها والمتقدّمة أُخرى‌، بضميمة عدم كونه تمام السَّبب في القتل، غايته أنّه جزءُ السّبب يوجبُ القطع بأنّ المراد نصيبه من الدِّية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الخبر الذي رواه السكوني، عن جعفر، عن أبيه،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شَهدا بسرقة فقُطِعت يد المشهود عليه، ثمّ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رجلٍ أنّهم رأوه مع امرأةٍ يُجامعها، وهم ينظرون، فَرُجِم، ثمّ رَجَع واحد منهم‌؟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وإذا رجع اثنان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وإنْ رجعوا كلّهم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بالزور، قُتِلوا جميعاً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يُقتَل، ويُردّ الباقون من شهود الزّنا ثلاثة أرباع الدِّية إلى المقتصّ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بصحيح الأزدي المتقدّم، وهو مختصٌّ بخصوص الزّنا ككلام الشيخ رحمه الله، وسنده صحيح، ولا مانع من تخصيص الأدلّة الاُخر به، ولكن لإعراض الأصحاب عنه، وعدم إفتائهم به، إذ لم يُنقل العمل به عن 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r>
        <w:rPr>
          <w:rStyle w:val="FootnoteAnchor"/>
          <w:rtl w:val="true"/>
        </w:rPr>
        <w:footnoteReference w:id="231"/>
      </w:r>
      <w:r>
        <w:rPr>
          <w:rFonts w:ascii="Amiri" w:hAnsi="Amiri" w:eastAsia="Amiri" w:cs="Amiri"/>
          <w:color w:val="111111"/>
          <w:sz w:val="28"/>
          <w:sz w:val="28"/>
          <w:szCs w:val="28"/>
          <w:rtl w:val="true"/>
          <w:lang w:bidi="ar-SA"/>
        </w:rPr>
        <w:t xml:space="preserve">، وهو أيضاً رجع عنه في كتبه المتأخّرة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لابدّ من طرحه، أو حمله ككلام العاملين به على ما ذكره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رجعواجميعاً، 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بسرقة فقُطِعت يد المشهود عليه،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 w:name="pg11384_112290"/>
    </w:p>
    <w:p>
      <w:pPr>
        <w:pStyle w:val="BookText"/>
        <w:rPr/>
      </w:pPr>
      <w:bookmarkEnd w:id="43"/>
      <w:r>
        <w:rPr>
          <w:rFonts w:ascii="Amiri" w:hAnsi="Amiri" w:eastAsia="Amiri" w:cs="Amiri"/>
          <w:color w:val="111111"/>
          <w:sz w:val="28"/>
          <w:sz w:val="28"/>
          <w:szCs w:val="28"/>
          <w:rtl w:val="true"/>
          <w:lang w:bidi="ar-SA"/>
        </w:rPr>
        <w:t>أوهمنا والسّارقُ غيره، غُرِما دية اليد، ولا يُقبل قولهما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أوهمنا، والسّارق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بأنْ‌أتيا بآخرقائلين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إنّ‌السّارق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غُرِما دية اليد، ولا يُقبل قولهما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شَهد عليه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وليس الذي قَطَعت يده، إنّما شبّهنا ذلك بهذا؟</w:t>
      </w:r>
    </w:p>
    <w:p>
      <w:pPr>
        <w:pStyle w:val="BookText"/>
        <w:rPr/>
      </w:pPr>
      <w:r>
        <w:rPr>
          <w:rFonts w:ascii="Amiri" w:hAnsi="Amiri" w:eastAsia="Amiri" w:cs="Amiri"/>
          <w:color w:val="111111"/>
          <w:sz w:val="28"/>
          <w:sz w:val="28"/>
          <w:szCs w:val="28"/>
          <w:rtl w:val="true"/>
          <w:lang w:bidi="ar-SA"/>
        </w:rPr>
        <w:t>فقضى عليهما أنّ غَرّمهما نصف الدِّية</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الكاملة وهو تمام دية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شهادتهما على الآخر، 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الرجوع بعد الاستيفاء</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83345_73709187"/>
      <w:bookmarkStart w:id="45" w:name="_Toc15"/>
      <w:bookmarkEnd w:id="44"/>
      <w:r>
        <w:rPr>
          <w:rtl w:val="true"/>
        </w:rPr>
        <w:t>رجوع الشهود قبل الاستيفاء وبعد القضاء</w:t>
      </w:r>
      <w:bookmarkEnd w:id="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رجوع الشهود قبله وبعد الحكم، فالمشهور بين الأصحاب أنّه ينقض الحكم وتبطل الشّهادة، سواءً كان المشهود به حقّاً للّه تعالى كحَدّ الزّنا واللّواط، أو لآدمي كقطع يد السّارق، وحَدّ القاذف، أو مشتركاً بينه وبين اللّه تعالى كحَدّ السّرقة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 شيء من ذلك خلافاً محقّقاً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بلفظ الأقرب، مُشعراً باحتمال العدم، بل قال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والإشكال في حدود الآدمي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المشهور أظهر من جهة أنّ الحدود تدرأ بالشُّبهات، وكون ما حُكم به شرعيّاً صادراً من أهله، واقعاً في محلّه لم يعلم له ناقضٌ‌، لا يصلحُ لرفع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w:t>
      </w:r>
      <w:r>
        <w:rPr>
          <w:rStyle w:val="FootnoteAnchor"/>
          <w:rtl w:val="true"/>
        </w:rPr>
        <w:footnoteReference w:id="237"/>
      </w:r>
      <w:r>
        <w:rPr>
          <w:rFonts w:ascii="Amiri" w:hAnsi="Amiri" w:eastAsia="Amiri" w:cs="Amiri"/>
          <w:color w:val="111111"/>
          <w:sz w:val="28"/>
          <w:sz w:val="28"/>
          <w:szCs w:val="28"/>
          <w:rtl w:val="true"/>
          <w:lang w:bidi="ar-SA"/>
        </w:rPr>
        <w:t>على درء الحدود بالشُّبهة، يدلّ على سقوطه في المقام، وما دلّ‌</w:t>
      </w:r>
      <w:r>
        <w:rPr>
          <w:rStyle w:val="FootnoteAnchor"/>
          <w:rtl w:val="true"/>
        </w:rPr>
        <w:footnoteReference w:id="238"/>
      </w:r>
      <w:r>
        <w:rPr>
          <w:rFonts w:ascii="Amiri" w:hAnsi="Amiri" w:eastAsia="Amiri" w:cs="Amiri"/>
          <w:color w:val="111111"/>
          <w:sz w:val="28"/>
          <w:sz w:val="28"/>
          <w:szCs w:val="28"/>
          <w:rtl w:val="true"/>
          <w:lang w:bidi="ar-SA"/>
        </w:rPr>
        <w:t>على عدم نقض الحكم، يدلّ على بقائه، فيتعارضان بالعموم من وجه، والترجيح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تماميّة ما ذكروه من بقاء حكم التوابع التي لم يثبت بالشّرع سقوطها بالشُّبهة، فيحرم اُخت الغلام الموطوء واُمّه وبنته، وأكل البهيمة الموطوءة المأكولة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الشهود بالارتداد، وحَكم القاضي بالرِّدة، ثمّ رَجَع الشهود قبل القتل، يسقط قتله لدرء الحَدّ بالشُّبهة، ولكن يُقسّم أمواله، وتعتدّ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رجعا قبل استيفاء القِصاص، لم يستوف، وهل ينتقل إلى الدِّية إشكالٌ‌، فإن أوجبناها رجع بها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القِصاص من الحدود محلّ تأمّل بل منع، وعلى فرض كونهي</w:t>
      </w:r>
      <w:r>
        <w:rPr>
          <w:rFonts w:eastAsia="Amiri" w:cs="Amiri" w:ascii="Amiri" w:hAnsi="Amiri"/>
          <w:color w:val="111111"/>
          <w:sz w:val="28"/>
          <w:szCs w:val="28"/>
          <w:rtl w:val="true"/>
          <w:lang w:bidi="ar-SA"/>
        </w:rPr>
        <w:t xml:space="preserve">. </w:t>
      </w:r>
      <w:bookmarkStart w:id="46" w:name="pg11384_112292"/>
    </w:p>
    <w:p>
      <w:pPr>
        <w:pStyle w:val="BookText"/>
        <w:rPr/>
      </w:pPr>
      <w:bookmarkEnd w:id="46"/>
      <w:r>
        <w:rPr>
          <w:rFonts w:ascii="Amiri" w:hAnsi="Amiri" w:eastAsia="Amiri" w:cs="Amiri"/>
          <w:color w:val="111111"/>
          <w:sz w:val="28"/>
          <w:sz w:val="28"/>
          <w:szCs w:val="28"/>
          <w:rtl w:val="true"/>
          <w:lang w:bidi="ar-SA"/>
        </w:rPr>
        <w:t>منها، فلا وجه للانتقال إلى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بقاء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الأظهر عدم نقض الحكم فيما عدا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فيما 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جميل، عن من أخبره،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الشهود إذا رجعوا عن شهادتهم، وقد قضى على الرّجل، ضَمِنوا ما شهدوا به وغرموا، الحديث</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ما لو كان الرجوع قبل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الحكم بانتقاض الحكم في الحدود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نقض الحكم فيما عدا ذلك من الحقوق تردّد</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احتمله الشهيد الثاني رحمه الله</w:t>
      </w:r>
      <w:r>
        <w:rPr>
          <w:rStyle w:val="FootnoteAnchor"/>
          <w:rtl w:val="true"/>
        </w:rPr>
        <w:footnoteReference w:id="241"/>
      </w:r>
      <w:r>
        <w:rPr>
          <w:rFonts w:ascii="Amiri" w:hAnsi="Amiri" w:eastAsia="Amiri" w:cs="Amiri"/>
          <w:color w:val="111111"/>
          <w:sz w:val="28"/>
          <w:sz w:val="28"/>
          <w:szCs w:val="28"/>
          <w:rtl w:val="true"/>
          <w:lang w:bidi="ar-SA"/>
        </w:rPr>
        <w:t>من إلحاق القتل والجروح التي لا تدخل في الحدود عرفاً، والفروج بالحدود، لعِظم خَطرها، وعدم استدراك فائت البُضع منها، فيندفع بالدليل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83347_73709187"/>
      <w:bookmarkStart w:id="48" w:name="_Toc16"/>
      <w:bookmarkEnd w:id="47"/>
      <w:r>
        <w:rPr>
          <w:rtl w:val="true"/>
        </w:rPr>
        <w:t>رجوع الشهود عن الشّهادة بالطلاق</w:t>
      </w:r>
      <w:bookmarkEnd w:id="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الشّهادة بالطلاق روايتان تَوهّم المحقّق الأردبيلي</w:t>
      </w:r>
      <w:r>
        <w:rPr>
          <w:rStyle w:val="FootnoteAnchor"/>
          <w:rtl w:val="true"/>
        </w:rPr>
        <w:footnoteReference w:id="242"/>
      </w:r>
      <w:r>
        <w:rPr>
          <w:rFonts w:ascii="Amiri" w:hAnsi="Amiri" w:eastAsia="Amiri" w:cs="Amiri"/>
          <w:color w:val="111111"/>
          <w:sz w:val="28"/>
          <w:sz w:val="28"/>
          <w:szCs w:val="28"/>
          <w:rtl w:val="true"/>
          <w:lang w:bidi="ar-SA"/>
        </w:rPr>
        <w:t xml:space="preserve">جواز نقض الحكم في مسألة الرجوع في الطلاق مطلقاً لأجلهما، كما أنّ لجماعةٍ من القدماء والمتأخّرين كلاماً على طبق الخبرين توهّم منه التزامهم بذلك، فلا بأس بالتعرّض </w:t>
      </w:r>
    </w:p>
    <w:p>
      <w:pPr>
        <w:pStyle w:val="BookText"/>
        <w:rPr/>
      </w:pPr>
      <w:r>
        <w:rPr>
          <w:rFonts w:ascii="Amiri" w:hAnsi="Amiri" w:eastAsia="Amiri" w:cs="Amiri"/>
          <w:color w:val="111111"/>
          <w:sz w:val="28"/>
          <w:sz w:val="28"/>
          <w:szCs w:val="28"/>
          <w:rtl w:val="true"/>
          <w:lang w:bidi="ar-SA"/>
        </w:rPr>
        <w:t>لهما، وبيان ما يستفاد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بخبر صحيح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شهدا على رجلٍ غائب عن امرأته أنّه طلّقها، فاعتدّت المرأة وتزوّجت، ثمّ إنّ الزوج الغائب قَدم، فزعم أنّه لم يُطلّقها وأكذب نفسه أحد الشاهدين‌؟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للأخير عليها، ويؤخذالصِّداق من الذي شَهد ورجع، فيردّ على الأخير، ويُفرّق بينهما، وتعتدّ من الأخير، ولا يقربها الأوّل حتّى تنقضي عِدّتها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إبراهيم بن عبد الحميد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الأصحاب كالشيخ</w:t>
      </w:r>
      <w:r>
        <w:rPr>
          <w:rStyle w:val="FootnoteAnchor"/>
          <w:rtl w:val="true"/>
        </w:rPr>
        <w:footnoteReference w:id="245"/>
      </w:r>
      <w:r>
        <w:rPr>
          <w:rFonts w:ascii="Amiri" w:hAnsi="Amiri" w:eastAsia="Amiri" w:cs="Amiri"/>
          <w:color w:val="111111"/>
          <w:sz w:val="28"/>
          <w:sz w:val="28"/>
          <w:szCs w:val="28"/>
          <w:rtl w:val="true"/>
          <w:lang w:bidi="ar-SA"/>
        </w:rPr>
        <w:t>، والصَّدوق</w:t>
      </w:r>
      <w:r>
        <w:rPr>
          <w:rStyle w:val="FootnoteAnchor"/>
          <w:rtl w:val="true"/>
        </w:rPr>
        <w:footnoteReference w:id="246"/>
      </w:r>
      <w:r>
        <w:rPr>
          <w:rFonts w:ascii="Amiri" w:hAnsi="Amiri" w:eastAsia="Amiri" w:cs="Amiri"/>
          <w:color w:val="111111"/>
          <w:sz w:val="28"/>
          <w:sz w:val="28"/>
          <w:szCs w:val="28"/>
          <w:rtl w:val="true"/>
          <w:lang w:bidi="ar-SA"/>
        </w:rPr>
        <w:t>، والكليني</w:t>
      </w:r>
      <w:r>
        <w:rPr>
          <w:rStyle w:val="FootnoteAnchor"/>
          <w:rtl w:val="true"/>
        </w:rPr>
        <w:footnoteReference w:id="247"/>
      </w:r>
      <w:r>
        <w:rPr>
          <w:rFonts w:ascii="Amiri" w:hAnsi="Amiri" w:eastAsia="Amiri" w:cs="Amiri"/>
          <w:color w:val="111111"/>
          <w:sz w:val="28"/>
          <w:sz w:val="28"/>
          <w:szCs w:val="28"/>
          <w:rtl w:val="true"/>
          <w:lang w:bidi="ar-SA"/>
        </w:rPr>
        <w:t>، والقاضي</w:t>
      </w:r>
      <w:r>
        <w:rPr>
          <w:rStyle w:val="FootnoteAnchor"/>
          <w:rtl w:val="true"/>
        </w:rPr>
        <w:footnoteReference w:id="248"/>
      </w:r>
      <w:r>
        <w:rPr>
          <w:rFonts w:ascii="Amiri" w:hAnsi="Amiri" w:eastAsia="Amiri" w:cs="Amiri"/>
          <w:color w:val="111111"/>
          <w:sz w:val="28"/>
          <w:sz w:val="28"/>
          <w:szCs w:val="28"/>
          <w:rtl w:val="true"/>
          <w:lang w:bidi="ar-SA"/>
        </w:rPr>
        <w:t>، والحلبي</w:t>
      </w:r>
      <w:r>
        <w:rPr>
          <w:rStyle w:val="FootnoteAnchor"/>
          <w:rtl w:val="true"/>
        </w:rPr>
        <w:footnoteReference w:id="249"/>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شهدا بطلاق امرأةٍ فتزوّجت، ثمّ رجعا، رُدَّت الزوجة إلى الزوج الأوّل بعد الاعتداد من الثاني، وغَرُم الشاهدان المَهر كلّاً أو بعضاً للثاني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وموافقيه</w:t>
      </w:r>
      <w:r>
        <w:rPr>
          <w:rStyle w:val="FootnoteAnchor"/>
          <w:rtl w:val="true"/>
        </w:rPr>
        <w:footnoteReference w:id="251"/>
      </w:r>
      <w:r>
        <w:rPr>
          <w:rFonts w:ascii="Amiri" w:hAnsi="Amiri" w:eastAsia="Amiri" w:cs="Amiri"/>
          <w:color w:val="111111"/>
          <w:sz w:val="28"/>
          <w:sz w:val="28"/>
          <w:szCs w:val="28"/>
          <w:rtl w:val="true"/>
          <w:lang w:bidi="ar-SA"/>
        </w:rPr>
        <w:t>بأنّ ما ذكروه مخالفٌ للقاعدة القطعيّة المُجمع عليها من عدم جواز نقض الحكم المبرم الثابت بالدليل، ورفع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اليد عنه بمجرّد الاحتمال، من غير استنادٍ إلى دليل شرعي آخر، ولأجل ذلك بنوا على طرح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الخبران، فالظاهر كونهما أجنبيّين عمّا هو محلّ الكلام والبحث، وهو رجوع الشاهدين عمّا شهدا به، بعد حكم الحاكم، فإنّهما في رجوع الشهود الذين شهدوا عند المرأة نفسها، إذ المفروض فيهما ليس هو الدّعوى والمخاصمة، بل شهادة العدلين بالطلاق، وحيث أنّ البيّنة حجّة شرعيّة عمل بها المرأة وتزوّجت، ثمّ رجع أحد الشاهدين، فلا إشكال ولا كلام في ارتفاع الحجيّة بتكذيب الشاهد نفسه، ورجوعه عمّا شهد به، بل عرفت أنّه كذلك إنْ كان ذلك بعد الرفع إلى الحاكم، وعدم حكمه، وكذا كلام الأعلام فإنّه أيضاً في المسألة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الإغماض عن ذلك، وتسليم كون الخبرين في الرجوع بعد حكم الحاكم، فإنّه لا وجه لما ذكروه من الإيراد، إذ القاعدة المشار إليها ليست قاعدة لا تَقبل التخصيص، ولذا خَصَّصوا عمومها بما دلّ على درء الحدود بالشُّبهات المتقدّم، فما المانع من تخصيصه بالخبرين المعتبرين، وأيُّ دليلٍ شرعيٍّ أقوى من الخبر الصحيح الذي عمل به جمعٌ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ضعف ما أفاده الأردبيلي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رجوع الشهود في غير مورد الرجوع إلى الحاكم، تُردّ الزوجة إلى الزوج الأوّل بعد الاعتداد من الثاني، وغُرِم الشاهدان المَهر كُلّاً أو بعضها، كما مرّ في كتاب النكاح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 حكم الحاكم فلايُنقض الحكم، بل يُحكم بالطلاق، وصحّة التزويج </w:t>
      </w:r>
    </w:p>
    <w:p>
      <w:pPr>
        <w:pStyle w:val="BookText"/>
        <w:rPr/>
      </w:pPr>
      <w:r>
        <w:rPr>
          <w:rFonts w:ascii="Amiri" w:hAnsi="Amiri" w:eastAsia="Amiri" w:cs="Amiri"/>
          <w:color w:val="111111"/>
          <w:sz w:val="28"/>
          <w:sz w:val="28"/>
          <w:szCs w:val="28"/>
          <w:rtl w:val="true"/>
          <w:lang w:bidi="ar-SA"/>
        </w:rPr>
        <w:t>الثاني إن لم يثبت كونهما شاهدي زورٌ، لأنّه ثبت بالبيّنة وحكم به الحاكم بالقضاء المُبرم، فلايبطل بمجرّد رجوع الشهود، المحتمل للصحّة والفساد، لما مرّ من أنّ الثابت بدليلٍ شرعي لا ينقضُ إلّابدليلٍ شرعيّ آخر، وحينئذٍ يغرمان الصِّداق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252"/>
      </w:r>
      <w:r>
        <w:rPr>
          <w:rFonts w:ascii="Amiri" w:hAnsi="Amiri" w:eastAsia="Amiri" w:cs="Amiri"/>
          <w:color w:val="111111"/>
          <w:sz w:val="28"/>
          <w:sz w:val="28"/>
          <w:szCs w:val="28"/>
          <w:rtl w:val="true"/>
          <w:lang w:bidi="ar-SA"/>
        </w:rPr>
        <w:t>، والحِلّي</w:t>
      </w:r>
      <w:r>
        <w:rPr>
          <w:rStyle w:val="FootnoteAnchor"/>
          <w:rtl w:val="true"/>
        </w:rPr>
        <w:footnoteReference w:id="253"/>
      </w:r>
      <w:r>
        <w:rPr>
          <w:rFonts w:ascii="Amiri" w:hAnsi="Amiri" w:eastAsia="Amiri" w:cs="Amiri"/>
          <w:color w:val="111111"/>
          <w:sz w:val="28"/>
          <w:sz w:val="28"/>
          <w:szCs w:val="28"/>
          <w:rtl w:val="true"/>
          <w:lang w:bidi="ar-SA"/>
        </w:rPr>
        <w:t>، والمصنّف في أكثر كتبه</w:t>
      </w:r>
      <w:r>
        <w:rPr>
          <w:rStyle w:val="FootnoteAnchor"/>
          <w:rtl w:val="true"/>
        </w:rPr>
        <w:footnoteReference w:id="254"/>
      </w:r>
      <w:r>
        <w:rPr>
          <w:rFonts w:ascii="Amiri" w:hAnsi="Amiri" w:eastAsia="Amiri" w:cs="Amiri"/>
          <w:color w:val="111111"/>
          <w:sz w:val="28"/>
          <w:sz w:val="28"/>
          <w:szCs w:val="28"/>
          <w:rtl w:val="true"/>
          <w:lang w:bidi="ar-SA"/>
        </w:rPr>
        <w:t>، وأكثر من تأخّر عنه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إنْ كان ذلك قبل دخول الزوج الأوّل غُرما نصف المَهر المسمّى له، وإنْ كان بعده، لم يُغرما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لغرامة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أتلفا عليه نصف المَهر المسمّى اللّازم بالطلاق، فيضمناه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الغرامة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وعدم تحقّق إتلافٍ لاستقرار المَهر بالدخول، والبُضع لا يُضمن بالتفويت، كما حُقّق في محلّه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ما ذكروه في وجه الضمان ما تقدّم في كتاب النكاح من أنّ نصف المَهر يستقرّ بالعقد، فلم يتلفه عليه الشاهدان، فلا وجه للضمان، ولو قالوا بأنّهما يغرمان نصف المَهر للزوجة، بناءً على أنّها تَملك تمام المَهر بالعقد، وبالطلاق قبل الدخول يعودُ نصفه إلى الزوج كان أولى‌، فإنّه يصدُق أنّهما بشهادتهما بالطلاق أتلفا عليها نصف المَهر، فيضمنان لها، وقد مرّ الكلام في المبنى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 w:name="pg11384_112296"/>
    </w:p>
    <w:p>
      <w:pPr>
        <w:pStyle w:val="BookText"/>
        <w:rPr/>
      </w:pPr>
      <w:bookmarkEnd w:id="49"/>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83349_73709187"/>
      <w:bookmarkStart w:id="51" w:name="_Toc17"/>
      <w:bookmarkEnd w:id="50"/>
      <w:r>
        <w:rPr>
          <w:rtl w:val="true"/>
        </w:rPr>
        <w:t>شاهد الزُّور</w:t>
      </w:r>
      <w:bookmarkEnd w:id="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أنّه يحرُم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حرمة تفويت الحقّ‌، وما دلّ على حرمة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الزُّور لا تزول قدماه حتّى تَجب له النار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صالح بن ميثم،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يشهدُ بشهادة زورٍ على مال رجلٍ مسلم ليقطعه، إلّاكتبَ اللّه له مكانه صكّاً إلى النار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ملك الموت إذا نزل فَقَبَض روح الكافر نزل معه بسفودٍ من نارٍ، فينزع روحه، فتصيح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ذلك أحداً من اُمّتك‌؟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وآكل مال اليتيم ظُلماً، وشاهد زور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ينقضي كلام شاهد الزُّور من بين يدي </w:t>
      </w:r>
    </w:p>
    <w:p>
      <w:pPr>
        <w:pStyle w:val="BookText"/>
        <w:rPr/>
      </w:pPr>
      <w:r>
        <w:rPr>
          <w:rFonts w:ascii="Amiri" w:hAnsi="Amiri" w:eastAsia="Amiri" w:cs="Amiri"/>
          <w:color w:val="111111"/>
          <w:sz w:val="28"/>
          <w:sz w:val="28"/>
          <w:szCs w:val="28"/>
          <w:rtl w:val="true"/>
          <w:lang w:bidi="ar-SA"/>
        </w:rPr>
        <w:t>يجبُ شُهرة شاهد الزُّور وتعزيره بما يراه الإمام رادعاً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حتّى يتبوّأ مقعده في النار، وكذلك من كتم الشّهادة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شهرة شاهد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بلدهم وما حولها، لتجنّب شهادتهم، ويرتدع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وتعزيره بما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وحاسماً للجرأة،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شهود الزُّور يجلدون حَدّاً، وليس له وقتٌ ذلك إلى الإمام، ويُطاف بهم حتّى يُعرفوا ولا يعودوا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تابوا وأصلحوا تُقبل شهادتهم بعد؟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 تابَ اللّه عليهم، وقبل شهادتهم بعد</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بن إبراهيم،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إذا أخذ شاهد زور، فإنْ كان غريباً بعثَ إلى حيّه، وإنْ كان سوقيّاً بعث إلى سوقه فطيف به، ثُمّ يحبسه أيّاماً، ثمّ يُخلّي سبيله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بالاشتهار على ما ذكره الحِلّي</w:t>
      </w:r>
      <w:r>
        <w:rPr>
          <w:rStyle w:val="FootnoteAnchor"/>
          <w:rtl w:val="true"/>
        </w:rPr>
        <w:footnoteReference w:id="263"/>
      </w:r>
      <w:r>
        <w:rPr>
          <w:rFonts w:ascii="Amiri" w:hAnsi="Amiri" w:eastAsia="Amiri" w:cs="Amiri"/>
          <w:color w:val="111111"/>
          <w:sz w:val="28"/>
          <w:sz w:val="28"/>
          <w:szCs w:val="28"/>
          <w:rtl w:val="true"/>
          <w:lang w:bidi="ar-SA"/>
        </w:rPr>
        <w:t>، هو أن يُنادى في محلّتهم ومجتمعهم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وسوقهم، بأنّ فلان وفلان شهدا زوراً،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يُركبا حماراً، ويُحلَق رؤوسهما، ولا أن يُناديا هما على نفسهما، ولا يُمثّل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يختصّ بشاهد الزُّور، ولا يثبتُ هذا الحكم فيمن ثَبَت غلطه، أو رُدَّت شهادته لمعارضة بيّنةٍ أُخرى‌، أو ظهور فسقٍ بغير زور، أو ما شاكل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كون الشاهد شهد زوراً، فإنْ كان قبل الحكم فلا إشكال، وإنْ كان بعده، نُقض الحكم وبطل، واستعيدت العين إنْ كانت قائمة، وإلّا يُضمّن الشهود بغير خلافٍ في شيء من ذلك كما تقدّم، ومر ما يدلّ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مسائل كتاب القضاء والشهادات عشية 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محرّم الحرام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والحمد للّه أوّلاً وآخراً، وصلّى اللّه على محمّد وآله الطيّبين الطاهرين</w:t>
      </w:r>
      <w:r>
        <w:rPr>
          <w:rFonts w:eastAsia="Amiri" w:cs="Amiri" w:ascii="Amiri" w:hAnsi="Amiri"/>
          <w:color w:val="111111"/>
          <w:sz w:val="28"/>
          <w:szCs w:val="28"/>
          <w:rtl w:val="true"/>
          <w:lang w:bidi="ar-SA"/>
        </w:rPr>
        <w:t>.</w:t>
      </w:r>
      <w:bookmarkStart w:id="52" w:name="pg11384_112299"/>
    </w:p>
    <w:p>
      <w:pPr>
        <w:pStyle w:val="Heading2"/>
        <w:numPr>
          <w:ilvl w:val="1"/>
          <w:numId w:val="1"/>
        </w:numPr>
        <w:rPr/>
      </w:pPr>
      <w:bookmarkStart w:id="53" w:name="__RefHeading___Toc283351_73709187"/>
      <w:bookmarkStart w:id="54" w:name="_Toc18"/>
      <w:bookmarkEnd w:id="52"/>
      <w:bookmarkEnd w:id="53"/>
      <w:r>
        <w:rPr>
          <w:rtl w:val="true"/>
        </w:rPr>
        <w:t>كتاب الحدود و التعزيرات</w:t>
      </w:r>
      <w:bookmarkEnd w:id="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83353_73709187"/>
      <w:bookmarkStart w:id="56" w:name="_Toc19"/>
      <w:bookmarkEnd w:id="55"/>
      <w:r>
        <w:rPr>
          <w:rtl w:val="true"/>
        </w:rPr>
        <w:t>اشارة</w:t>
      </w:r>
      <w:bookmarkEnd w:id="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384_112301"/>
      <w:bookmarkStart w:id="58" w:name="pg11384_112301"/>
      <w:bookmarkEnd w:id="58"/>
    </w:p>
    <w:p>
      <w:pPr>
        <w:pStyle w:val="Heading3"/>
        <w:numPr>
          <w:ilvl w:val="2"/>
          <w:numId w:val="1"/>
        </w:numPr>
        <w:rPr/>
      </w:pPr>
      <w:bookmarkStart w:id="59" w:name="pg11384_112301"/>
      <w:bookmarkStart w:id="60" w:name="__RefHeading___Toc283355_73709187"/>
      <w:bookmarkStart w:id="61" w:name="_Toc20"/>
      <w:bookmarkEnd w:id="59"/>
      <w:bookmarkEnd w:id="60"/>
      <w:r>
        <w:rPr>
          <w:rtl w:val="true"/>
        </w:rPr>
        <w:t>الحُدود والتعزيرات</w:t>
      </w:r>
      <w:bookmarkEnd w:id="61"/>
    </w:p>
    <w:p>
      <w:pPr>
        <w:pStyle w:val="BookText"/>
        <w:rPr/>
      </w:pPr>
      <w:r>
        <w:rPr>
          <w:rFonts w:ascii="Amiri" w:hAnsi="Amiri" w:eastAsia="Amiri" w:cs="Amiri"/>
          <w:color w:val="111111"/>
          <w:sz w:val="28"/>
          <w:sz w:val="28"/>
          <w:szCs w:val="28"/>
          <w:rtl w:val="true"/>
          <w:lang w:bidi="ar-SA"/>
        </w:rPr>
        <w:t xml:space="preserve">جمع حَدّ وتعزير، وهما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خاصّة تتعلّق بإيلام البدن بواسطة تلبّس المكلّف بمعصيةٍ خاصّة، عيّن الشارع كميّتها في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أو إهانة لا تقدير لها بأصل الشرع غالباً، وقيد الغالب إنّما هو لأجل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وردت الروايات بتقدير بعض أفراده وذلك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تعزيرالمجامع زوجته في نهار رمضان مقدّرٌ خمسة وعشرين سوطاً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أمَةً على حُرّة، ودَخلَ بها قبل الإذن، ضُرب اثني عشر سوطاً ونصفاً ثُمن حَدّ الزّاني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المجتمعان تحت إزارٍ واحد مُجرّدين مقدّر بثلاثين إلى تسعة وتسعين على قولٍ‌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بإصبعه، قالوا يُجلد من ثلاثين إلى سبعة وسبعين أو إلى ثمانين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يوجدان في لحافٍ واحدٍ أو إزارٍ مجرّدين، يُعزّران من عشرة إلى تسعة وتسعين</w:t>
      </w:r>
      <w:r>
        <w:rPr>
          <w:rStyle w:val="FootnoteAnchor"/>
          <w:rtl w:val="true"/>
        </w:rPr>
        <w:footnoteReference w:id="269"/>
      </w:r>
      <w:r>
        <w:rPr>
          <w:rFonts w:ascii="Amiri" w:hAnsi="Amiri" w:eastAsia="Amiri" w:cs="Amiri"/>
          <w:color w:val="111111"/>
          <w:sz w:val="28"/>
          <w:sz w:val="28"/>
          <w:szCs w:val="28"/>
          <w:rtl w:val="true"/>
          <w:lang w:bidi="ar-SA"/>
        </w:rPr>
        <w:t>، قاله المفيد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أنّه لا تقدير في غير الأولين، إذ الباقي يرجعُ فيما بين الطرفين إلى رأي الحاكم، كما يُرجع إليه في تقدير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الأولين من التعزير لا الحَدّ، إنّما هو من جهة ما في دليليهما من إطلاقه عليه، وكون المراد به ما يقابل الحَدّ غير معلومٍ‌، ولذا عَدّه بعضهم في الحدود،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مشروعيّة الحَدّ والتعزير ولزومهما، الكتاب والسُّنة</w:t>
      </w:r>
      <w:r>
        <w:rPr>
          <w:rStyle w:val="FootnoteAnchor"/>
          <w:rtl w:val="true"/>
        </w:rPr>
        <w:footnoteReference w:id="272"/>
      </w:r>
      <w:r>
        <w:rPr>
          <w:rFonts w:ascii="Amiri" w:hAnsi="Amiri" w:eastAsia="Amiri" w:cs="Amiri"/>
          <w:color w:val="111111"/>
          <w:sz w:val="28"/>
          <w:sz w:val="28"/>
          <w:szCs w:val="28"/>
          <w:rtl w:val="true"/>
          <w:lang w:bidi="ar-SA"/>
        </w:rPr>
        <w:t>والإجماع، وتفاصيلهما في الآيات والأخبار كثيرة لكثرة أفرادهما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ولا كلام في أنّ إجراء الحدود والتعزيرات إنّما هو وظيفة الحاكم، بمعنى أنّه ليس لكلّ أحدٍ إقامتها، إنّما الكلام والبحث في أنّه هل للحاكم الشرعي في زمان الغيبة أن يقيمها، أم يختصّ إقامتها بالإمام‌؟</w:t>
      </w:r>
    </w:p>
    <w:p>
      <w:pPr>
        <w:pStyle w:val="BookText"/>
        <w:rPr/>
      </w:pPr>
      <w:r>
        <w:rPr>
          <w:rFonts w:ascii="Amiri" w:hAnsi="Amiri" w:eastAsia="Amiri" w:cs="Amiri"/>
          <w:color w:val="111111"/>
          <w:sz w:val="28"/>
          <w:sz w:val="28"/>
          <w:szCs w:val="28"/>
          <w:rtl w:val="true"/>
          <w:lang w:bidi="ar-SA"/>
        </w:rPr>
        <w:t xml:space="preserve">المشهور بين الأصحاب هو الأوّل، وقد استشكل 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في ذلك والتزم بأنّها وظيفة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حفص بن غياث أو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يقيم الحدود، السلطان أو القاضي‌؟ر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كتاب القضاء</w:t>
      </w:r>
      <w:r>
        <w:rPr>
          <w:rStyle w:val="FootnoteAnchor"/>
          <w:rtl w:val="true"/>
        </w:rPr>
        <w:footnoteReference w:id="275"/>
      </w:r>
      <w:r>
        <w:rPr>
          <w:rFonts w:ascii="Amiri" w:hAnsi="Amiri" w:eastAsia="Amiri" w:cs="Amiri"/>
          <w:color w:val="111111"/>
          <w:sz w:val="28"/>
          <w:sz w:val="28"/>
          <w:szCs w:val="28"/>
          <w:rtl w:val="true"/>
          <w:lang w:bidi="ar-SA"/>
        </w:rPr>
        <w:t>أنّ من إليه الحكم في زمان الغيبة هو المجتهد الجامع للشرائط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 النصوص</w:t>
      </w:r>
      <w:r>
        <w:rPr>
          <w:rStyle w:val="FootnoteAnchor"/>
          <w:rtl w:val="true"/>
        </w:rPr>
        <w:footnoteReference w:id="276"/>
      </w:r>
      <w:r>
        <w:rPr>
          <w:rFonts w:ascii="Amiri" w:hAnsi="Amiri" w:eastAsia="Amiri" w:cs="Amiri"/>
          <w:color w:val="111111"/>
          <w:sz w:val="28"/>
          <w:sz w:val="28"/>
          <w:szCs w:val="28"/>
          <w:rtl w:val="true"/>
          <w:lang w:bidi="ar-SA"/>
        </w:rPr>
        <w:t>على أنّه المنصوب من قِبله عليه السلام حاكماً وقاضياً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الاستدلال بنفس تلك النصوص أيضاً، فإنّها تدلّ على أنّ جميع ما هو من شؤون ووظائف قُضاة الجور، إنّما هي للحاكم الشرعي، ولا شكّ في أنّ من وظائفهم إقامة الحدود، فهي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فهي إلى سلطان الإسلام، المنصوب من قِبل اللّه، وهم أئمّة الهُدى من آل محمّد صلى الله عليه و آله ومن نصبوه لذلك من الأُمراء والحاكم، وقد فوّضوا النظر فيه إلى فقهاء شيعتهم مع الإمكان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الكتاب في ضمن فصول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 w:name="pg11384_112304"/>
    </w:p>
    <w:p>
      <w:pPr>
        <w:pStyle w:val="BookText"/>
        <w:rPr/>
      </w:pPr>
      <w:bookmarkEnd w:id="62"/>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83357_73709187"/>
      <w:bookmarkStart w:id="64" w:name="_Toc21"/>
      <w:bookmarkEnd w:id="63"/>
      <w:r>
        <w:rPr>
          <w:rtl w:val="true"/>
        </w:rPr>
        <w:t>الفصل السَّابع</w:t>
      </w:r>
      <w:r>
        <w:rPr>
          <w:rtl w:val="true"/>
        </w:rPr>
        <w:t xml:space="preserve">: </w:t>
      </w:r>
      <w:r>
        <w:rPr>
          <w:rtl w:val="true"/>
        </w:rPr>
        <w:t>في حَدّ الزِّنا</w:t>
      </w:r>
      <w:bookmarkEnd w:id="64"/>
    </w:p>
    <w:p>
      <w:pPr>
        <w:pStyle w:val="Heading4"/>
        <w:numPr>
          <w:ilvl w:val="3"/>
          <w:numId w:val="1"/>
        </w:numPr>
        <w:rPr/>
      </w:pPr>
      <w:bookmarkStart w:id="65" w:name="__RefHeading___Toc283359_73709187"/>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أجمع أهل الملل على تحريمه حفظاً للنسب، بل من الاُصول الخمسة التي يجبُ تقريرها في كلّ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أكثر من أن تُحصى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ولا كلام في أنّه يجبُ الحَدّ مع ثبوت الزّنا بالشرائط الآتية، بل هو من ضروريّات الدِّين،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وستمرّ عليك في ضمن المباحث الآتية جملة من النصوص الدّالة عليه</w:t>
      </w:r>
      <w:r>
        <w:rPr>
          <w:rFonts w:eastAsia="Amiri" w:cs="Amiri" w:ascii="Amiri" w:hAnsi="Amiri"/>
          <w:color w:val="111111"/>
          <w:sz w:val="28"/>
          <w:szCs w:val="28"/>
          <w:rtl w:val="true"/>
          <w:lang w:bidi="ar-SA"/>
        </w:rPr>
        <w:t xml:space="preserve">. </w:t>
      </w:r>
      <w:bookmarkStart w:id="67" w:name="pg11384_112305"/>
    </w:p>
    <w:p>
      <w:pPr>
        <w:pStyle w:val="BookText"/>
        <w:rPr/>
      </w:pPr>
      <w:bookmarkEnd w:id="67"/>
      <w:r>
        <w:rPr>
          <w:rFonts w:ascii="Amiri" w:hAnsi="Amiri" w:eastAsia="Amiri" w:cs="Amiri"/>
          <w:color w:val="111111"/>
          <w:sz w:val="28"/>
          <w:sz w:val="28"/>
          <w:szCs w:val="28"/>
          <w:rtl w:val="true"/>
          <w:lang w:bidi="ar-SA"/>
        </w:rPr>
        <w:t>وهو يثبتُ بإيلاجِ فرجه في فرجِ امرأةٍ‌، تغيبُ الحَشَفة قُبُلاً ودُبُراً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83361_73709187"/>
      <w:bookmarkStart w:id="69" w:name="_Toc23"/>
      <w:bookmarkEnd w:id="68"/>
      <w:r>
        <w:rPr>
          <w:rtl w:val="true"/>
        </w:rPr>
        <w:t>ما يتحقّق به الزّنا</w:t>
      </w:r>
      <w:bookmarkEnd w:id="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فى هذا الفصل يقعُ فى اُمورٍ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والحَدّ،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يثبتُ بإيلاج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وإدخاله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عليه أصالةً‌، لا لحيضٍ‌، أو لاعتكافٍ‌، أو نذرٍ،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تغيب الحَشفة 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كما نصّ عليه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كذلك، إذ الذي أوجبَ حكاية بعض الفقهاء كون وطئها دُبراً لواطاً لا من الزّنا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الموجب للحَدّ وطءُ مَن حرّم اللّه تعالى وطئه من النساء بغير عقدٍ مشروع، إذا كان الوطء في الفرج خاصّة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مع أنّ المراد بالفرج هو الأعمّ من القُبُل والدُّبر، كما صرّحوا في غير المقام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فإطلاق النصوص</w:t>
      </w:r>
      <w:r>
        <w:rPr>
          <w:rStyle w:val="FootnoteAnchor"/>
          <w:rtl w:val="true"/>
        </w:rPr>
        <w:footnoteReference w:id="288"/>
      </w:r>
      <w:r>
        <w:rPr>
          <w:rFonts w:ascii="Amiri" w:hAnsi="Amiri" w:eastAsia="Amiri" w:cs="Amiri"/>
          <w:color w:val="111111"/>
          <w:sz w:val="28"/>
          <w:sz w:val="28"/>
          <w:szCs w:val="28"/>
          <w:rtl w:val="true"/>
          <w:lang w:bidi="ar-SA"/>
        </w:rPr>
        <w:t>المتضمّنة أنّه إذا أدخله فقد وجبَ الغُسل والمَهر والرَّجم، يدلّ على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عقدٍ</w:t>
      </w:r>
    </w:p>
    <w:p>
      <w:pPr>
        <w:pStyle w:val="BookText"/>
        <w:rPr/>
      </w:pPr>
      <w:r>
        <w:rPr>
          <w:rFonts w:ascii="Amiri" w:hAnsi="Amiri" w:eastAsia="Amiri" w:cs="Amiri"/>
          <w:color w:val="111111"/>
          <w:sz w:val="28"/>
          <w:sz w:val="28"/>
          <w:szCs w:val="28"/>
          <w:rtl w:val="true"/>
          <w:lang w:bidi="ar-SA"/>
        </w:rPr>
        <w:t xml:space="preserve">وأمّا كفاية غَيبوبة الحشفة، وعدم توقّف الحَدّ على إدخال تمام الذَكَر، فيشهد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Style w:val="FootnoteAnchor"/>
          <w:rtl w:val="true"/>
        </w:rPr>
        <w:footnoteReference w:id="289"/>
      </w:r>
      <w:r>
        <w:rPr>
          <w:rFonts w:ascii="Amiri" w:hAnsi="Amiri" w:eastAsia="Amiri" w:cs="Amiri"/>
          <w:color w:val="111111"/>
          <w:sz w:val="28"/>
          <w:sz w:val="28"/>
          <w:szCs w:val="28"/>
          <w:rtl w:val="true"/>
          <w:lang w:bidi="ar-SA"/>
        </w:rPr>
        <w:t xml:space="preserve">، وإلى النصوص المحدّدة للجماع، المترتّب عليه أحكامه من الغُسل والمَهر والعِدّة وغيرها بالتقاء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صحيح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الجَلد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مقطوع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الحَدّ إلّابإدخال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ثبوته بغيبوبة قَدر الحشفة، وهو المنسوب إلى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ثبوته بمجرّد صدق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المتضمّنة أنّه إذا أدخله، فإنّ الضمير يرجع إلى الذَكَر، وظاهره اعتبار دخول الجميع، خرج عنه ذو الحَشَفة لما مرّ،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بالتقاء الختانين إنّما هو لبيان التحديد لما يصدق عليه دخول الذَكَر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اسم الإدخال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الحَدّ بغيبوبة الحشفة، إذا كان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ولو متعةً بينهما</w:t>
      </w:r>
      <w:r>
        <w:rPr>
          <w:rFonts w:eastAsia="Amiri" w:cs="Amiri" w:ascii="Amiri" w:hAnsi="Amiri"/>
          <w:color w:val="111111"/>
          <w:sz w:val="28"/>
          <w:szCs w:val="28"/>
          <w:rtl w:val="true"/>
          <w:lang w:bidi="ar-SA"/>
        </w:rPr>
        <w:t xml:space="preserve">... </w:t>
      </w:r>
      <w:bookmarkStart w:id="70" w:name="pg11384_112307"/>
    </w:p>
    <w:p>
      <w:pPr>
        <w:pStyle w:val="BookText"/>
        <w:rPr/>
      </w:pPr>
      <w:bookmarkEnd w:id="70"/>
      <w:r>
        <w:rPr>
          <w:rFonts w:ascii="Amiri" w:hAnsi="Amiri" w:eastAsia="Amiri" w:cs="Amiri"/>
          <w:color w:val="111111"/>
          <w:sz w:val="28"/>
          <w:sz w:val="28"/>
          <w:szCs w:val="28"/>
          <w:rtl w:val="true"/>
          <w:lang w:bidi="ar-SA"/>
        </w:rPr>
        <w:t>ولا شُبهة عقد، ولا مِلْكٍ بشرط بلوغه وعقله،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شُبهة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دارئة، وضابط الشُّبهة ما ستعرف من التحديد لها ما أوجبَ اعتقاد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شُبهة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بلوغ مَن يُحدّ، كان هو الزّاني أو الزانية، فلو زنى الصَّبي أو زنت الصبيّة لا يثبتُ الحَدّ إجماعاً، لحديث رفع القلم</w:t>
      </w:r>
      <w:r>
        <w:rPr>
          <w:rStyle w:val="FootnoteAnchor"/>
          <w:rtl w:val="true"/>
        </w:rPr>
        <w:footnoteReference w:id="291"/>
      </w:r>
      <w:r>
        <w:rPr>
          <w:rFonts w:ascii="IRNazanin" w:hAnsi="IRNazanin" w:eastAsia="IRNazanin"/>
          <w:color w:val="111111"/>
          <w:sz w:val="28"/>
          <w:sz w:val="28"/>
          <w:szCs w:val="28"/>
          <w:rtl w:val="true"/>
          <w:lang w:bidi="fa-IR"/>
        </w:rPr>
        <w:t>، والنصوص</w:t>
      </w:r>
      <w:r>
        <w:rPr>
          <w:rStyle w:val="FootnoteAnchor"/>
          <w:rtl w:val="true"/>
        </w:rPr>
        <w:footnoteReference w:id="292"/>
      </w:r>
      <w:r>
        <w:rPr>
          <w:rFonts w:ascii="Amiri" w:hAnsi="Amiri" w:eastAsia="Amiri" w:cs="Amiri"/>
          <w:color w:val="111111"/>
          <w:sz w:val="28"/>
          <w:sz w:val="28"/>
          <w:szCs w:val="28"/>
          <w:rtl w:val="true"/>
          <w:lang w:bidi="ar-SA"/>
        </w:rPr>
        <w:t>الدالّة على أنّ الغلام إذا زنى يُعزّر ولا يُحدّ، وفي صبيّةٍ زنى بها رجلٌ أنّها تُعزّر ولا تُحَدّ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83363_73709187"/>
      <w:bookmarkStart w:id="72" w:name="_Toc24"/>
      <w:bookmarkEnd w:id="71"/>
      <w:r>
        <w:rPr>
          <w:rtl w:val="true"/>
        </w:rPr>
        <w:t>يعتبر في ثبوت الحَدّ العقل</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أنّه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عن كافّة المتأخّرين بل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العويص</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ما يُشعر بالإجماع عليه،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دعواه صريحاً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والخاصّة على ما أفاده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مجنونةً فَجَر بها رجلٌ‌، وقامت البيّنة عليها، فأمر عمر بجلدها الحَدّ، فمرَّ بها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مجنونة آل فلان تُقتل‌؟</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فَجَر بها وهَرب، وقامت البيّنة عليها، فأمر عُمر بجلدها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إليه وقولوا له أما عَلِمْتَ أنّ هذه مجنونة آل فلان، وأنّ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وأنّها مغلوبة على عقلها ونفسها، فَردُّوها إليه، فدرأ عنها الحَدّ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عموم العلّة سقوط الحَدّ عن المجنون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عيسي‌، عن أبي عبداللّه، عن أبيه، عن عليّ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علي مجنونٍ حتّي يفيق، ولا علي صبيّ حتّي يُدرك، ولا على النائم حتّي يستيقظ</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حَدّ عليه، يعني لو أنّ مجنوناً قذف رجلاً لم أرَ عليه شيئاً، ولو قذفه رجلٌفقال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لم يكن عليه حَدّ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عليّ بن إبراهيم المتضمّن لقضيّة ستّة نفر أخذوا في الزّنا، وأتوا بهم إلى عُمر، فأمر أن يُقام على كلّ واحدٍ منهم الحَدّ، وكان أميرالمؤمنين عليه السلام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ليس هذا حكمهم، ثمّ تصدّى عليٌّ عليه السلام للحكم فيهم، فَرَجَم واحداً، وضَرب عُنق آخر، وضرب الثالث الحَدّ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 فمجنونٌ مغلوبٌ على عقله، سقط عنه التكليف</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3" w:name="pg11384_112309"/>
    </w:p>
    <w:p>
      <w:pPr>
        <w:pStyle w:val="BookText"/>
        <w:rPr/>
      </w:pPr>
      <w:bookmarkEnd w:id="73"/>
      <w:r>
        <w:rPr>
          <w:rFonts w:ascii="Amiri" w:hAnsi="Amiri" w:eastAsia="Amiri" w:cs="Amiri"/>
          <w:color w:val="111111"/>
          <w:sz w:val="28"/>
          <w:sz w:val="28"/>
          <w:szCs w:val="28"/>
          <w:rtl w:val="true"/>
          <w:lang w:bidi="ar-SA"/>
        </w:rPr>
        <w:t>وعِلمه بالتحريم،</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302"/>
      </w:r>
      <w:r>
        <w:rPr>
          <w:rFonts w:ascii="Amiri" w:hAnsi="Amiri" w:eastAsia="Amiri" w:cs="Amiri"/>
          <w:color w:val="111111"/>
          <w:sz w:val="28"/>
          <w:sz w:val="28"/>
          <w:szCs w:val="28"/>
          <w:rtl w:val="true"/>
          <w:lang w:bidi="ar-SA"/>
        </w:rPr>
        <w:t>، والصَّدوق</w:t>
      </w:r>
      <w:r>
        <w:rPr>
          <w:rStyle w:val="FootnoteAnchor"/>
          <w:rtl w:val="true"/>
        </w:rPr>
        <w:footnoteReference w:id="303"/>
      </w:r>
      <w:r>
        <w:rPr>
          <w:rFonts w:ascii="Amiri" w:hAnsi="Amiri" w:eastAsia="Amiri" w:cs="Amiri"/>
          <w:color w:val="111111"/>
          <w:sz w:val="28"/>
          <w:sz w:val="28"/>
          <w:szCs w:val="28"/>
          <w:rtl w:val="true"/>
          <w:lang w:bidi="ar-SA"/>
        </w:rPr>
        <w:t>، والقاضي</w:t>
      </w:r>
      <w:r>
        <w:rPr>
          <w:rStyle w:val="FootnoteAnchor"/>
          <w:rtl w:val="true"/>
        </w:rPr>
        <w:footnoteReference w:id="304"/>
      </w:r>
      <w:r>
        <w:rPr>
          <w:rFonts w:ascii="Amiri" w:hAnsi="Amiri" w:eastAsia="Amiri" w:cs="Amiri"/>
          <w:color w:val="111111"/>
          <w:sz w:val="28"/>
          <w:sz w:val="28"/>
          <w:szCs w:val="28"/>
          <w:rtl w:val="true"/>
          <w:lang w:bidi="ar-SA"/>
        </w:rPr>
        <w:t>، وابن سعيد</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وطأ المجنون عاقلةً مثلاً، وجبَ عليه الحَدّ، لخبر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زنا المجنون أو المعتوه جُلِد الحَدّ، وإنْ كان مُحصِناً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المجنون والمجنونة، والمعتوه والمعتوهة‌؟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 تؤتى والرّجل يأتي، وإنّما يزني إذا عَقل، كيف يأتي اللّذة، وأنّ المرأة إنّما تُستكره ويُفعل بها وهي لا تَعقل ما يُفعل بها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يصلحُ لمعارضة ما تقدّم من جهاتٍ‌، فيتعيّن طرحه أو حمله على ما أفاده المصنّف رحمه الله</w:t>
      </w:r>
      <w:r>
        <w:rPr>
          <w:rStyle w:val="FootnoteAnchor"/>
          <w:rtl w:val="true"/>
        </w:rPr>
        <w:footnoteReference w:id="307"/>
      </w:r>
      <w:r>
        <w:rPr>
          <w:rFonts w:ascii="Amiri" w:hAnsi="Amiri" w:eastAsia="Amiri" w:cs="Amiri"/>
          <w:color w:val="111111"/>
          <w:sz w:val="28"/>
          <w:sz w:val="28"/>
          <w:szCs w:val="28"/>
          <w:rtl w:val="true"/>
          <w:lang w:bidi="ar-SA"/>
        </w:rPr>
        <w:t xml:space="preserve">على من يعتوره الجنون إذا زنى بعد عقله، لأنّ العلّة تنطبقُ على ذلك، أو على بقاء شعور له يَصلحُ لثبوت التكليف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ادّعى فيها أنّ ذلك يُفهم من الخبر نفسه، فلا توقّف في اشتراط العقل</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83365_73709187"/>
      <w:bookmarkStart w:id="75" w:name="_Toc25"/>
      <w:bookmarkEnd w:id="74"/>
      <w:r>
        <w:rPr>
          <w:rtl w:val="true"/>
        </w:rPr>
        <w:t>اعتبار العلم بالتحريم</w:t>
      </w:r>
      <w:bookmarkEnd w:id="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ثبوت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الفعل، أو ما يقوم مقامه من </w:t>
      </w:r>
    </w:p>
    <w:p>
      <w:pPr>
        <w:pStyle w:val="BookText"/>
        <w:rPr/>
      </w:pPr>
      <w:r>
        <w:rPr>
          <w:rFonts w:ascii="Amiri" w:hAnsi="Amiri" w:eastAsia="Amiri" w:cs="Amiri"/>
          <w:color w:val="111111"/>
          <w:sz w:val="28"/>
          <w:sz w:val="28"/>
          <w:szCs w:val="28"/>
          <w:rtl w:val="true"/>
          <w:lang w:bidi="ar-SA"/>
        </w:rPr>
        <w:t>الاجتهاد أو التقليد،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تحصيل الإجماع عليه فضلاً عن محكيّه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دلّ على أنّ الحدود تُدَرأ بالشُّبهات، كالنبوي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بالشُّبهات</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دخل في الإسلام، وأقرّ به، ثمّ شَرب الخمر وزنا، وأكل الرِّبا، ولم يتبيّن له شيءٌ من الحلال والحرام، لم أقم عليه الحَدّ إذا كان جاهلاً، إلّاأن تقوم عليه البيّنة أنّه قرأ السورة التي فيها الزّنا والخمر وأكْل الرِّبا، وإذا جهل ذلك أعلمته وأخبرته، فإنْ ركبه بعد ذلك جَلَدته، وأقَمتُ عليه الحَدّ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محمّد والحذّاء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النصوص، عدم الفرق بين كونه جاهلاً بالحكم أو الموضوع، وفي الجاهل بالحكم بين القاصر والمقصّر، والإجماع على أنّ الجاهل المقصّر في حكم العالم، المتيقّن منه غير المقام، وإنْ ثبت الإطلاق لمعقده كان معارضاً مع نصوص الباب بالعموم من وجه، والترجيح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أدخل جاريةً يتمتّع بها، ثمّ نَسي حتّى واقعها، يجبُ عليه حَدّ الزّاني‌؟د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يتمتّع بها بعد النكاح، ويستغفر ربّه ممّا أتى</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النصوص سقوط الحَدّ مع عدم العلم بالحرمة، وإنْ كان في ظاهر الشرع لا يجوزُ له المجامعة، بل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 إنّما يثبتُ في المُحرّم، وبالإجماع كالخامسة وذات البعل، دون المختَلف فيه كالكتابيّة والمخلوقة من الزّنا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جملة من عبارات الأصحاب مطلقة في الاكتفاء بالظّن، الشامل لما لا يعلم صاحبه الحَلّ‌، وربما لا يكون ملتفتاً لذلك، ولا متصوّراً لحكمه من هذه الجهة</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يدلّ على أنّ الحَدّ يُدرأ بالشُّبهة، فهو لا يشمل ما لو لم يكن في ظاهر الشرع يجوز له ذلك، فإنّه محكوم عليه بعدم الجواز، وأمّا موثّق سماعة فهو كالصريح في الاختصاص بما لو اعتقد الجواز، وأمّا سائر النصوص، فهي أيضاً مختصّة بصورة اعتقاد الجواز، لما ورد في ذيل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جهل ذلك أعلمته وأخبرته، فإنْ ركبه بعد ذلك جَلَدته، وأقمت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المعلوم أنّ إخبار المرأة لا يوجبُ العلم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بالحرمة ظاهراً يكون خارجاً من مورد النصوص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لثبوت الحَدّ مع الجهالة غير المغتفرة، صحيح الكناسي،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تزوّجت في عِدّتها؟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عدّتها عِدّة طلاقٍ‌، لزوجها عليها الرجعة، فإنّ عليها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ذلك منها بجهالة‌؟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إلّاوهي تعلم أنّ عليها عِدّة في طلاقٍ أو موت، ولقد كُنّ نساء الجاهليّة يعرفن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تعلم أنّ عليها عِدّة ولا تدري كم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عليها العِدّة، لزمتها الحجّة، فتسأل حتّى تعلم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المصنّف رحمه الله، فالظاهر أنّ مراده استناد الواطيء مع الاختلاف إلى القول بالحِلّ‌، وليس المراد أنّه يُدرأ عنه، وإنْ علم منه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مراد الأصحاب بالظّن هو مايجوزُ معه الوطء، ولذلك في كتاب النكاح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 ملاحظة كلمات الفقهاء في الحدود، أنّه لم يُشترط أحدٌ منهم في الحَدّ العلم بعدم الاستحقاق في تحقّق الزّنا وانتفائه، وإنّما اعتبروا فيه العلم بالتحريم، وبنوا عليه ثبوت الحَدّ مع وجوده، وسقوطه مع انتفائه في جميع المسائل التي فرّعوها على اعتبار العلم في حَدّ الزّنا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إحراز الحرمة الواقعيّة، يُشكّ في صدق الزّنا، ومعه يُشكّ في ثبوت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 ليس إلّاالوطء غير المستحقّ شرعاً، الصادق على غير المستحقّ ظاهراً، وقد صرّح بذلك الفقهاء، قال سيّد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الظّن ممّا لايجوزُ التعويل عليه وعلما بذلك، فإنّ الوطء يكون زنا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كلام غيره</w:t>
      </w:r>
      <w:r>
        <w:rPr>
          <w:rStyle w:val="FootnoteAnchor"/>
          <w:rtl w:val="true"/>
        </w:rPr>
        <w:footnoteReference w:id="319"/>
      </w:r>
      <w:r>
        <w:rPr>
          <w:rFonts w:ascii="Amiri" w:hAnsi="Amiri" w:eastAsia="Amiri" w:cs="Amiri"/>
          <w:color w:val="111111"/>
          <w:sz w:val="28"/>
          <w:sz w:val="28"/>
          <w:szCs w:val="28"/>
          <w:rtl w:val="true"/>
          <w:lang w:bidi="ar-SA"/>
        </w:rPr>
        <w:t>، مع أنّه لو سُلّم كونه عبارة عن وطء غير الزوجة،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المُثبِت لعدم الجواز من الخبر أو الاستصحاب يثبت به أنّها ليست زوجته، فبضمّ الوجدان إليه يتمّ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الحَدّ في كلّ وطء محرّم بالإصالة بحسب 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اشتُبهت زوجته بالأجنبيّة، فوطئها ظنّاً منه أنّها أجنبيّة، ثمّ ظهر أنّها زوجته، لا يثبتُ الحَدّ لعدم الحرمة، وإنّما هو تجرٍّ محض، وعلى فرض ثبوت الحرمة بعنوان التجرّي، فهي غير الحرمة الثابتة بعنوان المجامعة نفسها، ولا توجبُ الاتّصاف بكونها زنا قطعاً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11384_112314"/>
    </w:p>
    <w:p>
      <w:pPr>
        <w:pStyle w:val="BookText"/>
        <w:rPr/>
      </w:pPr>
      <w:bookmarkEnd w:id="76"/>
      <w:r>
        <w:rPr>
          <w:rFonts w:ascii="Amiri" w:hAnsi="Amiri" w:eastAsia="Amiri" w:cs="Amiri"/>
          <w:color w:val="111111"/>
          <w:sz w:val="28"/>
          <w:sz w:val="28"/>
          <w:szCs w:val="28"/>
          <w:rtl w:val="true"/>
          <w:lang w:bidi="ar-SA"/>
        </w:rPr>
        <w:t>واختياره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83367_73709187"/>
      <w:bookmarkStart w:id="78" w:name="_Toc26"/>
      <w:bookmarkEnd w:id="77"/>
      <w:r>
        <w:rPr>
          <w:rtl w:val="true"/>
        </w:rPr>
        <w:t>سقوط الحَدّ مع الإكراه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ثبوت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الحَدّ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دلّ على رفع ما استُكره عليه</w:t>
      </w:r>
      <w:r>
        <w:rPr>
          <w:rStyle w:val="FootnoteAnchor"/>
          <w:rtl w:val="true"/>
        </w:rPr>
        <w:footnoteReference w:id="320"/>
      </w:r>
      <w:r>
        <w:rPr>
          <w:rFonts w:ascii="Amiri" w:hAnsi="Amiri" w:eastAsia="Amiri" w:cs="Amiri"/>
          <w:color w:val="111111"/>
          <w:sz w:val="28"/>
          <w:sz w:val="28"/>
          <w:szCs w:val="28"/>
          <w:rtl w:val="true"/>
          <w:lang w:bidi="ar-SA"/>
        </w:rPr>
        <w:t xml:space="preserve">، بناءً على ما هو الحقّ من شموله لجميع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اُتي بامرأةٍ مع رجلٍ 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استكرهني واللّه يا أمير المؤمنين، فدرأ عنها الحَدّ</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أقرّت على نفسها أنّه استكرهها رجلٌ على نفسها؟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 تملك نفسها، فلو شاء قَتَلها، ليس عليها جَلدٌ ولا نفيٌ ولا رَجمٌ‌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تحقّق الكراهة في طرف الرّجل،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الجزم بعدمه، لأنّ الإكراه يمنعُ من انتشار العضو، وانبعاث القوى، لتوقّفهما على الميل النفساني المنافي لانصراف النفس عن الفعل المتوقّف عليه 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انتشار الآلة إلّاعن الشهوة المنافية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الإكراه حَملُ الغير على ما يكرهه، وهذا المعنى غير مستلزمٍ للخوف المانع عن تأثير الشهوة في الانتشار، ولا ينافي مع الميل النفساني، فإنّ النفس تميلُ إلى الزّنا، ولكن النهي الشرعي مانعٌ عنه، فلو توعدته على ترك الزّنا، واحتمل أن يترتّب الضَّرر المتوعّد به صدق الإكراه، وإنْ كان بنفسه مائلاً إلى ذلك، وإنّما كان تركه له للنهي الشرعي، مع أنّه يمكن فرض إدخال الحشفة بدون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 إمكان تحقّق الإكراه في طرفه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لا حَدّ لأنّه شبهة، والحَدّ يُدرأ بالشُّبهة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عدم إمكان تحقّقه في طرفه، لا وجه لسقوط الحَدّ، فإنّ العمل كاشفٌ عن عدم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على أيّ حال من ثبوت إمكانه والشكّ فيه، وله حينئذٍ وجه شُبهةٍ‌، والحَدّ يُدرأ بها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فيثبت للمكرهة على الواطيء مَهر المثل، كما هو المشهور بين الأصحاب، بل لم يذكر كثيرٌ منهم خلافاً،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البُضع إذا كان محترماً عارياً عن المَهر يُضمن بالتفويت والاستيفاء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جعفر، عن أبيه، عن الإمام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اغتصب أمَةً فافتضّها فعليه عُشر قيمتها، وإنْ كانت حُرّة فعليه الصداق</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المنجبر ضعفه بالعمل، المعتضد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بثبوت المَهر لما إذا لم يكن لبغيّ‌، بل صرّح بذلك في الخبر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جماعٍ يُدرأ عنه الحَدّ فعليه الصداق كاملاً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المَهر، محتجّاً عليه بنهي النبيّ صلى الله عليه و آله عن مَهر البغيّ‌،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والبغيّ الزانية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وقد عرفت أنّه يصلحُ مؤيّداً لا دليلاً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9" w:name="pg11384_112317"/>
    </w:p>
    <w:p>
      <w:pPr>
        <w:pStyle w:val="BookText"/>
        <w:rPr/>
      </w:pPr>
      <w:bookmarkEnd w:id="79"/>
      <w:r>
        <w:rPr>
          <w:rFonts w:ascii="Amiri" w:hAnsi="Amiri" w:eastAsia="Amiri" w:cs="Amiri"/>
          <w:color w:val="111111"/>
          <w:sz w:val="28"/>
          <w:sz w:val="28"/>
          <w:szCs w:val="28"/>
          <w:rtl w:val="true"/>
          <w:lang w:bidi="ar-SA"/>
        </w:rPr>
        <w:t>ولو عَلِم التحريم وعَقَد على المُحرَّم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تشبَّهت الأجنبيّة عليه حُدَّت دونه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83369_73709187"/>
      <w:bookmarkStart w:id="81" w:name="_Toc27"/>
      <w:bookmarkEnd w:id="80"/>
      <w:r>
        <w:rPr>
          <w:rtl w:val="true"/>
        </w:rPr>
        <w:t>فروع حدّ الزِّنا</w:t>
      </w:r>
      <w:bookmarkEnd w:id="8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العقد بانفراده شبهةً دارئةً للحَدّ،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التحريم، وعَقَد على المُحرَّم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بيننا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إجماعنا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والتعرّض له مع أنّه واضحٌ لا يحتاجُ إلى بيان، أنّ أبا حنيفة</w:t>
      </w:r>
      <w:r>
        <w:rPr>
          <w:rStyle w:val="FootnoteAnchor"/>
          <w:rtl w:val="true"/>
        </w:rPr>
        <w:footnoteReference w:id="330"/>
      </w:r>
      <w:r>
        <w:rPr>
          <w:rFonts w:ascii="Amiri" w:hAnsi="Amiri" w:eastAsia="Amiri" w:cs="Amiri"/>
          <w:color w:val="111111"/>
          <w:sz w:val="28"/>
          <w:sz w:val="28"/>
          <w:szCs w:val="28"/>
          <w:rtl w:val="true"/>
          <w:lang w:bidi="ar-SA"/>
        </w:rPr>
        <w:t>إلتزم بأنّه يوجبُ الشُّبهة وهي تَدرأ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توهّم الحِلّ به على وجهٍ اعتقده، سَقَط الحَدّ حينئذٍ، للشُّبهة الدارئة له، كما لو انفردت عنه، وإنْ كان ذلك لتقصير منه في المقدّمات، فإنّ التقصير وإنْ أوجب العقاب على الوطء، إلّاأنّه من جهة اعتقاده الجواز، يكون وطؤه شُبهةً‌، وهي دارئة للحَدّ، وقد مرّ</w:t>
      </w:r>
      <w:r>
        <w:rPr>
          <w:rStyle w:val="FootnoteAnchor"/>
          <w:rtl w:val="true"/>
        </w:rPr>
        <w:footnoteReference w:id="331"/>
      </w:r>
      <w:r>
        <w:rPr>
          <w:rFonts w:ascii="Amiri" w:hAnsi="Amiri" w:eastAsia="Amiri" w:cs="Amiri"/>
          <w:color w:val="111111"/>
          <w:sz w:val="28"/>
          <w:sz w:val="28"/>
          <w:szCs w:val="28"/>
          <w:rtl w:val="true"/>
          <w:lang w:bidi="ar-SA"/>
        </w:rPr>
        <w:t>أنّه ما لم يعتقد الجواز لا يصدقُ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اختصّت الشُّبهة بأحدهما، بأن اعتقد أحدهما الجواز دون الآخر، اختصّ السقوط به، كما سيمرّ عليك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تشبّهت الأجنبيّة عليه، حُدَّت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وجوب الحَدّ على المرأة، وعلى المشهور في سقوطه عن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الزوجيّة أو ما يصلح شبهةً سَقَط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يُقام عليها الحَدّ جهراً وعليه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سقوط الحَدّ بالشُّبهة المتقدّم، ولما عن القاضي روايته، وهي رواية أبي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تشبّهت بأمَةٍ لرجلٍ‌، وذلك ليلاً، فواقعها وهو يرى أنّها جاريته، فرُفع إلى عُمر، فأرسل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حَدّاً في السِّر، واضرب المرأة حَدّاً في العلانيّة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رواية ضعيفة للإرسال، ولجهالة عدّة رواتها، ومع ذلك فهي معرض عنها عند الأصحاب، فلابدَّ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أكثر الأصحاب على شكّ الرّجل أو ظنّه وتفريطه في التأمّل، وأنّه حينئذٍ يعزّر لما تقدّم في تزويج امرأةٍ لها زوجٌ وغير ذلك، وقد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نحوه، إلّاأنّه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فوطأها من غير تحرّز</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الزوجيّة أو ما يصلح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المدّعي خاصّة، ولا يُكلّف المُدّعي بيّنةً ولا يميناً بلا خلافٍ‌، وعن بعضهم</w:t>
      </w:r>
      <w:r>
        <w:rPr>
          <w:rStyle w:val="FootnoteAnchor"/>
          <w:rtl w:val="true"/>
        </w:rPr>
        <w:footnoteReference w:id="33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أبي جعفر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تزوّج المُعتدّة عالماً، حُدَّ مع الدخول، وكذا المرأة، ولو ادّعى أحدهما الجهالة المحتملة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اُتي بامرأةٍ مع رجلٍ 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استكرهني واللّه يا أمير المؤمنين، فدرأ عنها الحَدّ، ولو سئل هؤلاء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وقد واللّه فَعَله أمير المؤمنين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338"/>
      </w:r>
      <w:r>
        <w:rPr>
          <w:rFonts w:ascii="Amiri" w:hAnsi="Amiri" w:eastAsia="Amiri" w:cs="Amiri"/>
          <w:color w:val="111111"/>
          <w:sz w:val="28"/>
          <w:sz w:val="28"/>
          <w:szCs w:val="28"/>
          <w:rtl w:val="true"/>
          <w:lang w:bidi="ar-SA"/>
        </w:rPr>
        <w:t>ممّا ورد في عدم الحَدّ على المستكرهة، فإنّها فيما لو أقرّت هي بالاستكراه، وليس في شيء منها التكليف بالبيّنة أو اليمين، وهي وإنْ كانت في دعوى الإكراه، إلّاأنّه يتمّ المطلوب بإلغاء خصوصيّة المورد، وبالإجماع المركّب، وعدم القول بالفصل، مع أنّ دعواه ما لم يعلم كذبه شُبهة في الحِلّ‌، والحَدُّ يُدرأ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فيه من أحكام الوطء، سوى الحَدّ، فلو كانت أمَةً فعليه لمولاه العقر، أو حُرّة مكرهة فمَهر المثل إنْ لم يثبت استحقاق الوطء</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يتُمّ فيما لا يقتضي الأصل سقوطه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المُعتدّة عالماً، حُدَّ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جلداً أو 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 لو تزوّجت في عِدّتها، مع عِلْمها بالعِدّة والتحريم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المحتملة،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المُدّعي، وكذا إن ادّعياه إذا كان ممكناً في حقّهما، كما عن الحِلّي</w:t>
      </w:r>
      <w:r>
        <w:rPr>
          <w:rStyle w:val="FootnoteAnchor"/>
          <w:rtl w:val="true"/>
        </w:rPr>
        <w:footnoteReference w:id="340"/>
      </w:r>
      <w:r>
        <w:rPr>
          <w:rFonts w:ascii="Amiri" w:hAnsi="Amiri" w:eastAsia="Amiri" w:cs="Amiri"/>
          <w:color w:val="111111"/>
          <w:sz w:val="28"/>
          <w:sz w:val="28"/>
          <w:szCs w:val="28"/>
          <w:rtl w:val="true"/>
          <w:lang w:bidi="ar-SA"/>
        </w:rPr>
        <w:t>، وعامّة المتأخّرين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كلامهما المصنّف رحمه الله على ما لا يُحتمل الشُّبهة،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منازعة هنا في الحقيقة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أنّ الحدود تُدرأ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345"/>
      </w:r>
      <w:r>
        <w:rPr>
          <w:rFonts w:ascii="Amiri" w:hAnsi="Amiri" w:eastAsia="Amiri" w:cs="Amiri"/>
          <w:color w:val="111111"/>
          <w:sz w:val="28"/>
          <w:sz w:val="28"/>
          <w:szCs w:val="28"/>
          <w:rtl w:val="true"/>
          <w:lang w:bidi="ar-SA"/>
        </w:rPr>
        <w:t>من النصوص على أنّ مَن دَخَل في الإسلام وَزَنى يَسقط عنه الحَدّ ما دام لم يثبت علمه بحرمة الزّنا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وأمّاالنصوص</w:t>
      </w:r>
      <w:r>
        <w:rPr>
          <w:rStyle w:val="FootnoteAnchor"/>
          <w:rtl w:val="true"/>
        </w:rPr>
        <w:footnoteReference w:id="346"/>
      </w:r>
      <w:r>
        <w:rPr>
          <w:rFonts w:ascii="Amiri" w:hAnsi="Amiri" w:eastAsia="Amiri" w:cs="Amiri"/>
          <w:color w:val="111111"/>
          <w:sz w:val="28"/>
          <w:sz w:val="28"/>
          <w:szCs w:val="28"/>
          <w:rtl w:val="true"/>
          <w:lang w:bidi="ar-SA"/>
        </w:rPr>
        <w:t>الدالّة على أنّه إنْ تزوّجت ذات البعل، أو ذات عِدّة ودخل بها حُدَّت، ولا يُقبل منها دعوى الجهالة، فهي وإنْ كانت تدلّ على أنّ من تزوّج المُعتدّة، أو دخل بها يُحدّ، وكذا المرأة، وكذلك يجري عليهما الحَدّ إن ادّعيا الجهالة غير المحتملة في حقّهما، وبه يظهر الحال في كلّ جهالةٍ لا تُحتمل، ولكن ما فيها من التعليل يدلّ على الاختصاص بتلك الجهالة، وعدم الشمول للجهالة المحتملة،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خبر الحَذّاء،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في دار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إلّاوهي تعلم أنّ المرأة المسلمة لا يحلّ لها أن تتزوج 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82" w:name="pg11384_112321"/>
    </w:p>
    <w:p>
      <w:pPr>
        <w:pStyle w:val="BookText"/>
        <w:rPr/>
      </w:pPr>
      <w:bookmarkEnd w:id="82"/>
      <w:r>
        <w:rPr>
          <w:rFonts w:ascii="Amiri" w:hAnsi="Amiri" w:eastAsia="Amiri" w:cs="Amiri"/>
          <w:color w:val="111111"/>
          <w:sz w:val="28"/>
          <w:sz w:val="28"/>
          <w:szCs w:val="28"/>
          <w:rtl w:val="true"/>
          <w:lang w:bidi="ar-SA"/>
        </w:rPr>
        <w:t>ويُحدُّ الأعمى مع انتفاء الشُّبهة المحتملة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المرأة إذا فَجَرت قالت لم أدر، وجَهلت أنّ الذي فعلت حراماً، ولم يقم عليها الحَدّ إذاً لتعطّلت الحدود</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صحيح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ذلك منها بجهالةٍ؟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إلّاوهي تعلم أنّ عليها عِدّة في طلاق أو موت، الحديث</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83371_73709187"/>
      <w:bookmarkStart w:id="84" w:name="_Toc28"/>
      <w:bookmarkEnd w:id="83"/>
      <w:r>
        <w:rPr>
          <w:rtl w:val="true"/>
        </w:rPr>
        <w:t>الأعمى يُحَدّ</w:t>
      </w:r>
      <w:bookmarkEnd w:id="84"/>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جلداً كان أو 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انتفاء الشُّبهة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 ويشهد به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بل المشهور كما عن الصيمري</w:t>
      </w:r>
      <w:r>
        <w:rPr>
          <w:rStyle w:val="FootnoteAnchor"/>
          <w:rtl w:val="true"/>
        </w:rPr>
        <w:footnoteReference w:id="350"/>
      </w:r>
      <w:r>
        <w:rPr>
          <w:rFonts w:ascii="Amiri" w:hAnsi="Amiri" w:eastAsia="Amiri" w:cs="Amiri"/>
          <w:color w:val="111111"/>
          <w:sz w:val="28"/>
          <w:sz w:val="28"/>
          <w:szCs w:val="28"/>
          <w:rtl w:val="true"/>
          <w:lang w:bidi="ar-SA"/>
        </w:rPr>
        <w:t xml:space="preserve">، وعليه عامّة المتأخّرين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52"/>
      </w:r>
      <w:r>
        <w:rPr>
          <w:rFonts w:ascii="Amiri" w:hAnsi="Amiri" w:eastAsia="Amiri" w:cs="Amiri"/>
          <w:color w:val="111111"/>
          <w:sz w:val="28"/>
          <w:sz w:val="28"/>
          <w:szCs w:val="28"/>
          <w:rtl w:val="true"/>
          <w:lang w:bidi="ar-SA"/>
        </w:rPr>
        <w:t xml:space="preserve">تقييده بما إذا شهد الحال بما ادّعاه، وأمّا لو شهدت الحال بخلاف ذلك، لم يُصدَّق، والظاهر رجوعه إلى ما أفاده القوم، ونظره في ذلك إلى ما في </w:t>
      </w:r>
    </w:p>
    <w:p>
      <w:pPr>
        <w:pStyle w:val="BookText"/>
        <w:rPr/>
      </w:pPr>
      <w:r>
        <w:rPr>
          <w:rFonts w:ascii="Amiri" w:hAnsi="Amiri" w:eastAsia="Amiri" w:cs="Amiri"/>
          <w:color w:val="111111"/>
          <w:sz w:val="28"/>
          <w:sz w:val="28"/>
          <w:szCs w:val="28"/>
          <w:rtl w:val="true"/>
          <w:lang w:bidi="ar-SA"/>
        </w:rPr>
        <w:t>نصوص التزويج في العِدّة، وتزويج ذات البعل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قبوله بكونه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354"/>
      </w:r>
      <w:r>
        <w:rPr>
          <w:rFonts w:ascii="Amiri" w:hAnsi="Amiri" w:eastAsia="Amiri" w:cs="Amiri"/>
          <w:color w:val="111111"/>
          <w:sz w:val="28"/>
          <w:sz w:val="28"/>
          <w:szCs w:val="28"/>
          <w:rtl w:val="true"/>
          <w:lang w:bidi="ar-SA"/>
        </w:rPr>
        <w:t>، والقاضي</w:t>
      </w:r>
      <w:r>
        <w:rPr>
          <w:rStyle w:val="FootnoteAnchor"/>
          <w:rtl w:val="true"/>
        </w:rPr>
        <w:footnoteReference w:id="355"/>
      </w:r>
      <w:r>
        <w:rPr>
          <w:rFonts w:ascii="Amiri" w:hAnsi="Amiri" w:eastAsia="Amiri" w:cs="Amiri"/>
          <w:color w:val="111111"/>
          <w:sz w:val="28"/>
          <w:sz w:val="28"/>
          <w:szCs w:val="28"/>
          <w:rtl w:val="true"/>
          <w:lang w:bidi="ar-SA"/>
        </w:rPr>
        <w:t>، وسلّار</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أظهر، لما دلّ على أنّ الحَدّ يُدرأ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مُسلّم، والأصل في إخباره المطابقة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خبره حجّة إنْ كان ثقةً‌، بناءً على المختار من حجيّة الخبر الواحد في الموضوعات، وإلّا فلا، ولعلّه إلى ذلك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قوله حجّة، إلّاأنّه شبهة، وهي تَدرأ الحَدّ، واستدلّ لما عن الشيخين بأنّه قد كان ينبغي له أن يتحرّز ويُتحفّظ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حصول الشُّبهة كما مرّ، وهي تَدرأ الحَدّ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5" w:name="pg11384_112323"/>
    </w:p>
    <w:p>
      <w:pPr>
        <w:pStyle w:val="BookText"/>
        <w:rPr/>
      </w:pPr>
      <w:bookmarkEnd w:id="85"/>
      <w:r>
        <w:rPr>
          <w:rFonts w:ascii="Amiri" w:hAnsi="Amiri" w:eastAsia="Amiri" w:cs="Amiri"/>
          <w:color w:val="111111"/>
          <w:sz w:val="28"/>
          <w:sz w:val="28"/>
          <w:szCs w:val="28"/>
          <w:rtl w:val="true"/>
          <w:lang w:bidi="ar-SA"/>
        </w:rPr>
        <w:t>ويَثبتُ بالإقرار من أهله أربع مرّاتٍ‌</w:t>
      </w:r>
    </w:p>
    <w:p>
      <w:pPr>
        <w:pStyle w:val="Heading4"/>
        <w:numPr>
          <w:ilvl w:val="3"/>
          <w:numId w:val="1"/>
        </w:numPr>
        <w:rPr/>
      </w:pPr>
      <w:bookmarkStart w:id="86" w:name="__RefHeading___Toc283373_73709187"/>
      <w:bookmarkStart w:id="87" w:name="_Toc29"/>
      <w:bookmarkEnd w:id="86"/>
      <w:r>
        <w:rPr>
          <w:rtl w:val="true"/>
        </w:rPr>
        <w:t>الإقرار المُثبِت للزِّنا</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على كلٍّ من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أقرّا ثبت عليهما الحَدّ، وإنْ أقرّ أحدهما ثبت عليه خاصّة، بلا خلافٍ ولا إشكال، لعموم ما دلّ‌</w:t>
      </w:r>
      <w:r>
        <w:rPr>
          <w:rStyle w:val="FootnoteAnchor"/>
          <w:rtl w:val="true"/>
        </w:rPr>
        <w:footnoteReference w:id="358"/>
      </w:r>
      <w:r>
        <w:rPr>
          <w:rFonts w:ascii="IRNazanin" w:hAnsi="IRNazanin" w:eastAsia="IRNazanin"/>
          <w:color w:val="111111"/>
          <w:sz w:val="28"/>
          <w:sz w:val="28"/>
          <w:szCs w:val="28"/>
          <w:rtl w:val="true"/>
          <w:lang w:bidi="fa-IR"/>
        </w:rPr>
        <w:t>على الثبوت بالإقرار، وللنصوص</w:t>
      </w:r>
      <w:r>
        <w:rPr>
          <w:rStyle w:val="FootnoteAnchor"/>
          <w:rtl w:val="true"/>
        </w:rPr>
        <w:footnoteReference w:id="359"/>
      </w:r>
      <w:r>
        <w:rPr>
          <w:rFonts w:ascii="Amiri" w:hAnsi="Amiri" w:eastAsia="Amiri" w:cs="Amiri"/>
          <w:color w:val="111111"/>
          <w:sz w:val="28"/>
          <w:sz w:val="28"/>
          <w:szCs w:val="28"/>
          <w:rtl w:val="true"/>
          <w:lang w:bidi="ar-SA"/>
        </w:rPr>
        <w:t>الخاصّة، ولكن يشترط في الثبوت به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المُقرّ، فلا عبرة بإقرار الصَّبي وإنْ كان مراهقاً كسائر إقراراته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عقله، فلا عبرة بإقرار المجنون حال جنونه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فلا يُلتفت إلى إقرار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دلّ‌</w:t>
      </w:r>
      <w:r>
        <w:rPr>
          <w:rStyle w:val="FootnoteAnchor"/>
          <w:rtl w:val="true"/>
        </w:rPr>
        <w:footnoteReference w:id="360"/>
      </w:r>
      <w:r>
        <w:rPr>
          <w:rFonts w:ascii="Amiri" w:hAnsi="Amiri" w:eastAsia="Amiri" w:cs="Amiri"/>
          <w:color w:val="111111"/>
          <w:sz w:val="28"/>
          <w:sz w:val="28"/>
          <w:szCs w:val="28"/>
          <w:rtl w:val="true"/>
          <w:lang w:bidi="ar-SA"/>
        </w:rPr>
        <w:t xml:space="preserve">على رفع ما استكره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 في حسن أبي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حبسٍ أو تخويفٍ أو تهديدٍ فلا حَدّ عليه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عبرة أيضاً بإقرار السّكران والغافل والنائم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عليه اتّفاق الأصحاب، إلّاما </w:t>
      </w:r>
    </w:p>
    <w:p>
      <w:pPr>
        <w:pStyle w:val="BookText"/>
        <w:rPr/>
      </w:pPr>
      <w:r>
        <w:rPr>
          <w:rFonts w:ascii="Amiri" w:hAnsi="Amiri" w:eastAsia="Amiri" w:cs="Amiri"/>
          <w:color w:val="111111"/>
          <w:sz w:val="28"/>
          <w:sz w:val="28"/>
          <w:szCs w:val="28"/>
          <w:rtl w:val="true"/>
          <w:lang w:bidi="ar-SA"/>
        </w:rPr>
        <w:t>عن ظاهر ابن أبي عقيل</w:t>
      </w:r>
      <w:r>
        <w:rPr>
          <w:rStyle w:val="FootnoteAnchor"/>
          <w:rtl w:val="true"/>
        </w:rPr>
        <w:footnoteReference w:id="362"/>
      </w:r>
      <w:r>
        <w:rPr>
          <w:rFonts w:ascii="Amiri" w:hAnsi="Amiri" w:eastAsia="Amiri" w:cs="Amiri"/>
          <w:color w:val="111111"/>
          <w:sz w:val="28"/>
          <w:sz w:val="28"/>
          <w:szCs w:val="28"/>
          <w:rtl w:val="true"/>
          <w:lang w:bidi="ar-SA"/>
        </w:rPr>
        <w:t>من الاكتفاء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يُرجم الزّاني حتّى يقرّ أربع مرّات</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والمعتبرة المتضمّنة لقضيّة امرأتين جاءتا إلى أمير المؤمنين عليه السلام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زنينا فطهِّرنا، وفي إحداها كان يقول 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أنّها شهادة وهذه ثنتان إلى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أنّه قد ثبت لك عليها أربع شهادات ثُمّ رَجَمها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الفضيل بن يسار،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 بحقّ من حدود اللّه تعالى مرّة واحدة، حُرّاً كان أو عبداً، حُرّة كانت أو أمَة، فعلى الإمام أن يقيم الحَدّ عليه للذي أقرَّ به على نفسه، كائناً من كان، إلّاالزّاني المُحصَن، فإنّه لا يرجمه حتّى يشهد عليه أربعة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فما هذه الحدود التي إذا أقرَّ بها عند الإمام مرّة واحدة على نفسه أُقيم عليه الحَدّ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بسرقةٍ‌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على نفسه بالزّنا وهو غير مُحصَن، فهذا من حقوق اللّه، الحديث</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حمله بعضهم على غير حَدّ الزّاني جمعاً، على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احتمالاً وهو غريبٌ‌، لتصريحه عليه السلام بحَدّ الزّاني، ولكنّه لايصلحُ لمعارضة ما تقدّم فيتعيّن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أنّه لو أقرّ دون الأربع، لم يجب الحَدّ، لكن هل يجب التعزير عليه كما عن الشيخين</w:t>
      </w:r>
      <w:r>
        <w:rPr>
          <w:rStyle w:val="FootnoteAnchor"/>
          <w:rtl w:val="true"/>
        </w:rPr>
        <w:footnoteReference w:id="368"/>
      </w:r>
      <w:r>
        <w:rPr>
          <w:rFonts w:ascii="Amiri" w:hAnsi="Amiri" w:eastAsia="Amiri" w:cs="Amiri"/>
          <w:color w:val="111111"/>
          <w:sz w:val="28"/>
          <w:sz w:val="28"/>
          <w:szCs w:val="28"/>
          <w:rtl w:val="true"/>
          <w:lang w:bidi="ar-SA"/>
        </w:rPr>
        <w:t>، وابن إدريس</w:t>
      </w:r>
      <w:r>
        <w:rPr>
          <w:rStyle w:val="FootnoteAnchor"/>
          <w:rtl w:val="true"/>
        </w:rPr>
        <w:footnoteReference w:id="369"/>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كما عن الأردبيلي</w:t>
      </w:r>
      <w:r>
        <w:rPr>
          <w:rStyle w:val="FootnoteAnchor"/>
          <w:rtl w:val="true"/>
        </w:rPr>
        <w:footnoteReference w:id="371"/>
      </w:r>
      <w:r>
        <w:rPr>
          <w:rFonts w:ascii="Amiri" w:hAnsi="Amiri" w:eastAsia="Amiri" w:cs="Amiri"/>
          <w:color w:val="111111"/>
          <w:sz w:val="28"/>
          <w:sz w:val="28"/>
          <w:szCs w:val="28"/>
          <w:rtl w:val="true"/>
          <w:lang w:bidi="ar-SA"/>
        </w:rPr>
        <w:t>الميل إليه‌؟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التعزير بالإقرار الواقع عند النبيّ صلى الله عليه و آله والوصي عليه السلام، مع ما في بعضها من التراخي الطويل بين الأقارير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عموم ما دلّ على الأخذ بالإقرار، المقتصر في الخروج عنه على الحَدّ للدليل، وبه يثبتُ المعصية عليه فيجبُ التعزير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كون الإقرار أربعاً في أربع مجالس،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وابن حمزة</w:t>
      </w:r>
      <w:r>
        <w:rPr>
          <w:rStyle w:val="FootnoteAnchor"/>
          <w:rtl w:val="true"/>
        </w:rPr>
        <w:footnoteReference w:id="37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لا يعتبر ذلك، بل لو أقرّ أربعاً في مجلسٍ واحد كفى‌، كما هو المشهور بين الأصحاب،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وجهان، أشهرهما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وقع من تعداد الأقارير عند النبيّ صلى الله عليه و آله والوصيّ عليه السلام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الإجماع موهونٌ بذهاب الأكثر إلى خلافه، والوقوع عندهما كذلك لايستلزمُ عدم الحَدّ على التقدير الآخر، لعدم المفهوم لما تضمّن تلك القضايا، فإنّها قضايا في وقائع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بالزّنا بامرأةٍ عفيفة معيّنة، فهل يثبتُ القذف للمرأة بذلك، ليثبتَ عليه حَدّ القذف أم لا؟</w:t>
      </w:r>
    </w:p>
    <w:p>
      <w:pPr>
        <w:pStyle w:val="BookText"/>
        <w:rPr/>
      </w:pPr>
      <w:r>
        <w:rPr>
          <w:rFonts w:ascii="Amiri" w:hAnsi="Amiri" w:eastAsia="Amiri" w:cs="Amiri"/>
          <w:color w:val="111111"/>
          <w:sz w:val="28"/>
          <w:sz w:val="28"/>
          <w:szCs w:val="28"/>
          <w:rtl w:val="true"/>
          <w:lang w:bidi="ar-SA"/>
        </w:rPr>
        <w:t>فيه قولان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قال قولاً ظاهراً في زنا المرأة أيضاً، وعدم الشُّبهة من ناحيتها أيضاً، ثبت القذف، وإلّا فلا، لاحتمال الاشتباه والإكراه، فلا يكون إقراره بالزّنا على نفسه قذفاً 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السكوني، عن جعفر، عن أبيه، عن عليّ عليهم السلام،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الفاجرة مَن فَجَر بكِ‌، فكما هانَ عليها الفجور يهونُ عليها أن ترمي البريء المسلم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8" w:name="pg11384_112327"/>
    </w:p>
    <w:p>
      <w:pPr>
        <w:pStyle w:val="BookText"/>
        <w:rPr/>
      </w:pPr>
      <w:bookmarkEnd w:id="88"/>
      <w:r>
        <w:rPr>
          <w:rFonts w:ascii="Amiri" w:hAnsi="Amiri" w:eastAsia="Amiri" w:cs="Amiri"/>
          <w:color w:val="111111"/>
          <w:sz w:val="28"/>
          <w:sz w:val="28"/>
          <w:szCs w:val="28"/>
          <w:rtl w:val="true"/>
          <w:lang w:bidi="ar-SA"/>
        </w:rPr>
        <w:t>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الفاجرة مَن فَجَر بكِ‌، فقالت فلانٌ جَلَدتها حَدّين؛ حَدّاً للفجور، وحَدّاً لفريتها على الرّجل المسلم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ينافيان ما ذكرناه، فإنّهما في ما لو قالت فَجَر بي فلان، ولا يشملان ما لو كان إقراره غير ظاهرٍ في فجور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 يا زانية أنا زنيتُ بك‌؟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إيّاها، وأمّا قوله أنا زنيتُ بكِ‌، فلا حَدّ فيه، إلّا أن يشهد على نفسه أربع شهادات بالزِّنا عند الإمام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مشعرٌ بما اخترناه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الوجه ثبوت القذف بالمرأة مع الإطلاق، لأنّه ظاهرٌ فيه، والأصل عدم الشُّبهة والإكراه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يثبتُ القذف مع الإطلاق، إلّاأن يفسّر بالاشتباه أو الإكراه الذي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يتمّ‌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83375_73709187"/>
      <w:bookmarkStart w:id="90" w:name="_Toc30"/>
      <w:bookmarkEnd w:id="89"/>
      <w:r>
        <w:rPr>
          <w:rtl w:val="true"/>
        </w:rPr>
        <w:t>لو أقرّ بحَدٍّ ولم يُبيِّنه</w:t>
      </w:r>
      <w:bookmarkEnd w:id="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أقرَّ بحَدٍ ولم يُبيّنه، لم يُكلَّف البيان،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 وخبر </w:t>
      </w:r>
    </w:p>
    <w:p>
      <w:pPr>
        <w:pStyle w:val="BookText"/>
        <w:rPr/>
      </w:pPr>
      <w:r>
        <w:rPr>
          <w:rFonts w:ascii="Amiri" w:hAnsi="Amiri" w:eastAsia="Amiri" w:cs="Amiri"/>
          <w:color w:val="111111"/>
          <w:sz w:val="28"/>
          <w:sz w:val="28"/>
          <w:szCs w:val="28"/>
          <w:rtl w:val="true"/>
          <w:lang w:bidi="ar-SA"/>
        </w:rPr>
        <w:t>قيس الآتي شاهد به، ومعه لا يُصغى إلى ما قيل</w:t>
      </w:r>
      <w:r>
        <w:rPr>
          <w:rStyle w:val="FootnoteAnchor"/>
          <w:rtl w:val="true"/>
        </w:rPr>
        <w:footnoteReference w:id="383"/>
      </w:r>
      <w:r>
        <w:rPr>
          <w:rFonts w:ascii="Amiri" w:hAnsi="Amiri" w:eastAsia="Amiri" w:cs="Amiri"/>
          <w:color w:val="111111"/>
          <w:sz w:val="28"/>
          <w:sz w:val="28"/>
          <w:szCs w:val="28"/>
          <w:rtl w:val="true"/>
          <w:lang w:bidi="ar-SA"/>
        </w:rPr>
        <w:t>من أنّ الفرض إقراره بحقٍّ عليه، فيُكلّف البيان لئلّا يلزم تعطيل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384"/>
      </w:r>
      <w:r>
        <w:rPr>
          <w:rFonts w:ascii="Amiri" w:hAnsi="Amiri" w:eastAsia="Amiri" w:cs="Amiri"/>
          <w:color w:val="111111"/>
          <w:sz w:val="28"/>
          <w:sz w:val="28"/>
          <w:szCs w:val="28"/>
          <w:rtl w:val="true"/>
          <w:lang w:bidi="ar-SA"/>
        </w:rPr>
        <w:t>، والقاضي</w:t>
      </w:r>
      <w:r>
        <w:rPr>
          <w:rStyle w:val="FootnoteAnchor"/>
          <w:rtl w:val="true"/>
        </w:rPr>
        <w:footnoteReference w:id="38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يُضرب حتّى يَنهي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88"/>
      </w:r>
      <w:r>
        <w:rPr>
          <w:rFonts w:ascii="Amiri" w:hAnsi="Amiri" w:eastAsia="Amiri" w:cs="Amiri"/>
          <w:color w:val="111111"/>
          <w:sz w:val="28"/>
          <w:sz w:val="28"/>
          <w:szCs w:val="28"/>
          <w:rtl w:val="true"/>
          <w:lang w:bidi="ar-SA"/>
        </w:rPr>
        <w:t>اختياره، إلّاأنّه أضاف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ينقص عن ثمانين، ولا يُزاد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w:t>
      </w:r>
      <w:r>
        <w:rPr>
          <w:rStyle w:val="FootnoteAnchor"/>
          <w:rtl w:val="true"/>
        </w:rPr>
        <w:footnoteReference w:id="389"/>
      </w:r>
      <w:r>
        <w:rPr>
          <w:rFonts w:ascii="Amiri" w:hAnsi="Amiri" w:eastAsia="Amiri" w:cs="Amiri"/>
          <w:color w:val="111111"/>
          <w:sz w:val="28"/>
          <w:sz w:val="28"/>
          <w:szCs w:val="28"/>
          <w:rtl w:val="true"/>
          <w:lang w:bidi="ar-SA"/>
        </w:rPr>
        <w:t>في جملةٍ من كتبه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استصوابه في طرف الكثرة، دون طرف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على نفسه بحَدٍّ ولم يُسمّ أيّ حَدٍّ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يُجلد حتّى يكون هو الذي ينهى عن نفسه في الحَدّ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باشتراك محمّد بن قيس بين الثقة وغيره كما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خبر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صلى الله عليه و آله فجاءه رجلٌ فقال يا رسول اللّه إنّي أصبتُ حَدّاً فأقِمهُ عَليّ‌، ولم يُسمّه، فحضرت الصلاة، فصلّى النبيّ صلى الله عليه و آله الصلاة، فقام إليه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 فيَّ 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صلّيت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غَفَر لك ذنبك،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 يشمل الرَّجم، والقتل بالسّيف، والإحراق بالنار، ورمي الجدار عليه، وما شاكل، فهو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السند صحيحٌ على الأصحّ‌، لأنّ المراد بمحمّد بن قيس فيه الثقة، بقرينة رواية عاصم بن حميد عنه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الأردبيلي</w:t>
      </w:r>
      <w:r>
        <w:rPr>
          <w:rStyle w:val="FootnoteAnchor"/>
          <w:rtl w:val="true"/>
        </w:rPr>
        <w:footnoteReference w:id="393"/>
      </w:r>
      <w:r>
        <w:rPr>
          <w:rFonts w:ascii="Amiri" w:hAnsi="Amiri" w:eastAsia="Amiri" w:cs="Amiri"/>
          <w:color w:val="111111"/>
          <w:sz w:val="28"/>
          <w:sz w:val="28"/>
          <w:szCs w:val="28"/>
          <w:rtl w:val="true"/>
          <w:lang w:bidi="ar-SA"/>
        </w:rPr>
        <w:t>من تضعيفه لوجود سهل في طريقه، يدفعه ما مرّ غير مرّة من أنّ سهلاً ثقة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أنس ضعيف السند، وليس من طرقنا، بل هو من طرق العامّة، مع أنّه يحتمل صدور التوبة منه، والأخير اجتهادٌ في مقابل النّص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الخبر أيضاً باستلزامه أنّه لو نهى فيما دون الحدود المعلومة قبل منه وليس هذا حكم الحَدّ ولا التعزير، وأيضاً فإنّه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الحدود ما يتوقّف على الإقرار أربعاً، ومنها ما يتوقّف على الإقرار مرّتين، ومنها ما يكفي فيه المرّة، فلا يتمّ إطلاق القول بجواز بلوغ المائة مع الإقرار دون الأربع وبلوغ الثمانين بدون الإقرار مرّتين، واشتراط ذلك كلّه خروجٌ عن مورد الرواية رأساً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ذلك كلّه اجتهادٌ في مقابل النّص الصحيح المعمول به عند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الحِلّي</w:t>
      </w:r>
      <w:r>
        <w:rPr>
          <w:rStyle w:val="FootnoteAnchor"/>
          <w:rtl w:val="true"/>
        </w:rPr>
        <w:footnoteReference w:id="395"/>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حَدّ دون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أقرّ على نفسه بحَدّ ولم يبيِّن أيّ حَدٍّ هو، أن يُجلد حتّى يبلغ ثمانين، فجُلِد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أكملتَ جلدك مائة ما ابتغيتُ عليه بيّنة غير نفسك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يُعتنى به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في القيادة خمسة وسبعون، فليس أقله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لا يصلح لتقييد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لما عن المصنّف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 لا يزيدُ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قدّمناه يظهر ما في ذلك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وكلمة الأصحاب منزّل على الحَدّ الذي يقتضيه ما وقع من الإقرار، فلا يُحَدّ مائة ما لم يقرّ أربعاً، ولا ثمانين ما لم يُقر مرّتين، ولا يتعيّن المائة إذا أقرّ أربعاً، ولا الثمانون إذا أقرَّ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التنزيل للجمع بين الأدلّة، ولا بأس به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 الاكتفاء بالإقرار مرّة، وأنّه يُضرب مالم ينه وإن زاد على المائة، وحيث إنّه حكمٌ تعبّدي واردٌ في مورد خاص، ولا مقيّد له من الأدلّة، فإنّ النصوص المقدِّرة للحدود إنّما هي فيما لو أقرّ بالزّنا أو السَّرقة أو ما شاكل، وهذا الخبر فيما لو أقرّ بحَدٍّ بنحو الإجمال، فلا سبيل إلى دعوى أنّ الجمع بين الأدلّة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ما عن الشيخين والقاضي، واللّه العالم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1" w:name="pg11384_112332"/>
    </w:p>
    <w:p>
      <w:pPr>
        <w:pStyle w:val="BookText"/>
        <w:rPr/>
      </w:pPr>
      <w:bookmarkEnd w:id="91"/>
      <w:r>
        <w:rPr>
          <w:rFonts w:ascii="Amiri" w:hAnsi="Amiri" w:eastAsia="Amiri" w:cs="Amiri"/>
          <w:color w:val="111111"/>
          <w:sz w:val="28"/>
          <w:sz w:val="28"/>
          <w:szCs w:val="28"/>
          <w:rtl w:val="true"/>
          <w:lang w:bidi="ar-SA"/>
        </w:rPr>
        <w:t>أو بشهادة أربعة رجال عدُولٍ‌، أو ثلاثة وامرأتين</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83377_73709187"/>
      <w:bookmarkStart w:id="93" w:name="_Toc31"/>
      <w:bookmarkEnd w:id="92"/>
      <w:r>
        <w:rPr>
          <w:rtl w:val="true"/>
        </w:rPr>
        <w:t>البيّنة المُثبتة للزِّنا</w:t>
      </w:r>
      <w:bookmarkEnd w:id="93"/>
    </w:p>
    <w:p>
      <w:pPr>
        <w:pStyle w:val="BookText"/>
        <w:rPr/>
      </w:pPr>
      <w:r>
        <w:rPr>
          <w:rFonts w:ascii="Amiri" w:hAnsi="Amiri" w:eastAsia="Amiri" w:cs="Amiri"/>
          <w:color w:val="111111"/>
          <w:sz w:val="28"/>
          <w:sz w:val="28"/>
          <w:szCs w:val="28"/>
          <w:rtl w:val="true"/>
          <w:lang w:bidi="ar-SA"/>
        </w:rPr>
        <w:t>لا كلام ولا إشكال في أنّه يثبتُ الزّنا الموجب للحَدّ بالبيّنة، إنّما الكلام في العدد المعتبر فيها، وأنّه هل يكفي شهادة النساء منضمّات إلى الرجال أم لا؟</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بشهادة أربعة رجالٍ عدولٍ‌، أو ثلاثة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بالأُولى مجمعٌ عليه، والكتاب</w:t>
      </w:r>
      <w:r>
        <w:rPr>
          <w:rStyle w:val="FootnoteAnchor"/>
          <w:rtl w:val="true"/>
        </w:rPr>
        <w:footnoteReference w:id="402"/>
      </w:r>
      <w:r>
        <w:rPr>
          <w:rFonts w:ascii="Amiri" w:hAnsi="Amiri" w:eastAsia="Amiri" w:cs="Amiri"/>
          <w:color w:val="111111"/>
          <w:sz w:val="28"/>
          <w:sz w:val="28"/>
          <w:szCs w:val="28"/>
          <w:rtl w:val="true"/>
          <w:lang w:bidi="ar-SA"/>
        </w:rPr>
        <w:t>والسُّنة المستفيضة</w:t>
      </w:r>
      <w:r>
        <w:rPr>
          <w:rStyle w:val="FootnoteAnchor"/>
          <w:rtl w:val="true"/>
        </w:rPr>
        <w:footnoteReference w:id="403"/>
      </w:r>
      <w:r>
        <w:rPr>
          <w:rFonts w:ascii="IRNazanin" w:hAnsi="IRNazanin" w:eastAsia="IRNazanin"/>
          <w:color w:val="111111"/>
          <w:sz w:val="28"/>
          <w:sz w:val="28"/>
          <w:szCs w:val="28"/>
          <w:rtl w:val="true"/>
          <w:lang w:bidi="fa-IR"/>
        </w:rPr>
        <w:t>شاهدان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ثبوته بالثانية، فهو الأشهر، بل عليه عامّة من تأخّر عدا من سَيُذكر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وادّعى الآخر عليه الإجماع</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رؤية الهلال، ولا يجوزُ في الرَّجم شهادة رجلين وأربع نسوة، ويجوزُ في ذلك ثلاثة رجال وامرأتان، الحديث</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عن أبي جعفر عليه السلام في حديثٍ‌،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الرَّجم إذا كان ثلاثة رجال وامرأتان، وإذا كان أربع نسوة ورجلان، فلا يجوزُ الرَّجم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الرَّجم إلّامع ثلاثة رجال وامرأتين، فإنْ كان رجلان وأربعة نسوة فلا تجوز في الرَّجم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409"/>
      </w:r>
      <w:r>
        <w:rPr>
          <w:rFonts w:ascii="Amiri" w:hAnsi="Amiri" w:eastAsia="Amiri" w:cs="Amiri"/>
          <w:color w:val="111111"/>
          <w:sz w:val="28"/>
          <w:sz w:val="28"/>
          <w:szCs w:val="28"/>
          <w:rtl w:val="true"/>
          <w:lang w:bidi="ar-SA"/>
        </w:rPr>
        <w:t>، والمفيد</w:t>
      </w:r>
      <w:r>
        <w:rPr>
          <w:rStyle w:val="FootnoteAnchor"/>
          <w:rtl w:val="true"/>
        </w:rPr>
        <w:footnoteReference w:id="410"/>
      </w:r>
      <w:r>
        <w:rPr>
          <w:rFonts w:ascii="Amiri" w:hAnsi="Amiri" w:eastAsia="Amiri" w:cs="Amiri"/>
          <w:color w:val="111111"/>
          <w:sz w:val="28"/>
          <w:sz w:val="28"/>
          <w:szCs w:val="28"/>
          <w:rtl w:val="true"/>
          <w:lang w:bidi="ar-SA"/>
        </w:rPr>
        <w:t>، وسلّار</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ثبوته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دلّ من النصوص المتقدّمة على عدم قبول شهادتهنّ في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وللنصوص</w:t>
      </w:r>
      <w:r>
        <w:rPr>
          <w:rStyle w:val="FootnoteAnchor"/>
          <w:rtl w:val="true"/>
        </w:rPr>
        <w:footnoteReference w:id="412"/>
      </w:r>
      <w:r>
        <w:rPr>
          <w:rFonts w:ascii="Amiri" w:hAnsi="Amiri" w:eastAsia="Amiri" w:cs="Amiri"/>
          <w:color w:val="111111"/>
          <w:sz w:val="28"/>
          <w:sz w:val="28"/>
          <w:szCs w:val="28"/>
          <w:rtl w:val="true"/>
          <w:lang w:bidi="ar-SA"/>
        </w:rPr>
        <w:t>الحاصرة لقبول الشّهادة في الزّنا بأربعة شهود، إذ ليس المراد بهم ما يعمّ النساء، فإنّ ما يحتمل إنّما هو ثبوته بثلاثة رجال وامرأتين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محمّد بن مسلم،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ثلاثة رجال وامرأتان لم يجز في الرَّجم، الحديث</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الحصر في الأوّل منصوصٌ في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شَهِد رجلان وأربعة نسوة، ثَبَت الجَلد دون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نصوص عدم قبول شهادتهنّ في الحدود مطلقة، يُقيّد إطلاقها بما مرّ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الحاصرة لو تمّت دلالتها، غايتها الإطلاق، والمقيّد مقدّمٌ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قاصرٌ عن المعارضة للنصوص المتقدّمة الموافقة لفتوى جُلّ الأصحاب،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الكتاب ما يدلّ على الحصر، هكذا اُجيب عن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يدلّ على ذلك، فإنّه يدلّ بالإطلاق على وجوب حَدّ القذف، وإن أتى بثلاثة رجال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فالحقّ في الجواب أنّ إطلاقه أيضاً يقيّد بالنصوص المتقدّمة، فالأظهر أنّه يثبت بها أيضاً،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من التوقّف ضعيفٌ‌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رجلان وأربعة نسوة، ثَبَت الجَلد دون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والإسكافي</w:t>
      </w:r>
      <w:r>
        <w:rPr>
          <w:rStyle w:val="FootnoteAnchor"/>
          <w:rtl w:val="true"/>
        </w:rPr>
        <w:footnoteReference w:id="417"/>
      </w:r>
      <w:r>
        <w:rPr>
          <w:rFonts w:ascii="Amiri" w:hAnsi="Amiri" w:eastAsia="Amiri" w:cs="Amiri"/>
          <w:color w:val="111111"/>
          <w:sz w:val="28"/>
          <w:sz w:val="28"/>
          <w:szCs w:val="28"/>
          <w:rtl w:val="true"/>
          <w:lang w:bidi="ar-SA"/>
        </w:rPr>
        <w:t>، والحِلّي</w:t>
      </w:r>
      <w:r>
        <w:rPr>
          <w:rStyle w:val="FootnoteAnchor"/>
          <w:rtl w:val="true"/>
        </w:rPr>
        <w:footnoteReference w:id="418"/>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والشهيدين في اللّمعتين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ووعن العلّامة المجلسي</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423"/>
      </w:r>
      <w:r>
        <w:rPr>
          <w:rFonts w:ascii="Amiri" w:hAnsi="Amiri" w:eastAsia="Amiri" w:cs="Amiri"/>
          <w:color w:val="111111"/>
          <w:sz w:val="28"/>
          <w:sz w:val="28"/>
          <w:szCs w:val="28"/>
          <w:rtl w:val="true"/>
          <w:lang w:bidi="ar-SA"/>
        </w:rPr>
        <w:t>، والقاضي</w:t>
      </w:r>
      <w:r>
        <w:rPr>
          <w:rStyle w:val="FootnoteAnchor"/>
          <w:rtl w:val="true"/>
        </w:rPr>
        <w:footnoteReference w:id="424"/>
      </w:r>
      <w:r>
        <w:rPr>
          <w:rFonts w:ascii="Amiri" w:hAnsi="Amiri" w:eastAsia="Amiri" w:cs="Amiri"/>
          <w:color w:val="111111"/>
          <w:sz w:val="28"/>
          <w:sz w:val="28"/>
          <w:szCs w:val="28"/>
          <w:rtl w:val="true"/>
          <w:lang w:bidi="ar-SA"/>
        </w:rPr>
        <w:t>، والحلبي</w:t>
      </w:r>
      <w:r>
        <w:rPr>
          <w:rStyle w:val="FootnoteAnchor"/>
          <w:rtl w:val="true"/>
        </w:rPr>
        <w:footnoteReference w:id="42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ثبوت الجَلد بشهادة رجلين وأربع نساء دليلٌ صالحٌ‌، فإنّ جماعة من الأصحاب ذهبوا إلى عدم وجوب شيء بهذه البيّنة لذلك، وهو الوجه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الرَّجم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لموثّق الحلبي كالصحيح،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مُحصَن فَجَر بامرأةٍ‌، فشهد عليه ثلاثة رجال وامرأتان، وجب عليهم الرَّجم، وإن شهد عليه رجلان وأربعة نسوة، فلا تجوز شهادتهم ولا يُرجم، ولكن يُضرَب حَدّ الزّاني</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الفضيل، عن أبى الحسن الرّضا عليه السلام فى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يُقبل رَجلٌ واحدٌ مع النساء وإنْ كَثُرن،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شهادتهنّ في حَدّ الزّنا إذا كان ثلاثة رجال وامرأتان، ولا تجوزُ شهادة رجلين وأربع نسوة في الزّنا والرَّجم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ليس في ذكر الزّنا مع الرَّجم فائدة إلّابيان عدم ثبوت الجَلد أيضاً، المؤيّد بعموم ما دلّ على قبول شهادتهنّ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وإنْ كان في نفسه ظاهراً في ذلك، لما ذكر، ولإطلاق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في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الجمع بينه وبين الموثّق يقتضي تقييد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قوله في الزّنا والرَّجم على إرادة الزّنا المترتّب عليه جميع أحكامه منها الرَّجم، ليكون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للزِّنا، وإن أبيت عن كون ذلك جمعاً عرفيّاً، فالموثّق يُقدّم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ما دلّ على عدم قبول شهادتهنّ في الحدود، فيخصّص بالموثّق، ومعه لا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بمستنده، والنصوص المتقدّمة تدلّ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هو المنصور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واحد مع النساء وإن كثرن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 نساءٍ أو أكثر، ولا شهادة النساء منفردات عن الرِّجال، كما هو المشهور بين الأصحاب، بل لا خلاف يعتدّ به، لما دلّ‌</w:t>
      </w:r>
      <w:r>
        <w:rPr>
          <w:rStyle w:val="FootnoteAnchor"/>
          <w:rtl w:val="true"/>
        </w:rPr>
        <w:footnoteReference w:id="431"/>
      </w:r>
      <w:r>
        <w:rPr>
          <w:rFonts w:ascii="Amiri" w:hAnsi="Amiri" w:eastAsia="Amiri" w:cs="Amiri"/>
          <w:color w:val="111111"/>
          <w:sz w:val="28"/>
          <w:sz w:val="28"/>
          <w:szCs w:val="28"/>
          <w:rtl w:val="true"/>
          <w:lang w:bidi="ar-SA"/>
        </w:rPr>
        <w:t>على عدم قبول شهادتهنّ في الحدودب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 أقلّ من أربعة حُدُّوا للفِرية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 إطلاقه بما مرّ، ولمفهوم صحيح محمّد بن الفضيل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ثبوت الرَّجم بهما فالنصوص المتقدّمة شاهدة به، مضافاً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أقلّ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حكمهم لم يثبت الحَدّ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 للفرية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ولتسميتهم اللّه تعالى كاذبين،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وللأخبار الكثيرة</w:t>
      </w:r>
      <w:r>
        <w:rPr>
          <w:rStyle w:val="FootnoteAnchor"/>
          <w:rtl w:val="true"/>
        </w:rPr>
        <w:footnoteReference w:id="432"/>
      </w:r>
      <w:r>
        <w:rPr>
          <w:rFonts w:ascii="Amiri" w:hAnsi="Amiri" w:eastAsia="Amiri" w:cs="Amiri"/>
          <w:color w:val="111111"/>
          <w:sz w:val="28"/>
          <w:sz w:val="28"/>
          <w:szCs w:val="28"/>
          <w:rtl w:val="true"/>
          <w:lang w:bidi="ar-SA"/>
        </w:rPr>
        <w:t>الآتي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أقام الشّهادة بعض الشهود في وقت عدم حضور الباقين على وجهٍ لايحصل به اتّصال الشّهادة عرفاً، حُدّوا للقذف، ولا يُنتظر إتمام البيّنة، بلا خلافٍ مُحقّق أجده فيه، إلّاما يُحكى عن جابر بن سعيد، وهو شاذٌ،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أميرالمؤمنين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شهدوا على رجلٍ بالزّنا؟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الرابع‌؟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عبّادالبصري،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 شهدوا على رجلٍبالزّنا، وقالوا الآن يأتي بالرابع‌؟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 القاذف ثمانين جلدة كلّ رجلٍ منهم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ضعفهما لو كان بالعمل والاستناد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 الشّهادة إذا تكاملت الشهود، بأن حَضَر الرابع بعد الحَدّ وشَهد؟</w:t>
      </w:r>
    </w:p>
    <w:p>
      <w:pPr>
        <w:pStyle w:val="BookText"/>
        <w:rPr/>
      </w:pPr>
      <w:r>
        <w:rPr>
          <w:rFonts w:ascii="Amiri" w:hAnsi="Amiri" w:eastAsia="Amiri" w:cs="Amiri"/>
          <w:color w:val="111111"/>
          <w:sz w:val="28"/>
          <w:sz w:val="28"/>
          <w:szCs w:val="28"/>
          <w:rtl w:val="true"/>
          <w:lang w:bidi="ar-SA"/>
        </w:rPr>
        <w:t>الظاهر ذلك، كما عن الشيخ</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الأدلّة، وعدم الدليل على اعتبار حضور الجميع قبل الشّهادة للإقامة، بحيثُ لا يكفي لو تفرّقوا في الحضور، وإن اجتمعوا في الإقامة،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وولده في الشرح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ذكروه من اعتبار ايقاع الشّهادة في مجلسٍ واحد، فإنْ كان إجماعيّاً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فالأظهر عدم اعتباره أيضاً، والظاهر عدم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تكامل شهود الزّنا، فقد ثبت الحكم بشهادتهم، سواء شهدوا في مجلسٍ واحد أو في مجالس، وشهادتهم مفترقين أحوط</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ثبوت الحَدّ على الشهود بين ما إذا لم يَحضر بعضهم مجلس الشّهادة، أو حَضَر ولم يشهد، لصحيح محمّد بن قيس، عن الإمام الباقر عليه 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رجلٌ ولا امرأة حتّى يشهد عليهما أربعة شهود على الإيلاج والإخراج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4" w:name="pg11384_112339"/>
    </w:p>
    <w:p>
      <w:pPr>
        <w:pStyle w:val="BookText"/>
        <w:rPr/>
      </w:pPr>
      <w:bookmarkEnd w:id="94"/>
      <w:r>
        <w:rPr>
          <w:rFonts w:ascii="Amiri" w:hAnsi="Amiri" w:eastAsia="Amiri" w:cs="Amiri"/>
          <w:color w:val="111111"/>
          <w:sz w:val="28"/>
          <w:sz w:val="28"/>
          <w:szCs w:val="28"/>
          <w:rtl w:val="true"/>
          <w:lang w:bidi="ar-SA"/>
        </w:rPr>
        <w:t>ويُشترط في الشّهادة اتّفاقها من كلّ وجهٍ‌،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أوّل الشهودالأربعة، أخشى الرّوعة أن يَنكل بعضهم فاُجلد</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من عدم ثبوت حَدّ القذف في الثاني، غريبٌ‌، وأغرب منه ما استدلّ به لذلك من الوجوه الاعتباريّة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83379_73709187"/>
      <w:bookmarkStart w:id="96" w:name="_Toc32"/>
      <w:bookmarkEnd w:id="95"/>
      <w:r>
        <w:rPr>
          <w:rtl w:val="true"/>
        </w:rPr>
        <w:t>اعتبار الاتّفاق والمشاهدة في الشّهادة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الشّهادة اتّفاقها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بتواردهم على الفعل الواحد، فلو اختلفوا كأن شَهد بعضهم على وجهٍ مخصوص، والباقون على غيره، أو شهد بعضهم في زاويةٍ مخصوصة أو بيتٍ‌، والآخرون في غيره، أو شَهِد بعضهم في يوم الجمعة والباقون في يوم السبت وهكذا، لم يُحدّ المشهود عليه، وحُدّ الشهود للفرية، بلا خلافٍ‌، بل ولا إشكال مع عدم اتّفاق الشهود على شيء واحد، كما في غير المقام من موارد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يشهد به موثّق عمّار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يشهد عليه ثلاثة رجال أنّه قد زنا بفلانة، ويشهدُ الرابع أنّه لا يدري بمن زنى‌؟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ولا يُرجم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والمُشاهَدة عياناً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زائداً على ذلك أنّه لو تعرّض بعضهم لخصوصيّةٍ تعرّض الباقين لها، ولا يكفي الإطلاق، ولا قوله لا أعلم، ليكون ذلك شرطاً تعبّديّاً في المقام، كما هو الظاهر من عبارات الأصحاب على ما قيل‌؟</w:t>
      </w:r>
    </w:p>
    <w:p>
      <w:pPr>
        <w:pStyle w:val="BookText"/>
        <w:rPr/>
      </w:pPr>
      <w:r>
        <w:rPr>
          <w:rFonts w:ascii="Amiri" w:hAnsi="Amiri" w:eastAsia="Amiri" w:cs="Amiri"/>
          <w:color w:val="111111"/>
          <w:sz w:val="28"/>
          <w:sz w:val="28"/>
          <w:szCs w:val="28"/>
          <w:rtl w:val="true"/>
          <w:lang w:bidi="ar-SA"/>
        </w:rPr>
        <w:t xml:space="preserve">أم لا يعتبر ذلك،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وجهان، من الموثّق والتتميم في غير مورده بالإجماع المركّب، ومن أنّه حكمٌ تعبّدي يُقتصر على مورده، ولا إجماع مركّب،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أطلق الشهود بمعاينة الإدخال والإخراج على وجه الزّنا، من غير تعرّضٍ للزمان والمكان كفى، ويُحدّ المشهود عليه كما 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فالبينة بالزّنا وهو أن يشهد أربعة نفر عدول على رجلٍ بأنّه وطئ امرأةً‌، وليس بينه وبينها عقدٌ ولا شُبهة عقدٍ، شاهدوه وطئها في الفرج، فإذا شهدوا كذلك قُبِلَت شهادتهم، وحُكم عليه بالزّنا، وكان عليه ما على فاعله ممّا نبينه فيما بعد</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صريحٌ في عدم اعتبار التقييد بالزمان والمكان، وقريبٌ منه كلمات غيره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يعتبر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المشاهدة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للولوج في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كالميل في المِكْحَلة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رجلٌ ولا امرأة حتّى يشهد عليه أربعة شهود على الإيلاج والإخراج</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أن يشهد أربع أنّهم رأوه يُدخل ويُخرج</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الرّجل والمرأة حتّى يشهد عليهما أربعة شهداء على الجماع والإيلاج، والإدخال كالميل في المِكحلة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هكذا استدلّوا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هل يتوقّف ثبوت الحَدّ على كون الشّهادة بخصوص الإدخال والإخراج، أم تكفي الشّهادة بالمقدّمات كالجلوس منها مجلس الرّجل من امرأته‌؟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العلم بذلك أم يكفي الظَّن مثلاً؟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زائداً على العلم، الشّهادة بالرؤية، فلو عَلموا بذلك من غير ناحية الرؤية لا يكفي، أم لا يعتبر 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كون الشّهادة نصّاً، أم يكفي الظهور العرفي‌؟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الكلام بينهم في كلّ واحدٍ من هذه الاُمور مع الخلط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اعتباره للنصوص المتقدّمة، ولما دلّ على ثبوت الحَدّ للزِّنا، وأنّ حقيقته إدخال الذكر في فرج من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الشاهد إنّه قد جلس منها مجلس الرّجل من امرأته أُقيم عليه الحَدّ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قاصرٌ عن مقاومة غيره سنداً وعدداً بل وعملاً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449"/>
      </w:r>
      <w:r>
        <w:rPr>
          <w:rFonts w:ascii="Amiri" w:hAnsi="Amiri" w:eastAsia="Amiri" w:cs="Amiri"/>
          <w:color w:val="111111"/>
          <w:sz w:val="28"/>
          <w:sz w:val="28"/>
          <w:szCs w:val="28"/>
          <w:rtl w:val="true"/>
          <w:lang w:bidi="ar-SA"/>
        </w:rPr>
        <w:t>، والعلّامة المجلسي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والجمعُ بينه وبين النصوص المتقدّمة، بأنّه في الجَلد وهي في الرَّجم،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الأخبار الواردة في اجتماع الرّجل والمرأة في لحافٍ واحد، فمنها ما يدلّ على الحَدّ، وهو موافقٌ للموثّق، ومنها ما يدلّ على النقيصة، وهو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المضاجعة في لحاف واحد، فسيأتي الكلام فيها عند تعرّض المصنّف رحمه الله لتلك المسألة، وأمّا الموثّق فالظاهر منه كون التعبير المذكور تعبيراً عن الزّنا، وليس المراد به جلوسه في وسط رجليها من دون أن يدخل بها، ويكون ذلك تعبيراً كنائيّاً، وعليه فلا ينافي النصوص الدالّة على اعتبار الإدخال والإخراج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باعتباره جميع ما دلّ على اعتبار العلم بالمشهود به في الشّهادة، وأمّا النصوص المتقدّمة فليس فيها ما يدلّ على ذلك، سوى تضمّن الشّهادة بالرؤية، ولكن العمومات 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لاعتبار كون الشّهادة بالرؤية، بأنّ الشّهادة إنّما تُسمع بما عوين أو سَمع، ولا معنى للزِّنا حقيقةً إلّاذلك، فلا تُسمع الشّهادة به إلّاإذا عوين كذلك،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كتاب الشهادات</w:t>
      </w:r>
      <w:r>
        <w:rPr>
          <w:rStyle w:val="FootnoteAnchor"/>
          <w:rtl w:val="true"/>
        </w:rPr>
        <w:footnoteReference w:id="452"/>
      </w:r>
      <w:r>
        <w:rPr>
          <w:rFonts w:ascii="Amiri" w:hAnsi="Amiri" w:eastAsia="Amiri" w:cs="Amiri"/>
          <w:color w:val="111111"/>
          <w:sz w:val="28"/>
          <w:sz w:val="28"/>
          <w:szCs w:val="28"/>
          <w:rtl w:val="true"/>
          <w:lang w:bidi="ar-SA"/>
        </w:rPr>
        <w:t>من أنّه لا دليل على اعتبار السماع أو المعاينة في الشّهادة، وإنّما المعتبر هو العلم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بخبري أبي بصير، المتضمّنين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في الزّنا أن يَشهد أربعة أنّهم رأوه يُدخل ويُخرج</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بواسطة ما دلّ على اعتبار العلم في الشّهادة، وبقيّة نصوص الباب، المتضمّنة لأنّه لا يُرجم إلّاإذا شهد عليه أربعة شهداء بالإيلاج والإدخال، بلا اعتبار شيءٍ آخر، وكون الرؤية طريقاً إلى العلم بالمشهود به، يمكن أن يقال إنّ الرؤية المأخوذة في الموضوع إنّما هي لأجل طريقيّتها إلى ثبوت المشهود به، الذي يكون من المبصرات لا لخصوصيّة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فسبيل الخبرين سبيل ما دلّ على اعتبار العلم في الشّهادة، ولا يدلّان على اعتبار شيء زائداً عليه، ويترتّب على هذا قيام الأمارات الاُخر مقامها، وكذا العلم الحاصل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فالمتعيّن تخصيصهما بموردهما، وهو الرَّجم، ولا دليل على اعتبار الرؤية والمشاهدة في ثبوت الجَلد، وإطلاق سائر الأدلّة والأصل يدلّان على عدم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7" w:name="pg11384_112344"/>
    </w:p>
    <w:p>
      <w:pPr>
        <w:pStyle w:val="BookText"/>
        <w:rPr/>
      </w:pPr>
      <w:bookmarkEnd w:id="97"/>
      <w:r>
        <w:rPr>
          <w:rFonts w:ascii="Amiri" w:hAnsi="Amiri" w:eastAsia="Amiri" w:cs="Amiri"/>
          <w:color w:val="111111"/>
          <w:sz w:val="28"/>
          <w:sz w:val="28"/>
          <w:szCs w:val="28"/>
          <w:rtl w:val="true"/>
          <w:lang w:bidi="ar-SA"/>
        </w:rPr>
        <w:t>ولو شَهِدوا بالمُضاجعة والمعانقة والتقبيل والتفخيذ، ثَبَت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المركّب التعبّدي غيرُ ثابتٍ‌، سيّما وأنّ جماعة اعتبروا المشاهدة، لبنائهم على اعتبارها في الشهادات مطلقاً، وبالتالي فلا ينبغي التوقّف في عدم اعتبار المشاهدة في ثبوت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المتقدّمة المصرّحة بالشهادة بالإيلاج والإخراج والجماع، وإنْكانت مُشعرة باعتبار الصراحة، ولكن الظاهركفاية الظهور العرفي، فإنّه إذا كان لكلامه ظهورٌ في الإيلاج، كان ذلك شهادة به، ويشمله 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من أنّه إذا شهد لا بنحو الصراحة، كما لو شهد بأنّه زنى، وبما أنّ الزّنا يُطلق على التفخيذ ونحوه، فلو لم يصرّح الشهود بالإدخال والإخراج لم تكن الشّهادة نصّاً في الموجب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عدم كونه نصّاً فيه، بعد كونه ظاهراً والظهور حجّة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كلمات القوم في المقام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83381_73709187"/>
      <w:bookmarkStart w:id="99" w:name="_Toc33"/>
      <w:bookmarkEnd w:id="98"/>
      <w:r>
        <w:rPr>
          <w:rtl w:val="true"/>
        </w:rPr>
        <w:t>حَدّ التقبيل والمضاجعة</w:t>
      </w:r>
      <w:bookmarkEnd w:id="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شهدوا بالمضاجعة، والمعانقة، والتقبيل، والتفخيذ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هو استمتاع بما دون الفرج، ومحرّم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فيناط بما يراه الحاكم، بلا خلافٍ‌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للنصوص</w:t>
      </w:r>
      <w:r>
        <w:rPr>
          <w:rStyle w:val="FootnoteAnchor"/>
          <w:rtl w:val="true"/>
        </w:rPr>
        <w:footnoteReference w:id="455"/>
      </w:r>
      <w:r>
        <w:rPr>
          <w:rFonts w:ascii="Amiri" w:hAnsi="Amiri" w:eastAsia="Amiri" w:cs="Amiri"/>
          <w:color w:val="111111"/>
          <w:sz w:val="28"/>
          <w:sz w:val="28"/>
          <w:szCs w:val="28"/>
          <w:rtl w:val="true"/>
          <w:lang w:bidi="ar-SA"/>
        </w:rPr>
        <w:t>الدالّة على أنّ كلّ من خالف الشرع فعليه حَدّ أو 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النصوص الدالّة على ثبوت التعزير في هذا الباب في الموارد الخارجة عمّا قَدَر فيها الحَدّ، كزنا غير البالغ، والبالغة، وغيرهما، والتعزير إنّما فوّض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خصوص ما لو وُجِد الرّجل والمرأة في لحافٍ واحد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الحَدّ عليهما، لا حظ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الجَلد أن يوجدا في لحافٍ واحد، الحديث</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الجَلد في الزّنا أن يوجدا في لحاف واحد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الحذّاء،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والمرأة في لحافٍ واحد جُلدا مائة جلدة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البصري،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والمرأة في لحافٍ واحد، قامت عليهما بذلك بيّنة، ولم يطّلع منهماعلى سوى ذلك، جُلِد كلّ واحدٍ منهما مائة جلدة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والمرأة يوجدان في لحافٍ واحد جُلدا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مائة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يُجلد كلّ واحدٍ منهما دون الحَدّ كصحيح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وَجد رجلاً وامرأة في لحافٍ واحد، فضرب كلّ واحد منهما مائة سوط إلّاسوطاً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والمرأة يوجدان في اللّحاف‌؟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مائة مائة غير سوط</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نصوص المائة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الإمام بالزّنا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عزره الإمام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الحمل على التقيّة يتمّ مع عدم إمكان الجمع، وعدم وجود غيره من المرجّحات السابقة على ذلك، والأخيرين جمعان تبرّعيان لا شاهد لهما، بل موثّق البصري يشهدُ بخلاف الأوّل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المائة أعرض الأصحاب عنها، فهي ساقطة عن الحجيّة، ولابأس بحملها على التقيّة، وقد ورد نظيرها في رجلين أو امرأتين يوجدان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0" w:name="pg11384_112347"/>
    </w:p>
    <w:p>
      <w:pPr>
        <w:pStyle w:val="BookText"/>
        <w:rPr/>
      </w:pPr>
      <w:bookmarkEnd w:id="100"/>
      <w:r>
        <w:rPr>
          <w:rFonts w:ascii="Amiri" w:hAnsi="Amiri" w:eastAsia="Amiri" w:cs="Amiri"/>
          <w:color w:val="111111"/>
          <w:sz w:val="28"/>
          <w:sz w:val="28"/>
          <w:szCs w:val="28"/>
          <w:rtl w:val="true"/>
          <w:lang w:bidi="ar-SA"/>
        </w:rPr>
        <w:t>ولو أقرَّ بما يوجبُ الرَّجم ثُمّ أنكر سَقَط،</w:t>
      </w:r>
    </w:p>
    <w:p>
      <w:pPr>
        <w:pStyle w:val="BookText"/>
        <w:rPr/>
      </w:pPr>
      <w:r>
        <w:rPr>
          <w:rFonts w:ascii="Amiri" w:hAnsi="Amiri" w:eastAsia="Amiri" w:cs="Amiri"/>
          <w:color w:val="111111"/>
          <w:sz w:val="28"/>
          <w:sz w:val="28"/>
          <w:szCs w:val="28"/>
          <w:rtl w:val="true"/>
          <w:lang w:bidi="ar-SA"/>
        </w:rPr>
        <w:t>في لحافٍ واحد، وفي الرجلين رواية</w:t>
      </w:r>
      <w:r>
        <w:rPr>
          <w:rStyle w:val="FootnoteAnchor"/>
          <w:rtl w:val="true"/>
        </w:rPr>
        <w:footnoteReference w:id="464"/>
      </w:r>
      <w:r>
        <w:rPr>
          <w:rFonts w:ascii="Amiri" w:hAnsi="Amiri" w:eastAsia="Amiri" w:cs="Amiri"/>
          <w:color w:val="111111"/>
          <w:sz w:val="28"/>
          <w:sz w:val="28"/>
          <w:szCs w:val="28"/>
          <w:rtl w:val="true"/>
          <w:lang w:bidi="ar-SA"/>
        </w:rPr>
        <w:t>مشعرة بكون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المائة إلّاسوط، فلم أجد قائلاً بتعيّنها، بل المشهور بين الأصحاب عدم التقدير، إلّابما دون الحَدّ، ولا بأس بحمل نصوصها على إرادة المائة إلّاسوط فما دون الحَدّ، بقرينة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والإسكافي</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التحديد في طرف الأقلّ بالعشرة فلا وجه له، كما لا وجه لما عن بعضهم من التحديد بالثلاثين فما فوق</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83383_73709187"/>
      <w:bookmarkStart w:id="102" w:name="_Toc34"/>
      <w:bookmarkEnd w:id="101"/>
      <w:r>
        <w:rPr>
          <w:rtl w:val="true"/>
        </w:rPr>
        <w:t>لو أقرّ بالزّنا ثمّ أنكر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بما يوجبُ الرَّجم، ثمّ أنكر،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بلا خلافٍ‌، بل عليه الإجماع، له وللصحيح المرويّ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بحَدٍّ أقمته عليه، إلّاالرَّجم، فإنّه إذا أقرّ على نفسه ثُمّ جَحَد لم يُرجَم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أقرَّ على نفسه بحَدٍّ ثمّ جَحد بعد؟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أنّه سرق ثُمّ جَحَد قَطعتُ يده وإن رغم أنفه، وإن أقرّ على نفسه أنّه شَرب خمراً أو بفريّةٍ فاجلدوه ثمانين جلدة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بحَدٍّ لم يسقط، ولو أقرّ ثُمّ تابَ تخيّر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على نفسه بحَدٍّ يجبُ فيه الرَّجم أكنتَ راجمه‌؟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كنتُ ضاربه الحَدّ</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صحيحا</w:t>
      </w:r>
      <w:r>
        <w:rPr>
          <w:rStyle w:val="FootnoteAnchor"/>
          <w:rtl w:val="true"/>
        </w:rPr>
        <w:footnoteReference w:id="469"/>
      </w:r>
      <w:r>
        <w:rPr>
          <w:rFonts w:ascii="Amiri" w:hAnsi="Amiri" w:eastAsia="Amiri" w:cs="Amiri"/>
          <w:color w:val="111111"/>
          <w:sz w:val="28"/>
          <w:sz w:val="28"/>
          <w:szCs w:val="28"/>
          <w:rtl w:val="true"/>
          <w:lang w:bidi="ar-SA"/>
        </w:rPr>
        <w:t>محمّد والكناني، وصحيحه الآخر، ومرسلا جميل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يستفاد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ولو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 عليه والعفو عنه، رجماً كان أو غيره، بلا خلافٍ إلّاعن الحِلّي</w:t>
      </w:r>
      <w:r>
        <w:rPr>
          <w:rStyle w:val="FootnoteAnchor"/>
          <w:rtl w:val="true"/>
        </w:rPr>
        <w:footnoteReference w:id="471"/>
      </w:r>
      <w:r>
        <w:rPr>
          <w:rFonts w:ascii="Amiri" w:hAnsi="Amiri" w:eastAsia="Amiri" w:cs="Amiri"/>
          <w:color w:val="111111"/>
          <w:sz w:val="28"/>
          <w:sz w:val="28"/>
          <w:szCs w:val="28"/>
          <w:rtl w:val="true"/>
          <w:lang w:bidi="ar-SA"/>
        </w:rPr>
        <w:t>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البرقي،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الآتيين، وهما وإنْ كانا مطلقين شاملين لصورة الرجوع والتوبة وعدمهما، لكنّه يقيّد إطلاقهما في صورة الرجوع بالصِّحاح المتقدّمة، وفي صورة عدم التوبة بالإجماع، فيختصّان بصورة التوبة، وهما وإنْ اختصّا بالإمام كظاهر الفتاوى، إلّاأنّ الظاهر بواسطة التعليل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بالإمام مطلق من يُجري الحدود أو يتعدّى عنه إلى غيره بعموم العلّة، وعدم القول بالفصل، فيثبتُ التخيير للحاكم أيضاً في زمان الغيبة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حدود اللّه والحدود التي للناس، وإنْ كان بينهما فرقٌ من ناحية أُخرى‌، وهي أنّه في حقّ النّاس لصاحب الحقّ أن يَعفى عنه دون الإمام، كما يشهد به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تابَ بعد البيّنة، تحتَّمت الإقامة، ولو كان قبلها سَقَط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الكناسي،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يُعفى عن الحدود التي للّه دون الإمام، فأمّا ما كان من حقّ النّاس في حَدٍّ فلا بأس بأن يعفى عنه دون الإمام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تمام الكلام فيه في حَدّ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تحتَّمت الإقامة، ولو كان قبلها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الأوّل، وبلا خلافٍ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اُقيمت عليه البيّنة بأنّه زنى، ثمّ هَرَب قبل أن يُضرب‌؟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 وإن وقع في يد الإمام أقام عليه الحَدّ، وإن علم مكانه بعث إليه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بعده فيما بينه وبين اللّه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الفرق بين الإقرار 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البرقي، عن بعض الصادقين عليهم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البيّنة فليس للإمام أن يعفو، وإذا أقرّ الرّجل على نفسه فذاك إلى الإمام إن شاء عَفى وإنْ شاء قطع</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الثالث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الرّجل الذي اعترف باللّواط، فإنّه لم يقم عليه البيّنة، وإنّما تطوّع بالإقرار من نفسه، الحديث</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الرَّد إلى الحفيرة لو قامت البيّنة، وعدمه لو أقرّ، كخبر الحسين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هرب من الحفيرة هل يُردّ حتّى يُقام عليه الحَدّ؟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ولا يُردّ،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المُقرّ على نفسه ثُمّ هَرَب من الحفيرة بعدما يُصيبه شيء من الحجارة لم يردّ، وإنْ كان إنّما قامت عليه البيّنة وهو يجحد، ثمّ هَرب رُدَّ، وهو صاغرٌ حتّى يُقام عليه الحَدّ، الحديث</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تاب قبل قيام البيّنة سقط الحَدّ، مرسل جميل كالصحيح،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أو شرب الخمر أو زنا، فلم يعلم ذلك منه، ولم يؤخذ حتّى تابَ وصلح‌؟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وعُرف منه أمرٌ جميل، لم يقم عليه الحَدّ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أمراً قريباً لم تقم‌؟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خمسة أشهر أو أقلّ‌، وقد ظهر منه أمرٌ جميل لم تقم عليه الحدود، روى ذلك بعض أصحابنا عن أحدهما عليهما السلام، ولو ادّعى إذا أخذ التوبة قبل الثبوت، قُبل من غير يمين للشُّبهة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3" w:name="pg11384_112352"/>
    </w:p>
    <w:p>
      <w:pPr>
        <w:pStyle w:val="BookText"/>
        <w:rPr/>
      </w:pPr>
      <w:bookmarkEnd w:id="103"/>
      <w:r>
        <w:rPr>
          <w:rFonts w:ascii="Amiri" w:hAnsi="Amiri" w:eastAsia="Amiri" w:cs="Amiri"/>
          <w:color w:val="111111"/>
          <w:sz w:val="28"/>
          <w:sz w:val="28"/>
          <w:szCs w:val="28"/>
          <w:rtl w:val="true"/>
          <w:lang w:bidi="ar-SA"/>
        </w:rPr>
        <w:t>ويُقتل الزّاني بأُمّه أو بإحدى المُحرّمات نَسَباً،</w:t>
      </w:r>
    </w:p>
    <w:p>
      <w:pPr>
        <w:pStyle w:val="Heading4"/>
        <w:numPr>
          <w:ilvl w:val="3"/>
          <w:numId w:val="1"/>
        </w:numPr>
        <w:rPr/>
      </w:pPr>
      <w:bookmarkStart w:id="104" w:name="__RefHeading___Toc283385_73709187"/>
      <w:bookmarkStart w:id="105" w:name="_Toc35"/>
      <w:bookmarkEnd w:id="104"/>
      <w:r>
        <w:rPr>
          <w:rtl w:val="true"/>
        </w:rPr>
        <w:t>حَدّ الزّاني بإحدى المحارم</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الحَدّ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باُمّه، أو بإحدى المُحرّمات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كالبنت، والاُخت، والعمّة، والخالة ومن شاكل، بلا خلافٍ أجده، وبه صرّح جماعة بلغوا حَدّ الاستفاضة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طائفة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عبد اللّه بن بكير بن أعين كالصحيح،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زنا بذات محرمٍ حتّى يواقعها، ضُرب ضربةً بالسّيف أخذت منه ما أخذت، وإنْ كانت تابعته ضُرِبتْ بالسّيف أخذت منها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وليس لها خصم‌؟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عليه السلام إذا رفعا إليه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ذات محرمٍ أين يُضرَب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رقبته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ذات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بالسّيف،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حريز عن بكير بذلك</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عامر بن السمط،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اُخته‌؟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 فإنْ عاش خُلّد في السجن حتّى يموت</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المنجبر ضعف بعضها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دلالتها فقد استشكل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نظراً إلى أنّها تدلّ على الاكتفاء بالضربة الواحدة مطلقاً، أو في الرقبة، وهي لا تستلزم القتل، كما في صريح بعضها، أي المشتمل على التخليد في الحبس مع فرض عدم إتيانها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ما أفاده في النصوص، كفى للحكم بالقتل للنبويّ‌</w:t>
      </w:r>
      <w:r>
        <w:rPr>
          <w:rStyle w:val="FootnoteAnchor"/>
          <w:rtl w:val="true"/>
        </w:rPr>
        <w:footnoteReference w:id="486"/>
      </w:r>
      <w:r>
        <w:rPr>
          <w:rFonts w:ascii="Amiri" w:hAnsi="Amiri" w:eastAsia="Amiri" w:cs="Amiri"/>
          <w:color w:val="111111"/>
          <w:sz w:val="28"/>
          <w:sz w:val="28"/>
          <w:szCs w:val="28"/>
          <w:rtl w:val="true"/>
          <w:lang w:bidi="ar-SA"/>
        </w:rPr>
        <w:t>المنجبر بالإجماعات المحكيّة أنّه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ذات محرمٍ فاقتلوه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الوارد أحد أخبار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بالسّيف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رضاعاً،</w:t>
      </w:r>
    </w:p>
    <w:p>
      <w:pPr>
        <w:pStyle w:val="BookText"/>
        <w:rPr/>
      </w:pP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ظاهران في القتل، وبذلك يظهر دلالة الحسن عليه، وأنّ المراد من الضربة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التخليد في السجن، فلضعف سنده</w:t>
      </w:r>
      <w:r>
        <w:rPr>
          <w:rStyle w:val="FootnoteAnchor"/>
          <w:rtl w:val="true"/>
        </w:rPr>
        <w:footnoteReference w:id="487"/>
      </w:r>
      <w:r>
        <w:rPr>
          <w:rFonts w:ascii="Amiri" w:hAnsi="Amiri" w:eastAsia="Amiri" w:cs="Amiri"/>
          <w:color w:val="111111"/>
          <w:sz w:val="28"/>
          <w:sz w:val="28"/>
          <w:szCs w:val="28"/>
          <w:rtl w:val="true"/>
          <w:lang w:bidi="ar-SA"/>
        </w:rPr>
        <w:t>، وعدم عمل الأصحاب به، لايصلحُ للمقاومة لما تقدّم، وكذا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زنا الرّجل بذات محرمٍ حُدّ حَدّ الزّاني، إلّاأنّه أعظم ذنباً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يُقتل بضربةٍ بالسّيف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أنّه هل تلحق المحرّمات رضاعاً بالمحرّمات النسبيّة‌؟</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وهو صريح الماتن هنا،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رضاعاً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وبني إدريس</w:t>
      </w:r>
      <w:r>
        <w:rPr>
          <w:rStyle w:val="FootnoteAnchor"/>
          <w:rtl w:val="true"/>
        </w:rPr>
        <w:footnoteReference w:id="493"/>
      </w:r>
      <w:r>
        <w:rPr>
          <w:rFonts w:ascii="Amiri" w:hAnsi="Amiri" w:eastAsia="Amiri" w:cs="Amiri"/>
          <w:color w:val="111111"/>
          <w:sz w:val="28"/>
          <w:sz w:val="28"/>
          <w:szCs w:val="28"/>
          <w:rtl w:val="true"/>
          <w:lang w:bidi="ar-SA"/>
        </w:rPr>
        <w:t>وزُهرة</w:t>
      </w:r>
      <w:r>
        <w:rPr>
          <w:rStyle w:val="FootnoteAnchor"/>
          <w:rtl w:val="true"/>
        </w:rPr>
        <w:footnoteReference w:id="494"/>
      </w:r>
      <w:r>
        <w:rPr>
          <w:rFonts w:ascii="Amiri" w:hAnsi="Amiri" w:eastAsia="Amiri" w:cs="Amiri"/>
          <w:color w:val="111111"/>
          <w:sz w:val="28"/>
          <w:sz w:val="28"/>
          <w:szCs w:val="28"/>
          <w:rtl w:val="true"/>
          <w:lang w:bidi="ar-SA"/>
        </w:rPr>
        <w:t>وحمزة</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الإلحاق</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بامرأة الأب،</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إلحاق المحرّمات السَببيّة كأُمّ الزّوجة وبنتها بهنّ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الشيخ</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وبنو</w:t>
      </w:r>
    </w:p>
    <w:p>
      <w:pPr>
        <w:pStyle w:val="BookText"/>
        <w:rPr/>
      </w:pPr>
      <w:r>
        <w:rPr>
          <w:rFonts w:ascii="Amiri" w:hAnsi="Amiri" w:eastAsia="Amiri" w:cs="Amiri"/>
          <w:color w:val="111111"/>
          <w:sz w:val="28"/>
          <w:sz w:val="28"/>
          <w:szCs w:val="28"/>
          <w:rtl w:val="true"/>
          <w:lang w:bidi="ar-SA"/>
        </w:rPr>
        <w:t>زُهرة</w:t>
      </w:r>
      <w:r>
        <w:rPr>
          <w:rStyle w:val="FootnoteAnchor"/>
          <w:rtl w:val="true"/>
        </w:rPr>
        <w:footnoteReference w:id="497"/>
      </w:r>
      <w:r>
        <w:rPr>
          <w:rFonts w:ascii="Amiri" w:hAnsi="Amiri" w:eastAsia="Amiri" w:cs="Amiri"/>
          <w:color w:val="111111"/>
          <w:sz w:val="28"/>
          <w:sz w:val="28"/>
          <w:szCs w:val="28"/>
          <w:rtl w:val="true"/>
          <w:lang w:bidi="ar-SA"/>
        </w:rPr>
        <w:t>، وحمزة</w:t>
      </w:r>
      <w:r>
        <w:rPr>
          <w:rStyle w:val="FootnoteAnchor"/>
          <w:rtl w:val="true"/>
        </w:rPr>
        <w:footnoteReference w:id="498"/>
      </w:r>
      <w:r>
        <w:rPr>
          <w:rFonts w:ascii="Amiri" w:hAnsi="Amiri" w:eastAsia="Amiri" w:cs="Amiri"/>
          <w:color w:val="111111"/>
          <w:sz w:val="28"/>
          <w:sz w:val="28"/>
          <w:szCs w:val="28"/>
          <w:rtl w:val="true"/>
          <w:lang w:bidi="ar-SA"/>
        </w:rPr>
        <w:t>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الأب</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وهو مختار الماتن،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بإمرأة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 مقتضى إطلاق النصوص المتقدّمة الإلحاق في الموردين، فإنّ المُحرّم من يحرم نكاحها مؤبّداً بنَسَبٍ أو بسببٍ أو رضاع، ولكن المنساق إلى الذهن ممّن اُخذ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محرمة بقول مطلق وفي نفسها، فلا تشمل من صارت محرمة بالمصاهرة أو الرّضاع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والمتبادر من ذات المُحرّم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كلام غيره، ومع التنزّل فغاية ما هناك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جواز قتل من زنى بغير المحرّمات النسبيّة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w:t>
      </w:r>
      <w:r>
        <w:rPr>
          <w:rStyle w:val="FootnoteAnchor"/>
          <w:rtl w:val="true"/>
        </w:rPr>
        <w:footnoteReference w:id="501"/>
      </w:r>
      <w:r>
        <w:rPr>
          <w:rFonts w:ascii="Amiri" w:hAnsi="Amiri" w:eastAsia="Amiri" w:cs="Amiri"/>
          <w:color w:val="111111"/>
          <w:sz w:val="28"/>
          <w:sz w:val="28"/>
          <w:szCs w:val="28"/>
          <w:rtl w:val="true"/>
          <w:lang w:bidi="ar-SA"/>
        </w:rPr>
        <w:t>على تنزيل الرّضاع منزلة النَسَب، يختصُّ بالنكاح، ولا يشمل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الزّنا بزوجة الأب، دلّ النّص</w:t>
      </w:r>
      <w:r>
        <w:rPr>
          <w:rStyle w:val="FootnoteAnchor"/>
          <w:rtl w:val="true"/>
        </w:rPr>
        <w:footnoteReference w:id="502"/>
      </w:r>
      <w:r>
        <w:rPr>
          <w:rFonts w:ascii="Amiri" w:hAnsi="Amiri" w:eastAsia="Amiri" w:cs="Amiri"/>
          <w:color w:val="111111"/>
          <w:sz w:val="28"/>
          <w:sz w:val="28"/>
          <w:szCs w:val="28"/>
          <w:rtl w:val="true"/>
          <w:lang w:bidi="ar-SA"/>
        </w:rPr>
        <w:t>على الرَّجم، والأصحاب عملوا به، فضعفه منجبرٌ بالعمل، فيُعمل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6" w:name="pg11384_112357"/>
    </w:p>
    <w:p>
      <w:pPr>
        <w:pStyle w:val="BookText"/>
        <w:rPr/>
      </w:pPr>
      <w:bookmarkEnd w:id="106"/>
      <w:r>
        <w:rPr>
          <w:rFonts w:ascii="Amiri" w:hAnsi="Amiri" w:eastAsia="Amiri" w:cs="Amiri"/>
          <w:color w:val="111111"/>
          <w:sz w:val="28"/>
          <w:sz w:val="28"/>
          <w:szCs w:val="28"/>
          <w:rtl w:val="true"/>
          <w:lang w:bidi="ar-SA"/>
        </w:rPr>
        <w:t>أو بالمسلمة إذا كان ذمّياً، أو بمن أكرهها عليه مُحصَناً كان أو غير مُحصَن، عبداً أو حُرّاً، مسلماً كان أو كافراً</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83387_73709187"/>
      <w:bookmarkStart w:id="108" w:name="_Toc36"/>
      <w:bookmarkEnd w:id="107"/>
      <w:r>
        <w:rPr>
          <w:rtl w:val="true"/>
        </w:rPr>
        <w:t>بيان حَدّ اليهودي أو النصراني إذا زنى بمسلمة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يُقتل الزّاني بالمسلمة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الكافر، كارهةً أو مطاوعةً‌،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بمن أكرهها عليه، مُحصّناً كان أو غير مُحصّن، عبداً أو حُرّاً، مسلماً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المقامين، بل إجماعاً فيهما على الظاهر المُصرّح به في كثيرٍ من العبائر كالانتصار</w:t>
      </w:r>
      <w:r>
        <w:rPr>
          <w:rStyle w:val="FootnoteAnchor"/>
          <w:rtl w:val="true"/>
        </w:rPr>
        <w:footnoteReference w:id="5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بن سُدير،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يهودي فجر بمسلمة‌؟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كما أفتى به الشيخان</w:t>
      </w:r>
      <w:r>
        <w:rPr>
          <w:rStyle w:val="FootnoteAnchor"/>
          <w:rtl w:val="true"/>
        </w:rPr>
        <w:footnoteReference w:id="508"/>
      </w:r>
      <w:r>
        <w:rPr>
          <w:rFonts w:ascii="Amiri" w:hAnsi="Amiri" w:eastAsia="Amiri" w:cs="Amiri"/>
          <w:color w:val="111111"/>
          <w:sz w:val="28"/>
          <w:sz w:val="28"/>
          <w:szCs w:val="28"/>
          <w:rtl w:val="true"/>
          <w:lang w:bidi="ar-SA"/>
        </w:rPr>
        <w:t>، والحِلّي</w:t>
      </w:r>
      <w:r>
        <w:rPr>
          <w:rStyle w:val="FootnoteAnchor"/>
          <w:rtl w:val="true"/>
        </w:rPr>
        <w:footnoteReference w:id="509"/>
      </w:r>
      <w:r>
        <w:rPr>
          <w:rFonts w:ascii="Amiri" w:hAnsi="Amiri" w:eastAsia="Amiri" w:cs="Amiri"/>
          <w:color w:val="111111"/>
          <w:sz w:val="28"/>
          <w:sz w:val="28"/>
          <w:szCs w:val="28"/>
          <w:rtl w:val="true"/>
          <w:lang w:bidi="ar-SA"/>
        </w:rPr>
        <w:t>، والمصنّف</w:t>
      </w:r>
      <w:r>
        <w:rPr>
          <w:rStyle w:val="FootnoteAnchor"/>
          <w:rtl w:val="true"/>
        </w:rPr>
        <w:footnoteReference w:id="510"/>
      </w:r>
      <w:r>
        <w:rPr>
          <w:rFonts w:ascii="Amiri" w:hAnsi="Amiri" w:eastAsia="Amiri" w:cs="Amiri"/>
          <w:color w:val="111111"/>
          <w:sz w:val="28"/>
          <w:sz w:val="28"/>
          <w:szCs w:val="28"/>
          <w:rtl w:val="true"/>
          <w:lang w:bidi="ar-SA"/>
        </w:rPr>
        <w:t>، وغيرهم</w:t>
      </w:r>
      <w:r>
        <w:rPr>
          <w:rStyle w:val="FootnoteAnchor"/>
          <w:rtl w:val="true"/>
        </w:rPr>
        <w:footnoteReference w:id="511"/>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يُقتل وإنْ أسلم، لإطلاق الموثّق ولخبر جعفر، وهو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فَجَر بمسلمةٍ ثُمّ أسلم بعدما اُريد إقامة الحَدّ عليه‌؟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سُئل عن وجهه،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يَجبُّ ما قَبله، فيسقط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فالمراد منه، ما لو أسلم حين اردة إقامة الحَدّ، 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تعليل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كان لارادة التخلّص، ولا يشمل ما لو كان أسلم حقيقةً‌،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الإمام عليه السلام لا إطلاق له، بل إنّما كتب في تلك الواقعة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فلا يشمل الخبر من أسلم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الجُبّ‌</w:t>
      </w:r>
      <w:r>
        <w:rPr>
          <w:rStyle w:val="FootnoteAnchor"/>
          <w:rtl w:val="true"/>
        </w:rPr>
        <w:footnoteReference w:id="515"/>
      </w:r>
      <w:r>
        <w:rPr>
          <w:rFonts w:ascii="Amiri" w:hAnsi="Amiri" w:eastAsia="Amiri" w:cs="Amiri"/>
          <w:color w:val="111111"/>
          <w:sz w:val="28"/>
          <w:sz w:val="28"/>
          <w:szCs w:val="28"/>
          <w:rtl w:val="true"/>
          <w:lang w:bidi="ar-SA"/>
        </w:rPr>
        <w:t>حديثٌ مشهورٌ معمولٌ به بين الأصحاب، ولا يعارضه إطلاق الموثّق، لحكومته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إسلام الكافر بتوبة الفاسق، قياسٌ مع الفارق، لورود النّص الخاصّ‌</w:t>
      </w:r>
      <w:r>
        <w:rPr>
          <w:rStyle w:val="FootnoteAnchor"/>
          <w:rtl w:val="true"/>
        </w:rPr>
        <w:footnoteReference w:id="516"/>
      </w:r>
      <w:r>
        <w:rPr>
          <w:rFonts w:ascii="Amiri" w:hAnsi="Amiri" w:eastAsia="Amiri" w:cs="Amiri"/>
          <w:color w:val="111111"/>
          <w:sz w:val="28"/>
          <w:sz w:val="28"/>
          <w:szCs w:val="28"/>
          <w:rtl w:val="true"/>
          <w:lang w:bidi="ar-SA"/>
        </w:rPr>
        <w:t>في التوبة دون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الخبرين في الذِّمي، ولكن ظاهر جمع من الأصحاب وصريح آخرين مساواة غيره من أقسام الكفّار معه، ولعلّه للأولويّة، أو لأنّ الكفر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قتل من أكرهها عليه، 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اغتصب امرأةً فرجها؟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يغتصب المرأة نفسها؟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يُجلد الزّاني في هذه الموارد، ثُمّ يُقتل إن أتى بما يوجبُ الجَلد، كما عن جماعةٍ منهم الحِلّي</w:t>
      </w:r>
      <w:r>
        <w:rPr>
          <w:rStyle w:val="FootnoteAnchor"/>
          <w:rtl w:val="true"/>
        </w:rPr>
        <w:footnoteReference w:id="519"/>
      </w:r>
      <w:r>
        <w:rPr>
          <w:rFonts w:ascii="Amiri" w:hAnsi="Amiri" w:eastAsia="Amiri" w:cs="Amiri"/>
          <w:color w:val="111111"/>
          <w:sz w:val="28"/>
          <w:sz w:val="28"/>
          <w:szCs w:val="28"/>
          <w:rtl w:val="true"/>
          <w:lang w:bidi="ar-SA"/>
        </w:rPr>
        <w:t xml:space="preserve">، والشهيدان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يقتصر على القتل، كما نُسب إلى المشهور</w:t>
      </w:r>
      <w:r>
        <w:rPr>
          <w:rStyle w:val="FootnoteAnchor"/>
          <w:rtl w:val="true"/>
        </w:rPr>
        <w:footnoteReference w:id="5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الأدلّة الدالّة على أنّ الزّاني يُحَدّ، وما دلّ على القتل في هذه الموارد، وأيّد ذلك بخبر أبي بصير المتقدّم، بدعوى أنّه ساواه مع الزّاني أوّلاً ثُمّ زاده عظماً، ومعلوم أنّه لا رجم على كلّ زانٍ‌، فلو رجمناه خاصّة لم نكن قد سويناه ببعض الزّناة، فيتعيّن أوّلاً الجَلد قضاءً للتسوية، ثُمّ القَتل بالسّيف لزيادته عَظِماً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وبأنّه ربما يكون الزّاني الشيخ المحصَّن الذي يُجمع فيه بين الجَلد والرَّجم إجماعاً، فلو اقتصرنا على القتل، لزوم كونه أحسن حالاً منه إذا زنى بأجنبيّة 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الواردة فيها كونها في مقام بيان تمام ما يجبُ‌، فتدلّ على عدم لزوم الجَلد، وأمّا خبر أبي بصير فقد مرّ ضعفه، وتعيّن طَرحه، وما ذكر أخيراً وجهٌ استحساني لا يصلحُ للتأييد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الاقتصار على القتل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الزّنا بزوجة الأب، دلّت النصوص على الرَّجم، وقد مرّت، وفي الزّنا بالمسلمة إذا كان الزّاني ذميّاً، يُضرب حتّى يموت، ولا بأس بالالتزام بهما في موردهما خاصّة</w:t>
      </w:r>
      <w:r>
        <w:rPr>
          <w:rFonts w:eastAsia="Amiri" w:cs="Amiri" w:ascii="Amiri" w:hAnsi="Amiri"/>
          <w:color w:val="111111"/>
          <w:sz w:val="28"/>
          <w:szCs w:val="28"/>
          <w:rtl w:val="true"/>
          <w:lang w:bidi="ar-SA"/>
        </w:rPr>
        <w:t>.</w:t>
      </w:r>
      <w:bookmarkStart w:id="109" w:name="pg11384_112361"/>
    </w:p>
    <w:p>
      <w:pPr>
        <w:pStyle w:val="BookText"/>
        <w:rPr/>
      </w:pPr>
      <w:bookmarkEnd w:id="109"/>
      <w:r>
        <w:rPr>
          <w:rFonts w:ascii="Amiri" w:hAnsi="Amiri" w:eastAsia="Amiri" w:cs="Amiri"/>
          <w:color w:val="111111"/>
          <w:sz w:val="28"/>
          <w:sz w:val="28"/>
          <w:szCs w:val="28"/>
          <w:rtl w:val="true"/>
          <w:lang w:bidi="ar-SA"/>
        </w:rPr>
        <w:t>أمّا الزّاني بغير المُحرّمات نسباً أو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مُحصناً، وهو الذي له فرجٌ مملوكٌ بالعقد الدائم، أو المِلْك، يغدو إليه ويروح، ويكون عاقلاً، جُلِد مائة جَلدة ثُمّ رُجم إنْ زنى ببالغة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بصغيرة أو مجنونة، جُلِد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المرأة المُحصَنة تُرجم بعد الحَدّ، وإحصانها كإحصان الرَّجل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3389_73709187"/>
      <w:bookmarkStart w:id="111" w:name="_Toc37"/>
      <w:bookmarkEnd w:id="110"/>
      <w:r>
        <w:rPr>
          <w:rtl w:val="true"/>
        </w:rPr>
        <w:t>بيان حَدّ الزّاني المُحصَّن، والزانية المُحصَّنة</w:t>
      </w:r>
      <w:bookmarkEnd w:id="11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الزّاني بغير المحرّمات نسباً أو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إلحاق المحرّمات الرّضاعيّة بالمحرّمات النَسَبيّة، وإلّا فحكمهنّ حكم غير المحرّمات 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مُحصَّناً، وهو الذي له فرجٌ مملوكٌ بالعقد الدائم، أو المِلْك، يغدو إليه ويروح، ويكون عاقلاً، جُلِد مائة جلدة، ثُمّ رُجِم إن زَنى ببالغة عاقلة، وإنْ كان بصغيرةٍ أو مجنونةٍ جُلد خاصّة، وكذا المرأة المُحصَّنة تُرجم بعد الحَدّ، وإحصانها كإحصان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المُحصَن أو المُحصَنة إذا زنى أو زنت ببالغة عاقلة، أو بالغ عاقل، ثبت عليه الرَّجم، بل عليه الإجماع، والنصوص الآتية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أنّه إنْ كان شيخاً أو شيخةً جُلد ثمّ رجم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أنّه إنْ كان شابّاً أو شابّة، فهل يقتصر على الرَّجم كما عن الشيخ </w:t>
      </w:r>
    </w:p>
    <w:p>
      <w:pPr>
        <w:pStyle w:val="BookText"/>
        <w:rPr/>
      </w:pPr>
      <w:r>
        <w:rPr>
          <w:rFonts w:ascii="Amiri" w:hAnsi="Amiri" w:eastAsia="Amiri" w:cs="Amiri"/>
          <w:color w:val="111111"/>
          <w:sz w:val="28"/>
          <w:sz w:val="28"/>
          <w:szCs w:val="28"/>
          <w:rtl w:val="true"/>
          <w:lang w:bidi="ar-SA"/>
        </w:rPr>
        <w:t>في كتابي الحديث</w:t>
      </w:r>
      <w:r>
        <w:rPr>
          <w:rStyle w:val="FootnoteAnchor"/>
          <w:rtl w:val="true"/>
        </w:rPr>
        <w:footnoteReference w:id="522"/>
      </w:r>
      <w:r>
        <w:rPr>
          <w:rFonts w:ascii="Amiri" w:hAnsi="Amiri" w:eastAsia="Amiri" w:cs="Amiri"/>
          <w:color w:val="111111"/>
          <w:sz w:val="28"/>
          <w:sz w:val="28"/>
          <w:szCs w:val="28"/>
          <w:rtl w:val="true"/>
          <w:lang w:bidi="ar-SA"/>
        </w:rPr>
        <w:t>، وبني زُهرة</w:t>
      </w:r>
      <w:r>
        <w:rPr>
          <w:rStyle w:val="FootnoteAnchor"/>
          <w:rtl w:val="true"/>
        </w:rPr>
        <w:footnoteReference w:id="523"/>
      </w:r>
      <w:r>
        <w:rPr>
          <w:rFonts w:ascii="Amiri" w:hAnsi="Amiri" w:eastAsia="Amiri" w:cs="Amiri"/>
          <w:color w:val="111111"/>
          <w:sz w:val="28"/>
          <w:sz w:val="28"/>
          <w:szCs w:val="28"/>
          <w:rtl w:val="true"/>
          <w:lang w:bidi="ar-SA"/>
        </w:rPr>
        <w:t>، وحمزة</w:t>
      </w:r>
      <w:r>
        <w:rPr>
          <w:rStyle w:val="FootnoteAnchor"/>
          <w:rtl w:val="true"/>
        </w:rPr>
        <w:footnoteReference w:id="524"/>
      </w:r>
      <w:r>
        <w:rPr>
          <w:rFonts w:ascii="Amiri" w:hAnsi="Amiri" w:eastAsia="Amiri" w:cs="Amiri"/>
          <w:color w:val="111111"/>
          <w:sz w:val="28"/>
          <w:sz w:val="28"/>
          <w:szCs w:val="28"/>
          <w:rtl w:val="true"/>
          <w:lang w:bidi="ar-SA"/>
        </w:rPr>
        <w:t>، وسعيد</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يجمع بين الحَدّين كما عن الشيخين</w:t>
      </w:r>
      <w:r>
        <w:rPr>
          <w:rStyle w:val="FootnoteAnchor"/>
          <w:rtl w:val="true"/>
        </w:rPr>
        <w:footnoteReference w:id="526"/>
      </w:r>
      <w:r>
        <w:rPr>
          <w:rFonts w:ascii="IRNazanin" w:hAnsi="IRNazanin" w:eastAsia="IRNazanin"/>
          <w:color w:val="111111"/>
          <w:sz w:val="28"/>
          <w:sz w:val="28"/>
          <w:szCs w:val="28"/>
          <w:rtl w:val="true"/>
          <w:lang w:bidi="fa-IR"/>
        </w:rPr>
        <w:t>، والمرتضى</w:t>
      </w:r>
      <w:r>
        <w:rPr>
          <w:rStyle w:val="FootnoteAnchor"/>
          <w:rtl w:val="true"/>
        </w:rPr>
        <w:footnoteReference w:id="527"/>
      </w:r>
      <w:r>
        <w:rPr>
          <w:rFonts w:ascii="Amiri" w:hAnsi="Amiri" w:eastAsia="Amiri" w:cs="Amiri"/>
          <w:color w:val="111111"/>
          <w:sz w:val="28"/>
          <w:sz w:val="28"/>
          <w:szCs w:val="28"/>
          <w:rtl w:val="true"/>
          <w:lang w:bidi="ar-SA"/>
        </w:rPr>
        <w:t>، والحِلّي</w:t>
      </w:r>
      <w:r>
        <w:rPr>
          <w:rStyle w:val="FootnoteAnchor"/>
          <w:rtl w:val="true"/>
        </w:rPr>
        <w:footnoteReference w:id="528"/>
      </w:r>
      <w:r>
        <w:rPr>
          <w:rFonts w:ascii="Amiri" w:hAnsi="Amiri" w:eastAsia="Amiri" w:cs="Amiri"/>
          <w:color w:val="111111"/>
          <w:sz w:val="28"/>
          <w:sz w:val="28"/>
          <w:szCs w:val="28"/>
          <w:rtl w:val="true"/>
          <w:lang w:bidi="ar-SA"/>
        </w:rPr>
        <w:t>، وعامّة المتأخّرين</w:t>
      </w:r>
      <w:r>
        <w:rPr>
          <w:rStyle w:val="FootnoteAnchor"/>
          <w:rtl w:val="true"/>
        </w:rPr>
        <w:footnoteReference w:id="529"/>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متفرّدات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طلحة،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الشيخ والعجوز جُلدا، ثُمّ رُجما عقوبةً لهما، وإذا زنى النصف من الرِّجال، رجم ولم يُجلد إذا كان قد اُحصن، وإذا زنى الشاب الحَدَث السِّن جُلد، ونُفي سنة من مصره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خبر عبد اللّه بن سنان</w:t>
      </w:r>
      <w:r>
        <w:rPr>
          <w:rStyle w:val="FootnoteAnchor"/>
          <w:rtl w:val="true"/>
        </w:rPr>
        <w:footnoteReference w:id="532"/>
      </w:r>
      <w:r>
        <w:rPr>
          <w:rFonts w:ascii="Amiri" w:hAnsi="Amiri" w:eastAsia="Amiri" w:cs="Amiri"/>
          <w:color w:val="111111"/>
          <w:sz w:val="28"/>
          <w:sz w:val="28"/>
          <w:szCs w:val="28"/>
          <w:rtl w:val="true"/>
          <w:lang w:bidi="ar-SA"/>
        </w:rPr>
        <w:t>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 حَدُّ اللّه الأكبر، والجَلد حَدُّ اللّه الاصغر، فإذا زنى الرّجل المُحصَن رُجم ولم يُجلد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 رسول اللّه صلى الله عليه و آله ولم يَجلد، وذكروا أنّ عليّاً عليه السلام رَجم بالكوفة وجلد، فأنكر ذلك أبو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أي لم يُحدّ رجلاً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ورجم في ذنبٍ واحد</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الجمع بين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المُحصَن والمُحصَنة جُلد مائة ثُمّ الرَّجم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 يُجلد مائة ويُرجم، والذي لم يُحصن يُجلد مائة جَلدة، الحديث</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 بحقّ من حدود اللّه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إلّاالزّاني المُحصَن، فإنّه لا يرجمه حتّى يشهد عليه أربعة شهداء، فإذا شهدوا ضَرَبه الحَدّ مائة جلدة ثمّ يرَجمه، الحديث</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روايات اُخر مشعرة، إن لم تكن دالّة على عدم وجوب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ذات بعل زنت، فحَمَلت وقَتَلت ولدها، تُجلد مائة جلدة لقتلها،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وتُرجم لأنّها مُحصَّنة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ظاهرة في أنّ على المحصنة الرَّجم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البصري،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يضرب الشيخ والشيخة مائة، ويرجم المُحصَن والمحصَنة، ويَجلد البِكر والبِكرة وينفيهما سنة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الجمع بين المتعارضين لا يمكن، فيتعيّن الرجوع إلى المرجّحات، وهي تقتضي تقديم الطائفة الثانية لموافقتها لفتوى أكثر الأصحاب، بل جُلّهم وهي أوّل المرجّحات، وعليه فالأظهر هو الجمع بين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المحصَّن البالغ بالصغيرة غير البالغة تسع سنين، أو بالمجنونة، فعليه الحَدّ خاصّة لا الرَّجم، كما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وابن سعيد</w:t>
      </w:r>
      <w:r>
        <w:rPr>
          <w:rStyle w:val="FootnoteAnchor"/>
          <w:rtl w:val="true"/>
        </w:rPr>
        <w:footnoteReference w:id="541"/>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على عدم الرَّجم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بنقص اللَّذة في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وفحوى نفي الرَّجم عن المحصَّنة إذا زنى بها صَبي كما سيأتي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2" w:name="pg11384_112365"/>
    </w:p>
    <w:p>
      <w:pPr>
        <w:pStyle w:val="BookText"/>
        <w:rPr/>
      </w:pPr>
      <w:bookmarkEnd w:id="1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ونقص حرمتهما بالنسبة إلى الكاملة، ولذا لم يُحدّ قاذفهما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 ترى لا تصلح مقيّدة لإطلاق ما دلّ على رجم المحصَّن، وما دلّ على أنّ البالغ إذا زنى بالصبيّة أو المجنونة، عليه الحَدّ، الظاهر في الحَدّ الكامل، ففي موثّق ابن بكير، عن أبي مريم،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لم يبلغ الحُلُم، وقع على امرأةٍ وفَجَر بامرأة، أيّ شيء يُصنع بهما؟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ويُقام على المرأة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تبلغ وُجِدت مع رجلٍ يَفجر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ويقام على الرّجل الحَدّ</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نقص اللَّذة ممنوعٌ‌، وصلاحيّته للتقييد أيضاً ممنوعة، والأولويّة ليست قطعيّة، والأصل لا يجري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ماعن جماعةٍمن أنّ عليه الرَّجم أيضاً كالزاني بالبالغة العاقلة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83391_73709187"/>
      <w:bookmarkStart w:id="114" w:name="_Toc38"/>
      <w:bookmarkEnd w:id="113"/>
      <w:r>
        <w:rPr>
          <w:rtl w:val="true"/>
        </w:rPr>
        <w:t>بيان موضوع الإحصان</w:t>
      </w:r>
      <w:bookmarkEnd w:id="114"/>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الإحصان إلّامع كونه عاقلاً بالغاً، وله فرجٌ مملوكٌ بالعقد الدائم، يغدو عليه ويروح، أي يكون متمكّناً من الوطء متى أراد بلا خلافٍ‌، إلّا في اعتبار العقل، وقد مرّ الكلام في البلوغ والعقل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لاعتبار أن يكون له فرجٌ مملوكٌ بالعقد الدائم، يغدو عليه </w:t>
      </w:r>
    </w:p>
    <w:p>
      <w:pPr>
        <w:pStyle w:val="BookText"/>
        <w:rPr/>
      </w:pPr>
      <w:r>
        <w:rPr>
          <w:rFonts w:ascii="Amiri" w:hAnsi="Amiri" w:eastAsia="Amiri" w:cs="Amiri"/>
          <w:color w:val="111111"/>
          <w:sz w:val="28"/>
          <w:sz w:val="28"/>
          <w:szCs w:val="28"/>
          <w:rtl w:val="true"/>
          <w:lang w:bidi="ar-SA"/>
        </w:rPr>
        <w:t>ويروح، ولا يكفي المتعة،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إسماعيل بن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المحصَن يَرحَمك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يغدو ويروح عليه فهو مُحصَن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أبي إبراهيم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عنده امرأة متعة أتحصنه‌؟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على الشيء الدائم عنده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وحفص البُختري، عن من ذكره،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المتعة تُحصِنه‌؟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على الشيء الدائم عنده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في أنّ الإحصان يثبتُ بالأمة أم 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الدخول في الفرج المملوك له قبل الزّنا، لتحقّق الإحصان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مدّعياً عليه الإجماع، وجمع من المتأخّرين</w:t>
      </w:r>
      <w:r>
        <w:rPr>
          <w:rStyle w:val="FootnoteAnchor"/>
          <w:rtl w:val="true"/>
        </w:rPr>
        <w:footnoteReference w:id="553"/>
      </w:r>
      <w:r>
        <w:rPr>
          <w:rFonts w:ascii="Amiri" w:hAnsi="Amiri" w:eastAsia="Amiri" w:cs="Amiri"/>
          <w:color w:val="111111"/>
          <w:sz w:val="28"/>
          <w:sz w:val="28"/>
          <w:szCs w:val="28"/>
          <w:rtl w:val="true"/>
          <w:lang w:bidi="ar-SA"/>
        </w:rPr>
        <w:t xml:space="preserve">، أم لا يعتبر كما هو مقتضى إطلاق كلمات كثيرٍ من القدماء، وإن حَمَلها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على الغالب‌؟</w:t>
      </w:r>
    </w:p>
    <w:p>
      <w:pPr>
        <w:pStyle w:val="BookText"/>
        <w:rPr/>
      </w:pPr>
      <w:r>
        <w:rPr>
          <w:rFonts w:ascii="Amiri" w:hAnsi="Amiri" w:eastAsia="Amiri" w:cs="Amiri"/>
          <w:color w:val="111111"/>
          <w:sz w:val="28"/>
          <w:sz w:val="28"/>
          <w:szCs w:val="28"/>
          <w:rtl w:val="true"/>
          <w:lang w:bidi="ar-SA"/>
        </w:rPr>
        <w:t>وجهان، أظهرهما الأوّل، لصحيح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يزني ولم يدخل بأهله أيحصن‌؟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بالأمَة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الدخول في القُبُل، أم يكفي الدخول في الدُّبر؟</w:t>
      </w:r>
    </w:p>
    <w:p>
      <w:pPr>
        <w:pStyle w:val="BookText"/>
        <w:rPr/>
      </w:pPr>
      <w:r>
        <w:rPr>
          <w:rFonts w:ascii="Amiri" w:hAnsi="Amiri" w:eastAsia="Amiri" w:cs="Amiri"/>
          <w:color w:val="111111"/>
          <w:sz w:val="28"/>
          <w:sz w:val="28"/>
          <w:szCs w:val="28"/>
          <w:rtl w:val="true"/>
          <w:lang w:bidi="ar-SA"/>
        </w:rPr>
        <w:t xml:space="preserve">ذهب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صرّح به جماعةٌ من غير خلافٍ بينهم أجده، إلّامن إطلاق نحوه عبارة المتن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بعد حمله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أنّ الغلبة لا تصلحُ لتقييد الإطلاق، ومقتضى إطلاق الدخول الشمول للوطء دبراً، كسائر الأحكام المعلّقة على الدخول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خلاف في اعتبار التمكّن من الوطء على وجهٍ يغدو عليه ويروح إذا شاء في تحقّق الإحصان كما مرّ، فمن له زوجة غائبة في بلدٍ آخر إذا زنى لا يكون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مُحصَناً، كما صرّح به في جملةٍ من النصوص، في صحيح 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المغيّب والمغيّبة ليس عليهما رجمٌ‌، إلّاأن يكون الرّجل مع المرأة مع الرّجل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الرّجل الذي له امرأة بالبصرة فَفَجر بالكوفة، أن يدرأ عنه الرَّجم يُضرب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في رجلٍ محبوسٍ في السِّجن، وله امرأة حُرّة في بيته في المصر، وهو لا يصل إليها، فزنى في السِّجن،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ويُدرأ عنه الرَّجم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يظهر أنّ الميزان كونها معه، بحيث يُصل إليها متى شاء، فلا يكفي مجرّد كونهما في بلدٍ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فرق بين الحيض والغيبة، كما هو المنسوب إلى الأصحاب أم لا؟</w:t>
      </w:r>
    </w:p>
    <w:p>
      <w:pPr>
        <w:pStyle w:val="BookText"/>
        <w:rPr/>
      </w:pPr>
      <w:r>
        <w:rPr>
          <w:rFonts w:ascii="Amiri" w:hAnsi="Amiri" w:eastAsia="Amiri" w:cs="Amiri"/>
          <w:color w:val="111111"/>
          <w:sz w:val="28"/>
          <w:sz w:val="28"/>
          <w:szCs w:val="28"/>
          <w:rtl w:val="true"/>
          <w:lang w:bidi="ar-SA"/>
        </w:rPr>
        <w:t>الظاهر ذلك، لأنّه يتمتّع من الحائض بما دون موضع الحيض، بخلاف الغيبة، سيّما على المختار من جواز الوطء دُبُراً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الميزان في الغيبة هو العرف، وفي خبري عمر بن يزيد ومحمّد بن الحسين تحديد ذلك بمسافة القصر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مهجوران لا يصلحان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راجع المُخالِعُ لم يُرجم حتّى يطأ، وكذا العبدُ إذا اُعتق، والمكاتبُ إذا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يُستند إليهما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 المرأة كإحصان الرّجل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تمكّنها من الزوج، إرادته الفعل على الوجه المزبور، لا إرادتها متى شاءت، ضرورة عدم كون ذلك حقّاً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الحذّاء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تزوّجت برجلٍ ولها زوج‌؟</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الأوّل مقيماً معها في المصر التي هي فيه، تصل إليه ويصل إليها، فإنّ عليها ما على الزّاني المُحصَن الرَّجم، وإنْ كان زوجها الأوّل غائباً أو مُقيماً معها في المصر، لا يَصلُ إليها ولا تَصلُ إليه، فإنّ عليها ما على الزانية غير المُحصَنة، الحديث</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الرّجل المرأة بالطلاق البائن، يخرجُ كلّ منهما به عن الإحصان،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راجع المخالع، لم يُرجم حتّى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بحكم الزوجة الجديدة، وقد مرّ اعتبار الوطء في صدق 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العبد إذا اُعتق، والمكاتب إذا تَحرّر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زَنتِ المُحصَنة بصغيرٍ حُدَّت، ولو كان بمجنونٍ رُجِمَتْ‌،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زَنت المُحصَنة بصغيرٍ 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رَجم عليها، كما عليه جماعة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غلامٍ صغير لم يُدْرِك ابنُ عشر سنين زنى بامرأةٍ؟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وتُجلد المرأة الحَدّ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مُحصَنة‌؟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 ولو كان مدركاً رُجِمت</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بمجنونٍ 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والقياس على الصَّبي مع الفارق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5" w:name="pg11384_112371"/>
    </w:p>
    <w:p>
      <w:pPr>
        <w:pStyle w:val="BookText"/>
        <w:rPr/>
      </w:pPr>
      <w:bookmarkEnd w:id="115"/>
      <w:r>
        <w:rPr>
          <w:rFonts w:ascii="Amiri" w:hAnsi="Amiri" w:eastAsia="Amiri" w:cs="Amiri"/>
          <w:color w:val="111111"/>
          <w:sz w:val="28"/>
          <w:sz w:val="28"/>
          <w:szCs w:val="28"/>
          <w:rtl w:val="true"/>
          <w:lang w:bidi="ar-SA"/>
        </w:rPr>
        <w:t>وإنْ كان غير مُحصَنٍ جُلِد مائة سوط، وحُلق رأسه،</w:t>
      </w:r>
    </w:p>
    <w:p>
      <w:pPr>
        <w:pStyle w:val="Heading4"/>
        <w:numPr>
          <w:ilvl w:val="3"/>
          <w:numId w:val="1"/>
        </w:numPr>
        <w:rPr/>
      </w:pPr>
      <w:bookmarkStart w:id="116" w:name="__RefHeading___Toc283393_73709187"/>
      <w:bookmarkStart w:id="117" w:name="_Toc39"/>
      <w:bookmarkEnd w:id="116"/>
      <w:r>
        <w:rPr>
          <w:rtl w:val="true"/>
        </w:rPr>
        <w:t>بيان حَدّ الزّاني غير المُحصَن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مُحصَنٍ‌، جُلد 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كتاباً وسُنةً 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w:t>
      </w:r>
      <w:r>
        <w:rPr>
          <w:rStyle w:val="FootnoteAnchor"/>
          <w:rtl w:val="true"/>
        </w:rPr>
        <w:footnoteReference w:id="566"/>
      </w:r>
      <w:r>
        <w:rPr>
          <w:rFonts w:ascii="Amiri" w:hAnsi="Amiri" w:eastAsia="Amiri" w:cs="Amiri"/>
          <w:color w:val="111111"/>
          <w:sz w:val="28"/>
          <w:sz w:val="28"/>
          <w:szCs w:val="28"/>
          <w:rtl w:val="true"/>
          <w:lang w:bidi="ar-SA"/>
        </w:rPr>
        <w:t>، وسلّار</w:t>
      </w:r>
      <w:r>
        <w:rPr>
          <w:rStyle w:val="FootnoteAnchor"/>
          <w:rtl w:val="true"/>
        </w:rPr>
        <w:footnoteReference w:id="567"/>
      </w:r>
      <w:r>
        <w:rPr>
          <w:rFonts w:ascii="Amiri" w:hAnsi="Amiri" w:eastAsia="Amiri" w:cs="Amiri"/>
          <w:color w:val="111111"/>
          <w:sz w:val="28"/>
          <w:sz w:val="28"/>
          <w:szCs w:val="28"/>
          <w:rtl w:val="true"/>
          <w:lang w:bidi="ar-SA"/>
        </w:rPr>
        <w:t>، وابني حمزة</w:t>
      </w:r>
      <w:r>
        <w:rPr>
          <w:rStyle w:val="FootnoteAnchor"/>
          <w:rtl w:val="true"/>
        </w:rPr>
        <w:footnoteReference w:id="568"/>
      </w:r>
      <w:r>
        <w:rPr>
          <w:rFonts w:ascii="Amiri" w:hAnsi="Amiri" w:eastAsia="Amiri" w:cs="Amiri"/>
          <w:color w:val="111111"/>
          <w:sz w:val="28"/>
          <w:sz w:val="28"/>
          <w:szCs w:val="28"/>
          <w:rtl w:val="true"/>
          <w:lang w:bidi="ar-SA"/>
        </w:rPr>
        <w:t>وسعيد</w:t>
      </w:r>
      <w:r>
        <w:rPr>
          <w:rStyle w:val="FootnoteAnchor"/>
          <w:rtl w:val="true"/>
        </w:rPr>
        <w:footnoteReference w:id="569"/>
      </w:r>
      <w:r>
        <w:rPr>
          <w:rFonts w:ascii="IRNazanin" w:hAnsi="IRNazanin" w:eastAsia="IRNazanin"/>
          <w:color w:val="111111"/>
          <w:sz w:val="28"/>
          <w:sz w:val="28"/>
          <w:szCs w:val="28"/>
          <w:rtl w:val="true"/>
          <w:lang w:bidi="fa-IR"/>
        </w:rPr>
        <w:t>، والمصنّف رحمه الله</w:t>
      </w:r>
      <w:r>
        <w:rPr>
          <w:rStyle w:val="FootnoteAnchor"/>
          <w:rtl w:val="true"/>
        </w:rPr>
        <w:footnoteReference w:id="570"/>
      </w:r>
      <w:r>
        <w:rPr>
          <w:rFonts w:ascii="Amiri" w:hAnsi="Amiri" w:eastAsia="Amiri" w:cs="Amiri"/>
          <w:color w:val="111111"/>
          <w:sz w:val="28"/>
          <w:sz w:val="28"/>
          <w:szCs w:val="28"/>
          <w:rtl w:val="true"/>
          <w:lang w:bidi="ar-SA"/>
        </w:rPr>
        <w:t>، بل لم يُحكَ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حُكي</w:t>
      </w:r>
      <w:r>
        <w:rPr>
          <w:rStyle w:val="FootnoteAnchor"/>
          <w:rtl w:val="true"/>
        </w:rPr>
        <w:footnoteReference w:id="571"/>
      </w:r>
      <w:r>
        <w:rPr>
          <w:rFonts w:ascii="Amiri" w:hAnsi="Amiri" w:eastAsia="Amiri" w:cs="Amiri"/>
          <w:color w:val="111111"/>
          <w:sz w:val="28"/>
          <w:sz w:val="28"/>
          <w:szCs w:val="28"/>
          <w:rtl w:val="true"/>
          <w:lang w:bidi="ar-SA"/>
        </w:rPr>
        <w:t xml:space="preserve">عن الصَّدوق والعُمّاني، والإسكافي،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زُهرة عدم التعرّض له وعدم 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ولم يدخل بها، فزنى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ويُحلق رأسه، ويفرّق بينه وبين أهله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حنان بن سُدير،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البِكْر يفجرُ وقد تزوّج ففجَر قبل أن يدخل بأهله‌؟ </w:t>
      </w:r>
    </w:p>
    <w:p>
      <w:pPr>
        <w:pStyle w:val="BookText"/>
        <w:rPr/>
      </w:pPr>
      <w:r>
        <w:rPr>
          <w:rFonts w:ascii="Amiri" w:hAnsi="Amiri" w:eastAsia="Amiri" w:cs="Amiri"/>
          <w:color w:val="111111"/>
          <w:sz w:val="28"/>
          <w:sz w:val="28"/>
          <w:szCs w:val="28"/>
          <w:rtl w:val="true"/>
          <w:lang w:bidi="ar-SA"/>
        </w:rPr>
        <w:t>وغُرِّب عن البلد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مائه، ويُجزّ شعره، ويُنفى عن المصر حولاً، ويفرّق بينه وبين أهله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المنجبر ضعفهما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 الشعر في الثاني محمولٌ على ما في الأوّل من الحَلق، وظاهرهما حَلق تمام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من تخصيصه بالناصيّة، لا أدري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الخبرين يختصّان بالزاني المملّك، وهو من له فَرجٌ مملوكٌ ولم يدخل بها، فإسراء الحكم إلى غير المُملّك إنّما هو من جهة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مضافاً إلى الجَلد والحلق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يغرب عن البلد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الثلاثة تجب على البكر اتّفاقاً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والنصوص تدلّ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البصري،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يَجلد البِكر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والبِكرة، وينفيهما سنة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والبِكر والبِكرة جَلْدُ مائة، ونفيُ سنة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تفسير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أَملَك، أي تزوّج امرأةً دواماً، ولم يدخل، ذهب إلى ذلك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وأتباعه</w:t>
      </w:r>
      <w:r>
        <w:rPr>
          <w:rStyle w:val="FootnoteAnchor"/>
          <w:rtl w:val="true"/>
        </w:rPr>
        <w:footnoteReference w:id="581"/>
      </w:r>
      <w:r>
        <w:rPr>
          <w:rFonts w:ascii="Amiri" w:hAnsi="Amiri" w:eastAsia="Amiri" w:cs="Amiri"/>
          <w:color w:val="111111"/>
          <w:sz w:val="28"/>
          <w:sz w:val="28"/>
          <w:szCs w:val="28"/>
          <w:rtl w:val="true"/>
          <w:lang w:bidi="ar-SA"/>
        </w:rPr>
        <w:t>، وجماعة</w:t>
      </w:r>
      <w:r>
        <w:rPr>
          <w:rStyle w:val="FootnoteAnchor"/>
          <w:rtl w:val="true"/>
        </w:rPr>
        <w:footnoteReference w:id="582"/>
      </w:r>
      <w:r>
        <w:rPr>
          <w:rFonts w:ascii="Amiri" w:hAnsi="Amiri" w:eastAsia="Amiri" w:cs="Amiri"/>
          <w:color w:val="111111"/>
          <w:sz w:val="28"/>
          <w:sz w:val="28"/>
          <w:szCs w:val="28"/>
          <w:rtl w:val="true"/>
          <w:lang w:bidi="ar-SA"/>
        </w:rPr>
        <w:t xml:space="preserve">،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في كتاب الفروع</w:t>
      </w:r>
      <w:r>
        <w:rPr>
          <w:rStyle w:val="FootnoteAnchor"/>
          <w:rtl w:val="true"/>
        </w:rPr>
        <w:footnoteReference w:id="586"/>
      </w:r>
      <w:r>
        <w:rPr>
          <w:rFonts w:ascii="Amiri" w:hAnsi="Amiri" w:eastAsia="Amiri" w:cs="Amiri"/>
          <w:color w:val="111111"/>
          <w:sz w:val="28"/>
          <w:sz w:val="28"/>
          <w:szCs w:val="28"/>
          <w:rtl w:val="true"/>
          <w:lang w:bidi="ar-SA"/>
        </w:rPr>
        <w:t>، والحِلّي</w:t>
      </w:r>
      <w:r>
        <w:rPr>
          <w:rStyle w:val="FootnoteAnchor"/>
          <w:rtl w:val="true"/>
        </w:rPr>
        <w:footnoteReference w:id="587"/>
      </w:r>
      <w:r>
        <w:rPr>
          <w:rFonts w:ascii="Amiri" w:hAnsi="Amiri" w:eastAsia="Amiri" w:cs="Amiri"/>
          <w:color w:val="111111"/>
          <w:sz w:val="28"/>
          <w:sz w:val="28"/>
          <w:szCs w:val="28"/>
          <w:rtl w:val="true"/>
          <w:lang w:bidi="ar-SA"/>
        </w:rPr>
        <w:t>، والمحقّق</w:t>
      </w:r>
      <w:r>
        <w:rPr>
          <w:rStyle w:val="FootnoteAnchor"/>
          <w:rtl w:val="true"/>
        </w:rPr>
        <w:footnoteReference w:id="588"/>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589"/>
      </w:r>
      <w:r>
        <w:rPr>
          <w:rFonts w:ascii="Amiri" w:hAnsi="Amiri" w:eastAsia="Amiri" w:cs="Amiri"/>
          <w:color w:val="111111"/>
          <w:sz w:val="28"/>
          <w:sz w:val="28"/>
          <w:szCs w:val="28"/>
          <w:rtl w:val="true"/>
          <w:lang w:bidi="ar-SA"/>
        </w:rPr>
        <w:t>، وأكثر المتأخّرين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بالبِكر غير المُحصَن، وقد يُنسب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الشهرة،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محمّد بن قيس،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والبِكرة إذا زنيا جَلْدُ مائة، ونفيُ سنة في غير مصرهما، وهما اللّذان قد أملكا ولم يَدخل بها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لاشتراك محمّد بن قيس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في الخبر بقرينة رواية عاصم بن حميد عنه هو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الاُخر، المتضمّنة لثبوت التغريب على المملّك، فلعدم المفهوم لها، لا تصلُح لأن يستند إليها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 عبد اللّه بن طلحة،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الشّاب الحَدَث السِّن جُلد، ونُفي سنةً من مصره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فإنّه عام خرج عنه المحصَن بالإجماع والنّص، وبقي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ينبغي للإمام أن ينفيه من الأرض التي جُلد فيها إلى غيرها، وإنّما على الإمام أن يخرجه من المصر الذي جُلد فيه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أبي بصير</w:t>
      </w:r>
      <w:r>
        <w:rPr>
          <w:rStyle w:val="FootnoteAnchor"/>
          <w:rtl w:val="true"/>
        </w:rPr>
        <w:footnoteReference w:id="595"/>
      </w:r>
      <w:r>
        <w:rPr>
          <w:rFonts w:ascii="Amiri" w:hAnsi="Amiri" w:eastAsia="Amiri" w:cs="Amiri"/>
          <w:color w:val="111111"/>
          <w:sz w:val="28"/>
          <w:sz w:val="28"/>
          <w:szCs w:val="28"/>
          <w:rtl w:val="true"/>
          <w:lang w:bidi="ar-SA"/>
        </w:rPr>
        <w:t>، وخبر مثنّى الحنّاط</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النصوص الأخيرة على فرض الإغماض عن الإيرادات الواردة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على المرأة والمملوك جَزٌّ ولا تغريبٌ‌،</w:t>
      </w:r>
    </w:p>
    <w:p>
      <w:pPr>
        <w:pStyle w:val="BookText"/>
        <w:rPr/>
      </w:pPr>
      <w:r>
        <w:rPr>
          <w:rFonts w:ascii="Amiri" w:hAnsi="Amiri" w:eastAsia="Amiri" w:cs="Amiri"/>
          <w:color w:val="111111"/>
          <w:sz w:val="28"/>
          <w:sz w:val="28"/>
          <w:szCs w:val="28"/>
          <w:rtl w:val="true"/>
          <w:lang w:bidi="ar-SA"/>
        </w:rPr>
        <w:t>عليها، من ضعف السَّند، واختلاف النسخ تكون أعمّ مطلق من صحيح ابن قيس، فيقيّد إطلاقها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كون التفسير فيه من الإمام عليه السلام، أضف إليه اشتماله على نفي المرأة أيضاً، ولم يقل به أحدٌ، وعليه فلا مقيّد لإطلاق النصوص الأخيرة، ولا أقلّ من التردّد، فتحصل الشُّبهة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اختصاص التغريب بالمملّك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بالمَصر الذي يُنفى عنه، هو المصر الذي زَنى فيه، أو الذي جُلد فيه، أو هو الذي وطنه‌؟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أوجهها الأخير، كما هو ظاهر صحيح ابن قيس، بل وخبر عبد اللّه، بل لا يبعدُ دعوى صراحة الصحيح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ونفي سنة في غير مصرهما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المصر اُضيف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صريح أخبار سماعة، وأبي بصير، ومثنّى الحنّاط هو الثاني، وبقرينة تلكم النصوص، يُحمل صحيح ابن قيس عليه، فهو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المرأة والمملوك جَزٌّ ولا تغريب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عليهما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8" w:name="pg11384_112376"/>
    </w:p>
    <w:p>
      <w:pPr>
        <w:pStyle w:val="BookText"/>
        <w:rPr/>
      </w:pPr>
      <w:bookmarkEnd w:id="118"/>
      <w:r>
        <w:rPr>
          <w:rFonts w:ascii="Amiri" w:hAnsi="Amiri" w:eastAsia="Amiri" w:cs="Amiri"/>
          <w:color w:val="111111"/>
          <w:sz w:val="28"/>
          <w:sz w:val="28"/>
          <w:szCs w:val="28"/>
          <w:rtl w:val="true"/>
          <w:lang w:bidi="ar-SA"/>
        </w:rPr>
        <w:t>فإنْ زَنى بعد الحَدّ ثانيةً تكرَّر الحَدّ، وإنْ لم يُحَدّ كفى حَدٌّ واحدٌ،</w:t>
      </w:r>
    </w:p>
    <w:p>
      <w:pPr>
        <w:pStyle w:val="BookText"/>
        <w:rPr/>
      </w:pPr>
      <w:r>
        <w:rPr>
          <w:rFonts w:ascii="Amiri" w:hAnsi="Amiri" w:eastAsia="Amiri" w:cs="Amiri"/>
          <w:color w:val="111111"/>
          <w:sz w:val="28"/>
          <w:sz w:val="28"/>
          <w:szCs w:val="28"/>
          <w:rtl w:val="true"/>
          <w:lang w:bidi="ar-SA"/>
        </w:rPr>
        <w:t>أمّا 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دليله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ابن قيس ظاهرٌ في ثبوته عليها، لكن الشهرة العظيمة، والإجماع المحكيّ‌، وما في كلماتهم من العلل من أنّ المرأة عورة يقصد بها الصيانة، ومنعها عن الإتيان بمثل ما فعلت، ولا يؤمَن عليها ذلك في الغربة</w:t>
      </w:r>
      <w:r>
        <w:rPr>
          <w:rStyle w:val="FootnoteAnchor"/>
          <w:rtl w:val="true"/>
        </w:rPr>
        <w:footnoteReference w:id="598"/>
      </w:r>
      <w:r>
        <w:rPr>
          <w:rFonts w:ascii="Amiri" w:hAnsi="Amiri" w:eastAsia="Amiri" w:cs="Amiri"/>
          <w:color w:val="111111"/>
          <w:sz w:val="28"/>
          <w:sz w:val="28"/>
          <w:szCs w:val="28"/>
          <w:rtl w:val="true"/>
          <w:lang w:bidi="ar-SA"/>
        </w:rPr>
        <w:t>، وغير ذلك، تصلُح مقيّدة للإطلاق، خصوصاً في مثل هذا الحكم الذي يكفي في نفيه الشُّبهة الدارئة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83395_73709187"/>
      <w:bookmarkStart w:id="120" w:name="_Toc40"/>
      <w:bookmarkEnd w:id="119"/>
      <w:r>
        <w:rPr>
          <w:rtl w:val="true"/>
        </w:rPr>
        <w:t>لو تكرّر الزِّنا من غير المُحصَن</w:t>
      </w:r>
      <w:bookmarkEnd w:id="120"/>
    </w:p>
    <w:p>
      <w:pPr>
        <w:pStyle w:val="BookText"/>
        <w:rPr/>
      </w:pPr>
      <w:r>
        <w:rPr>
          <w:rFonts w:ascii="Amiri" w:hAnsi="Amiri" w:eastAsia="Amiri" w:cs="Amiri"/>
          <w:color w:val="111111"/>
          <w:sz w:val="28"/>
          <w:sz w:val="28"/>
          <w:szCs w:val="28"/>
          <w:rtl w:val="true"/>
          <w:lang w:bidi="ar-SA"/>
        </w:rPr>
        <w:t xml:space="preserve">ولو تكرّر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زَنى بعد الحَدّ ثانيةً تكرّر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لإطلاق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يُحدّ كفى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بل عليه عامّة من تأخّر، وادّعى عليه الشهرة المطلقة جماعة، ومنهم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بل ظاهره بلوغها الإجماع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واستدلّوا له بوجوهٍ بيّنة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المختار من أصالة عدم تعدّد المسبّبات بتعدّد الأسباب، فالأمر واضح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الآخر، وهو أصالة التعدّد، فقد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التأمّل الجيد في تعليق الحكم في الآية الشريفة على الزّاني والزانية، يقتضي ذلك، ضرورة كون التعدّد في أشخاص الزّنا حينئذٍ كالتعدّد في أسباب الحَدث والنجاسة، غير موجبٍ لتعدّد السَّبب</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ذينك الموردين إنّمايقال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للطهارة، هو الحَدَث والنجاسة، وكلّ منهما واحدٌ لا تعدّد فيه، والأسباب المتكثّرة لا توجبُ تعدّد السَّبب، وليس الأمر في المقام كذلك؛ فإنّ الآية الكريمة نظير النصوص كسائر القضايا الشرعيّة، إنّما تكون من قبيل القضايا الحقيقيّة، متضمّنة لترتّب الحكم على كلّ فردٍ من أفراد الموضوع إذا تحقّق في الخارج، فالزاني إذا زَنى يصدق عليه هذا العنوان فيثبت له وجوب الجَلد مائة، ثمّ إنْ زَنى ثانياً يصدقُ عليه فردٌ آخر من ذلك العنوان، فالسَّبب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لو تمّ لزم الالتزام بأصالة عدم تعدّد الأسباب في جميع الموارد، بناءً على ما هو الحقّ من رجوع القضايا الشرطيّة إلى القضايا الحقيقيّة، وأنّ الشروط للموضوع تكون من قبيل عناوينه،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فكفِّر، مرجعه إلى أنّ المُظاهر يكفِّر، فيلزم من البرهان المزبور القول بعدم تعدّد الكفّارة في المثال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المقام البناء على أصالة تعدّد الأسباب والمسبّبات، فلا يتمّ ما أفاده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التعدّد مطلقاً، ولو كان المزنيّ بها مكرّراً واحدة، ولم يقل به أحدٌ من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الأخذ بقاعدة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التعدّد، فلابدّ من البناء على المنع من التعدّد مطلقاً، أو التفصيل بين كون المزنيّ بها واحدة أو متعدّدة، كما عن الإسكافي</w:t>
      </w:r>
      <w:r>
        <w:rPr>
          <w:rStyle w:val="FootnoteAnchor"/>
          <w:rtl w:val="true"/>
        </w:rPr>
        <w:footnoteReference w:id="602"/>
      </w:r>
      <w:r>
        <w:rPr>
          <w:rFonts w:ascii="Amiri" w:hAnsi="Amiri" w:eastAsia="Amiri" w:cs="Amiri"/>
          <w:color w:val="111111"/>
          <w:sz w:val="28"/>
          <w:sz w:val="28"/>
          <w:szCs w:val="28"/>
          <w:rtl w:val="true"/>
          <w:lang w:bidi="ar-SA"/>
        </w:rPr>
        <w:t>، والصَّدوق</w:t>
      </w:r>
      <w:r>
        <w:rPr>
          <w:rStyle w:val="FootnoteAnchor"/>
          <w:rtl w:val="true"/>
        </w:rPr>
        <w:footnoteReference w:id="603"/>
      </w:r>
      <w:r>
        <w:rPr>
          <w:rFonts w:ascii="Amiri" w:hAnsi="Amiri" w:eastAsia="Amiri" w:cs="Amiri"/>
          <w:color w:val="111111"/>
          <w:sz w:val="28"/>
          <w:sz w:val="28"/>
          <w:szCs w:val="28"/>
          <w:rtl w:val="true"/>
          <w:lang w:bidi="ar-SA"/>
        </w:rPr>
        <w:t>، والثاني غيرُ ممكنٍ لعدم الدليل عليه، فيتعيّن الأوّل</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مقتضى القاعدة هو التعدّد، فنفس تلك القاعدة دليلٌ على التفصيل بضميمة الإجماع، فإنّه إنّما يوجبُ التقييد بالنسبة إلى المقدار المتيقّن، فيبقى الزائد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وجه عدم التعدّد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تقتضيه القاعدة، وفي المقام رواية خاصّة دالّة على التفصيل، وهي رواية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يزني في اليوم الواحد مراراً كثيرة‌؟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زنى بامرأةٍ واحدةٍ كذا وكذا مرّة، فإنّما عليه حَدٌّ واحد، وإنْ هو زَنى بنسوةٍ شتّى في يوم واحد في ساعةٍ واحدة، فإنّ عليه في كلّ امرأةٍ فَجَر بها حَدّاً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في طريقها ضعفاً، مع أنّها غير حاصرة لأقسام المسألة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الشريف في التضعيف إلى وجود عليّ بن أبي حمزة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زَنى ثالثةً بعد الحدَّين 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والمراد به البطائني، وقد ضعّفه جماعة، بل هو المشهور بين الأصحاب، وإنْ وثّقه جمعٌ من الأواخر، إلّاأنّه بضميمة إعراض الأصحاب عنها في المقام، سيّما وأنّ الحكم حكمٌ يُدرأ بالشُّبهة، يكفي في طرح الخبر، ومعه لا يهمّ البحث في كونها حاصرة أو غير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تبعاً للمشهور من عدم التعدّد، إنّما هو مع عدم اختلاف حكم الزّنا، وإلّا فلو اقتضى حدوداً مختلفة، كأنْ زَنى بِكراً، ثمّ زَنى محصَناً، توجّه عليه الحَدّان معاً، لإطلاق الأدلّة، ولا مورد لتداخل المسبّبات، ولا ينافيه إطلاق العبارات، لأنّها منصرفة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حينئذٍ ترتّب 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أنّه إنْ توسّط الحَدّ بين فردين من الزّنا، تكرّر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زنى ثالثة بعد الحَدّين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w:t>
      </w:r>
      <w:r>
        <w:rPr>
          <w:rStyle w:val="FootnoteAnchor"/>
          <w:rtl w:val="true"/>
        </w:rPr>
        <w:footnoteReference w:id="607"/>
      </w:r>
      <w:r>
        <w:rPr>
          <w:rFonts w:ascii="Amiri" w:hAnsi="Amiri" w:eastAsia="Amiri" w:cs="Amiri"/>
          <w:color w:val="111111"/>
          <w:sz w:val="28"/>
          <w:sz w:val="28"/>
          <w:szCs w:val="28"/>
          <w:rtl w:val="true"/>
          <w:lang w:bidi="ar-SA"/>
        </w:rPr>
        <w:t>، والحِلّي</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المشهور؛ أنّه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يونس، عن أبي الحسن الماضي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الكبائر كلّها إذا أُقيم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محمّد بن سنان، عن الإمام الرّضا عليه السلام فيما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القتل بعد إقامة الحَدّ في الثالثة على الزّاني والزانية لاستحقاقهما، وقلّة مبالاتهما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الصحيح مطلقٌ يقيّد إطلاقه بموثّق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 إذا زنى يُجلد ثلاثاً ويُقتل في الرابعة،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جُلد ثلاث مرّات</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سنان إنْ لم يكن ظاهراً في القول الثاني، من جهة رجوع الظرف إلى إقامة الحَدّ لا إلى القتل، لا أقلّ من إجماله، فيبيّن بالموثّق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هو القتل في الرابعة، ولا فرق في ذلك بين الزانية والزّاني لإطلاق الأدلّة، وإلى ذلك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1" w:name="pg11384_112381"/>
    </w:p>
    <w:p>
      <w:pPr>
        <w:pStyle w:val="BookText"/>
        <w:rPr/>
      </w:pPr>
      <w:bookmarkEnd w:id="121"/>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إقامة الحَدّ على أهل الذِّمة، أو رفعه إلى أهل ملّته ليقيموه عليه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83397_73709187"/>
      <w:bookmarkStart w:id="123" w:name="_Toc41"/>
      <w:bookmarkEnd w:id="122"/>
      <w:r>
        <w:rPr>
          <w:rtl w:val="true"/>
        </w:rPr>
        <w:t>إقامة الحَدّ على الذِّمي والحامل</w:t>
      </w:r>
      <w:bookmarkEnd w:id="12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يتحقّق في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إقامة الحَدّ على أهل الذّمة، أو رفعه إلى أهل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معتقدهم الذي يزعمونه حقّاً، بلا خلافٍ أجده، كما صرّح به غير واحد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قوله عزّ وجلّ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لأنّ الجمع بين الآيتين يقتضي البناء على أنّ ذلك أحد فردي التخيير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الاستدلال له بأنّه مقتضى الجمع بين أدلّة إجراء الحدود، الشاملة لأهل الذّمة، وبين خبر الحارث، عن أبيه، فيما كتبه أميرالمؤمنين عليه السلام إلى محمّد ابن أبي بكر، في مسلمٍ فَجَر بامرأة نصرانيّة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أقم الحَدّ فيهم على المسلم الذي فَجَر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على حاملٍ حتّى تَضع، ويَستغني الولد،</w:t>
      </w:r>
    </w:p>
    <w:p>
      <w:pPr>
        <w:pStyle w:val="BookText"/>
        <w:rPr/>
      </w:pPr>
      <w:r>
        <w:rPr>
          <w:rFonts w:ascii="Amiri" w:hAnsi="Amiri" w:eastAsia="Amiri" w:cs="Amiri"/>
          <w:color w:val="111111"/>
          <w:sz w:val="28"/>
          <w:sz w:val="28"/>
          <w:szCs w:val="28"/>
          <w:rtl w:val="true"/>
          <w:lang w:bidi="ar-SA"/>
        </w:rPr>
        <w:t>بالنصرانيّة، وادفع النصرانيّة إلى النصارى يقضون فيها ما شاءوا هو ذلك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يظهر الجواب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لإجراء حكم المسلم على الذِّمي الزّاني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الآية الكريمة وإنْ كانت هو التخيير بين إجراء الحَدّ والإعراض، ولكن بواسطة خبر الحارث الذي أفتى الأصحاب على طبقه، تُحمل الآية على إرادة الإعراض بالدفع إلى أهل ملّته حتّى يَحكم فيه حاكمهم بما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يُقام عليه الحَدّ، وفيها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كان أو 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من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وتخرج من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ويستغنى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 إنْ لم يوجد له مرضعة،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مُحصَنةٍ زنت وهي حُبلى‌؟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حتّى تضع ما في بطنها وترضع ولدها ثمّ تُرجم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 لعمر وقد اُتي بحاملٍ قد زنت، فأمر برجمها،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لكَ سبيلٌ عليها، أيّ سبيل 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ما في بطنها؟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 ح </w:t>
      </w:r>
      <w:r>
        <w:rPr>
          <w:rFonts w:eastAsia="Amiri" w:cs="Amiri" w:ascii="Amiri" w:hAnsi="Amiri"/>
          <w:color w:val="111111"/>
          <w:sz w:val="28"/>
          <w:szCs w:val="28"/>
          <w:lang w:bidi="ar-SA"/>
        </w:rPr>
        <w:t>34333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يا أبا الحسن‌؟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 عليها حتّى تلد، فإذا ولدت ووجدت لولدها من يكفله فأقم الحَدّ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مرويٌّ من فعل الوصيّ مع المرأة التي أقرّت عنده بالزّنا، فلم يرجمها حتّى ولدت، وأرضعته حولين، فأقام عليها الحَدّ، وكذا عن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الموثّق وإنْ كان تأخير الحَدّ إلى بعد الرّضاع، فيما لو وجد من يكفله، إلّاأن الثاني يقيّد بما إذا لم يوجد من يكفله، والنصوص وإن اختصّت بالرّجم، إلّاأنّه يثبتُ في الجَلد أيضاً بعدم القول بالفصل، وبعموم التعليل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المصنّف المنع من إقامة الحَدّ عليها بعد الوضع إلى أن ترضع الولد يشمل الرَّجم والجَلد، وهو يتمّ في الأوّل دون الثاني إلّابتقدير الخوف عليها من الجَلد من الموت، أو ما يحصل معه الأذى على الولد</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صرّح بعدم الفرق بين الجَلد والرَّجم في انتظارها إلى أن ترضع الولد، إذا لم يحصل له من يكفله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المرتضوي في المرأة التي أقرّت عنده بالزّنا بعدما أمهلها بالوضع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والإرضاع، ثمّ لمّا أرضعته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فاكفليه حتّى يعقل أن يأكل ويشرب، ولا يتردّى من سطحٍ‌، ولا يتهوّر في بئر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مفتياً به، والظاهر أنّ وجه الإمهال فيه عدم إكمال نصاب الإقرار قبله، وإلّا فالظاهر أنّه إنْ لم يكن من يكفله، يجب استئجار من يكفله من بيت المال إن لم يتبرّع أحد، ولم يكن للولد مالٌ‌، إذ ليس في الحدود نظر ساعةٍ إذ لا مانع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4" w:name="pg11384_112385"/>
    </w:p>
    <w:p>
      <w:pPr>
        <w:pStyle w:val="BookText"/>
        <w:rPr/>
      </w:pPr>
      <w:bookmarkEnd w:id="124"/>
      <w:r>
        <w:rPr>
          <w:rFonts w:ascii="Amiri" w:hAnsi="Amiri" w:eastAsia="Amiri" w:cs="Amiri"/>
          <w:color w:val="111111"/>
          <w:sz w:val="28"/>
          <w:sz w:val="28"/>
          <w:szCs w:val="28"/>
          <w:rtl w:val="true"/>
          <w:lang w:bidi="ar-SA"/>
        </w:rPr>
        <w:t>ولا المريض، ولا المستحاضة، وتُرْجَمان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83399_73709187"/>
      <w:bookmarkStart w:id="126" w:name="_Toc42"/>
      <w:bookmarkEnd w:id="125"/>
      <w:r>
        <w:rPr>
          <w:rtl w:val="true"/>
        </w:rPr>
        <w:t>لا حَدّ على المريض و المستحاضة</w:t>
      </w:r>
      <w:bookmarkEnd w:id="12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الحَدّ أي الجَلد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ولا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يبرأ كلّ منهما 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أمير المؤمنين عليه السلام برجلٍ أصاب حَدّاً وبه قروحٌ في جسده كثيرة‌؟</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يبرأ لا تنكؤوها عليه فتقتلوه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مسمع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اُتي برجلٍ أصاب حَدّاً وبه قروحٌ ومرضٌ وأشباه 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تبرأ، لا تُنكأ قروحه عليه فيموت، ولكن إذا برأ حَدّدناه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الجَلد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ولما</w:t>
      </w:r>
      <w:r>
        <w:rPr>
          <w:rStyle w:val="FootnoteAnchor"/>
          <w:rtl w:val="true"/>
        </w:rPr>
        <w:footnoteReference w:id="627"/>
      </w:r>
      <w:r>
        <w:rPr>
          <w:rFonts w:ascii="Amiri" w:hAnsi="Amiri" w:eastAsia="Amiri" w:cs="Amiri"/>
          <w:color w:val="111111"/>
          <w:sz w:val="28"/>
          <w:sz w:val="28"/>
          <w:szCs w:val="28"/>
          <w:rtl w:val="true"/>
          <w:lang w:bidi="ar-SA"/>
        </w:rPr>
        <w:t>دلّ على النهي عن تعطيل الحدود، وأنّه ليس فيه نظرُ ساعةٍ‌، والفرض أنّ نفسه مستوفاة، ونصوص التأخير مختصّة بالجَلد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ورد في المريض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فبمناسبة الحكم والموضوع، وفتوى الأصحاب، والمنساق من لفظ الحَدّ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الجَلد طائفةٌ أُخرى من النصوص، تدلّ على أنّ المريض يُضرب بالضَّغث، المشتمل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 اللّه، عن آبائه عليهم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اُتي برجلٍ كبير البطن قد أصاب مُحرّماً، فدعا رسول اللّه صلى الله عليه و آله بعرجون فيه مائة شمراخ فضربه مرّة واحدة فكان الحَدّ</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لك من أبي عبداللّه عليه السلام منزلةً‌، فسله عن رجلٍ زنى وهو مريض، إنْ أُقيم عليه الحَدّ مات، ما تقول فيه‌؟</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اُتي برجل أحتبن مستسقى البطن، قد بدت عروق فخذيه، وقد زنى بامرأةٍ مريضة، فأمر رسول اللّه صلى الله عليه و آله بعِذْقٍ فيه شمراخ فَضَرب به الرّجل ضربةً‌، وضربت به المرأة ثُمّ خَلّى سبيلهما،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ضِغْثاً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 أخبار اُخر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 جمعوا بينها وبين ما دلّ على الإمهال، بحمل هذه على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7" w:name="pg11384_112387"/>
    </w:p>
    <w:p>
      <w:pPr>
        <w:pStyle w:val="BookText"/>
        <w:rPr/>
      </w:pPr>
      <w:bookmarkEnd w:id="127"/>
      <w:r>
        <w:rPr>
          <w:rFonts w:ascii="Amiri" w:hAnsi="Amiri" w:eastAsia="Amiri" w:cs="Amiri"/>
          <w:color w:val="111111"/>
          <w:sz w:val="28"/>
          <w:sz w:val="28"/>
          <w:szCs w:val="28"/>
          <w:rtl w:val="true"/>
          <w:lang w:bidi="ar-SA"/>
        </w:rPr>
        <w:t>لو اقتضت المَصلحة تقديم حَدّ المريض ضُرِب بضغثٍ فيه مائة سوط دفعةً‌، ولا يُقام في شدّة الحَرّ ولا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اقتضتِ المَصلحةُ تقديم حَدّ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وقالوا في هذه الصورة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بضغثٍ فيه مائة سوط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من جهة أنّ أكثر النصوص الأخيرة قضايا في وقائع، فالمتيقّن منها ما ذكروه، ومن المصلحة عدم رجاء البُرء كالسِّل، والزمانة، وضعف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المريض الذي يُمهل في الجَلد إنّما هو من يخاف عليه الموت لو جُلد كما في النصوص، وأمّا لو لم يكن يُخاف عليه ذلك، فلا وجه لتأخير حَدَّه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83401_73709187"/>
      <w:bookmarkStart w:id="129" w:name="_Toc43"/>
      <w:bookmarkEnd w:id="128"/>
      <w:r>
        <w:rPr>
          <w:rtl w:val="true"/>
        </w:rPr>
        <w:t>لا يُقام الحَدّ في شِدّة الحَرّ والبرد، ولا في أرض العدو</w:t>
      </w:r>
      <w:bookmarkEnd w:id="12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أي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شِدّة الحَرّ ولا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من الهلاك بتعاون الجَلد والهواء، ولكن يؤخّر إلى اعتدال الهواء، وذلك في وسط نهار الشتاء، وطرفي نهار الصيف، ونحو ذلك ممّا يُراعى فيها السَّلامة، والشاهد على ذلك ما رواه هشام بن أحمر،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في المسجد وأنا معه، فسمع صوت رجلٍ يُضرب صلاة الغداة في يومٍ شديد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الساعة، إنّه لا يُضرب أحدٌ في شيء من الحدود في </w:t>
      </w:r>
    </w:p>
    <w:p>
      <w:pPr>
        <w:pStyle w:val="BookText"/>
        <w:rPr/>
      </w:pPr>
      <w:r>
        <w:rPr>
          <w:rFonts w:ascii="Amiri" w:hAnsi="Amiri" w:eastAsia="Amiri" w:cs="Amiri"/>
          <w:color w:val="111111"/>
          <w:sz w:val="28"/>
          <w:sz w:val="28"/>
          <w:szCs w:val="28"/>
          <w:rtl w:val="true"/>
          <w:lang w:bidi="ar-SA"/>
        </w:rPr>
        <w:t>ولا في أرض العدو، ولا على المُلتجيء إلى الحَرَم، ويُضيّق عليه في المَطْعَم والمَشرب حتّى يَخرُجَ فتُقام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الشتاء إلّافي آخر ساعةٍ من النهار، ولا في الصيف إلّافي أبرد مايكون من النهار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أبو داود المسترقّ‌،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البرد ضُرب في حَرّ النهار، وإذا كان في الحَرّ ضُرب في برد النهار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النصوص والفتوى أنّ الحكم على وجه الوجوب لا الاستحباب، فلو أقامه لا كذلك، ضَمن لتفريطه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الحَدُّ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الكفّار، مخافة أن تُحمل المحدود الحميّة فيلحق بهم، للخبر المرويّ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على أحدٍ حَدّ بأرض العدو</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غياث، عنه،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أقيمُ على رجلٍ حَدّاً بأرض العدو حتّى يخرج منها، مخافة أن تحمله الحميّة فيلحق بالعدو</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والعلّة مخصوصة بحَدٍّ لا يوجبُ القتل، كما أنّ فتوى الأصحاب مختصّة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الملتجيء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لحرمة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عليه في المَطعم والمَشرب حتّى يخرج فتُقام عليه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0" w:name="pg11384_112389"/>
    </w:p>
    <w:p>
      <w:pPr>
        <w:pStyle w:val="BookText"/>
        <w:rPr/>
      </w:pPr>
      <w:bookmarkEnd w:id="130"/>
      <w:r>
        <w:rPr>
          <w:rFonts w:ascii="Amiri" w:hAnsi="Amiri" w:eastAsia="Amiri" w:cs="Amiri"/>
          <w:color w:val="111111"/>
          <w:sz w:val="28"/>
          <w:sz w:val="28"/>
          <w:szCs w:val="28"/>
          <w:rtl w:val="true"/>
          <w:lang w:bidi="ar-SA"/>
        </w:rPr>
        <w:t>ولو زَنى في الحرم 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الجَلْدُ والرَّجمُ بُدأ بالجلد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وللخبر الصحيح الذي رواه الصدوق رحمه الله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يَجني في غير الحَرَم ثمّ يلجأ إلى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 ولا يُطعم ولا يُسقى ولا يُكلَّم ولا يُبايع، فإنّه إذا فعل ذلك يوشك أن يخرج فيقام عليه الحَدّ، وإنْ جَنى في الحرم جنايةً أُقيم عليه الحَدّ في الحرم، فإنّه لم يُر للحرم حُرمة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الكلام في ذلك وفروعه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ذيل الصحيح تماميّة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زَنى في الحرم 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بالحرم مكّة المشرّفة، وألحق بها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حَرم النبيّ صلى الله عليه و آله والأئمّة عليهم السلام وهي مشاهدهم المشرّفة، ولم نقف له على مأخذ صالح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83403_73709187"/>
      <w:bookmarkStart w:id="132" w:name="_Toc44"/>
      <w:bookmarkEnd w:id="131"/>
      <w:r>
        <w:rPr>
          <w:rtl w:val="true"/>
        </w:rPr>
        <w:t>لو اجتمع الجَلدُ والرَّجم</w:t>
      </w:r>
      <w:bookmarkEnd w:id="1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الجَلدُ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رُجِم، وكذا </w:t>
      </w:r>
    </w:p>
    <w:p>
      <w:pPr>
        <w:pStyle w:val="BookText"/>
        <w:rPr/>
      </w:pPr>
      <w:r>
        <w:rPr>
          <w:rFonts w:ascii="Amiri" w:hAnsi="Amiri" w:eastAsia="Amiri" w:cs="Amiri"/>
          <w:color w:val="111111"/>
          <w:sz w:val="28"/>
          <w:sz w:val="28"/>
          <w:szCs w:val="28"/>
          <w:rtl w:val="true"/>
          <w:lang w:bidi="ar-SA"/>
        </w:rPr>
        <w:t>لو اجتمع على أحد حدودٍ بدأ بما لا يفوت معه الآخر، بلا خلافٍ‌،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العمل بالدليلين، وامتثال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اجتمعت عليه حدودٌ فيها القتل يبدأ بالحدود التي هي دون القتل، ثُمّ يُقتل بعد ذلك</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حسنا حمّاد بن عثمان عن أبي عبداللّه عليه السلام، وابنى سنان وبُكير جميعاً عنه عليه السلام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يؤخَذ وعليه حدودٌ أحدها القتل‌؟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يقيم عليه الحدود ثمّ يقتله، ولا تُخالف عليّاً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فيمن قَتَل وشَرب خمراً وسرق، فأقام عليه الحَدّ فجلده لشُربه الخمر، وقَطع يده في سرقته، وقتله بقتله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تأخير الرَّجم عن الجَلد حتّى يبرأ منه كماعن الشيخين</w:t>
      </w:r>
      <w:r>
        <w:rPr>
          <w:rStyle w:val="FootnoteAnchor"/>
          <w:rtl w:val="true"/>
        </w:rPr>
        <w:footnoteReference w:id="645"/>
      </w:r>
      <w:r>
        <w:rPr>
          <w:rFonts w:ascii="Amiri" w:hAnsi="Amiri" w:eastAsia="Amiri" w:cs="Amiri"/>
          <w:color w:val="111111"/>
          <w:sz w:val="28"/>
          <w:sz w:val="28"/>
          <w:szCs w:val="28"/>
          <w:rtl w:val="true"/>
          <w:lang w:bidi="ar-SA"/>
        </w:rPr>
        <w:t>، والحلبي</w:t>
      </w:r>
      <w:r>
        <w:rPr>
          <w:rStyle w:val="FootnoteAnchor"/>
          <w:rtl w:val="true"/>
        </w:rPr>
        <w:footnoteReference w:id="646"/>
      </w:r>
      <w:r>
        <w:rPr>
          <w:rFonts w:ascii="Amiri" w:hAnsi="Amiri" w:eastAsia="Amiri" w:cs="Amiri"/>
          <w:color w:val="111111"/>
          <w:sz w:val="28"/>
          <w:sz w:val="28"/>
          <w:szCs w:val="28"/>
          <w:rtl w:val="true"/>
          <w:lang w:bidi="ar-SA"/>
        </w:rPr>
        <w:t>، والقاضي</w:t>
      </w:r>
      <w:r>
        <w:rPr>
          <w:rStyle w:val="FootnoteAnchor"/>
          <w:rtl w:val="true"/>
        </w:rPr>
        <w:footnoteReference w:id="647"/>
      </w:r>
      <w:r>
        <w:rPr>
          <w:rFonts w:ascii="Amiri" w:hAnsi="Amiri" w:eastAsia="Amiri" w:cs="Amiri"/>
          <w:color w:val="111111"/>
          <w:sz w:val="28"/>
          <w:sz w:val="28"/>
          <w:szCs w:val="28"/>
          <w:rtl w:val="true"/>
          <w:lang w:bidi="ar-SA"/>
        </w:rPr>
        <w:t>، وبني زُهرة</w:t>
      </w:r>
      <w:r>
        <w:rPr>
          <w:rStyle w:val="FootnoteAnchor"/>
          <w:rtl w:val="true"/>
        </w:rPr>
        <w:footnoteReference w:id="648"/>
      </w:r>
      <w:r>
        <w:rPr>
          <w:rFonts w:ascii="Amiri" w:hAnsi="Amiri" w:eastAsia="Amiri" w:cs="Amiri"/>
          <w:color w:val="111111"/>
          <w:sz w:val="28"/>
          <w:sz w:val="28"/>
          <w:szCs w:val="28"/>
          <w:rtl w:val="true"/>
          <w:lang w:bidi="ar-SA"/>
        </w:rPr>
        <w:t>وحمزة</w:t>
      </w:r>
      <w:r>
        <w:rPr>
          <w:rStyle w:val="FootnoteAnchor"/>
          <w:rtl w:val="true"/>
        </w:rPr>
        <w:footnoteReference w:id="649"/>
      </w:r>
      <w:r>
        <w:rPr>
          <w:rFonts w:ascii="Amiri" w:hAnsi="Amiri" w:eastAsia="Amiri" w:cs="Amiri"/>
          <w:color w:val="111111"/>
          <w:sz w:val="28"/>
          <w:sz w:val="28"/>
          <w:szCs w:val="28"/>
          <w:rtl w:val="true"/>
          <w:lang w:bidi="ar-SA"/>
        </w:rPr>
        <w:t>وسعيد</w:t>
      </w:r>
      <w:r>
        <w:rPr>
          <w:rStyle w:val="FootnoteAnchor"/>
          <w:rtl w:val="true"/>
        </w:rPr>
        <w:footnoteReference w:id="650"/>
      </w:r>
      <w:r>
        <w:rPr>
          <w:rFonts w:ascii="Amiri" w:hAnsi="Amiri" w:eastAsia="Amiri" w:cs="Amiri"/>
          <w:color w:val="111111"/>
          <w:sz w:val="28"/>
          <w:sz w:val="28"/>
          <w:szCs w:val="28"/>
          <w:rtl w:val="true"/>
          <w:lang w:bidi="ar-SA"/>
        </w:rPr>
        <w:t>تأكيداً للزَّجر؟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ويُدفن المرجوم إلى حقويه،</w:t>
      </w:r>
    </w:p>
    <w:p>
      <w:pPr>
        <w:pStyle w:val="BookText"/>
        <w:rPr/>
      </w:pPr>
      <w:r>
        <w:rPr>
          <w:rFonts w:ascii="Amiri" w:hAnsi="Amiri" w:eastAsia="Amiri" w:cs="Amiri"/>
          <w:color w:val="111111"/>
          <w:sz w:val="28"/>
          <w:sz w:val="28"/>
          <w:szCs w:val="28"/>
          <w:rtl w:val="true"/>
          <w:lang w:bidi="ar-SA"/>
        </w:rPr>
        <w:t>أم يستحبّ ذلك، كما عن الحِلّي</w:t>
      </w:r>
      <w:r>
        <w:rPr>
          <w:rStyle w:val="FootnoteAnchor"/>
          <w:rtl w:val="true"/>
        </w:rPr>
        <w:footnoteReference w:id="651"/>
      </w:r>
      <w:r>
        <w:rPr>
          <w:rFonts w:ascii="Amiri" w:hAnsi="Amiri" w:eastAsia="Amiri" w:cs="Amiri"/>
          <w:color w:val="111111"/>
          <w:sz w:val="28"/>
          <w:sz w:val="28"/>
          <w:szCs w:val="28"/>
          <w:rtl w:val="true"/>
          <w:lang w:bidi="ar-SA"/>
        </w:rPr>
        <w:t>، ومالَ إليه جماعة من المتأخّرين</w:t>
      </w:r>
      <w:r>
        <w:rPr>
          <w:rStyle w:val="FootnoteAnchor"/>
          <w:rtl w:val="true"/>
        </w:rPr>
        <w:footnoteReference w:id="652"/>
      </w:r>
      <w:r>
        <w:rPr>
          <w:rFonts w:ascii="Amiri" w:hAnsi="Amiri" w:eastAsia="Amiri" w:cs="Amiri"/>
          <w:color w:val="111111"/>
          <w:sz w:val="28"/>
          <w:sz w:val="28"/>
          <w:szCs w:val="28"/>
          <w:rtl w:val="true"/>
          <w:lang w:bidi="ar-SA"/>
        </w:rPr>
        <w:t>، لأنّ القصد الإتلاف، فلا فائدة في التأخير، وإنّما يصلح الوجه المذكور سنداً للاستحباب دون اللّزوم‌؟</w:t>
      </w:r>
    </w:p>
    <w:p>
      <w:pPr>
        <w:pStyle w:val="BookText"/>
        <w:rPr/>
      </w:pPr>
      <w:r>
        <w:rPr>
          <w:rFonts w:ascii="Amiri" w:hAnsi="Amiri" w:eastAsia="Amiri" w:cs="Amiri"/>
          <w:color w:val="111111"/>
          <w:sz w:val="28"/>
          <w:sz w:val="28"/>
          <w:szCs w:val="28"/>
          <w:rtl w:val="true"/>
          <w:lang w:bidi="ar-SA"/>
        </w:rPr>
        <w:t>أم لا يجوز التأخير، لما دلّ على عدم تأخير الحدود ساعة</w:t>
      </w:r>
      <w:r>
        <w:rPr>
          <w:rStyle w:val="FootnoteAnchor"/>
          <w:rtl w:val="true"/>
        </w:rPr>
        <w:footnoteReference w:id="6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يجبُ التأخير بيومٍ كما عن الإسكافي</w:t>
      </w:r>
      <w:r>
        <w:rPr>
          <w:rStyle w:val="FootnoteAnchor"/>
          <w:rtl w:val="true"/>
        </w:rPr>
        <w:footnoteReference w:id="654"/>
      </w:r>
      <w:r>
        <w:rPr>
          <w:rFonts w:ascii="Amiri" w:hAnsi="Amiri" w:eastAsia="Amiri" w:cs="Amiri"/>
          <w:color w:val="111111"/>
          <w:sz w:val="28"/>
          <w:sz w:val="28"/>
          <w:szCs w:val="28"/>
          <w:rtl w:val="true"/>
          <w:lang w:bidi="ar-SA"/>
        </w:rPr>
        <w:t>، لما دلّ على أنّ الأمير عليه السلام جلد شراحة يوم الخميس ورَجَمها يوم الجمعة</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أقواها بحسب الدليل الثالث،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الأصحاب على جواز 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المرجومُ‌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معقد الإزار على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المرأة إلى وسطها ثمّ يَرمي الإمام ويَرمي النّاس بأحجارٍ صغار، ولا يُدفن الرّجل إذا رُجم إلّاإلى حقويه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والمرأةُ إلى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ولكن الظاهر كفاية الدفن إلى وسطها، وجواز الدفن إلى الأعلى من الصدر حتّى الترقوة، لأنّ ذلك هو مقتضى الجمع بين ما دلّ على أنّ المرأة تُدفن إلى وسطها، وما دلّ على أنّها تدفن إلى دون موضع الثَّديين</w:t>
      </w:r>
      <w:r>
        <w:rPr>
          <w:rStyle w:val="FootnoteAnchor"/>
          <w:rtl w:val="true"/>
        </w:rPr>
        <w:footnoteReference w:id="658"/>
      </w:r>
      <w:r>
        <w:rPr>
          <w:rFonts w:ascii="Amiri" w:hAnsi="Amiri" w:eastAsia="Amiri" w:cs="Amiri"/>
          <w:color w:val="111111"/>
          <w:sz w:val="28"/>
          <w:sz w:val="28"/>
          <w:szCs w:val="28"/>
          <w:rtl w:val="true"/>
          <w:lang w:bidi="ar-SA"/>
        </w:rPr>
        <w:t>كخبر أبي مريم،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أتت الوصيّ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لها حفيرة في الرَّحبة، وخاط عليها ثوباً جديداً، وأدخلها الحفيرة إلى الحقوة دون موضع الثَّديين، الحديث</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الحفر إلى الصدر، كالمرسل المتضمّن لحفر النبيّ صلى الله عليه و آله للعامريّة إلى الصَّدر</w:t>
      </w:r>
      <w:r>
        <w:rPr>
          <w:rStyle w:val="FootnoteAnchor"/>
          <w:rtl w:val="true"/>
        </w:rPr>
        <w:footnoteReference w:id="660"/>
      </w:r>
      <w:r>
        <w:rPr>
          <w:rFonts w:ascii="IRNazanin" w:hAnsi="IRNazanin" w:eastAsia="IRNazanin"/>
          <w:color w:val="111111"/>
          <w:sz w:val="28"/>
          <w:sz w:val="28"/>
          <w:szCs w:val="28"/>
          <w:rtl w:val="true"/>
          <w:lang w:bidi="fa-IR"/>
        </w:rPr>
        <w:t>، وما دلّ على الحفر إلى العنق</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الجميع هو الحفر إلى الصَّدر، أمّا المرسل فواضحٌ‌، وأمّا خبر أبي مريم فلأنّ دون الثَّديين يعدّ أوّل الصدر، وأمّا الموثّقات المتضمّنة للحفر إلى الوسط، فمن جهة التفصيل بينها وبين الرّجل في بعضها، إذ لو لم يرد من الوسط الصدر، لم يكن فرقٌ بينها وبين الرّجل، ضرورة قُرب الحقوة من السُّرة على وجهٍ لا يظهر في الدفن، ولا بأس به</w:t>
      </w:r>
      <w:r>
        <w:rPr>
          <w:rFonts w:eastAsia="Amiri" w:cs="Amiri" w:ascii="Amiri" w:hAnsi="Amiri"/>
          <w:color w:val="111111"/>
          <w:sz w:val="28"/>
          <w:szCs w:val="28"/>
          <w:rtl w:val="true"/>
          <w:lang w:bidi="ar-SA"/>
        </w:rPr>
        <w:t xml:space="preserve">.). </w:t>
      </w:r>
      <w:bookmarkStart w:id="133" w:name="pg11384_112393"/>
    </w:p>
    <w:p>
      <w:pPr>
        <w:pStyle w:val="BookText"/>
        <w:rPr/>
      </w:pPr>
      <w:bookmarkEnd w:id="133"/>
      <w:r>
        <w:rPr>
          <w:rFonts w:ascii="Amiri" w:hAnsi="Amiri" w:eastAsia="Amiri" w:cs="Amiri"/>
          <w:color w:val="111111"/>
          <w:sz w:val="28"/>
          <w:sz w:val="28"/>
          <w:szCs w:val="28"/>
          <w:rtl w:val="true"/>
          <w:lang w:bidi="ar-SA"/>
        </w:rPr>
        <w:t>فإنْ فرَّ أحدهما وقد ثَبَت بالبيّنة اُعيد، وإنْ كان بالإقرار لم يُعد مع إصابة الحَجَر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83405_73709187"/>
      <w:bookmarkStart w:id="135" w:name="_Toc45"/>
      <w:bookmarkEnd w:id="134"/>
      <w:r>
        <w:rPr>
          <w:rtl w:val="true"/>
        </w:rPr>
        <w:t>كيفيّة رجم المرأة</w:t>
      </w:r>
      <w:bookmarkEnd w:id="1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والفتاوى كون ذلك على وجه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الاستحباب،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الروايات غير نقيّة، ولكنّها كافية في إقامة السُّنة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منها 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الضعف، فهو باستناد الأصحاب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أقوالاً اُخر غير ظاهر المأخذ، لا حاجة إلى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بالبيّنة اُعيد،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الأوّل، وأمّا الثاني فهو المنسوب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إصابة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اُعيد أيضاً، والمستند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خالد،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هَرَب من الحفيرة، هل يُردّ حتّى يُقام عليه الحَدّ؟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ولا 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المُقرّ على نفسه هَرَب من الحفيرة بعدما يُصيبه شيءٌ من الحجارة، لم يُعد، وإنْ كان إنّما قامت عليه البيّنة وهو يجحد ثمّ هرب رُدَّ وهو صاغر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يفرّ من الحفيرة فيُطلب‌؟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يُعرض له إنْ كان أصابه حَجَرٌ واحدٌ لم يطلب، فإنْ هَرَب قبل أن تُصيبه الحجارة رُدّ حتّى يُصيبه ألم العذاب</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الزّنا ح </w:t>
      </w:r>
      <w:r>
        <w:rPr>
          <w:rFonts w:eastAsia="Amiri" w:cs="Amiri" w:ascii="Amiri" w:hAnsi="Amiri"/>
          <w:color w:val="111111"/>
          <w:sz w:val="28"/>
          <w:szCs w:val="28"/>
          <w:lang w:bidi="ar-SA"/>
        </w:rPr>
        <w:t>34326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34325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المرجوم يفرّ؟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أقرّ على نفسه فلا يُردّ، وإنْ كان شهد عليه الشهود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كما تراها مختلفة من حيث المضمون، ومقتضى إطلاق المرسل رَدّ من اُقيمت البيّنة عليه، وعدمه إنْ كان أقرّ على نفسه، سواءٌ أصابه حَجرٌ أم لا، ومقتضى خبري أبي بصير أنّ من أصابه حجر لا يُردّ، قامت البيّنة عليه أو أقرّ على نفسه، ومن لم يُصبه حجارة يُردّ من غير فرقٍ بين الثبوت بالبيّنة أو الإقرار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فالنسبة بين الطائفتين عمومٌ من وجه، ولكن خبر ابن خالد أخصّ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ويبدأ الشّهودُ بالرَّجم، وفي الإقرار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وهو يدلّ على أنّ المُقرّ لا يُردّ إن أصابه حجارةٌ ومن اُقيمت عليه البيّنة يُردّ، وظاهره الرَّد لو كان ذلك بعد اصابة الحجارة بقرينة التفصيل، فصدره يقيّد إطلاق المرسل، وذيله يقيّد إطلاق خبري أبي بصير، ويرتفع التعارض بذلك، فما أفاده الماتن، هو مقتضى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هو في الرَّجم، وأمّا في الجَلد فلا ينفعُ الفرار، حتّى ولو كان ثبوت زناه بالإقرار وفَرّ بعد حصول شيء منه، بلا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 بعد اختصاص النصوص بالرّجم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عيسى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يُجلد فيهرب بعد أن أصابه بعض الحَدّ أيجبُ عليه أن يُخلّا عنه ما يجبُ للمحصن إذا رُجِم‌؟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يُردّ حتّى يُضرب الحَدّ كاملاً، الحديث</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ويبدأ الشهود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 ثابتاً بالبيّنة وجوباً، كما هو ظاهرُ الأكثر، لمرفوع عبد اللّه بن المغيرة، وصفوان، وغير واحدٍ إلى أبي عبداللّه عليه السلام الذي هو كالصحيح، والعمل على طبقه،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البيّنة كان أوّل من يرجمه البيّنة، ثمّ الإمام، ثمّ النّاس</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صدر المرفوع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الزّاني المُحصَن كان أوّل من يرجمه الإمام،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يعارضه ما تضمّن</w:t>
      </w:r>
      <w:r>
        <w:rPr>
          <w:rStyle w:val="FootnoteAnchor"/>
          <w:rtl w:val="true"/>
        </w:rPr>
        <w:footnoteReference w:id="669"/>
      </w:r>
      <w:r>
        <w:rPr>
          <w:rFonts w:ascii="Amiri" w:hAnsi="Amiri" w:eastAsia="Amiri" w:cs="Amiri"/>
          <w:color w:val="111111"/>
          <w:sz w:val="28"/>
          <w:sz w:val="28"/>
          <w:szCs w:val="28"/>
          <w:rtl w:val="true"/>
          <w:lang w:bidi="ar-SA"/>
        </w:rPr>
        <w:t>قصّة ماعز الذي لم يحضره النبيّ صلى الله عليه و آله، فضلاً عن بدائته، والجمع يقتضي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في واقعة، ولعلّ عدم حضوره صلى الله عليه و آله كان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ذيله الدّال علي بدائة الشهود، فلا صارف عن ظهوره فى الوجوب، فيبنى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w:t>
      </w:r>
      <w:r>
        <w:rPr>
          <w:rStyle w:val="FootnoteAnchor"/>
          <w:rtl w:val="true"/>
        </w:rPr>
        <w:footnoteReference w:id="670"/>
      </w:r>
      <w:r>
        <w:rPr>
          <w:rFonts w:ascii="Amiri" w:hAnsi="Amiri" w:eastAsia="Amiri" w:cs="Amiri"/>
          <w:color w:val="111111"/>
          <w:sz w:val="28"/>
          <w:sz w:val="28"/>
          <w:szCs w:val="28"/>
          <w:rtl w:val="true"/>
          <w:lang w:bidi="ar-SA"/>
        </w:rPr>
        <w:t>من النصوص على بدائة الإمام مطلقاً، لا يصلحُ قرينةً لذلك فإنّه مطلق، والجمع بينه وبين المرفوع يقتضي التقييد به، كما أنّ كون الصدر متضمّناً لبيان حكم استحبابي لا يصلحُ قرينةً لحمل الذيل عليه، بناءً على ما هو الحقّ من خروج الوجوب والاستحباب عن حريم الموضوع له والمستعمل فيه، فليس مورد الوحدة السياق، مع أنّه قدعرفت أنّه أيضاً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 الحكم على وجه الوجوب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إذا أراد استيفاء الحَدّ أن يُعْلِم النّاس ليتوفّروا على حضوره، تأسّياً بالأمير عليه السلام حيث كان يُعلِم النّاس عند إرادة إقامة الحَدّ، أضف إليه أنّ في مثل ذلك زجراً له ولغيره عن إتيان مثل فعله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671"/>
      </w:r>
      <w:r>
        <w:rPr>
          <w:rFonts w:ascii="Amiri" w:hAnsi="Amiri" w:eastAsia="Amiri" w:cs="Amiri"/>
          <w:color w:val="111111"/>
          <w:sz w:val="28"/>
          <w:sz w:val="28"/>
          <w:szCs w:val="28"/>
          <w:rtl w:val="true"/>
          <w:lang w:bidi="ar-SA"/>
        </w:rPr>
        <w:t>وجماعة</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أن يحضر إقامة الحَدّ 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ذلك، والمستند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طائِفَةٌ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وظاهرها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واختلفوا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أقلّ الطائفة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عِكرمة</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أقلّها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أقلّها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الحسن،</w:t>
      </w:r>
      <w:r>
        <w:rPr>
          <w:rStyle w:val="FootnoteAnchor"/>
          <w:rtl w:val="true"/>
        </w:rPr>
        <w:footnoteReference w:id="6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أقلّها عشرة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ذلك إلى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حسنٌ لخبر غياث بن إبراهيم، عن جعفر، عن أبيه، عن أمير المؤمنين عليهم السلام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واحد، الحديث</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 الطائفة بمعنى القطعة، فتصدقُ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يُقتل المرجوم بالسّيف، ولا بالرَّمي بصخرةٍ واحدة، لعدم صدق الرَّجم، وينبغي أن تكون الحجارة التي يُرجم بها صغاراً كما في النصوص، ففي الموثّق</w:t>
      </w:r>
      <w:r>
        <w:rPr>
          <w:rStyle w:val="FootnoteAnchor"/>
          <w:rtl w:val="true"/>
        </w:rPr>
        <w:footnoteReference w:id="685"/>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يرمي النّاس بعدُ بأحجارٍ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 لئلّا يُسرع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يُرجم بحصى صغاراً حَدّاً يعذّب بطول الضَّرب مع بقاء الحياة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يَرجمهُ من للّهِ قِبله حَدٌّ، ولكن المشهور بينهم كونه على وجه الكراهة، والمدرك الروايات الخاصّة</w:t>
      </w:r>
      <w:r>
        <w:rPr>
          <w:rStyle w:val="FootnoteAnchor"/>
          <w:rtl w:val="true"/>
        </w:rPr>
        <w:footnoteReference w:id="687"/>
      </w:r>
      <w:r>
        <w:rPr>
          <w:rFonts w:ascii="Amiri" w:hAnsi="Amiri" w:eastAsia="Amiri" w:cs="Amiri"/>
          <w:color w:val="111111"/>
          <w:sz w:val="28"/>
          <w:sz w:val="28"/>
          <w:szCs w:val="28"/>
          <w:rtl w:val="true"/>
          <w:lang w:bidi="ar-SA"/>
        </w:rPr>
        <w:t>، وفيها الصحيح وغيره، وظاهرها عدم الجواز، إلّاأنّ الظاهر قيام الإجماع على عدم الحرمة، فبه يُرفع اليد عن ظاهر الأخبار، وتُحمل عليها، ولا اختصاص للحكم بمن عليه حَدٌّ مماثل للّذي أُقيم على المحدود، فإنّ بعض النصوص وإنْ اختصّ به، إلّاأنّ بعضها الآخر مطلقٌ‌، وحيث إنّهما مثبتان فلا يُحمل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6" w:name="pg11384_112399"/>
    </w:p>
    <w:p>
      <w:pPr>
        <w:pStyle w:val="BookText"/>
        <w:rPr/>
      </w:pPr>
      <w:bookmarkEnd w:id="136"/>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 للجَلد،</w:t>
      </w:r>
    </w:p>
    <w:p>
      <w:pPr>
        <w:pStyle w:val="BookText"/>
        <w:rPr/>
      </w:pPr>
      <w:r>
        <w:rPr>
          <w:rFonts w:ascii="Amiri" w:hAnsi="Amiri" w:eastAsia="Amiri" w:cs="Amiri"/>
          <w:color w:val="111111"/>
          <w:sz w:val="28"/>
          <w:sz w:val="28"/>
          <w:szCs w:val="28"/>
          <w:rtl w:val="true"/>
          <w:lang w:bidi="ar-SA"/>
        </w:rPr>
        <w:t>هذا، وقد عرفت أنّ التوبة توجبُ سقوط الحَدّ، وعليه فلو تاب ورجمه لا مانع عنه، وما في الصحيح أنّه لما نادى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الحَدّ مَن للّهِ عليه حَدٌّ، فمن كان للّه عليه مثل ما له عليها، فلا يقيم عليها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يومئذٍ كلّهم، ما خلا أميرالمؤمنين والحسن والحسين عليهم السلام، فأقام هؤلاء الثلاثة عليها الحَدّ يومئذٍ، وما معهم غيرهم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لاينافي ذلك، فإنّه وإنْكان من المستبعد جدّاً عدم توبتهم جميعاً في ذلك الوقت، إلّاأنّه من الجائز عدم علمهم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الحكم المزبور بين ما لو ثبت الحَدّ بالبيّنة أو الإقرار، وكون مورد النصوص خصوص صورة الإقرار، لا يُخصّص الوارد، ووجوب بدئة الشهود لا يصلحُ قرينةً للاختصاص بمورد الإقرار، فإنّه تجبُ عليهم التوبة فيما بينهم وبين اللّه تعالى‌</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83407_73709187"/>
      <w:bookmarkStart w:id="138" w:name="_Toc46"/>
      <w:bookmarkEnd w:id="137"/>
      <w:r>
        <w:rPr>
          <w:rtl w:val="true"/>
        </w:rPr>
        <w:t>كيفيّة جَلد الرّجل و المرأة</w:t>
      </w:r>
      <w:bookmarkEnd w:id="1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لموثّق إسحاق بن عمّار، عن أبي إبراهيم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الزّاني كيف يجلد؟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الثياب‌؟ فقال بل يُجرّد</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تُخلع ثيابه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692"/>
      </w:r>
      <w:r>
        <w:rPr>
          <w:rFonts w:ascii="Amiri" w:hAnsi="Amiri" w:eastAsia="Amiri" w:cs="Amiri"/>
          <w:color w:val="111111"/>
          <w:sz w:val="28"/>
          <w:sz w:val="28"/>
          <w:szCs w:val="28"/>
          <w:rtl w:val="true"/>
          <w:lang w:bidi="ar-SA"/>
        </w:rPr>
        <w:t>وجماعة</w:t>
      </w:r>
      <w:r>
        <w:rPr>
          <w:rStyle w:val="FootnoteAnchor"/>
          <w:rtl w:val="true"/>
        </w:rPr>
        <w:footnoteReference w:id="693"/>
      </w:r>
      <w:r>
        <w:rPr>
          <w:rFonts w:ascii="Amiri" w:hAnsi="Amiri" w:eastAsia="Amiri" w:cs="Amiri"/>
          <w:color w:val="111111"/>
          <w:sz w:val="28"/>
          <w:sz w:val="28"/>
          <w:szCs w:val="28"/>
          <w:rtl w:val="true"/>
          <w:lang w:bidi="ar-SA"/>
        </w:rPr>
        <w:t>، بل عن جماعةٍ‌</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أنّه يُضرب على الحالة التي وجد عليها، إن وجد عرياناً ضُرب عرياناً، وإن وجد وعليه ثيابه ضُرِب وعليه ثيابه، ومدركه خبر طلحة بن زيد</w:t>
      </w:r>
      <w:r>
        <w:rPr>
          <w:rStyle w:val="FootnoteAnchor"/>
          <w:rtl w:val="true"/>
        </w:rPr>
        <w:footnoteReference w:id="696"/>
      </w:r>
      <w:r>
        <w:rPr>
          <w:rFonts w:ascii="Amiri" w:hAnsi="Amiri" w:eastAsia="Amiri" w:cs="Amiri"/>
          <w:color w:val="111111"/>
          <w:sz w:val="28"/>
          <w:sz w:val="28"/>
          <w:szCs w:val="28"/>
          <w:rtl w:val="true"/>
          <w:lang w:bidi="ar-SA"/>
        </w:rPr>
        <w:t>المنجبر ضعفه بالعمل، والجمع بينه وبين الموثّقين يقتضي البناء على أنّ المراد بهما ما لو كان حين الزّنا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فالمتعيّن العمل بخبر طلحة، لفتوى الأكثر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فيُجلد قائماً، لموثّق زرارة، عن أبي جعفر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الرّجل الحَدّ قائماً والمرأة قاعدة، ويُضرب على كلّ عضوٍ ويُترك الرأس والمذاكير</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ويُضرَب أشدّ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ويُتَّقى وجهه وفرجه، وتُضرب المرأة جالسةً وقد رُبِطت عليها ثيابها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أشدّ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 لموثّق إسحاق المتقدّم، ونحوه خبر محمّد ابن سنان، عن الإمام الرّضا عليه السلام فيما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ضَرب الزّاني على جسده بأشدّ الضَّرب لمباشرته الزّنا، واستلذاذ الجسد كلّه به، الحديث</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حريز، عن من أخبره،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الحَدّ على الجسد كلّه، ويُتّقى الفرج والوجه، ويُضرب بين الضربين</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الذي قيل عَمِل به بعضٌ ولم نتحقّقه، لا يصلحُ أن يقاوم ما تقدّم، مضافاً إلى قصوره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النصوص المتقدّمة، ويُفرّق الضَّرب على بقيّة جسده كلّه، لأنّه كما في الخبر</w:t>
      </w:r>
      <w:r>
        <w:rPr>
          <w:rStyle w:val="FootnoteAnchor"/>
          <w:rtl w:val="true"/>
        </w:rPr>
        <w:footnoteReference w:id="700"/>
      </w:r>
      <w:r>
        <w:rPr>
          <w:rFonts w:ascii="Amiri" w:hAnsi="Amiri" w:eastAsia="Amiri" w:cs="Amiri"/>
          <w:color w:val="111111"/>
          <w:sz w:val="28"/>
          <w:sz w:val="28"/>
          <w:szCs w:val="28"/>
          <w:rtl w:val="true"/>
          <w:lang w:bidi="ar-SA"/>
        </w:rPr>
        <w:t>استلذ بجميع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وتُضرب المرأة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وموثّق زرارة شاهد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ربطت عليها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 لأنّها لا تُهتك ليبدو جسدها وهي عورة، وللأمر به لما اُريد رجمها في بعض</w:t>
      </w:r>
      <w:r>
        <w:rPr>
          <w:rStyle w:val="FootnoteAnchor"/>
          <w:rtl w:val="true"/>
        </w:rPr>
        <w:footnoteReference w:id="701"/>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بأمَةٍ على حُرّةٍ مُسلمة فوطأها قبل الإذن، كان عليه 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زنى في زمانٍ شريفٍ‌، أو مكانٍ شريفٍ ضُرِب زيادةً على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أقرّت عند الوصي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بالفجور،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فحفر لها حفيرةً في الرحبة، وخاطَ عليها ثوباً جديداً، وأدخلها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كالرجل في جَلدها عرياناً إن وُجدت كذلك، ومستنده إطلاق ما تقدّم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تلك النصوص مختصّة بالزاني، والظاهر منه الرّجل، وإرادة الجنس منه بحيثُ يشمل الزانية تحتاجُ إلى قرينةٍ مفقودة، وقاعدة الاشتراك مع احتمال الخصوصيّة كما لا يخفى 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بأمَةٍ على حُرَّةٍ مسلمة، فوطأها قبل الإذن، كان عليه 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زَنى في زمانٍ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كالمشاهد المشرّفة والمساجد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زيادةً على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لمرفوع جابر، عن أبي مريم،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بالنجاشي الشاعر قد شَرب الخمر في شهر رمضان، فضربه ثمانين، ثمّ حَبَسه ليلةً‌، ثمّ دعا به من الغد فضربه عشرين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ضربتني بثمانين في شُرب الخَمر، وهذه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9" w:name="pg11384_112403"/>
    </w:p>
    <w:p>
      <w:pPr>
        <w:pStyle w:val="BookText"/>
        <w:rPr/>
      </w:pPr>
      <w:bookmarkEnd w:id="139"/>
      <w:r>
        <w:rPr>
          <w:rFonts w:ascii="Amiri" w:hAnsi="Amiri" w:eastAsia="Amiri" w:cs="Amiri"/>
          <w:color w:val="111111"/>
          <w:sz w:val="28"/>
          <w:sz w:val="28"/>
          <w:szCs w:val="28"/>
          <w:rtl w:val="true"/>
          <w:lang w:bidi="ar-SA"/>
        </w:rPr>
        <w:t>العشرون 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لتجرّئك على شُرب الخَمر في شهر رمضان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منجبرٌبالعمل، ومافيه من العلّة تدلّ على ثبوت الحكم في غير مورده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83409_73709187"/>
      <w:bookmarkStart w:id="141" w:name="_Toc47"/>
      <w:bookmarkEnd w:id="140"/>
      <w:r>
        <w:rPr>
          <w:rtl w:val="true"/>
        </w:rPr>
        <w:t>من وجد رجلاً يزني مع زوجته</w:t>
      </w:r>
      <w:bookmarkEnd w:id="14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الزوجُ رجلاً يزني بزوجته، وعلم بمطاوعتها له، فله قتلهما ولا إثم عليه، كما عن الشيخ</w:t>
      </w:r>
      <w:r>
        <w:rPr>
          <w:rStyle w:val="FootnoteAnchor"/>
          <w:rtl w:val="true"/>
        </w:rPr>
        <w:footnoteReference w:id="705"/>
      </w:r>
      <w:r>
        <w:rPr>
          <w:rFonts w:ascii="Amiri" w:hAnsi="Amiri" w:eastAsia="Amiri" w:cs="Amiri"/>
          <w:color w:val="111111"/>
          <w:sz w:val="28"/>
          <w:sz w:val="28"/>
          <w:szCs w:val="28"/>
          <w:rtl w:val="true"/>
          <w:lang w:bidi="ar-SA"/>
        </w:rPr>
        <w:t>، وجماعة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707"/>
      </w:r>
      <w:r>
        <w:rPr>
          <w:rFonts w:ascii="Amiri" w:hAnsi="Amiri" w:eastAsia="Amiri" w:cs="Amiri"/>
          <w:color w:val="111111"/>
          <w:sz w:val="28"/>
          <w:sz w:val="28"/>
          <w:szCs w:val="28"/>
          <w:rtl w:val="true"/>
          <w:lang w:bidi="ar-SA"/>
        </w:rPr>
        <w:t>تقييده بإحصانهما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الأكثر، عدم الفرق بين كون الفعل موجباً للرَّجم أو الجَلد، كما لو كان الرّجل غير مُحصَنٍ‌، أو كانا مُحصَنين، وسواءً كان الزوج قد دخل أم لا، كان العقد دائماً أو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الفتح بن يزيد الجرجاني،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دار آخر للتلصُّص أو للفجور فقتله صاحب الدار، أيُقتل به أم 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ولا يجبُ عليه شيء</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كابر امرأةً ليفجر بها فقتلته، فلا دية ولا قِوَد</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الدالّة على إهدار دم من اطّلع على قومٍ ينظر إلى عوراتهم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إهدار دم من راودَ امرأةً على نفسها حراماً فقتلته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عن أبيه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رجلٌ يريد أهلك ومالك فاقتله، فماتبعك منه من شيء فهو عَليَّ‌</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يريدُ أهلك ومالك، فإن استطعت أن تبدره وتضربه فابدره واضربه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للّه ولرسوله فاقتله، فما منك منه فهو عليَّ‌</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الشهيد رحمه الله فقد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رأى زوجته تَزني فله قتلهما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فلما كان ليلة البناء عَمَدت المرأة إلى رجل صديق لها فأدخلته الحِجلة، فلمّا ذهب الرّجل يُباضع أهله ثار الصديق، فاقتتلا في البيت، فقتل الزوج الصديق، وقامت المرأة فضَرَب الرّجل فقتلته بالصديق‌؟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المرأة دية الصديق، وتُقتل بالزوج</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شيئاً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مرسل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المطلوب، فإنّ جملة منها تدلّ على جواز قتل من دخل داره بغير إذنه، ولو كان ذلك للسرقة، أو إرادة الفجور وإن لم يفجر، وجملةٌ منها تدلّ على جواز أن تدفع المرأة عن نفسها، وإن استلزم القتل، وبعضها يدلّ على أن لا شيء على من قتل من اقتتل معه في بيته، ثمّ إنّه ليس في شيء منها تعرّضٌ لحكم قتل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 يُستدلّ لجواز قتل الزّاني بمرسل الشهيد، وبالصحيح</w:t>
      </w:r>
      <w:r>
        <w:rPr>
          <w:rStyle w:val="FootnoteAnchor"/>
          <w:rtl w:val="true"/>
        </w:rPr>
        <w:footnoteReference w:id="716"/>
      </w:r>
      <w:r>
        <w:rPr>
          <w:rFonts w:ascii="Amiri" w:hAnsi="Amiri" w:eastAsia="Amiri" w:cs="Amiri"/>
          <w:color w:val="111111"/>
          <w:sz w:val="28"/>
          <w:sz w:val="28"/>
          <w:szCs w:val="28"/>
          <w:rtl w:val="true"/>
          <w:lang w:bidi="ar-SA"/>
        </w:rPr>
        <w:t>المتضمّن لقول أمير المؤمنين عليه السلام في جواب ما كتبه معاوية إلى أبي موسى من أن إبن أبي الجسرين وَجَد رجلاً مع امرأته فقتله، فاسأل لي عليّاً عليه السلام،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بأربعة يشهدون على ما شَهد وإلّا دفع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جواز القتل له، غاية الأمر لإثبات أنّ قتله إيّاه كان لرؤيته إيّاه مع زوجته لا لغير ذلك، لابدَّ وأن يُقيّم الشهود، كما أشار إلى ذلك الإمام عليه السلام في خبر داود بن فرقد</w:t>
      </w:r>
      <w:r>
        <w:rPr>
          <w:rStyle w:val="FootnoteAnchor"/>
          <w:rtl w:val="true"/>
        </w:rPr>
        <w:footnoteReference w:id="71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استقام هذا ثُمّ شاء أن يقول كلّ إنسان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بيتي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لم يقدر على إثبات ذلك في ظاهر الشرع يحكم عليه بحكم القاتل، ولكن لا شيء عليه بينه وبين ربه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لا منافاة بين فتوى الأصحاب وهذه النصوص، وبين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داود بن فرقد، عن الإمام الصادق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النبيّ صلى الله عليه و آله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صانعاً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سعد؟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وجدتَ على بطن امرأتك رجلاً ما كُنتَ صانعاً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فكيف بالأربعة شهود؟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أن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بعد رأي عينك، وعلم اللّه أن قد فعل، لأنّ اللّه عزّ وجلّ قد جعل لكلّ شيء حَدّاً، وجعل لمن تعدّى ذلك الحَدّ حدّاً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يُحمل ذلك على بيان الحكم الظاهري، ويؤيّده أنّه لم ينهه رسول اللّه صلى الله عليه و آله عن قتله، ولو لم يكن يجوز قتله، كان ذلك كسائر الحدود إقامته وظيفة الإمام ونائبه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سوى المرسل المنجبر ضعفه بالعمل، فإنّ الظاهر أنّ الحكم مقطوع به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مدرك ما أفاده الأصحاب من أنّه في الظاهر عليه القود، إلّا أن يأتي على دعواه بيّنة أو يُصدِّقه الوليّ‌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النصوص مختصّة بمشاهدة الزوج، فلو قامت البيّنة أو أقرّ هو أو هي بذلك لايثبتُ الحكم، إذا لم يظهر كون الرؤية والمشاهدة مأخوذة في الموضوع بعنوان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الطريقيّة إلى الواقع حتّيتقوم الأمارات مقامها، ولعلّه للمشاهدة مدخليّة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 وجه لاستشكال الشهيد الثاني رحمه الله</w:t>
      </w:r>
      <w:r>
        <w:rPr>
          <w:rStyle w:val="FootnoteAnchor"/>
          <w:rtl w:val="true"/>
        </w:rPr>
        <w:footnoteReference w:id="719"/>
      </w:r>
      <w:r>
        <w:rPr>
          <w:rFonts w:ascii="Amiri" w:hAnsi="Amiri" w:eastAsia="Amiri" w:cs="Amiri"/>
          <w:color w:val="111111"/>
          <w:sz w:val="28"/>
          <w:sz w:val="28"/>
          <w:szCs w:val="28"/>
          <w:rtl w:val="true"/>
          <w:lang w:bidi="ar-SA"/>
        </w:rPr>
        <w:t>في إلحاق الإقرار بالمشاهدة، بل الأظهر عدم الإلحاق، وكذا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الحكم بالزوجة، لاختصاص النصوص بها، فلا يشمل الاُمّ والاُخت ومن شاكلت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عدول على امرأة بالزّنا قُبُلاً، فادّعت أنّها بِكر فشهد لها أربع نساء عدول بذلك، فلا حَدّ عليها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على الظاهر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20"/>
      </w:r>
      <w:r>
        <w:rPr>
          <w:rStyle w:val="FootnoteAnchor"/>
          <w:rtl w:val="true"/>
        </w:rPr>
        <w:footnoteReference w:id="721"/>
      </w:r>
      <w:r>
        <w:rPr>
          <w:rFonts w:ascii="Amiri" w:hAnsi="Amiri" w:eastAsia="Amiri" w:cs="Amiri"/>
          <w:color w:val="111111"/>
          <w:sz w:val="28"/>
          <w:sz w:val="28"/>
          <w:szCs w:val="28"/>
          <w:rtl w:val="true"/>
          <w:lang w:bidi="ar-SA"/>
        </w:rPr>
        <w:t>، لقويّ السكوني، عن الإمام الصادق، عن أبيه، عن أميرالمؤمنين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أتى رجلٌ بامرأةٍ بِكر زعم أنّها زنت، فأمر النساء فنظرن إليها فقُلن هي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عليها خاتمٌ من اللّه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يُحدّ الرّجل إن شهدوا عليه بالزّنا بها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الأوّل إنْ‌احتُمل عود البكارة، لاحتمال صدق الشهود، وعود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للثاني بالشُّبهة الدارئة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إنّما تدرأ مع عدم قيام البيّنة، وإلّا فمع قيامها لا يعتنى بالشُّبهة،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تلازم بين سقوط الحَدّ عن المرأة وسقوطه عن الرّجل، كي يُستدلّ بالقويّ‌، لسقوط الحَدّ عنه أيضاً، وبذلك يظهر أنّه لا يحد الشهود عليها للفرية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 أنّه يمكن أن يكون الحكم بالسقوط من جهة قبول الشهادتين، والحكم بالتعارض والتساقط، ولذلك يمكن القول بسقوط الحَدّ عن الزّاني أيضاً إن لم يُحتمل عود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أحد الأربعة،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نعيم، عن الإمام الصادق عليه السلام الدّالة على القبول</w:t>
      </w:r>
      <w:r>
        <w:rPr>
          <w:rStyle w:val="FootnoteAnchor"/>
          <w:rtl w:val="true"/>
        </w:rPr>
        <w:footnoteReference w:id="725"/>
      </w:r>
      <w:r>
        <w:rPr>
          <w:rFonts w:ascii="IRNazanin" w:hAnsi="IRNazanin" w:eastAsia="IRNazanin"/>
          <w:color w:val="111111"/>
          <w:sz w:val="28"/>
          <w:sz w:val="28"/>
          <w:szCs w:val="28"/>
          <w:rtl w:val="true"/>
          <w:lang w:bidi="fa-IR"/>
        </w:rPr>
        <w:t>، وعمل بها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أحدهما عليهما السلام الدّالة على عدم القبول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 مضافاً إلى ضعف سندها، لم يَعمل بها الأصحاب، وعليه فالأظهر هو القبول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2" w:name="pg11384_112409"/>
    </w:p>
    <w:p>
      <w:pPr>
        <w:pStyle w:val="BookText"/>
        <w:rPr/>
      </w:pPr>
      <w:bookmarkEnd w:id="142"/>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اللّواط والسُّحق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اللّواطُ بما يثبتُ به الزّنا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83411_73709187"/>
      <w:bookmarkStart w:id="144" w:name="_Toc48"/>
      <w:bookmarkEnd w:id="143"/>
      <w:r>
        <w:rPr>
          <w:rtl w:val="true"/>
        </w:rPr>
        <w:t>الفصل الثامن</w:t>
      </w:r>
      <w:r>
        <w:rPr>
          <w:rtl w:val="true"/>
        </w:rPr>
        <w:t xml:space="preserve">: </w:t>
      </w:r>
      <w:r>
        <w:rPr>
          <w:rtl w:val="true"/>
        </w:rPr>
        <w:t>في حَدّ اللّواط</w:t>
      </w:r>
      <w:bookmarkEnd w:id="144"/>
    </w:p>
    <w:p>
      <w:pPr>
        <w:pStyle w:val="Heading4"/>
        <w:numPr>
          <w:ilvl w:val="3"/>
          <w:numId w:val="1"/>
        </w:numPr>
        <w:rPr/>
      </w:pPr>
      <w:bookmarkStart w:id="145" w:name="__RefHeading___Toc283413_73709187"/>
      <w:bookmarkStart w:id="146" w:name="_Toc49"/>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والسُّحق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وهو وطء الذكران بعضهم بعضاً، المشتقّ من فعل قوم لوط، وحرمته من ضروريّات الدِّين، فضلاً عمّا دلّ عليه الكتاب</w:t>
      </w:r>
      <w:r>
        <w:rPr>
          <w:rStyle w:val="FootnoteAnchor"/>
          <w:rtl w:val="true"/>
        </w:rPr>
        <w:footnoteReference w:id="727"/>
      </w:r>
      <w:r>
        <w:rPr>
          <w:rFonts w:ascii="Amiri" w:hAnsi="Amiri" w:eastAsia="Amiri" w:cs="Amiri"/>
          <w:color w:val="111111"/>
          <w:sz w:val="28"/>
          <w:sz w:val="28"/>
          <w:szCs w:val="28"/>
          <w:rtl w:val="true"/>
          <w:lang w:bidi="ar-SA"/>
        </w:rPr>
        <w:t>والسُّنة المستفيضة</w:t>
      </w:r>
      <w:r>
        <w:rPr>
          <w:rStyle w:val="FootnoteAnchor"/>
          <w:rtl w:val="true"/>
        </w:rPr>
        <w:footnoteReference w:id="728"/>
      </w:r>
      <w:r>
        <w:rPr>
          <w:rFonts w:ascii="Amiri" w:hAnsi="Amiri" w:eastAsia="Amiri" w:cs="Amiri"/>
          <w:color w:val="111111"/>
          <w:sz w:val="28"/>
          <w:sz w:val="28"/>
          <w:szCs w:val="28"/>
          <w:rtl w:val="true"/>
          <w:lang w:bidi="ar-SA"/>
        </w:rPr>
        <w:t>، وهو يوجبُ الحَدّ إجماعاً، والنصوص الآتية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اللّواط بما يثبتُ به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فيتوقّف ثبوته على الإقرار به أربعاً، أو شهادة أربعة رجال بالمعاينة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صحيح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في ملاءٍ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غدٍ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منزلك لعلّ مراراً هاج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فعل ثلاثاً بعد مرّته الأُولى‌، 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رسول اللّه صلى الله عليه و آله حَكَم في مثلك بثلاثة أحكام فاختر أيّهنّ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واهدابٍ من الجبل مشدود اليدين والرجلين، أو إحراق بالنّار؟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 الحديث</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وسيأتي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تسالم الأصحاب عليه، بل والمالكيّة، والحنابلة، والشافعيّة، وإلى ما دلّ على أنّه إذا أتى الرّجل الرّجل فهما زانيان</w:t>
      </w:r>
      <w:r>
        <w:rPr>
          <w:rStyle w:val="FootnoteAnchor"/>
          <w:rtl w:val="true"/>
        </w:rPr>
        <w:footnoteReference w:id="730"/>
      </w:r>
      <w:r>
        <w:rPr>
          <w:rFonts w:ascii="Amiri" w:hAnsi="Amiri" w:eastAsia="Amiri" w:cs="Amiri"/>
          <w:color w:val="111111"/>
          <w:sz w:val="28"/>
          <w:sz w:val="28"/>
          <w:szCs w:val="28"/>
          <w:rtl w:val="true"/>
          <w:lang w:bidi="ar-SA"/>
        </w:rPr>
        <w:t xml:space="preserve">، بضميمة ما تقدّم من ما دلّ على توقّف ثبوت الزّنا على شهادة أربعة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 لا يُرجم الرّجل حتّى يَشهد عليه أربعة شهود على الإيلاج والإخراج، منها 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الرَّجم أن يشهد أربعة أنّهم رأوهُ يُدخل ويُخرج</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7" w:name="pg11384_112411"/>
    </w:p>
    <w:p>
      <w:pPr>
        <w:pStyle w:val="BookText"/>
        <w:rPr/>
      </w:pPr>
      <w:bookmarkEnd w:id="147"/>
      <w:r>
        <w:rPr>
          <w:rFonts w:ascii="Amiri" w:hAnsi="Amiri" w:eastAsia="Amiri" w:cs="Amiri"/>
          <w:color w:val="111111"/>
          <w:sz w:val="28"/>
          <w:sz w:val="28"/>
          <w:szCs w:val="28"/>
          <w:rtl w:val="true"/>
          <w:lang w:bidi="ar-SA"/>
        </w:rPr>
        <w:t>ثُمّ إنْ أوقبَ قُتِل أو رُجِم، أو اُلقي من الشاهق، أو اُحرق،</w:t>
      </w:r>
    </w:p>
    <w:p>
      <w:pPr>
        <w:pStyle w:val="BookText"/>
        <w:rPr/>
      </w:pPr>
      <w:r>
        <w:rPr>
          <w:rFonts w:ascii="Amiri" w:hAnsi="Amiri" w:eastAsia="Amiri" w:cs="Amiri"/>
          <w:color w:val="111111"/>
          <w:sz w:val="28"/>
          <w:sz w:val="28"/>
          <w:szCs w:val="28"/>
          <w:rtl w:val="true"/>
          <w:lang w:bidi="ar-SA"/>
        </w:rPr>
        <w:t>وعلى ذلك فالكلام في ذلك وفروعه هو الكلام فيهما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ثبوته إذا شهد بذلك دون الأربع، وإن انضمّ إليهم النساء، إذ لا تُقبل شهادة النساء في الحدود، كما دلّ على ذلك الأخبار</w:t>
      </w:r>
      <w:r>
        <w:rPr>
          <w:rStyle w:val="FootnoteAnchor"/>
          <w:rtl w:val="true"/>
        </w:rPr>
        <w:footnoteReference w:id="732"/>
      </w:r>
      <w:r>
        <w:rPr>
          <w:rFonts w:ascii="Amiri" w:hAnsi="Amiri" w:eastAsia="Amiri" w:cs="Amiri"/>
          <w:color w:val="111111"/>
          <w:sz w:val="28"/>
          <w:sz w:val="28"/>
          <w:szCs w:val="28"/>
          <w:rtl w:val="true"/>
          <w:lang w:bidi="ar-SA"/>
        </w:rPr>
        <w:t>وتقدّم، وخروج الزّنا على بعض الوجوه بدليلٍ‌، لا يقتضي التعدية لحرمة القياس، وتنزيل اللّائط منزلة الزّاني ليس في الخبر المعتبر كي يتمسّك بإطلاق التنزيل، وللحاكم أن يحكم فيه بعلمه كما مرّ الكلام فيه في كتاب القضاء</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83415_73709187"/>
      <w:bookmarkStart w:id="149" w:name="_Toc50"/>
      <w:bookmarkEnd w:id="148"/>
      <w:r>
        <w:rPr>
          <w:rtl w:val="true"/>
        </w:rPr>
        <w:t>بيان حَدّ اللّواط مع الإيقاب</w:t>
      </w:r>
      <w:bookmarkEnd w:id="1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مع الإيقاب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أوقبَ قُتِل أو رُجم أو اُلقي من الشاهق، أو اُحرق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إلّاأنّه في الأوّل لم يَذكر </w:t>
      </w:r>
    </w:p>
    <w:p>
      <w:pPr>
        <w:pStyle w:val="BookText"/>
        <w:rPr/>
      </w:pPr>
      <w:r>
        <w:rPr>
          <w:rFonts w:ascii="Amiri" w:hAnsi="Amiri" w:eastAsia="Amiri" w:cs="Amiri"/>
          <w:color w:val="111111"/>
          <w:sz w:val="28"/>
          <w:sz w:val="28"/>
          <w:szCs w:val="28"/>
          <w:rtl w:val="true"/>
          <w:lang w:bidi="ar-SA"/>
        </w:rPr>
        <w:t>وللإمام إحراقه وقتله بغيره،</w:t>
      </w:r>
    </w:p>
    <w:p>
      <w:pPr>
        <w:pStyle w:val="BookText"/>
        <w:rPr/>
      </w:pPr>
      <w:r>
        <w:rPr>
          <w:rFonts w:ascii="Amiri" w:hAnsi="Amiri" w:eastAsia="Amiri" w:cs="Amiri"/>
          <w:color w:val="111111"/>
          <w:sz w:val="28"/>
          <w:sz w:val="28"/>
          <w:szCs w:val="28"/>
          <w:rtl w:val="true"/>
          <w:lang w:bidi="ar-SA"/>
        </w:rPr>
        <w:t xml:space="preserve">الإحراق،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مالك المتقدّم، وخبر الحضرمي،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بامرأةٍ وزوجها قد لاط زوجها بابنها من غيره، وثقبه، وشهد بذلك الشهود، وأمر به عليه السلام فضُرب بالسّيف حتّى قُتل، وضرب الغلام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مدركاً لقتلتك لإمكانك إيّاه من نفسك بثقبك</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 إلّاأنّه ليس في شيء منها إلقاء الجدار عليه، ولكن قيل</w:t>
      </w:r>
      <w:r>
        <w:rPr>
          <w:rStyle w:val="FootnoteAnchor"/>
          <w:rtl w:val="true"/>
        </w:rPr>
        <w:footnoteReference w:id="738"/>
      </w:r>
      <w:r>
        <w:rPr>
          <w:rFonts w:ascii="Amiri" w:hAnsi="Amiri" w:eastAsia="Amiri" w:cs="Amiri"/>
          <w:color w:val="111111"/>
          <w:sz w:val="28"/>
          <w:sz w:val="28"/>
          <w:szCs w:val="28"/>
          <w:rtl w:val="true"/>
          <w:lang w:bidi="ar-SA"/>
        </w:rPr>
        <w:t>إنّ فيه خبراً مرويّاً عن مولاناالرّضا عليه السلام، وضعفه منجبرٌ بالفتوى، فلا إشكال 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يظهر من جملة من النصوص من التفصيل بين المُحصَن وغيره، فالرجم في الأوّل، والحَدّ في الثاني، كخبر ابن أبي عمير، عن عدّة من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يوقب أنّ عليه الرَّجم إنْ كان مُحصَناً، والجَلد إنْ لم يكن محصناً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ونحوه غيره، فلإعراض الأصحاب عنها، وسقوطها عن الحجيّة على فرض حجّيتها في أنفسها بالمعارضة مع النصوص الأولة التي عليها الفتوى تُطرح،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 إحراقه وقتله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يُقتل بالسّيف، ثمّ يَحرق كما هو المشهور 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بصغيرٍ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لاط المجنون أو الصغير بعاقلٍ اُدِّبا، وقُتِل العاقل،</w:t>
      </w:r>
    </w:p>
    <w:p>
      <w:pPr>
        <w:pStyle w:val="BookText"/>
        <w:rPr/>
      </w:pPr>
      <w:r>
        <w:rPr>
          <w:rFonts w:ascii="Amiri" w:hAnsi="Amiri" w:eastAsia="Amiri" w:cs="Amiri"/>
          <w:color w:val="111111"/>
          <w:sz w:val="28"/>
          <w:sz w:val="28"/>
          <w:szCs w:val="28"/>
          <w:rtl w:val="true"/>
          <w:lang w:bidi="ar-SA"/>
        </w:rPr>
        <w:t xml:space="preserve">الأصحاب، بل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زيادةً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العزرمي، عن الإمام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أميرالمؤمنين عليه السلام أمر بقتل الرّجل الذي وُجِد مع رجلٍ في زمان عمر، ثُمّ قال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بقي من حدوده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بحطبٍ‌، فدعا عُمر بحطبٍ فأمر به أميرالمؤمنين عليه السلام فاُحرق بالنّار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كما عليه الأصحاب أنّ التخيير في القتل المزبور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بصغيرٍ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بعض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لاط المجنون أو الصغير بعاقلٍ‌، اُدِّبا وقُتِل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اللّاطي لا يُحَدّ، بل يؤدَّب، فيشهد به ما تقدّم في زناهما من الأدلّة، وعن جماعة</w:t>
      </w:r>
      <w:r>
        <w:rPr>
          <w:rStyle w:val="FootnoteAnchor"/>
          <w:rtl w:val="true"/>
        </w:rPr>
        <w:footnoteReference w:id="742"/>
      </w:r>
      <w:r>
        <w:rPr>
          <w:rFonts w:ascii="Amiri" w:hAnsi="Amiri" w:eastAsia="Amiri" w:cs="Amiri"/>
          <w:color w:val="111111"/>
          <w:sz w:val="28"/>
          <w:sz w:val="28"/>
          <w:szCs w:val="28"/>
          <w:rtl w:val="true"/>
          <w:lang w:bidi="ar-SA"/>
        </w:rPr>
        <w:t>أنّ الفاعل إنْ كان مجنوناً يُحَدّ، وقد مرّ ما يمكن أن يستدلّ به له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لاط الذِّمي بمسلمٍ قُتِل، وإن لم يُوقِب، ويُقتل المفعول مع الإيقاب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لاط الذِّمي بمسلمٍ قُتل، وإنْ لم يوقب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الظاهر، ويشهد به ما دلّ‌</w:t>
      </w:r>
      <w:r>
        <w:rPr>
          <w:rStyle w:val="FootnoteAnchor"/>
          <w:rtl w:val="true"/>
        </w:rPr>
        <w:footnoteReference w:id="743"/>
      </w:r>
      <w:r>
        <w:rPr>
          <w:rFonts w:ascii="Amiri" w:hAnsi="Amiri" w:eastAsia="Amiri" w:cs="Amiri"/>
          <w:color w:val="111111"/>
          <w:sz w:val="28"/>
          <w:sz w:val="28"/>
          <w:szCs w:val="28"/>
          <w:rtl w:val="true"/>
          <w:lang w:bidi="ar-SA"/>
        </w:rPr>
        <w:t>على قتله بزناه بالمسلمة، بالفحوى، وللنصوص</w:t>
      </w:r>
      <w:r>
        <w:rPr>
          <w:rStyle w:val="FootnoteAnchor"/>
          <w:rtl w:val="true"/>
        </w:rPr>
        <w:footnoteReference w:id="744"/>
      </w:r>
      <w:r>
        <w:rPr>
          <w:rFonts w:ascii="Amiri" w:hAnsi="Amiri" w:eastAsia="Amiri" w:cs="Amiri"/>
          <w:color w:val="111111"/>
          <w:sz w:val="28"/>
          <w:sz w:val="28"/>
          <w:szCs w:val="28"/>
          <w:rtl w:val="true"/>
          <w:lang w:bidi="ar-SA"/>
        </w:rPr>
        <w:t>الدالّة على أنّ حَدّ اللّوطي حَدّ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المفعولُ مع الإيقاب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عاقلاً بالغاً بلا خلافٍ‌، ويشهد به النصوص الكثيرة المتقدّم بعضها، بل بعض النصوص الدالّة على أنّ اللّاطي إن لم يكن مُحصَناً، لا يُقتل، متضمّنٌ لقتله كخبر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رجلاً؟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كان مُحصَناً القتل، وإنْ لم يكن مُحصَناً فعليه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المؤتى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كيفيّة قتله هو الكلام في كيفيّة قتل اللّاطي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لجواز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كلامه كلام النساء، ومشيته مشية النساء، ويمكِّن من نفسه يُنكَح كما تُنكح المرأة، فارجموه ولا تستحيوه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0" w:name="pg11384_112415"/>
    </w:p>
    <w:p>
      <w:pPr>
        <w:pStyle w:val="BookText"/>
        <w:rPr/>
      </w:pPr>
      <w:bookmarkEnd w:id="150"/>
      <w:r>
        <w:rPr>
          <w:rFonts w:ascii="Amiri" w:hAnsi="Amiri" w:eastAsia="Amiri" w:cs="Amiri"/>
          <w:color w:val="111111"/>
          <w:sz w:val="28"/>
          <w:sz w:val="28"/>
          <w:szCs w:val="28"/>
          <w:rtl w:val="true"/>
          <w:lang w:bidi="ar-SA"/>
        </w:rPr>
        <w:t>ولو لم يُوقِب جُلِد مائة، حُرّاً كان أو عبداً، فاعلاً أو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ولجواز إحراقه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القدّاح،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خالد إلى أبي بكر أنّه اُتي برجلٍ يؤتى في دبره، فاستشار أمير المؤمنين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احرقه بالنّار فإنّ العرب لا ترى القتل شيئاً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الإلقاء من شاهق، وإلقاء الجدار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بما دلّ عليهما، ولعلّ مدركهما عموم التعليل في خبر القدّاح، وأولويّته بذينك من اللّوطي، والإجماع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المفعول غير بالغٍ أو مجنوناً، لا يُحدّ بل يُعزّر، أمّا غير البالغ فللنصوص كخبر الحضرمي المتقدّم، وقريبٌ منه غيره، وأمّا المجنون فلرفع القلم عنه</w:t>
      </w:r>
      <w:r>
        <w:rPr>
          <w:rStyle w:val="FootnoteAnchor"/>
          <w:rtl w:val="true"/>
        </w:rPr>
        <w:footnoteReference w:id="748"/>
      </w:r>
      <w:r>
        <w:rPr>
          <w:rFonts w:ascii="Amiri" w:hAnsi="Amiri" w:eastAsia="Amiri" w:cs="Amiri"/>
          <w:color w:val="111111"/>
          <w:sz w:val="28"/>
          <w:sz w:val="28"/>
          <w:szCs w:val="28"/>
          <w:rtl w:val="true"/>
          <w:lang w:bidi="ar-SA"/>
        </w:rPr>
        <w:t>وقد مرّ في الزّنا ما يظهر منه الحكم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83417_73709187"/>
      <w:bookmarkStart w:id="152" w:name="_Toc51"/>
      <w:bookmarkEnd w:id="151"/>
      <w:r>
        <w:rPr>
          <w:rtl w:val="true"/>
        </w:rPr>
        <w:t>حَدّ اللّواط بغير الإيقاب</w:t>
      </w:r>
      <w:bookmarkEnd w:id="1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 الرَّجلُ بمثله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كالمفخِّذ والفاعل بين الإليتين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مائة، حُرّاً كان أو عبداً، فاعلاً 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w:t>
      </w:r>
      <w:r>
        <w:rPr>
          <w:rStyle w:val="FootnoteAnchor"/>
          <w:rtl w:val="true"/>
        </w:rPr>
        <w:footnoteReference w:id="749"/>
      </w:r>
      <w:r>
        <w:rPr>
          <w:rFonts w:ascii="Amiri" w:hAnsi="Amiri" w:eastAsia="Amiri" w:cs="Amiri"/>
          <w:color w:val="111111"/>
          <w:sz w:val="28"/>
          <w:sz w:val="28"/>
          <w:szCs w:val="28"/>
          <w:rtl w:val="true"/>
          <w:lang w:bidi="ar-SA"/>
        </w:rPr>
        <w:t>، وسلّار</w:t>
      </w:r>
      <w:r>
        <w:rPr>
          <w:rStyle w:val="FootnoteAnchor"/>
          <w:rtl w:val="true"/>
        </w:rPr>
        <w:footnoteReference w:id="750"/>
      </w:r>
      <w:r>
        <w:rPr>
          <w:rFonts w:ascii="Amiri" w:hAnsi="Amiri" w:eastAsia="Amiri" w:cs="Amiri"/>
          <w:color w:val="111111"/>
          <w:sz w:val="28"/>
          <w:sz w:val="28"/>
          <w:szCs w:val="28"/>
          <w:rtl w:val="true"/>
          <w:lang w:bidi="ar-SA"/>
        </w:rPr>
        <w:t>، والحلبي</w:t>
      </w:r>
      <w:r>
        <w:rPr>
          <w:rStyle w:val="FootnoteAnchor"/>
          <w:rtl w:val="true"/>
        </w:rPr>
        <w:footnoteReference w:id="751"/>
      </w:r>
      <w:r>
        <w:rPr>
          <w:rFonts w:ascii="Amiri" w:hAnsi="Amiri" w:eastAsia="Amiri" w:cs="Amiri"/>
          <w:color w:val="111111"/>
          <w:sz w:val="28"/>
          <w:sz w:val="28"/>
          <w:szCs w:val="28"/>
          <w:rtl w:val="true"/>
          <w:lang w:bidi="ar-SA"/>
        </w:rPr>
        <w:t>، وابن زُهرة</w:t>
      </w:r>
      <w:r>
        <w:rPr>
          <w:rStyle w:val="FootnoteAnchor"/>
          <w:rtl w:val="true"/>
        </w:rPr>
        <w:footnoteReference w:id="752"/>
      </w:r>
      <w:r>
        <w:rPr>
          <w:rFonts w:ascii="Amiri" w:hAnsi="Amiri" w:eastAsia="Amiri" w:cs="Amiri"/>
          <w:color w:val="111111"/>
          <w:sz w:val="28"/>
          <w:sz w:val="28"/>
          <w:szCs w:val="28"/>
          <w:rtl w:val="true"/>
          <w:lang w:bidi="ar-SA"/>
        </w:rPr>
        <w:t>، والحِلّي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الإجماع عليه، لخبر سليمان بن هلال،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يفعل بالرجل‌؟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الثقب فالجَلد، وإنْ كان ثَقَب أُقيم قائماً ثُمّ ضُرب بالسّيف ضربةً أخذ السّيف منه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رحمه الله في أكثر كتبه</w:t>
      </w:r>
      <w:r>
        <w:rPr>
          <w:rStyle w:val="FootnoteAnchor"/>
          <w:rtl w:val="true"/>
        </w:rPr>
        <w:footnoteReference w:id="758"/>
      </w:r>
      <w:r>
        <w:rPr>
          <w:rFonts w:ascii="Amiri" w:hAnsi="Amiri" w:eastAsia="Amiri" w:cs="Amiri"/>
          <w:color w:val="111111"/>
          <w:sz w:val="28"/>
          <w:sz w:val="28"/>
          <w:szCs w:val="28"/>
          <w:rtl w:val="true"/>
          <w:lang w:bidi="ar-SA"/>
        </w:rPr>
        <w:t>، والقاضي</w:t>
      </w:r>
      <w:r>
        <w:rPr>
          <w:rStyle w:val="FootnoteAnchor"/>
          <w:rtl w:val="true"/>
        </w:rPr>
        <w:footnoteReference w:id="759"/>
      </w:r>
      <w:r>
        <w:rPr>
          <w:rFonts w:ascii="Amiri" w:hAnsi="Amiri" w:eastAsia="Amiri" w:cs="Amiri"/>
          <w:color w:val="111111"/>
          <w:sz w:val="28"/>
          <w:sz w:val="28"/>
          <w:szCs w:val="28"/>
          <w:rtl w:val="true"/>
          <w:lang w:bidi="ar-SA"/>
        </w:rPr>
        <w:t>وجماعة</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يُرجم إنْ كان مُحصناً، ويُجلَد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الخبر، وبين ما دلّ على الرَّجم بقولٍ مطلق، وما دلّ على أنّ اللّوطي إنْ كان مُحصَناً رُجِم، وإلّا جُلِد والمتقدّمين، بتقريب أنّ الثاني يوجبُ تقييد إطلاق الأخير، فيختصّ الأخير بغير الموقب، فيقيّد إطلاق خبر سليمان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يتوقّف على القول بانقلاب النسبة ولا نقول به، وعليه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تكرّر الحَدُّ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فالنسبة بين الأخير والأوّل عمومٌ من وجه، لشمول الأخير للموقب وغيره، وشمول الأوّل للمُحصَن وغيره، فيتعارضان في المحصَن غير الموقب، والترجيح للخبر، لفتوى الأكثر الّتي هي أوّل المرجّحات، هذا إذا لم نقل بظهور الأخير في الموقِب، وإلّا لسقط الاستدلال رأساً، والظاهر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الحسين بن سعيد، الدّال على أنّ حَدّ رجلين نكح أحدهما الآخر طوعاً بين فخذيه هو القتل</w:t>
      </w:r>
      <w:r>
        <w:rPr>
          <w:rStyle w:val="FootnoteAnchor"/>
          <w:rtl w:val="true"/>
        </w:rPr>
        <w:footnoteReference w:id="761"/>
      </w:r>
      <w:r>
        <w:rPr>
          <w:rFonts w:ascii="Amiri" w:hAnsi="Amiri" w:eastAsia="Amiri" w:cs="Amiri"/>
          <w:color w:val="111111"/>
          <w:sz w:val="28"/>
          <w:sz w:val="28"/>
          <w:szCs w:val="28"/>
          <w:rtl w:val="true"/>
          <w:lang w:bidi="ar-SA"/>
        </w:rPr>
        <w:t>، فللإرسال، وإعراض الأصحاب لا بدَّ من طرحه، ولعلّه مدرك الصدوقين</w:t>
      </w:r>
      <w:r>
        <w:rPr>
          <w:rStyle w:val="FootnoteAnchor"/>
          <w:rtl w:val="true"/>
        </w:rPr>
        <w:footnoteReference w:id="762"/>
      </w:r>
      <w:r>
        <w:rPr>
          <w:rFonts w:ascii="Amiri" w:hAnsi="Amiri" w:eastAsia="Amiri" w:cs="Amiri"/>
          <w:color w:val="111111"/>
          <w:sz w:val="28"/>
          <w:sz w:val="28"/>
          <w:szCs w:val="28"/>
          <w:rtl w:val="true"/>
          <w:lang w:bidi="ar-SA"/>
        </w:rPr>
        <w:t>والإسكافي</w:t>
      </w:r>
      <w:r>
        <w:rPr>
          <w:rStyle w:val="FootnoteAnchor"/>
          <w:rtl w:val="true"/>
        </w:rPr>
        <w:footnoteReference w:id="763"/>
      </w:r>
      <w:r>
        <w:rPr>
          <w:rFonts w:ascii="Amiri" w:hAnsi="Amiri" w:eastAsia="Amiri" w:cs="Amiri"/>
          <w:color w:val="111111"/>
          <w:sz w:val="28"/>
          <w:sz w:val="28"/>
          <w:szCs w:val="28"/>
          <w:rtl w:val="true"/>
          <w:lang w:bidi="ar-SA"/>
        </w:rPr>
        <w:t>حيث التزموا بأنّ حَدّ اللّواط مطلقاً وإن لم يكن إيقاب هو القتل، لا ما دلّ على أنّ اللّواط ما بين الفخذين والإيقاب هو الكفر بما أنزل اللّه تعالى على نبيّه صلى الله عليه و آله</w:t>
      </w:r>
      <w:r>
        <w:rPr>
          <w:rStyle w:val="FootnoteAnchor"/>
          <w:rtl w:val="true"/>
        </w:rPr>
        <w:footnoteReference w:id="764"/>
      </w:r>
      <w:r>
        <w:rPr>
          <w:rFonts w:ascii="Amiri" w:hAnsi="Amiri" w:eastAsia="Amiri" w:cs="Amiri"/>
          <w:color w:val="111111"/>
          <w:sz w:val="28"/>
          <w:sz w:val="28"/>
          <w:szCs w:val="28"/>
          <w:rtl w:val="true"/>
          <w:lang w:bidi="ar-SA"/>
        </w:rPr>
        <w:t>، الذي هو ضعيف السند، وقاصر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لاط بدون الإيقاب فَحُدَّ ثُمّ لاط فَحُدَّ،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الزّنا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دلّ من</w:t>
      </w:r>
      <w:r>
        <w:rPr>
          <w:rStyle w:val="FootnoteAnchor"/>
          <w:rtl w:val="true"/>
        </w:rPr>
        <w:footnoteReference w:id="765"/>
      </w:r>
      <w:r>
        <w:rPr>
          <w:rFonts w:ascii="Amiri" w:hAnsi="Amiri" w:eastAsia="Amiri" w:cs="Amiri"/>
          <w:color w:val="111111"/>
          <w:sz w:val="28"/>
          <w:sz w:val="28"/>
          <w:szCs w:val="28"/>
          <w:rtl w:val="true"/>
          <w:lang w:bidi="ar-SA"/>
        </w:rPr>
        <w:t>النصوص على أنّ حَدّ اللّوطي هو حَدّ الزّاني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3" w:name="pg11384_112418"/>
    </w:p>
    <w:p>
      <w:pPr>
        <w:pStyle w:val="BookText"/>
        <w:rPr/>
      </w:pPr>
      <w:bookmarkEnd w:id="153"/>
      <w:r>
        <w:rPr>
          <w:rFonts w:ascii="Amiri" w:hAnsi="Amiri" w:eastAsia="Amiri" w:cs="Amiri"/>
          <w:color w:val="111111"/>
          <w:sz w:val="28"/>
          <w:sz w:val="28"/>
          <w:szCs w:val="28"/>
          <w:rtl w:val="true"/>
          <w:lang w:bidi="ar-SA"/>
        </w:rPr>
        <w:t>ويُعزّر الأجنبيّان المجتمعان في إزارٍ واحد مُجرَّدين من ثلاثين إلى تسعة وتسعين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وللإجماع على عدم الفرق بينه وبين ما هنا، وبذلك يُخصّص إطلاق ما دلّ‌</w:t>
      </w:r>
      <w:r>
        <w:rPr>
          <w:rStyle w:val="FootnoteAnchor"/>
          <w:rtl w:val="true"/>
        </w:rPr>
        <w:footnoteReference w:id="766"/>
      </w:r>
      <w:r>
        <w:rPr>
          <w:rFonts w:ascii="Amiri" w:hAnsi="Amiri" w:eastAsia="Amiri" w:cs="Amiri"/>
          <w:color w:val="111111"/>
          <w:sz w:val="28"/>
          <w:sz w:val="28"/>
          <w:szCs w:val="28"/>
          <w:rtl w:val="true"/>
          <w:lang w:bidi="ar-SA"/>
        </w:rPr>
        <w:t>أنّ أصحاب الكبائر إذا أُقيم عليهم الحَدّ مرّتين يُقتلون في الثالثة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إفتاء المصنّف في الزّنا بأنّه يُقتل في الثالثة، أو تردّده فيه، وإفتائه في المقام بأنّه يُقتل في الرابعة لا يجتمعان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83419_73709187"/>
      <w:bookmarkStart w:id="155" w:name="_Toc52"/>
      <w:bookmarkEnd w:id="154"/>
      <w:r>
        <w:rPr>
          <w:rtl w:val="true"/>
        </w:rPr>
        <w:t>حَدّ اجتماع الأجنبيّين في إزارٍ واحد مُجرَّدين</w:t>
      </w:r>
      <w:bookmarkEnd w:id="15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الأجنبيّان المجتمعان في إزارٍ واحد 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ضرورةٍ تقتضي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تسعة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767"/>
      </w:r>
      <w:r>
        <w:rPr>
          <w:rFonts w:ascii="Amiri" w:hAnsi="Amiri" w:eastAsia="Amiri" w:cs="Amiri"/>
          <w:color w:val="111111"/>
          <w:sz w:val="28"/>
          <w:sz w:val="28"/>
          <w:szCs w:val="28"/>
          <w:rtl w:val="true"/>
          <w:lang w:bidi="ar-SA"/>
        </w:rPr>
        <w:t>، والحِلّي</w:t>
      </w:r>
      <w:r>
        <w:rPr>
          <w:rStyle w:val="FootnoteAnchor"/>
          <w:rtl w:val="true"/>
        </w:rPr>
        <w:footnoteReference w:id="768"/>
      </w:r>
      <w:r>
        <w:rPr>
          <w:rFonts w:ascii="Amiri" w:hAnsi="Amiri" w:eastAsia="Amiri" w:cs="Amiri"/>
          <w:color w:val="111111"/>
          <w:sz w:val="28"/>
          <w:sz w:val="28"/>
          <w:szCs w:val="28"/>
          <w:rtl w:val="true"/>
          <w:lang w:bidi="ar-SA"/>
        </w:rPr>
        <w:t>، وأكثر المتأخّرين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سليمان بن هلال،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بعض أصحابنا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ينام مع الرّجل في لحافٍ واحد؟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ثلاثين سوطاً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يوجدان في لحافٍ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حَدّاً غير سوط</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يقتضي البناء على أنّ الثلاثين والمائة غير سوط غايتان، والحكم فيهما وما بينهما منوطٌ بنظر الحاكم، وضعفهما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يُستفاد اعتبار كونهما أجنبيّين، وعدم الضرورة، فإنّ الظاهر من الاستفصال وتعليق الحكم على أحد الشقّين، هو عدم ثبوته في الآخر،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من الإشكال في اعتبار عدم الرَحِميّة وعدم الضرورة في غير محلّه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النصوص ما يشهد به، ولكنّه مأخوذٌ في بعض النصوص</w:t>
      </w:r>
      <w:r>
        <w:rPr>
          <w:rStyle w:val="FootnoteAnchor"/>
          <w:rtl w:val="true"/>
        </w:rPr>
        <w:footnoteReference w:id="773"/>
      </w:r>
      <w:r>
        <w:rPr>
          <w:rFonts w:ascii="Amiri" w:hAnsi="Amiri" w:eastAsia="Amiri" w:cs="Amiri"/>
          <w:color w:val="111111"/>
          <w:sz w:val="28"/>
          <w:sz w:val="28"/>
          <w:szCs w:val="28"/>
          <w:rtl w:val="true"/>
          <w:lang w:bidi="ar-SA"/>
        </w:rPr>
        <w:t xml:space="preserve">المتضمّنة لثبوت الحَدّ، وقد عرفت في الفصل السابق أنّ تلكم النصوص على كثرتها وصحّة إسنادها لاتصلُح للمقاومة مع ما عليه استناد الأصحاب، فهي تُحمل على إرادة الحَدّ إلّاسوطاً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غيره ممّا مرّ، وعلى تقدير تماميّة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تضمّن اعتبار التجرّد يدلّ عليه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تكرّر التعزيرُ حُدَّ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يستفاد من التقييد بعدم الرحميّة والضرورة، بإلغاء الخصوصيّة، كون الميزان هو الريبة والتُّهمة، لا مطلق الاجتماع، وعليه ففي صورة كونهما مُجرّدين تتحقّق التُّهمة وفي غيرها لا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أنّه ليس المراد اعتبار كونهما عاريين، فلو كانا نازعين سراويلهما مع عدم كون الثوبين الذين لبساهما ساترين للعورة فما دون ثَبَت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لو كانا مجتمعين تحت لحافٍ واحدٍ، بنحوٍ لا تهمة ولا ريبة، فحينئذٍ لا تعزير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تحقّق موجب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بعد كلّ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يتكرّر التعزير، لا يجبُ إلّاتعزير واحد، كما تقدّم في تكرّر موجب الحَدّ في الزّنا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تكرّر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وتخلّل التعزير بين أفراد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774"/>
      </w:r>
      <w:r>
        <w:rPr>
          <w:rFonts w:ascii="Amiri" w:hAnsi="Amiri" w:eastAsia="Amiri" w:cs="Amiri"/>
          <w:color w:val="111111"/>
          <w:sz w:val="28"/>
          <w:sz w:val="28"/>
          <w:szCs w:val="28"/>
          <w:rtl w:val="true"/>
          <w:lang w:bidi="ar-SA"/>
        </w:rPr>
        <w:t>، وابني إدريس</w:t>
      </w:r>
      <w:r>
        <w:rPr>
          <w:rStyle w:val="FootnoteAnchor"/>
          <w:rtl w:val="true"/>
        </w:rPr>
        <w:footnoteReference w:id="775"/>
      </w:r>
      <w:r>
        <w:rPr>
          <w:rFonts w:ascii="Amiri" w:hAnsi="Amiri" w:eastAsia="Amiri" w:cs="Amiri"/>
          <w:color w:val="111111"/>
          <w:sz w:val="28"/>
          <w:sz w:val="28"/>
          <w:szCs w:val="28"/>
          <w:rtl w:val="true"/>
          <w:lang w:bidi="ar-SA"/>
        </w:rPr>
        <w:t>والبرّاج</w:t>
      </w:r>
      <w:r>
        <w:rPr>
          <w:rStyle w:val="FootnoteAnchor"/>
          <w:rtl w:val="true"/>
        </w:rPr>
        <w:footnoteReference w:id="776"/>
      </w:r>
      <w:r>
        <w:rPr>
          <w:rFonts w:ascii="Amiri" w:hAnsi="Amiri" w:eastAsia="Amiri" w:cs="Amiri"/>
          <w:color w:val="111111"/>
          <w:sz w:val="28"/>
          <w:sz w:val="28"/>
          <w:szCs w:val="28"/>
          <w:rtl w:val="true"/>
          <w:lang w:bidi="ar-SA"/>
        </w:rPr>
        <w:t>، وسعيد</w:t>
      </w:r>
      <w:r>
        <w:rPr>
          <w:rStyle w:val="FootnoteAnchor"/>
          <w:rtl w:val="true"/>
        </w:rPr>
        <w:footnoteReference w:id="77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وهنا وغيرهم</w:t>
      </w:r>
      <w:r>
        <w:rPr>
          <w:rStyle w:val="FootnoteAnchor"/>
          <w:rtl w:val="true"/>
        </w:rPr>
        <w:footnoteReference w:id="779"/>
      </w:r>
      <w:r>
        <w:rPr>
          <w:rFonts w:ascii="Amiri" w:hAnsi="Amiri" w:eastAsia="Amiri" w:cs="Amiri"/>
          <w:color w:val="111111"/>
          <w:sz w:val="28"/>
          <w:sz w:val="28"/>
          <w:szCs w:val="28"/>
          <w:rtl w:val="true"/>
          <w:lang w:bidi="ar-SA"/>
        </w:rPr>
        <w:t>، واستدلّ له بفحوى خبر أبي خديجة،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ويُعزَّر مَن قَبَّل غُلاماً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لامرأتين أن تنامان في لحافٍ واحد إلّاوبينهما حاجز، فإنْ فعلتا نُهيتا عن ذلك، فإنْ وَجدهما بعد النهي في لحافٍ واحد، جَلَد كلّ واحدةٍ منهما حَدّاً حَدّاً، فإنْ وجدتا أيضاً في لحافٍ واحد حُدَّتا، فإنْ وجدت الثالثة حُدَّتا، فإن وجدتا الرابعة قُتلتا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بالنهي أوّلاً مجرّد الأمر بالترك، ومن حَدّهما في الثانية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أخصّ من المدّعى، ومتضمّن لما لا يقولون به، نمنع الفحوى، فالظاهر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مَن قَبَّل غُلاماً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تقبيله بشهوة حرام،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 لعنته ملائكة السماء، وملائكة الأرضين، وملائكة الرحمة، وملائكة الغضب</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 ألجمه اللّه تعالى يوم القيامة بلجامٍ من نار</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النصوص على ثبوت التعزير في ارتكاب المحرّم، ولا فرق بين الرَّحم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 إلّاأنّ في الغالب في الرَّحم كون التقبيل لا لشهوة، كما لا فرق بين المحرّم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قَبَّل غلاماً بشهوة‌؟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سوط</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تغليظاً للإحرام، وقد مرّ الكلام فيه في محلّه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6" w:name="pg11384_112423"/>
    </w:p>
    <w:p>
      <w:pPr>
        <w:pStyle w:val="BookText"/>
        <w:rPr/>
      </w:pPr>
      <w:bookmarkEnd w:id="156"/>
      <w:r>
        <w:rPr>
          <w:rFonts w:ascii="Amiri" w:hAnsi="Amiri" w:eastAsia="Amiri" w:cs="Amiri"/>
          <w:color w:val="111111"/>
          <w:sz w:val="28"/>
          <w:sz w:val="28"/>
          <w:szCs w:val="28"/>
          <w:rtl w:val="true"/>
          <w:lang w:bidi="ar-SA"/>
        </w:rPr>
        <w:t>ويَثبتُ السُّحقُ بما يثبتُ به الزِّنا، ويجبُ فيه جَلدُ مائةٍ على الفاعلة والمفعولة، والحُرّة والأمَةُ سَواء</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83421_73709187"/>
      <w:bookmarkStart w:id="158" w:name="_Toc53"/>
      <w:bookmarkEnd w:id="157"/>
      <w:r>
        <w:rPr>
          <w:rtl w:val="true"/>
        </w:rPr>
        <w:t>حَدّ السُّحق</w:t>
      </w:r>
      <w:bookmarkEnd w:id="158"/>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وطء المرأة لمثلها، المكنَّى عنه في الأخبار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مع اللّواتي، وحرمتهُ مجمعٌ عليها، والنصوص الدالّة عليها مستفيضة بل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السُّحق بما يثبتُ به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784"/>
      </w:r>
      <w:r>
        <w:rPr>
          <w:rFonts w:ascii="Amiri" w:hAnsi="Amiri" w:eastAsia="Amiri" w:cs="Amiri"/>
          <w:color w:val="111111"/>
          <w:sz w:val="28"/>
          <w:sz w:val="28"/>
          <w:szCs w:val="28"/>
          <w:rtl w:val="true"/>
          <w:lang w:bidi="ar-SA"/>
        </w:rPr>
        <w:t>، وهل يثبت بغيره كالإقرار مرّة واحدة أو مرّتين، وبشهادة رجلين كما هو مقتضى إطلاق أدلّتهما، بناءً على ما تقدّم من عموم حجيّة شهادة رجلين أم لا؟</w:t>
      </w:r>
    </w:p>
    <w:p>
      <w:pPr>
        <w:pStyle w:val="BookText"/>
        <w:rPr/>
      </w:pPr>
      <w:r>
        <w:rPr>
          <w:rFonts w:ascii="Amiri" w:hAnsi="Amiri" w:eastAsia="Amiri" w:cs="Amiri"/>
          <w:color w:val="111111"/>
          <w:sz w:val="28"/>
          <w:sz w:val="28"/>
          <w:szCs w:val="28"/>
          <w:rtl w:val="true"/>
          <w:lang w:bidi="ar-SA"/>
        </w:rPr>
        <w:t>الظاهر هو الثاني لتسالم الأصحاب عليه، ويعضده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السُّحق في النساء بمنزلة اللّواط في الرّجال، فمَن فَعَل ذلك شيئاً فاقتلوهما، ثُمّ اقتلوهما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التنزيل يدلّ على ثبوت جميع أحكام المنزَّل عليه للمنزَّل، منها عدم ثبوته إلّابشهادة أربعة رجال، أو الإقرار أربعاً كما مرّ، وبه يظهر أنّه يثبتُ بما يثبتُ به اللّواط، فلا يثبتُ بشهادة ثلاثة رجال وامرأتين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فإنْ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 جَلدُ مائة على الفاعلة والمفعولة، والحُرّة والأمَة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شيء من ذلك، إلّافي جَلد المُحصَنة مائة، فإنّ المشهور </w:t>
      </w:r>
    </w:p>
    <w:p>
      <w:pPr>
        <w:pStyle w:val="BookText"/>
        <w:rPr/>
      </w:pP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كذلك،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عامّة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أنّ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والقاضي،</w:t>
      </w:r>
      <w:r>
        <w:rPr>
          <w:rStyle w:val="FootnoteAnchor"/>
          <w:rtl w:val="true"/>
        </w:rPr>
        <w:footnoteReference w:id="789"/>
      </w:r>
      <w:r>
        <w:rPr>
          <w:rFonts w:ascii="Amiri" w:hAnsi="Amiri" w:eastAsia="Amiri" w:cs="Amiri"/>
          <w:color w:val="111111"/>
          <w:sz w:val="28"/>
          <w:sz w:val="28"/>
          <w:szCs w:val="28"/>
          <w:rtl w:val="true"/>
          <w:lang w:bidi="ar-SA"/>
        </w:rPr>
        <w:t>وابن حمزة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أنّها تُرجَم،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بحسب النصوص، وإنّما لم يفتِ به لمخالفة الجماعة، ومنشأ الاختلاف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الرَّجم كصحيح محمّد بن مسلم، عن الإمامين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محصَنةٍ ساحقت بِكْراً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قضى فيها بأنّه تُرجَم المرأة لأنّها مُحصَنة</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أخبار</w:t>
      </w:r>
      <w:r>
        <w:rPr>
          <w:rStyle w:val="FootnoteAnchor"/>
          <w:rtl w:val="true"/>
        </w:rPr>
        <w:footnoteReference w:id="794"/>
      </w:r>
      <w:r>
        <w:rPr>
          <w:rFonts w:ascii="Amiri" w:hAnsi="Amiri" w:eastAsia="Amiri" w:cs="Amiri"/>
          <w:color w:val="111111"/>
          <w:sz w:val="28"/>
          <w:sz w:val="28"/>
          <w:szCs w:val="28"/>
          <w:rtl w:val="true"/>
          <w:lang w:bidi="ar-SA"/>
        </w:rPr>
        <w:t>إسحاق بن عمّار، وعمرو بن عثمان، والمُعلّى بن خُنيس، فقد صرّح في الجميع بأنّ المساحقة المحصَنة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حمزة وهشام وحفص،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عليه نسوة فسألته امرأة منهن عن السُّحق‌؟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 الزّاني مشتركٌ بين الجَلد والرَّجم، فيكون ذلك الحَدّ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أرواحنا فداه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الفاحشة المبيّنة هي السُّحق دون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سَحَقت وجبَ عليها الرَّجم، والرَّجم خزيٌ‌، ومن قد أمر اللّه عزّ وجلّ برجمه فقد أخزاه، الحديث</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سيف التمّار،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أمير المؤمنين عليه السلام بامرأتين وجدتا في لحافٍ واحد، وقامت عليهما البيّنة أنّهما كانتا تتساحقان، فدعا بالنطع، ثُمّ أمر بهما فأُحرقتا بالنار</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تُجلد، كموثّق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فيه أخباراً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السُّحق في النساء كاللّواط في الرجال، ولكن فيه جَلد مائة لأنّه ليس فيه إيلاج</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الموثَّق أعمٌّ من النصوص المتقدّمة، لأنّ النصوص الأربعة الأُولى بل الخامسة مختصّة بالمحصَنة، فيقيّد إطلاقها بها، والمرسل لم يثبُت استنادُ الأصحاب إليه، والأخبار الصحيحة التي ادّعاها الشهيدالثاني غير واصلة إلينا، ولا إلى غيرنا، ولا إلى نفسه حين ما كان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فالأظهر بحسب الأدلّة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تكرّر الحَدُّ قُتلت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الحَدُّ بالتوبة قبل البيّنة كاللّواط، ولا يسقطُ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وتُعزَّر المُجتمعتان تحت إزارٍ واحدٍ مُجرَّدتين، تُحدّان لو تكرّر التعزير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إذا كانت محصنة، إلّاأنّ مخالفة الأصحاب سيّما في الحدود التي تُدرَأ بالشُّبهة 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مع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بل عليه عامّة من تأخّر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كما هو الشأن في الزّنا واللّواط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الحَدُّ بالتوبة قبل البيّنة كاللّواط، ولا يسقط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الإقرار والتوبة يكون الإمام مخيّراً بلا خلافٍ يُعتدّ به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وجه الجميع ممّا أسلفناه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ظهر ممّا ذكرناه في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 المجتمعتان تحت إزارٍ واحد مُجرَّدتين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في المرأتين والرجلين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فما ذكروه من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تُحدّان لو تكرّر التعزير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لما مرّ من دلالة خبر أبي خديجة</w:t>
      </w:r>
      <w:r>
        <w:rPr>
          <w:rStyle w:val="FootnoteAnchor"/>
          <w:rtl w:val="true"/>
        </w:rPr>
        <w:footnoteReference w:id="802"/>
      </w:r>
      <w:r>
        <w:rPr>
          <w:rFonts w:ascii="Amiri" w:hAnsi="Amiri" w:eastAsia="Amiri" w:cs="Amiri"/>
          <w:color w:val="111111"/>
          <w:sz w:val="28"/>
          <w:sz w:val="28"/>
          <w:szCs w:val="28"/>
          <w:rtl w:val="true"/>
          <w:lang w:bidi="ar-SA"/>
        </w:rPr>
        <w:t>عليه، المعمول به بين الأصحاب، إذا الظاهر عدم الخلاف فيه في المقام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9" w:name="pg11384_112427"/>
    </w:p>
    <w:p>
      <w:pPr>
        <w:pStyle w:val="BookText"/>
        <w:rPr/>
      </w:pPr>
      <w:bookmarkEnd w:id="159"/>
      <w:r>
        <w:rPr>
          <w:rFonts w:ascii="Amiri" w:hAnsi="Amiri" w:eastAsia="Amiri" w:cs="Amiri"/>
          <w:color w:val="111111"/>
          <w:sz w:val="28"/>
          <w:sz w:val="28"/>
          <w:szCs w:val="28"/>
          <w:rtl w:val="true"/>
          <w:lang w:bidi="ar-SA"/>
        </w:rPr>
        <w:t>ويُجلَدُ القوّاد خمساً وسبعين جَلدة، ويُحلق رأسه ويُشهَّر ويُنفى،</w:t>
      </w:r>
    </w:p>
    <w:p>
      <w:pPr>
        <w:pStyle w:val="Heading4"/>
        <w:numPr>
          <w:ilvl w:val="3"/>
          <w:numId w:val="1"/>
        </w:numPr>
        <w:rPr/>
      </w:pPr>
      <w:bookmarkStart w:id="160" w:name="__RefHeading___Toc283423_73709187"/>
      <w:bookmarkStart w:id="161" w:name="_Toc54"/>
      <w:bookmarkEnd w:id="160"/>
      <w:r>
        <w:rPr>
          <w:rtl w:val="true"/>
        </w:rPr>
        <w:t>حَدّ القيادة</w:t>
      </w:r>
      <w:bookmarkEnd w:id="161"/>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الجمع بين الرّجل والمرأة للزِّنا، أو بين الرِّجال والرِّجال ولو صبياناً لفعل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النساء والنساء للسُّحق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الجميع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القوّاد خَمساً وسبعين جَلدة،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ثبوت شيء آخر مع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وابني إدريس</w:t>
      </w:r>
      <w:r>
        <w:rPr>
          <w:rStyle w:val="FootnoteAnchor"/>
          <w:rtl w:val="true"/>
        </w:rPr>
        <w:footnoteReference w:id="805"/>
      </w:r>
      <w:r>
        <w:rPr>
          <w:rFonts w:ascii="Amiri" w:hAnsi="Amiri" w:eastAsia="Amiri" w:cs="Amiri"/>
          <w:color w:val="111111"/>
          <w:sz w:val="28"/>
          <w:sz w:val="28"/>
          <w:szCs w:val="28"/>
          <w:rtl w:val="true"/>
          <w:lang w:bidi="ar-SA"/>
        </w:rPr>
        <w:t>، 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يُحلق رأسه، ويُشهَّر ويُنفى‌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مصره إلى غيره من الأمصار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06"/>
      </w:r>
      <w:r>
        <w:rPr>
          <w:rFonts w:ascii="Amiri" w:hAnsi="Amiri" w:eastAsia="Amiri" w:cs="Amiri"/>
          <w:color w:val="111111"/>
          <w:sz w:val="28"/>
          <w:sz w:val="28"/>
          <w:szCs w:val="28"/>
          <w:rtl w:val="true"/>
          <w:lang w:bidi="ar-SA"/>
        </w:rPr>
        <w:t>، وابني زُهرة وحمزة</w:t>
      </w:r>
      <w:r>
        <w:rPr>
          <w:rStyle w:val="FootnoteAnchor"/>
          <w:rtl w:val="true"/>
        </w:rPr>
        <w:footnoteReference w:id="807"/>
      </w:r>
      <w:r>
        <w:rPr>
          <w:rFonts w:ascii="Amiri" w:hAnsi="Amiri" w:eastAsia="Amiri" w:cs="Amiri"/>
          <w:color w:val="111111"/>
          <w:sz w:val="28"/>
          <w:sz w:val="28"/>
          <w:szCs w:val="28"/>
          <w:rtl w:val="true"/>
          <w:lang w:bidi="ar-SA"/>
        </w:rPr>
        <w:t>، والديلمي</w:t>
      </w:r>
      <w:r>
        <w:rPr>
          <w:rStyle w:val="FootnoteAnchor"/>
          <w:rtl w:val="true"/>
        </w:rPr>
        <w:footnoteReference w:id="80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في الثانية، ولا </w:t>
      </w:r>
    </w:p>
    <w:p>
      <w:pPr>
        <w:pStyle w:val="BookText"/>
        <w:rPr/>
      </w:pPr>
      <w:r>
        <w:rPr>
          <w:rFonts w:ascii="Amiri" w:hAnsi="Amiri" w:eastAsia="Amiri" w:cs="Amiri"/>
          <w:color w:val="111111"/>
          <w:sz w:val="28"/>
          <w:sz w:val="28"/>
          <w:szCs w:val="28"/>
          <w:rtl w:val="true"/>
          <w:lang w:bidi="ar-SA"/>
        </w:rPr>
        <w:t>يُنفى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النفي،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خبر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أليس إنّما يُعطى الأجر على أن يقود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والاُنثى حراماً؟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والاُنثى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وسبعين سوطاً، ويُنفى من المَصر الذي هو فيه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البحث في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الخبر مختصٌّ بالجمع بين الرّجل والمرأة للزنا، ويلحق به الجمع بين الرّجل والرّجل لأجل اللّواط بالإجماع، ولا وجه لإلحاق الجمع بين النساء والنساء للسُّحق بهما لعدم الدليل، وليس موضوع الحكم هو القيادة كي يقال إنّها تصدق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 الحَدّ 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يدلّ على الجَلد والنفي، ولكن تكرّر منهم دعوى الإجماع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حُرَّاً كان أو عبداً، مسلماً أو كافراً، ولا جَزَّ على المرأة، ولا النفي، ويثبتُ بشاهدين عدلين،</w:t>
      </w:r>
    </w:p>
    <w:p>
      <w:pPr>
        <w:pStyle w:val="BookText"/>
        <w:rPr/>
      </w:pPr>
      <w:r>
        <w:rPr>
          <w:rFonts w:ascii="Amiri" w:hAnsi="Amiri" w:eastAsia="Amiri" w:cs="Amiri"/>
          <w:color w:val="111111"/>
          <w:sz w:val="28"/>
          <w:sz w:val="28"/>
          <w:szCs w:val="28"/>
          <w:rtl w:val="true"/>
          <w:lang w:bidi="ar-SA"/>
        </w:rPr>
        <w:t>على الحلق والشهرة، ومثل هذا الإجماع الذي لا مدرك له يكفي في ثبوت الحكم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الخبر النفي في المرّة الأُولى‌،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الإجماع على أنّه يُنفى في الثانية، وهو يوجبُ صرف ظهور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الخبر أنّ هذا الحكم يثبتُ للقوّاد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كان أو عبداً،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المتّفق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جَزّ على المرأة ولا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شهرة، بلا خلافٍ أجده،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الجَزّ 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الخبر بالرجل، ولا مورد لإجراء قاعدة الاشتراك بعد الفرق بينهما، نظراً إلى أنّ النفي يُنافي سَتر المرأة المطلوب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لوجوب الجَلد عليها، لانحصار المدرك بالخبر المختصّ على الفرض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حينئذٍ قاعدة الاشتراك والإجماع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لما عرفت من حجيّة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الإقرار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العدلين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من حجيّة خبر الواحد في الموضوعات، لابدّ وأن يُبنى على ثبوتها بخبر الواحد أيضاً؟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غير الحكومة والقضاء، فإنّ المثبت في هذا المقام هو البيّنة كما مرّ في كتاب القضاء، ولا تثبتُ بشهادة النساء، لما مرّ في كتاب الشهادات من أنّه لاتُقبل شهادتهنّ في الحدود، فالمثبت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شهادة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الإقرار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ثبوتها بالإقرار، فلعموم ما دلّ‌</w:t>
      </w:r>
      <w:r>
        <w:rPr>
          <w:rStyle w:val="FootnoteAnchor"/>
          <w:rtl w:val="true"/>
        </w:rPr>
        <w:footnoteReference w:id="814"/>
      </w:r>
      <w:r>
        <w:rPr>
          <w:rFonts w:ascii="Amiri" w:hAnsi="Amiri" w:eastAsia="Amiri" w:cs="Amiri"/>
          <w:color w:val="111111"/>
          <w:sz w:val="28"/>
          <w:sz w:val="28"/>
          <w:szCs w:val="28"/>
          <w:rtl w:val="true"/>
          <w:lang w:bidi="ar-SA"/>
        </w:rPr>
        <w:t>على مثبتيّة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مرّتين، وعدم الاكتفاء بالمرّة، فلتسالم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يُثبته شاهدان من الحدود فالإقرار فيه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الاتّفاق في مقابل الدليل مع عدم وجود مايصلح أن يكون مستند المجمعين يكون حجّةٌ قطعاً، وكاشفاً عن الدليل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أقرّ مرّة عُزِّر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في الزّنا يظهر أنّه لا عبرة بإقرار الصَّبي والمجنون والمكره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2" w:name="pg11384_112431"/>
    </w:p>
    <w:p>
      <w:pPr>
        <w:pStyle w:val="BookText"/>
        <w:rPr/>
      </w:pPr>
      <w:bookmarkEnd w:id="162"/>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القذف</w:t>
      </w:r>
    </w:p>
    <w:p>
      <w:pPr>
        <w:pStyle w:val="Heading3"/>
        <w:numPr>
          <w:ilvl w:val="2"/>
          <w:numId w:val="1"/>
        </w:numPr>
        <w:rPr/>
      </w:pPr>
      <w:bookmarkStart w:id="163" w:name="__RefHeading___Toc283425_73709187"/>
      <w:bookmarkStart w:id="164" w:name="_Toc55"/>
      <w:bookmarkEnd w:id="163"/>
      <w:r>
        <w:rPr>
          <w:rtl w:val="true"/>
        </w:rPr>
        <w:t>الفصل التاسع في حَدّ القذف</w:t>
      </w:r>
      <w:bookmarkEnd w:id="164"/>
    </w:p>
    <w:p>
      <w:pPr>
        <w:pStyle w:val="Heading4"/>
        <w:numPr>
          <w:ilvl w:val="3"/>
          <w:numId w:val="1"/>
        </w:numPr>
        <w:rPr/>
      </w:pPr>
      <w:bookmarkStart w:id="165" w:name="__RefHeading___Toc283427_73709187"/>
      <w:bookmarkStart w:id="166" w:name="_Toc56"/>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القذف فهو لغةً الرَّمي بالحجارة، وشرعاً قيل رمي المسلم الكامل المستتر بالزّنا أو اللّواط، وهو حرامٌ إجماعاً وكتاباً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أحد الموبقات السبع، وهنّ كما قاله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والسحر، وقتل النفس التي حَرّم اللّه، وأكل الرِّبا، وأكل مال اليتيم، والتولّي يوم الزحف، وقذف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يوجبُ الحَدّ بالإجماع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حسن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أنّ الفرية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الرّجل الرّجل بالزّنا، وإذا قال إنّ أُمّه زانية</w:t>
      </w:r>
      <w:r>
        <w:rPr>
          <w:rStyle w:val="FootnoteAnchor"/>
          <w:rtl w:val="true"/>
        </w:rPr>
        <w:footnoteReference w:id="817"/>
      </w:r>
      <w:r>
        <w:rPr>
          <w:rFonts w:ascii="Amiri" w:hAnsi="Amiri" w:eastAsia="Amiri" w:cs="Amiri"/>
          <w:color w:val="111111"/>
          <w:sz w:val="28"/>
          <w:sz w:val="28"/>
          <w:szCs w:val="28"/>
          <w:rtl w:val="true"/>
          <w:lang w:bidi="ar-SA"/>
        </w:rPr>
        <w:t>وإذا دعا لغير أبيه، فذلك فيه حَدّ ثمانون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من النصوص التي ستمرّ عليك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من المكلّفين للبالغ العاقل، الحُرّ، المُسلم،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المقام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القاذف، لا إشكال ولا خلاف في أنّه يُعتبر فيه البلوغ والعقل، وإلى ذلك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قَذَف الصَّبي أو المجنون لم يُحَدّ لرفع القلم عنهما</w:t>
      </w:r>
      <w:r>
        <w:rPr>
          <w:rStyle w:val="FootnoteAnchor"/>
          <w:rtl w:val="true"/>
        </w:rPr>
        <w:footnoteReference w:id="818"/>
      </w:r>
      <w:r>
        <w:rPr>
          <w:rFonts w:ascii="Amiri" w:hAnsi="Amiri" w:eastAsia="Amiri" w:cs="Amiri"/>
          <w:color w:val="111111"/>
          <w:sz w:val="28"/>
          <w:sz w:val="28"/>
          <w:szCs w:val="28"/>
          <w:rtl w:val="true"/>
          <w:lang w:bidi="ar-SA"/>
        </w:rPr>
        <w:t>، بناءً على ما هو الصحيح من عمومه لجميع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لم يحتلم يقذف الرّجل هل يُجلَد؟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لو أنّ رجلاً قَذَف الغلام لم يُجلد</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ونحوه غيره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حَدّ عليه، يعني لو أنّ مجنوناً قذف رجلاً لم أرَ عليه شيئاً، ولو قذفه رجلٌ‌، فقال يا زان لم يكن عليه حَدٌّ</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البحث في اعتبار الحريّة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المقذوف وقد جمع المصنّف رحمه الله ما يعتبر فيه في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للبالغ العاقل، الحُرّ، المسلم، المُحصِن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بالإحصان العفّة، وعدم التظاهر باللّواط أو الزّنا، والظاهر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خلاف في اعتبار شيء من تلكم الشرائط، أي البلوغ والعقل والحريّة والإسلام والإحصان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قذف المكلّف مجنوناً لا يُحَدّ لصحيح فضيل، وكذا لو قذف الصَّبي لخبر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الصبية يُجلَد؟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لو قذف كافراً لا يثبت عليه حَدّ القذف، ويشهد به خبر إسماعيل بن الفضل،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الافتراء على أهل الذّمة وأهل الكتاب، هل يُجلد المسلمُ الحَدّ في الافتراء عليهم‌؟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يُعزّر</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لو كان متظاهراً باللّواط أو الزّنا لا حَدّ على قاذفه، لعدم صدق القذف على نسبته إليه، ولما دلّ‌</w:t>
      </w:r>
      <w:r>
        <w:rPr>
          <w:rStyle w:val="FootnoteAnchor"/>
          <w:rtl w:val="true"/>
        </w:rPr>
        <w:footnoteReference w:id="826"/>
      </w:r>
      <w:r>
        <w:rPr>
          <w:rFonts w:ascii="Amiri" w:hAnsi="Amiri" w:eastAsia="Amiri" w:cs="Amiri"/>
          <w:color w:val="111111"/>
          <w:sz w:val="28"/>
          <w:sz w:val="28"/>
          <w:szCs w:val="28"/>
          <w:rtl w:val="true"/>
          <w:lang w:bidi="ar-SA"/>
        </w:rPr>
        <w:t>على أنّه لا حرمة للمتظاهر بالفسق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يُحَدّ قاذف المتظاهر بفسقٍ آخر غير الزّنا واللّواط؟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7" w:name="pg11384_112434"/>
    </w:p>
    <w:p>
      <w:pPr>
        <w:pStyle w:val="BookText"/>
        <w:rPr/>
      </w:pPr>
      <w:bookmarkEnd w:id="167"/>
      <w:r>
        <w:rPr>
          <w:rFonts w:ascii="Amiri" w:hAnsi="Amiri" w:eastAsia="Amiri" w:cs="Amiri"/>
          <w:color w:val="111111"/>
          <w:sz w:val="28"/>
          <w:sz w:val="28"/>
          <w:szCs w:val="28"/>
          <w:rtl w:val="true"/>
          <w:lang w:bidi="ar-SA"/>
        </w:rPr>
        <w:t>يا زاني، أو يا لائط، أو يا منكوحاً في</w:t>
      </w:r>
    </w:p>
    <w:p>
      <w:pPr>
        <w:pStyle w:val="BookText"/>
        <w:rPr/>
      </w:pPr>
      <w:r>
        <w:rPr>
          <w:rFonts w:ascii="Amiri" w:hAnsi="Amiri" w:eastAsia="Amiri" w:cs="Amiri"/>
          <w:color w:val="111111"/>
          <w:sz w:val="28"/>
          <w:sz w:val="28"/>
          <w:szCs w:val="28"/>
          <w:rtl w:val="true"/>
          <w:lang w:bidi="ar-SA"/>
        </w:rPr>
        <w:t>الظاهر ذلك لإطلاق الأدلّة، ومعنى عدم الحرمة للمتظاهر بالفسق، عدم الحرمة بالنسبة إلى خصوص ذلك الفسق، ولذا يجوزُ غيبته فيه دون غيره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المكلّف الصَّبي، أو المجنون، أو الكافر، وإنْ كان لا يُحَدّ إلّاأنّه يُعزّر، كما مرّ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يُعزّر قاذف المتظاهر باللّواط أو الزّنا؟</w:t>
      </w:r>
    </w:p>
    <w:p>
      <w:pPr>
        <w:pStyle w:val="BookText"/>
        <w:rPr/>
      </w:pPr>
      <w:r>
        <w:rPr>
          <w:rFonts w:ascii="Amiri" w:hAnsi="Amiri" w:eastAsia="Amiri" w:cs="Amiri"/>
          <w:color w:val="111111"/>
          <w:sz w:val="28"/>
          <w:sz w:val="28"/>
          <w:szCs w:val="28"/>
          <w:rtl w:val="true"/>
          <w:lang w:bidi="ar-SA"/>
        </w:rPr>
        <w:t>فيه قولان، أظهرهما الثاني كما اختاره الشهيدان</w:t>
      </w:r>
      <w:r>
        <w:rPr>
          <w:rStyle w:val="FootnoteAnchor"/>
          <w:rtl w:val="true"/>
        </w:rPr>
        <w:footnoteReference w:id="827"/>
      </w:r>
      <w:r>
        <w:rPr>
          <w:rFonts w:ascii="Amiri" w:hAnsi="Amiri" w:eastAsia="Amiri" w:cs="Amiri"/>
          <w:color w:val="111111"/>
          <w:sz w:val="28"/>
          <w:sz w:val="28"/>
          <w:szCs w:val="28"/>
          <w:rtl w:val="true"/>
          <w:lang w:bidi="ar-SA"/>
        </w:rPr>
        <w:t xml:space="preserve">،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لعدم الدليل عليه بعد عدم حرمته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83429_73709187"/>
      <w:bookmarkStart w:id="169" w:name="_Toc57"/>
      <w:bookmarkEnd w:id="168"/>
      <w:r>
        <w:rPr>
          <w:rtl w:val="true"/>
        </w:rPr>
        <w:t>موجب الحَدّ</w:t>
      </w:r>
      <w:bookmarkEnd w:id="16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الموجب للحَدّ، وهو الرَّمي بالزّنا أو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إلحاق السُّحق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حسن ابن سنان المتقدّم الحاصر للفرية في ثلاث، يردّه وينفي التردّد، فيكون القذف حينئذٍ ما عرفت،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زاني، أو يا لائط، أو يا منكوحاً في </w:t>
      </w:r>
      <w:bookmarkStart w:id="170" w:name="pg11384_112435"/>
    </w:p>
    <w:p>
      <w:pPr>
        <w:pStyle w:val="BookText"/>
        <w:rPr/>
      </w:pPr>
      <w:bookmarkEnd w:id="170"/>
      <w:r>
        <w:rPr>
          <w:rFonts w:ascii="Amiri" w:hAnsi="Amiri" w:eastAsia="Amiri" w:cs="Amiri"/>
          <w:color w:val="111111"/>
          <w:sz w:val="28"/>
          <w:sz w:val="28"/>
          <w:szCs w:val="28"/>
          <w:rtl w:val="true"/>
          <w:lang w:bidi="ar-SA"/>
        </w:rPr>
        <w:t>دُبُره، أو أنت زانٍ‌، أو لائط، بأيّ لغةٍ كانت، مع معرفة القائل بالفائدة،</w:t>
      </w:r>
    </w:p>
    <w:p>
      <w:pPr>
        <w:pStyle w:val="BookText"/>
        <w:rPr/>
      </w:pPr>
      <w:r>
        <w:rPr>
          <w:rFonts w:ascii="Amiri" w:hAnsi="Amiri" w:eastAsia="Amiri" w:cs="Amiri"/>
          <w:color w:val="111111"/>
          <w:sz w:val="28"/>
          <w:sz w:val="28"/>
          <w:szCs w:val="28"/>
          <w:rtl w:val="true"/>
          <w:lang w:bidi="ar-SA"/>
        </w:rPr>
        <w:t>دُبُره، أو أنتَ زانٍ‌، أو لائط، بأيّ لغةٍ كانت، مع معرفة القائل 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حسن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عُبّاد بن صُهيب،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معفوج، يا منكوح في دبره، فإنّ عليه حَدّ القاذف</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يعتبر أن يكون اللّفظ صريحاً في الزّنا أو اللّواط، أو ظاهراً في أحدهما، ولا يكفي مجرّد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وهب بن وهب، عن جعفر بن محمّد، عن أبيه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 يكن يحدّ في التعريض حتّى يأتي بالفرية المصرّحة يا زاني، أو يا ابن الزانية، أو لستَ لأبيك</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إسحاق بن عمّار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كما فهمه الأصحاب أنّ المراد بالصراحة ليس ما يقابل الظهور، بل ما يقابل التعريض، فيشمل الظاهر عرفاً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83431_73709187"/>
      <w:bookmarkStart w:id="172" w:name="_Toc58"/>
      <w:bookmarkEnd w:id="171"/>
      <w:r>
        <w:rPr>
          <w:rtl w:val="true"/>
        </w:rPr>
        <w:t>كميّة حَدّ القاذف وكيفيّته</w:t>
      </w:r>
      <w:bookmarkEnd w:id="1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كميّة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ثمانين جَلدة،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لمن اعترف ببنوّته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بولدي، أو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كلماتهم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 ثمانين جَلدة، حُرّاً كان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والسُّنة المستفيضة شاهدان به، ولا خلاف بينهم في أنّه يُجلد القاذف بثيابه ولا يجرّد،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المفتري يُضرب بين الضربين، يضرب جسده كلّه فوق ثيابه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السكوني، عن أبي عبد اللّه، عن أمير المؤمنين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أن لا ينزع شيءٌ من ثياب القاذف إلّاالرّداء</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المفتري ضرب الضربين فوق الثياب يُضرب جسده كلّه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النصوص يستفاد أنّه يقتصر في ضربه على الضَّرب المتوسّط، ولا يَبلغُ به الضَّرب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باب القذف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لمن اعترف ببنوّته لستَ بولدي، أو قال لغيره لستَ‌ف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لأبيكَ‌، 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يا ابن الزّاني، أو الزانية، أو يا ابن الزانيين، فالحَدُّ للأبوين إذا كانا مُسلِمَين، ولو كان المواجهُ كافراً،</w:t>
      </w:r>
    </w:p>
    <w:p>
      <w:pPr>
        <w:pStyle w:val="BookText"/>
        <w:rPr/>
      </w:pPr>
      <w:r>
        <w:rPr>
          <w:rFonts w:ascii="Amiri" w:hAnsi="Amiri" w:eastAsia="Amiri" w:cs="Amiri"/>
          <w:color w:val="111111"/>
          <w:sz w:val="28"/>
          <w:sz w:val="28"/>
          <w:szCs w:val="28"/>
          <w:rtl w:val="true"/>
          <w:lang w:bidi="ar-SA"/>
        </w:rPr>
        <w:t>لأبيك، 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بيننا،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له في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الصيغة عندنا من ألفاظ القذف الصريحة لغةً وعرفاً، فيثبت بها الحَدّ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بولدٍ ثُمّ نفاه جُلد الحَدّ والزم الولد</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في ما إذا كان قصده بذلك النفي، وإلّا كما لو قال ذلك زجراً له، وازدراءً من أنّه ليس مثله في الخصال التي كان يتوقّعها منه، على ما هو مستعملٌ في العرف كثيراً، فلا إشكال في عدم كونه قذفاً ورمياً، ولا يشمله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حسن ابن سنان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يا ابن الزّاني، أو الزانيّة، أو يا ابن الزانيّين 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للأبوين إذا كانا مسلمين، ولو كان المواجه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المقذوف ممّن يجبُ له الحَدّ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ولحسن ابن سنان المتقدّم، وموثّق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ويُعزَّر لو قال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الكافرة أو اُمّك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اُمّه شاهدة، ثُمّ جاءت تطلب حقّها، ضُرب ثمانين جلدة، الحديث</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لو قال للمسلم ابن الكافرة أو اُمّك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w:t>
      </w:r>
      <w:r>
        <w:rPr>
          <w:rStyle w:val="FootnoteAnchor"/>
          <w:rtl w:val="true"/>
        </w:rPr>
        <w:footnoteReference w:id="843"/>
      </w:r>
      <w:r>
        <w:rPr>
          <w:rFonts w:ascii="Amiri" w:hAnsi="Amiri" w:eastAsia="Amiri" w:cs="Amiri"/>
          <w:color w:val="111111"/>
          <w:sz w:val="28"/>
          <w:sz w:val="28"/>
          <w:szCs w:val="28"/>
          <w:rtl w:val="true"/>
          <w:lang w:bidi="ar-SA"/>
        </w:rPr>
        <w:t>وعامّة المتأخّرين</w:t>
      </w:r>
      <w:r>
        <w:rPr>
          <w:rStyle w:val="FootnoteAnchor"/>
          <w:rtl w:val="true"/>
        </w:rPr>
        <w:footnoteReference w:id="844"/>
      </w:r>
      <w:r>
        <w:rPr>
          <w:rFonts w:ascii="Amiri" w:hAnsi="Amiri" w:eastAsia="Amiri" w:cs="Amiri"/>
          <w:color w:val="111111"/>
          <w:sz w:val="28"/>
          <w:sz w:val="28"/>
          <w:szCs w:val="28"/>
          <w:rtl w:val="true"/>
          <w:lang w:bidi="ar-SA"/>
        </w:rPr>
        <w:t>، لأنّ المقذوف الاُمّ وهي كافرة، وقد مرّ أنّ قذف غير المسلم لايوجبُ الحَدّ، وإنّما يوجب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والقاضي</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بحرمة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البصري،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النصرانيّة واليهوديّة تكون تحت المسلم فيقذف ابنها، يُضرب القاذف لأنّ المسلم قد حَصَّنها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حرمة الولد لا تكفي في ثبوت الحَدّ بقذف الاُمّ‌، والخبر ضعيفُ السند، لأنّ في أحد طريقيه بنان بن محمّد المجهول، وفي الآخر معلّى بن محمّد، مع أنّه لو كان طريقه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صالحاً للمقاومة مع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يا أخِ الزانيّة، يا أب الزانيّة، فالحَدُّ للمنسوبة إلى الزّنا دون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أو لاطَ بك فلانٌ‌، أو لِطت به، وَجَب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قذف الابن أعمٌّ من نسبة الزّنا إلى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القذف بذلك ليس قذفاً للابن بل لها، مع أنّ ضرب القاذف أعمّ من الحَدّ، فمن الجائز إرادة التعزير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قد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يا زوج الزانية، يا أخ الزانية، يا أب الزانية، فالحَدّ للمنسوبة إلى الزّنا دون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المقذوفة دون المخاطب، وهو الزوج أو الأخ أو الأب، وهو واضحٌ‌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زنيتُ بفلانة، أو لاطَ بكَ فلانٌ‌، أو لِطتُ به، وجبَ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49"/>
      </w:r>
      <w:r>
        <w:rPr>
          <w:rFonts w:ascii="Amiri" w:hAnsi="Amiri" w:eastAsia="Amiri" w:cs="Amiri"/>
          <w:color w:val="111111"/>
          <w:sz w:val="28"/>
          <w:sz w:val="28"/>
          <w:szCs w:val="28"/>
          <w:rtl w:val="true"/>
          <w:lang w:bidi="ar-SA"/>
        </w:rPr>
        <w:t>، والمفيد</w:t>
      </w:r>
      <w:r>
        <w:rPr>
          <w:rStyle w:val="FootnoteAnchor"/>
          <w:rtl w:val="true"/>
        </w:rPr>
        <w:footnoteReference w:id="850"/>
      </w:r>
      <w:r>
        <w:rPr>
          <w:rFonts w:ascii="Amiri" w:hAnsi="Amiri" w:eastAsia="Amiri" w:cs="Amiri"/>
          <w:color w:val="111111"/>
          <w:sz w:val="28"/>
          <w:sz w:val="28"/>
          <w:szCs w:val="28"/>
          <w:rtl w:val="true"/>
          <w:lang w:bidi="ar-SA"/>
        </w:rPr>
        <w:t xml:space="preserve">وجماعة،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ويُعزّر في كلّ قولٍ موجبٍ للاستخفاف، كقوله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الزّنا أو اللّواط فعلٌ واحد، متى كذِب في أحدهما كذب في الآخر، إذ هو واقعٌ بين اثنين نسبة أحدهما إليه بالفاعليّة كنسبة الآخر إليه بالمفعوليّة، فهو قذفٌ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أنّه فِعلٌ واحدٌ، لأنّ موجب الحَدّ في الفاعل غير الموجب في المفعول، وحينئذٍ يمكن أن يكون أحدهما مختاراً دون صاحبه، ولذلك اختار هو قدس سره وقبله الحِلّي</w:t>
      </w:r>
      <w:r>
        <w:rPr>
          <w:rStyle w:val="FootnoteAnchor"/>
          <w:rtl w:val="true"/>
        </w:rPr>
        <w:footnoteReference w:id="854"/>
      </w:r>
      <w:r>
        <w:rPr>
          <w:rFonts w:ascii="Amiri" w:hAnsi="Amiri" w:eastAsia="Amiri" w:cs="Amiri"/>
          <w:color w:val="111111"/>
          <w:sz w:val="28"/>
          <w:sz w:val="28"/>
          <w:szCs w:val="28"/>
          <w:rtl w:val="true"/>
          <w:lang w:bidi="ar-SA"/>
        </w:rPr>
        <w:t xml:space="preserve">وبعده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على ما حُكي أنّه يثبتُ حَدّ واحد للمواجه، ولا حَدّ للمنسوب إليه،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احتمال ذلك مانعاً عن صدق القذف وترتّب حكمه، لزم البناء على عدم ثبوته للمواجه أيضاً، لأنّه من الممكن كونه غير مختار ومكرهاً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اللّفظ ظاهرٌ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حَدّين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في كلّ قولٍ موجبٍ للاستخفاف، كقوله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عَذراء، أو احتلمتُ باُمّك البارحة، أو يا فاسق، أو يا شارب الخمر، إذا لم يكن المقول له متظاهراً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عذراء، أو احتلمتُ باُمّك البارحة، أو يا فاسق، أو يا شارب الخمر، إذا لم يكن المقول له متظاهراً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والنصوص الشاهدة بالكبرى الكليّة، وبخصوص بعض الموارد المشار إليها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أبي العلاء،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لقى رجلاً على عهد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احتلم باُمّ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العدل إن شئت جلدت ظلّه، فإنّ الحلم إنّما هو مثل الظِلّ‌، ولكنّا سنوجعه ضرباً وجيعاً حتّى لا يؤذي المسلمين، فضربه ضرباً وجيعاً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رواه الصَّدوق</w:t>
      </w:r>
      <w:r>
        <w:rPr>
          <w:rStyle w:val="FootnoteAnchor"/>
          <w:rtl w:val="true"/>
        </w:rPr>
        <w:footnoteReference w:id="858"/>
      </w:r>
      <w:r>
        <w:rPr>
          <w:rFonts w:ascii="Amiri" w:hAnsi="Amiri" w:eastAsia="Amiri" w:cs="Amiri"/>
          <w:color w:val="111111"/>
          <w:sz w:val="28"/>
          <w:sz w:val="28"/>
          <w:szCs w:val="28"/>
          <w:rtl w:val="true"/>
          <w:lang w:bidi="ar-SA"/>
        </w:rPr>
        <w:t>بإسناده إلى قضايا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فإنّه يوشك أن ينتهي</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بن عبيد، عن يونس، وزاد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 أدبٍ ليس بضرب الحَدّ، لئلّا يؤذي امرأة مؤمنة بالتعريض</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يقتضيه الجمع بينه وبين خبر زرارة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تأتيني عذراء؟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لأنّ العُذرة تذهب بغير جماع</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العُذرة قد تسقط من غير جماعٍ‌، قد تذهبُ بالنكبة والعثرة والسقطة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وليست له بيّنة يُجلد الحَدّ، ويخلّى بينه وبينها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إرادة التعزير بقرينة ما تقدّم، أو على ارداة القذف به، ولعلّه يؤمى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جرّاح المدائني،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خبيث أو أنت خنزير، فليس فيه حَدٌّ، ولكن فيه موعظة وبعض العقوبة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مخلد السرّاج،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دعا آخر ابن المجنون،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المجنون، فأمر الأوّل أن يُجلد صاحبه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يُعزّر قاذف الصَّبي والمجنون والكافر والمملوك، والمتظاهر بالزّنا، والأب إذا قَذَف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جلدة،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مستعقبٌ مثلها، فلمّا جَلَده أعطى المجلود السّوط فَجَلده عشرين، نكالاً ينكل بهما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حنيفة،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ويُعزّر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الهجاء التعزير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يُعزّر قاذف الصَّبي والمجنون والكافر والمملوك والمتظاهر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أفاده جماعة</w:t>
      </w:r>
      <w:r>
        <w:rPr>
          <w:rStyle w:val="FootnoteAnchor"/>
          <w:rtl w:val="true"/>
        </w:rPr>
        <w:footnoteReference w:id="868"/>
      </w:r>
      <w:r>
        <w:rPr>
          <w:rFonts w:ascii="Amiri" w:hAnsi="Amiri" w:eastAsia="Amiri" w:cs="Amiri"/>
          <w:color w:val="111111"/>
          <w:sz w:val="28"/>
          <w:sz w:val="28"/>
          <w:szCs w:val="28"/>
          <w:rtl w:val="true"/>
          <w:lang w:bidi="ar-SA"/>
        </w:rPr>
        <w:t>، وقد تقدّم الكلام في ذلك في الموضع الثاني في بيان ما يُعتبر في المقذوف، وقد عرفت أنّ المتظاهر بالزّنا إذا قَذَف لا يُعزّر قاذفه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 إذا قَذف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بلا خلافٍ‌، لصحيح محمّدبن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قذف ابنه بالزّنا؟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وإن قَذَفه لم يُجلد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قال لابنه يا ابن الزانية، واُمّه ميّتة، ولم يكن لها من يأخذ حقّها منه إلّاولدها منه، فإنّه لا يُقام عليه الحَدّ، الحديث</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يُعزّر للحُرمة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3" w:name="pg11384_112445"/>
    </w:p>
    <w:p>
      <w:pPr>
        <w:pStyle w:val="BookText"/>
        <w:rPr/>
      </w:pPr>
      <w:bookmarkEnd w:id="173"/>
      <w:r>
        <w:rPr>
          <w:rFonts w:ascii="Amiri" w:hAnsi="Amiri" w:eastAsia="Amiri" w:cs="Amiri"/>
          <w:color w:val="111111"/>
          <w:sz w:val="28"/>
          <w:sz w:val="28"/>
          <w:szCs w:val="28"/>
          <w:rtl w:val="true"/>
          <w:lang w:bidi="ar-SA"/>
        </w:rPr>
        <w:t>ولو قَذَف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جاءوا به مُجتَمعين، فعليه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جاءوا به متفرّقين، فلكلّ واحدٍ حَدّ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83433_73709187"/>
      <w:bookmarkStart w:id="175" w:name="_Toc59"/>
      <w:bookmarkEnd w:id="174"/>
      <w:r>
        <w:rPr>
          <w:rtl w:val="true"/>
        </w:rPr>
        <w:t>حكمُ ما لو قَذَف واحدٌ جماعة</w:t>
      </w:r>
      <w:bookmarkEnd w:id="175"/>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فلكلّ واحدٍ قذفٌ‌، ولو قذفهم بلفظ واحدٍ كما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فعليه حَدُّ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جاءوا به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وافترقوا في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بلفظ واحد يثبتُ حَدٌّ واحد، وإنْ كان بلفظٍ متعدّد فعليه حَدّ واحد إنْ طالبوه مجتمعين، وإنْ جاءوا به متفرّقين فلكلّ واحدٍ 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البأس عنه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المتن التفصيل في الموردين،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افترى على قومٍ جماعة‌؟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ضُرب حَدّاً واحداً، وإن أتوا به متفرّقين ضُرب لكلّ واحدٍ حَدّ</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محمّد بن حمران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جعلوا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مؤكدة للقوم، وعليه فيكون الخبر عامّاً شاملاً للصورتين، ولكنّه جمعاً بينه وبين الخبر الآتي الدّال على أنّه إنْ كان بكلمةٍ واحدة يُضرب حَدّاً واحداً، خصّوه بما إذا كان القذف بلفظٍ واحد، وسيأتي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العطّار،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قذف قوماً؟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واحداً، فإن فرّق بينهم في القذف ضَرَب كلّ واحدٍ منهم حَدّاً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ضعيفُ السند، لأنّ في طريقه أبان، وهو مشتركٌ بين الثقة وغيره، والحسن العطّار وهو ممدوحٌ خاصّة، وتبع في ذلك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الراوي هو أبان بن عثمان كما صرّح به، وهو من أصحاب الإجماع، فلا يضرّ عدم توثيق الحسن، مع أنّ الظاهر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بريد العِجلي</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تكون صفة للقوم، يُحتمل أن تكون صفة للقذف المدلول عليه بالفعل وهو افترى،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القذف المتعدّد، وعليه؛ فالمتيقّن من الخبر هو صورة تعدّد اللّفظ، فإنّه إمّا مختصٌّ به أو عامٌ شامل له ولصورة الاتّحاد، فالمتيقّن هذه الصورة، وفي تلك الصورة تدلّ على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الحسن فهو في صورة الاتّحاد يدلّ على ثبوت حَدٍّ واحدٍ مطلقاً ولا معارض له، وفي صورة التعدّد يدلّ على ثبوت حدود متعدّدة، وهو أعمٌّ مطلق من الصحيح، فيقيّد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الإسكافي أظهر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احتمال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صفة للقذف، وقلت إنّها صفة للقوم، فهو مطلقٌ يدلّ على التفصيل في الصورتين، والنسبة حينئذٍ بينه وبين كلٍّ من الجملتين المذكورتين في خبر الحسن عمومٌ من وجه، فيدور الأمر بين تقديم الصحيح عليهما وتقديمهما عليه، وتقديمه على إحداهما دون الأُخرى‌، والأخيرُ ترجيحٌ بلا مرجّح، والأوّل مستلزمٌ لبطلان ما في الخبر من التفصيل، والثاني يلزمُ منه طرح الصحيح، فهما متعارضان لابدَّ من تقديم أحدهما وطرح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6" w:name="pg11384_112448"/>
    </w:p>
    <w:p>
      <w:pPr>
        <w:pStyle w:val="BookText"/>
        <w:rPr/>
      </w:pPr>
      <w:bookmarkEnd w:id="176"/>
      <w:r>
        <w:rPr>
          <w:rFonts w:ascii="Amiri" w:hAnsi="Amiri" w:eastAsia="Amiri" w:cs="Amiri"/>
          <w:color w:val="111111"/>
          <w:sz w:val="28"/>
          <w:sz w:val="28"/>
          <w:szCs w:val="28"/>
          <w:rtl w:val="true"/>
          <w:lang w:bidi="ar-SA"/>
        </w:rPr>
        <w:t>ويثبتُ القَذفُ بالإقرار مرّتين من المكلّف، أو بشهادة عَدلين، ويُعزّر الصَّبي والمجنون إذا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موروثٌ كالمال،</w:t>
      </w:r>
    </w:p>
    <w:p>
      <w:pPr>
        <w:pStyle w:val="BookText"/>
        <w:rPr/>
      </w:pPr>
      <w:r>
        <w:rPr>
          <w:rFonts w:ascii="Amiri" w:hAnsi="Amiri" w:eastAsia="Amiri" w:cs="Amiri"/>
          <w:color w:val="111111"/>
          <w:sz w:val="28"/>
          <w:sz w:val="28"/>
          <w:szCs w:val="28"/>
          <w:rtl w:val="true"/>
          <w:lang w:bidi="ar-SA"/>
        </w:rPr>
        <w:t>وحيث إنّ القول بالتفصيل بين مطالبتهم مجتمعين ومتفرّقين في الجملة مشهورٌ بين الأصحاب، فالشهرة التي هي أوّل المرجّحات تقتضي تقديم الصحيح، وكذا تقتضيه صفات الراوي التي هي الثاني من المرجّحات، فتكون النتيجة هو القول بالتفصيل في الصورتين، كما هو ظاهر المتن، ولعلّ هذا أظهر، فتدبّر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القَذفُ بالإقرار مرّتين من المكلّف، أو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ما دلّ‌</w:t>
      </w:r>
      <w:r>
        <w:rPr>
          <w:rStyle w:val="FootnoteAnchor"/>
          <w:rtl w:val="true"/>
        </w:rPr>
        <w:footnoteReference w:id="881"/>
      </w:r>
      <w:r>
        <w:rPr>
          <w:rFonts w:ascii="Amiri" w:hAnsi="Amiri" w:eastAsia="Amiri" w:cs="Amiri"/>
          <w:color w:val="111111"/>
          <w:sz w:val="28"/>
          <w:sz w:val="28"/>
          <w:szCs w:val="28"/>
          <w:rtl w:val="true"/>
          <w:lang w:bidi="ar-SA"/>
        </w:rPr>
        <w:t>على حجيّة شهادة العدلين وثبوت المشهود به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w:t>
      </w:r>
      <w:r>
        <w:rPr>
          <w:rStyle w:val="FootnoteAnchor"/>
          <w:rtl w:val="true"/>
        </w:rPr>
        <w:footnoteReference w:id="882"/>
      </w:r>
      <w:r>
        <w:rPr>
          <w:rFonts w:ascii="IRNazanin" w:hAnsi="IRNazanin" w:eastAsia="IRNazanin"/>
          <w:color w:val="111111"/>
          <w:sz w:val="28"/>
          <w:sz w:val="28"/>
          <w:szCs w:val="28"/>
          <w:rtl w:val="true"/>
          <w:lang w:bidi="fa-IR"/>
        </w:rPr>
        <w:t>على أنّ 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الإشكال في عدم ثبوته بالإقرار مرّة، مع أنّ مقتضى إطلاق دليله الثبوت، ولكن الظاهر أنّه إجماعيٌ كما مرّ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الصَّبي والمجنون إذا 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الموضع الأوّل عند بيان شرائط القاذف</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83435_73709187"/>
      <w:bookmarkStart w:id="178" w:name="_Toc60"/>
      <w:bookmarkEnd w:id="177"/>
      <w:r>
        <w:rPr>
          <w:rtl w:val="true"/>
        </w:rPr>
        <w:t>الحَدّ يورث كالمال</w:t>
      </w:r>
      <w:bookmarkEnd w:id="1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موروثٌ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حَدّ القذف وغيره، </w:t>
      </w:r>
    </w:p>
    <w:p>
      <w:pPr>
        <w:pStyle w:val="BookText"/>
        <w:rPr/>
      </w:pPr>
      <w:r>
        <w:rPr>
          <w:rFonts w:ascii="Amiri" w:hAnsi="Amiri" w:eastAsia="Amiri" w:cs="Amiri"/>
          <w:color w:val="111111"/>
          <w:sz w:val="28"/>
          <w:sz w:val="28"/>
          <w:szCs w:val="28"/>
          <w:rtl w:val="true"/>
          <w:lang w:bidi="ar-SA"/>
        </w:rPr>
        <w:t xml:space="preserve">إذا لم يكن قد استوفاه، ولا عفى عنه،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واُمّه ميّتة، ولم يكن لها من يأخذ بحقّها منه إلّا ولدها منه، فإنّه لا يُقام عليه الحَدّ، لأنّ حقّ الحَدّ قد صار لولده منها، فإن كان لها ولدٌ من غيره، فهو وليّها يُجلد له، وإن لم يكن لها ولدٌ من غيره، وكان لها قرابة يقومون بأخذ الحَدّ جُلد لهم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الذي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لا يورث</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لأنّه يُحمل على إرادة عدم كونه موروثاً على حسب المال، كما صرّح بذلك في موثّق الساباطي،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 لا يُورث كما تُورث الدِّية والمال، ولكن من قام به من الورثة فهو وليّه، ومن تركه فلم يطلبه فلا حقّ له، وذلك مثلُ رجلٍ قَذَف وللمقذوف أخوان، فإنْ عفا عنه أحدهما كان للآخر أن يطلبه بحقّه، الحديث</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أنّ المراد بكون حَدّ القذف موروثاً، ليس أنّه يرث كلّ من الورثة حصّة منه، بل الثابت لكلّ منهما الولاية على استيفائه، فللواحد من الجماعة المطالبة بتمام الحَدّ وإن عفى الباقون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ميراث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عفى أحدُ الورّاث كان للباقي الاستيفاء على التمام، ولو تكرّر الحَدُّ ثلاثاً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تقاذف اثنان عُزِّرا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لغيرهما من ذوي الأسباب إجماعاً، ادّعاه غير واحدٍ</w:t>
      </w:r>
      <w:r>
        <w:rPr>
          <w:rStyle w:val="FootnoteAnchor"/>
          <w:rtl w:val="true"/>
        </w:rPr>
        <w:footnoteReference w:id="887"/>
      </w:r>
      <w:r>
        <w:rPr>
          <w:rFonts w:ascii="Amiri" w:hAnsi="Amiri" w:eastAsia="Amiri" w:cs="Amiri"/>
          <w:color w:val="111111"/>
          <w:sz w:val="28"/>
          <w:sz w:val="28"/>
          <w:szCs w:val="28"/>
          <w:rtl w:val="true"/>
          <w:lang w:bidi="ar-SA"/>
        </w:rPr>
        <w:t>، وهو الحجّة فيه، وقد مرّ الكلام فيه في كتاب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عفى أحد الورّاث، كان للباقي الاستيفاء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ولاإشكالٍ‌، وموثّق الساباطي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الثالثة، والصحيح المتقدّم المتضمّن لأنّ أصحاب الكبائر يُقتلون في الثالثة شاهدٌ بالثاني، وقد مرّ الكلام فيه في حَدّ اللّواط</w:t>
      </w:r>
      <w:r>
        <w:rPr>
          <w:rStyle w:val="FootnoteAnchor"/>
          <w:rtl w:val="true"/>
        </w:rPr>
        <w:footnoteReference w:id="888"/>
      </w:r>
      <w:r>
        <w:rPr>
          <w:rFonts w:ascii="Amiri" w:hAnsi="Amiri" w:eastAsia="Amiri" w:cs="Amiri"/>
          <w:color w:val="111111"/>
          <w:sz w:val="28"/>
          <w:sz w:val="28"/>
          <w:szCs w:val="28"/>
          <w:rtl w:val="true"/>
          <w:lang w:bidi="ar-SA"/>
        </w:rPr>
        <w:t>وغيره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فيما لو قَذَف فحُدّ ثُمّ قَذَف فحُدّ وهكذا، وأمّا لو قَذَف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المقذوف متعدّداً، فقد مرّ حكمه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واحداً فالأظهر ثبوت حَدٍّ واحدٍ عليه، من غير فرقٍ بين تعدّد المقذوف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قذفه مرّةً بالزّنا، وأُخرى باللّواط، وثالثة بأنّه ملوط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 كما لو قذفه بالزِّنا مراراً، فالظاهر ثبوت حَدٍّ واحدٍ، بناءُ على ما هو الحقّ من أصالة وحدة المسبّبات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تقاذف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افترى كلّ واحدٍ منهما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صاحبه‌؟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عنهما الحَدّ ويُعزّران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أبي ولّاد الحنّاط عنه عليه السلام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9" w:name="pg11384_112452"/>
    </w:p>
    <w:p>
      <w:pPr>
        <w:pStyle w:val="BookText"/>
        <w:rPr/>
      </w:pPr>
      <w:bookmarkEnd w:id="179"/>
      <w:r>
        <w:rPr>
          <w:rFonts w:ascii="Amiri" w:hAnsi="Amiri" w:eastAsia="Amiri" w:cs="Amiri"/>
          <w:color w:val="111111"/>
          <w:sz w:val="28"/>
          <w:sz w:val="28"/>
          <w:szCs w:val="28"/>
          <w:rtl w:val="true"/>
          <w:lang w:bidi="ar-SA"/>
        </w:rPr>
        <w:t>ويقتلُ من سَبّ النبيّ صلى الله عليه و آله أو واحداً من الأئمّة عليهم السلام، ويَحِلُّ لكلّ سامعٍ قتله مع أمن الضَّرر</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83437_73709187"/>
      <w:bookmarkStart w:id="181" w:name="_Toc61"/>
      <w:bookmarkEnd w:id="180"/>
      <w:r>
        <w:rPr>
          <w:rtl w:val="true"/>
        </w:rPr>
        <w:t>وجوب قتل من سَبّ النبيّ صلى الله عليه و آله</w:t>
      </w:r>
      <w:bookmarkEnd w:id="181"/>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 من سَبّ النبيّ صلى الله عليه و آله، أو واحداً من الأئمّة عليهم السلام، ويَحلّ لكلّ سامعٍ قتله مع أمن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شيء من تلكم، بل الإجماع بقسميه على الجميع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وقد تكرّر في كلماتهم دعوى الإجماع عليها، والمستند هو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 الذي رواه علي بن جعفر، عن أخيه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أحداً يذكرني فالواجب عليه أن يقتل من شتمني، ولا يرفع إلى السلطان، والواجبُ على السلطان إذا دفع إليه أن يقتل من نال منّي</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الآن سَبّ النبيّ صلى الله عليه و آله أيُقتل‌؟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سبابةٌ لعليّ عليه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واللّه لولا أن تعمّ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يعمّ به بريئاً؟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مؤمنٌ بكافر ولم يزد على ذلك</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العامري،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في رجلٍ سمعته يشتمُ عليّاً عليه السلام ويبرأ منه‌؟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حلالُ الدَّم، وما ألفٌ منهم برجلٍ منكم، دَعه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حديد، عن أبي الحسن الأوّل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محمّد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موسى بن جعفر الذي هو إمامنا وحجّتنا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ذلك منه، أوَليسَ حلالٌ لي دمه مباحٌ؟ كما اُبيح دَمُ السَّباب لرسول اللّه صلى الله عليه و آله والإمام‌؟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 واللّه، حِلٌّ واللّه دمه، وأباحه لكَ ولمن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أنا لم أخف أن أعمّ بذلك بريئاً، ثمّ لم أفعل ولم أقتله ما عليَّ من الوِزر؟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 وزره أضعافاً مضاعفة من غير أن ينقص من وزره من شيء</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دلّ على حليّة دَمّ الناصب، كخبر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 الناصب‌؟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ولكن أتّقي عليك، فإنْ قَدَرت أن تقلب عليه حائط، أو تغرقه في ماء لكيلا يشهد به عليك أحدٌ فافعل</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إلحاق باقي الأنبياء عليهم السلام بذلك قوّة، لأنّ كمالهم وتعظيمهم عُلم من دين الإسلام ضرورةً‌، فسبّهم ارتدادٌ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صدق الارتداد في جميع الموارد إشكالاً، ثمّ إنّ المرتدّ لا يجوزُ قتله مطلقاً، وعليه فالصحيح أن يستدلّ له بالنبويّ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نبيّاً قُتل، ومن سَبّ صاحب نبيّ جُلد</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المنجبر بالفتوى، ولا يعارضه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برجلٍ يذكُر أنّ داود صادف المرأة إلّا جلدته مائة وستّين،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إلحاق فاطمة عليها السلام بهم عليهم السلام، لا للإجماع على طهارتها بآية التطهير</w:t>
      </w:r>
      <w:r>
        <w:rPr>
          <w:rStyle w:val="FootnoteAnchor"/>
          <w:rtl w:val="true"/>
        </w:rPr>
        <w:footnoteReference w:id="902"/>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وغيره، بل لما عُلم بالضرورة أنّها في الاحترام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كأولادها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اُمّ النبيّ صلى الله عليه و آله وبنته به من غير تخصيصٍ بفاطمة عليها السلام مراعاةً لقدره، وهو يتمُّ إنْ كان بحيثُ يصدق سَبّ النبيّ صلى الله عليه و آله وشتمه والنيل منه، وإلّا ففي إطلاقه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905"/>
      </w:r>
      <w:r>
        <w:rPr>
          <w:rFonts w:ascii="Amiri" w:hAnsi="Amiri" w:eastAsia="Amiri" w:cs="Amiri"/>
          <w:color w:val="111111"/>
          <w:sz w:val="28"/>
          <w:sz w:val="28"/>
          <w:szCs w:val="28"/>
          <w:rtl w:val="true"/>
          <w:lang w:bidi="ar-SA"/>
        </w:rPr>
        <w:t xml:space="preserve">عدم توقّف قتل السّاب على إذن الإمام عليه السلام،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الإجماع عليه، لإطلاق النصوص، وخصوص النبويّ‌الأوّل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قول الإمام الصادق عليه السلام لعبد اللّه بن النجاشي الذي قَتَل ثلاثة عشر رجلاً من المتبرئين من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لوكنتَ قتلتهم بأمر الإمام لم يكن عليك شيءٌ‌، ولكنّك سَبقتَ الإمام فعليك ثلاثة عشر شاة تذبحها بمنى، وتتصدّق بلحمها، لسبقك الإمام و ليس عليك غير ذلك</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 سنده، أنّه لا يدلّ على عدم الجواز بدون إذن الإمام، بل ظاهره الجواز، غاية الأمر يدلّ على لزوم ذبح الشاة، وحيثُ لا قائل بوجوبه، فيُطرح أو يُحمل على الندب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القتل الأمن من الضَّرر، لعموم ما دلّ‌</w:t>
      </w:r>
      <w:r>
        <w:rPr>
          <w:rStyle w:val="FootnoteAnchor"/>
          <w:rtl w:val="true"/>
        </w:rPr>
        <w:footnoteReference w:id="908"/>
      </w:r>
      <w:r>
        <w:rPr>
          <w:rFonts w:ascii="Amiri" w:hAnsi="Amiri" w:eastAsia="Amiri" w:cs="Amiri"/>
          <w:color w:val="111111"/>
          <w:sz w:val="28"/>
          <w:sz w:val="28"/>
          <w:szCs w:val="28"/>
          <w:rtl w:val="true"/>
          <w:lang w:bidi="ar-SA"/>
        </w:rPr>
        <w:t>على نفي الضَّرر، وفيما إذا كان الخوف على نفسه بأن يُقتل، جملة من النصوص المتقدّمة وبضميمة عدم القول بالفصل 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النصوص عدم الجوازة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يُقتل مَدَّعي النبوّة،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صِدْق محمّدٍ صلى الله عليه و آله وكذبه، مع تظاهره أوّلاً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بل مقتضى حديث لا ضرر أيضاً ذلك، بناءً على ما هو الحقّ من أنّه يُنفى كلُّ حكمٍ ضرري منه جواز قتل السّاب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يُقتل مُدَّعي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نبينا صلى الله عليه و آله بلا خلافٍ‌، ويشهد به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أبي القاسم،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ولا سُنّة بعد سُنّتي، فمن ادّعى ذلك فدعواه وبدعته في النار فاقتلوه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فضّال،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ادّعى نبيّاً وأتى بعده بكتابٍ فدمه مباحٌ لكلّ من سمع منه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أدري صِدق محمّدٌ صلى الله عليه و آله وكذبه، مع تظاهره أوّلاً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والسّاحر إذا كان مسلماً، ويُعزَّر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يرتدّ بذلك، ويجوزُ قتل المرتدّ الفطري، وكذا المِلّي على بعض الوجوه، ومع ذلك يشهد به خبر الحارث 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أنبيٌّ أنتَ أم لا، كان يَقبل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كان يقتله، أنّه لو قَبل ذلك ما أسلم منافقٌ أبداً</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والسّاحر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ويُعزّر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بلا خلافٍ أجده فيه،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وقد مرّ الكلام فيه مفصّلاً في مباحث المكاسب المحرمة في مبحث السحر من هذا الشرح</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2" w:name="pg11384_112458"/>
    </w:p>
    <w:p>
      <w:pPr>
        <w:pStyle w:val="BookText"/>
        <w:rPr/>
      </w:pPr>
      <w:bookmarkEnd w:id="182"/>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تناولَ مُسكِراً، أو فقّاعاً، أو عصيراً قد غَلا قبل ذهابِ ثُلُثيه اختياراً، مع العلم بالتحريم والتكليف،</w:t>
      </w:r>
    </w:p>
    <w:p>
      <w:pPr>
        <w:pStyle w:val="Heading3"/>
        <w:numPr>
          <w:ilvl w:val="2"/>
          <w:numId w:val="1"/>
        </w:numPr>
        <w:rPr/>
      </w:pPr>
      <w:bookmarkStart w:id="183" w:name="__RefHeading___Toc283439_73709187"/>
      <w:bookmarkStart w:id="184" w:name="_Toc62"/>
      <w:bookmarkEnd w:id="183"/>
      <w:r>
        <w:rPr>
          <w:rtl w:val="true"/>
        </w:rPr>
        <w:t>الفصل العاشر في حَدّ متناول المُسكِر</w:t>
      </w:r>
      <w:bookmarkEnd w:id="184"/>
    </w:p>
    <w:p>
      <w:pPr>
        <w:pStyle w:val="Heading4"/>
        <w:numPr>
          <w:ilvl w:val="3"/>
          <w:numId w:val="1"/>
        </w:numPr>
        <w:rPr/>
      </w:pPr>
      <w:bookmarkStart w:id="185" w:name="__RefHeading___Toc283441_73709187"/>
      <w:bookmarkStart w:id="186" w:name="_Toc63"/>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حرمة شرب المُسكِر، وعرفت أنّه يدلّ عليها الكتاب والسُّنة والإجماع، بل هي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ثبوت الحَدّ بتناوله، والنصوص المستفيضة شاهدة به، وستمرّ عليك طائفة منها، وإنّما الكلام في جهات، ونخبة القول في المقام بالنظر في هذا الفصل في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الموجب للحَدّ وما يعتبر فيه فعلاً وفاعلاً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 مُسكِراً أو فقّاعاً أو عصيراً قد غَلا قبل ذهاب ثلثيه اختياراً مع العلم بالتحريم والتكليف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المسكر مطلقاً ولو قطرة منه موجبٌ للحَدّ بلا خلافٍ ولا إشكال، والنصوص المستفيضة شاهدة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مُسكرٍ من الأشربة يجبُ فيه </w:t>
      </w:r>
    </w:p>
    <w:p>
      <w:pPr>
        <w:pStyle w:val="BookText"/>
        <w:rPr/>
      </w:pPr>
      <w:r>
        <w:rPr>
          <w:rFonts w:ascii="Amiri" w:hAnsi="Amiri" w:eastAsia="Amiri" w:cs="Amiri"/>
          <w:color w:val="111111"/>
          <w:sz w:val="28"/>
          <w:sz w:val="28"/>
          <w:szCs w:val="28"/>
          <w:rtl w:val="true"/>
          <w:lang w:bidi="ar-SA"/>
        </w:rPr>
        <w:t>كما يجبُ في الخمر من الحَدّ</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 في كتاب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شارب الخمر وشارب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 واحد</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الخمر أن يَشرب منها قليلاً أو كثيراً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صحيح الكناني،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 شاربُ النبيذ ولم يَسكر أيُجلد؟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921"/>
      </w:r>
      <w:r>
        <w:rPr>
          <w:rFonts w:ascii="Amiri" w:hAnsi="Amiri" w:eastAsia="Amiri" w:cs="Amiri"/>
          <w:color w:val="111111"/>
          <w:sz w:val="28"/>
          <w:sz w:val="28"/>
          <w:szCs w:val="28"/>
          <w:rtl w:val="true"/>
          <w:lang w:bidi="ar-SA"/>
        </w:rPr>
        <w:t>، فإنّ ظاهرهما إرادة النبيذ الحلال الذي لا يكون كثيره مسكراً، كما هو واضح، ويؤيّده قوله عليه السلام في ذيل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الحَدّ بتناول المُسكر بغير الشرب، كما لو جعله ممزوجاً بالطعام ثّم أكله‌؟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تسالمهم على الثبوت، لأنّ الموضوع هو التناول لا الشُّرب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ذلك استعماله بالاحتقان والسعوط حيث لايدخل الحلق، لأنّه لم يعد تناولاً فلا يُحَدّ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تسعَّط 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بعضهم بأنّه يصلُ إلى باطنه عن حلقه،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الحَدّ بالشرب من ماءٍ كثيرٍ قَطَرت فيه قطرةٌ من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فيه وجهان، الظاهر هو العدم، لأنّه برغم أنّه لا إشكال ولا كلام في حرمة الشرب من ذلك الماء والنصوص المستفيضة شاهدة، به كما مرّ في كتاب الأطعمة والأشربة، إلّاأنّ ثبوت الحَدّ في الأخبار رُتّب على شُرب المُسكر، وفي المفروض حيث يستهلك المسكر في الماء، فلا يصدق أنّه شَرب المسكر ولو قليلاً منه، وعليه فلا وجه لثبوت الحَدّ، إلّاأن يَثبتُ إجماعٌ عليه،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الفُقّاع ولو قطرةً منه يوجبُ الحَدّ، بلا خلافٍ وتكرّر في كلماتهم دعوى الإجماع عليه</w:t>
      </w:r>
      <w:r>
        <w:rPr>
          <w:rStyle w:val="FootnoteAnchor"/>
          <w:rtl w:val="true"/>
        </w:rPr>
        <w:footnoteReference w:id="924"/>
      </w:r>
      <w:r>
        <w:rPr>
          <w:rFonts w:ascii="Amiri" w:hAnsi="Amiri" w:eastAsia="Amiri" w:cs="Amiri"/>
          <w:color w:val="111111"/>
          <w:sz w:val="28"/>
          <w:sz w:val="28"/>
          <w:szCs w:val="28"/>
          <w:rtl w:val="true"/>
          <w:lang w:bidi="ar-SA"/>
        </w:rPr>
        <w:t>، لصحيح ابن بزيع،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وفيه حَدّ شارب الخمر</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ونحوه غيره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التنزيل ثبوتُ الحَدّ في تناوله بغير الشرب أيضاً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غلا ولم يذهب ثُلُثاه يحرمُ شربه كما مرّ في محلّه،‌</w:t>
      </w:r>
      <w:r>
        <w:rPr>
          <w:rFonts w:eastAsia="Amiri" w:cs="Amiri" w:ascii="Amiri" w:hAnsi="Amiri"/>
          <w:color w:val="111111"/>
          <w:sz w:val="28"/>
          <w:szCs w:val="28"/>
          <w:rtl w:val="true"/>
          <w:lang w:bidi="ar-SA"/>
        </w:rPr>
        <w:t xml:space="preserve">. </w:t>
      </w:r>
      <w:bookmarkStart w:id="187" w:name="pg11384_112461"/>
    </w:p>
    <w:p>
      <w:pPr>
        <w:pStyle w:val="BookText"/>
        <w:rPr/>
      </w:pPr>
      <w:bookmarkEnd w:id="187"/>
      <w:r>
        <w:rPr>
          <w:rFonts w:ascii="Amiri" w:hAnsi="Amiri" w:eastAsia="Amiri" w:cs="Amiri"/>
          <w:color w:val="111111"/>
          <w:sz w:val="28"/>
          <w:sz w:val="28"/>
          <w:szCs w:val="28"/>
          <w:rtl w:val="true"/>
          <w:lang w:bidi="ar-SA"/>
        </w:rPr>
        <w:t>ويوجبُ الحَدّ، لاتّفاقهم على أنّه بمنزلة الخَمر في الأحكام، والظاهر أنّ العصير العنبي إذا غلا ولم يذهب ثُلُثاه يَسرع إليه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مسلّمٌ‌، ويمكن أن يُستفاد التنزيل المزبور من النصوص</w:t>
      </w:r>
      <w:r>
        <w:rPr>
          <w:rStyle w:val="FootnoteAnchor"/>
          <w:rtl w:val="true"/>
        </w:rPr>
        <w:footnoteReference w:id="927"/>
      </w:r>
      <w:r>
        <w:rPr>
          <w:rFonts w:ascii="Amiri" w:hAnsi="Amiri" w:eastAsia="Amiri" w:cs="Amiri"/>
          <w:color w:val="111111"/>
          <w:sz w:val="28"/>
          <w:sz w:val="28"/>
          <w:szCs w:val="28"/>
          <w:rtl w:val="true"/>
          <w:lang w:bidi="ar-SA"/>
        </w:rPr>
        <w:t>الواردة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الحَدّ أن يكون الشارب مكلّفاً، فلو شرب الصَّبي أو المجنون الخمر لا يُحدّ، لما دلّ‌</w:t>
      </w:r>
      <w:r>
        <w:rPr>
          <w:rStyle w:val="FootnoteAnchor"/>
          <w:rtl w:val="true"/>
        </w:rPr>
        <w:footnoteReference w:id="928"/>
      </w:r>
      <w:r>
        <w:rPr>
          <w:rFonts w:ascii="Amiri" w:hAnsi="Amiri" w:eastAsia="Amiri" w:cs="Amiri"/>
          <w:color w:val="111111"/>
          <w:sz w:val="28"/>
          <w:sz w:val="28"/>
          <w:szCs w:val="28"/>
          <w:rtl w:val="true"/>
          <w:lang w:bidi="ar-SA"/>
        </w:rPr>
        <w:t>على رفع القلم عنهما، وللنصوص الدالّة</w:t>
      </w:r>
      <w:r>
        <w:rPr>
          <w:rStyle w:val="FootnoteAnchor"/>
          <w:rtl w:val="true"/>
        </w:rPr>
        <w:footnoteReference w:id="929"/>
      </w:r>
      <w:r>
        <w:rPr>
          <w:rFonts w:ascii="Amiri" w:hAnsi="Amiri" w:eastAsia="Amiri" w:cs="Amiri"/>
          <w:color w:val="111111"/>
          <w:sz w:val="28"/>
          <w:sz w:val="28"/>
          <w:szCs w:val="28"/>
          <w:rtl w:val="true"/>
          <w:lang w:bidi="ar-SA"/>
        </w:rPr>
        <w:t>على أنّه لا حَدّ على مجنونٍ ولا على صبيّ‌، المتقدّمة في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ثبوته أن يكون الشرب اختياريّاً، فلو أُكره عليه لم يُحَدّ بلا خلافٍ‌، بل عليه الإجماع، كما مرّ في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w:t>
      </w:r>
      <w:r>
        <w:rPr>
          <w:rStyle w:val="FootnoteAnchor"/>
          <w:rtl w:val="true"/>
        </w:rPr>
        <w:footnoteReference w:id="930"/>
      </w:r>
      <w:r>
        <w:rPr>
          <w:rFonts w:ascii="Amiri" w:hAnsi="Amiri" w:eastAsia="Amiri" w:cs="Amiri"/>
          <w:color w:val="111111"/>
          <w:sz w:val="28"/>
          <w:sz w:val="28"/>
          <w:szCs w:val="28"/>
          <w:rtl w:val="true"/>
          <w:lang w:bidi="ar-SA"/>
        </w:rPr>
        <w:t>على نفي التقيّة في شُرب الخمر، تقدّم الكلام فيه في كتاب الأطعمة والأشربة، وعرفت أنّ المراد به عدم التقيّة في بيان حكمها، لا عدم التقيّة في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ثبوت الحَدّ عدم جهل الشارب بالحُرمة، أو كونه مسكراً مع العلم بها كما في حَدّ الزّنا، وقد مرَّ تفصيل القول في ذلك في حَدّ الزّنا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83443_73709187"/>
      <w:bookmarkStart w:id="189" w:name="_Toc64"/>
      <w:bookmarkEnd w:id="188"/>
      <w:r>
        <w:rPr>
          <w:rtl w:val="true"/>
        </w:rPr>
        <w:t>بيان حَدّ شارب الخمر وكيفيّته</w:t>
      </w:r>
      <w:bookmarkEnd w:id="1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ثمانين جَلدة، عارياً على ظهره وكتفيه، ويُتّقى وجهه وفرجه،</w:t>
      </w:r>
    </w:p>
    <w:p>
      <w:pPr>
        <w:pStyle w:val="BookText"/>
        <w:rPr/>
      </w:pPr>
      <w:r>
        <w:rPr>
          <w:rFonts w:ascii="Amiri" w:hAnsi="Amiri" w:eastAsia="Amiri" w:cs="Amiri"/>
          <w:color w:val="111111"/>
          <w:sz w:val="28"/>
          <w:sz w:val="28"/>
          <w:szCs w:val="28"/>
          <w:rtl w:val="true"/>
          <w:lang w:bidi="ar-SA"/>
        </w:rPr>
        <w:t xml:space="preserve">الثابت أنّ من تناول المسكر أو الفقاع أو العصير العنبي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931"/>
      </w:r>
      <w:r>
        <w:rPr>
          <w:rFonts w:ascii="Amiri" w:hAnsi="Amiri" w:eastAsia="Amiri" w:cs="Amiri"/>
          <w:color w:val="111111"/>
          <w:sz w:val="28"/>
          <w:sz w:val="28"/>
          <w:szCs w:val="28"/>
          <w:rtl w:val="true"/>
          <w:lang w:bidi="ar-SA"/>
        </w:rPr>
        <w:t>، والنصوص المتواترة المتقدّم بعضها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اعتبار الثمانين مترتّبة، وما تضمّن من ضرب الأمير عليه السلام ابن عُمر، والوليد بن عقبة، بسوطٍ له شُعبتان أربعين جَلدة</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محمولٌ علي جواز ذلك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ويُضرب الشارب ومن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العورة عن الناظر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 وكتفيه، ويُتّقى وجهه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ومقاتله، بلا خلافٍ إلّاما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يُجرّد عن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صحيح أبي بصير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السَّكران والزّاني‌؟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 مُجرَّدين بين الكتفين، فأمّا الحَدّ في القذف فيُجلد على ثيابه ضرباً بين الضربين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بأنّ النبيّ صلى الله عليه و آله أمرَ بالضَّرب ولم يأمر بالتجريد، وهو كما ترى‌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يُفرّق على سائر بدنه ليذوق العقوبة ما سرى فيه المشروب، كما روي عن عليّ عليه السلام من قوله للجلّاد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كلّ عضوٍ حقّه</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الإفاقة، حُرّاً كان أو عبداً، أو كافراً متظاهراً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تكرّر الحَدُّ ثلاثاً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بينهم في أنّه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لتحصل فائدة الحَدّ التي هي الانزجار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أنّه يُضرب عارياً إنّما هو في الرّجل، وأمّا في المرأة، فالظاهر أنّها تُحدّ مربوطة عليها ثيابها، لما مرّ في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 الشارب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كان أو عبداً أو كافراً متظاهراً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أنّه إن تظاهر بالشُّرب يُحدّ كَحدّ المسلم، وإن أستر فلا حَدّ عليه، 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أن يُجلد اليهودي والنصراني في الخمر والنبيذ المُسكر ثمانين جلدة، إذا أظهروا شُربه في مصرٍ من أمصار المسلمين، وكذلك المجوس، ولم يعرض لهم إذا شربوها في منازلهم وكنائسهم حتّى يصير بين المسلمين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الحَدّ ثلاثاً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 مستفيضاً إن لم يكن متواتراً، لاحظ صحيح سليمان 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الثالثة فاقتلوه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ونحوه غيره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2"/>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 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يُقتل في الرابعة، لأنّ الزّنا أعظم منه ذنباً، وفاعله يُقتل فيها كما مضى فهنا أولى‌، ولما روى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 في الرابعة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الأولويّة إنّما تتمّ لو فقدنا الدليل وهو هنا موجودٌ، والمرسل لم يظهر كونه عن الإمام، لأنّ جميلاً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منه غير الإمام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يُقتل في الرابعة</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إلّاأنّه يحتمل أن يكون نظره إلى ما ذكره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0" w:name="pg11384_112465"/>
    </w:p>
    <w:p>
      <w:pPr>
        <w:pStyle w:val="BookText"/>
        <w:rPr/>
      </w:pPr>
      <w:bookmarkEnd w:id="190"/>
      <w:r>
        <w:rPr>
          <w:rFonts w:ascii="Amiri" w:hAnsi="Amiri" w:eastAsia="Amiri" w:cs="Amiri"/>
          <w:color w:val="111111"/>
          <w:sz w:val="28"/>
          <w:sz w:val="28"/>
          <w:szCs w:val="28"/>
          <w:rtl w:val="true"/>
          <w:lang w:bidi="ar-SA"/>
        </w:rPr>
        <w:t>ولو شَرِب الخمر مُستَحِلّاً فهو مرتدٌّ،</w:t>
      </w:r>
    </w:p>
    <w:p>
      <w:pPr>
        <w:pStyle w:val="BookText"/>
        <w:rPr/>
      </w:pPr>
      <w:r>
        <w:rPr>
          <w:rFonts w:ascii="Amiri" w:hAnsi="Amiri" w:eastAsia="Amiri" w:cs="Amiri"/>
          <w:color w:val="111111"/>
          <w:sz w:val="28"/>
          <w:sz w:val="28"/>
          <w:szCs w:val="28"/>
          <w:rtl w:val="true"/>
          <w:lang w:bidi="ar-SA"/>
        </w:rPr>
        <w:t>أضف إليه أنّه لا يصلح للمقاومة مع النصوص الكثيرة، وفيها الصحاح المُفتى بها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مراراً ولم يُحدّ بعد كلّ شربٍ‌، كفى عن الجميع حَدٌّ واحد بلا خلافٍ كما مرّ في حَدّ الزّنا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83445_73709187"/>
      <w:bookmarkStart w:id="192" w:name="_Toc65"/>
      <w:bookmarkEnd w:id="191"/>
      <w:r>
        <w:rPr>
          <w:rtl w:val="true"/>
        </w:rPr>
        <w:t>حكم من شَرِب الخَمر مُستحلّاً</w:t>
      </w:r>
      <w:bookmarkEnd w:id="19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شرب الخمر مُستَحِلّاً فهو 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كماعن الحِلّي</w:t>
      </w:r>
      <w:r>
        <w:rPr>
          <w:rStyle w:val="FootnoteAnchor"/>
          <w:rtl w:val="true"/>
        </w:rPr>
        <w:footnoteReference w:id="949"/>
      </w:r>
      <w:r>
        <w:rPr>
          <w:rFonts w:ascii="Amiri" w:hAnsi="Amiri" w:eastAsia="Amiri" w:cs="Amiri"/>
          <w:color w:val="111111"/>
          <w:sz w:val="28"/>
          <w:sz w:val="28"/>
          <w:szCs w:val="28"/>
          <w:rtl w:val="true"/>
          <w:lang w:bidi="ar-SA"/>
        </w:rPr>
        <w:t>، والتقي</w:t>
      </w:r>
      <w:r>
        <w:rPr>
          <w:rStyle w:val="FootnoteAnchor"/>
          <w:rtl w:val="true"/>
        </w:rPr>
        <w:footnoteReference w:id="95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نسبته إلى المتأخّرين، فيفرّق حينئذٍ بين الملّي منه والفِطري، والذكر والاُنثى‌، لأنّ حرمة شربها من الضروري الذي حكمه ذلك، إلّاأنّه لابدَّ وأن يقيّد بما إذا لم يُحتمل الشُّبهة في حقّه لما قدّمناه في هذا الشرح</w:t>
      </w:r>
      <w:r>
        <w:rPr>
          <w:rStyle w:val="FootnoteAnchor"/>
          <w:rtl w:val="true"/>
        </w:rPr>
        <w:footnoteReference w:id="953"/>
      </w:r>
      <w:r>
        <w:rPr>
          <w:rFonts w:ascii="Amiri" w:hAnsi="Amiri" w:eastAsia="Amiri" w:cs="Amiri"/>
          <w:color w:val="111111"/>
          <w:sz w:val="28"/>
          <w:sz w:val="28"/>
          <w:szCs w:val="28"/>
          <w:rtl w:val="true"/>
          <w:lang w:bidi="ar-SA"/>
        </w:rPr>
        <w:t>من أنّ منكر الضروري لشبهةٍ لم يثبت كونه كافراً، فراجع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954"/>
      </w:r>
      <w:r>
        <w:rPr>
          <w:rFonts w:ascii="Amiri" w:hAnsi="Amiri" w:eastAsia="Amiri" w:cs="Amiri"/>
          <w:color w:val="111111"/>
          <w:sz w:val="28"/>
          <w:sz w:val="28"/>
          <w:szCs w:val="28"/>
          <w:rtl w:val="true"/>
          <w:lang w:bidi="ar-SA"/>
        </w:rPr>
        <w:t>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يُستتاب فإن تاب أُقيم عليه الحَدّ ثمانون جلدة خاصّة، وإلّا قُتل، من غير فرقٍ في الاستتابة بين الملّي والفِطري، لإمكان عروض شبهة في الشرب فاستحلّه، والحدود تُدرأ بالشُّبهات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ويُحدُّ مُستحِلّ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رواه المفيد في إرشاده</w:t>
      </w:r>
      <w:r>
        <w:rPr>
          <w:rStyle w:val="FootnoteAnchor"/>
          <w:rtl w:val="true"/>
        </w:rPr>
        <w:footnoteReference w:id="9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الخاصّة والعامّة أنّ قدامة بن مظعون شَرب الخمر فأراد عُمر أن يجلده،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فدرأ عنه عُمر الحَدّ، فبلغ ذلك أمير المؤمنين عليه السلام فمشى إلى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قدامة من أهل هذه الآية، ولا مَن سَلَك سبيله في ارتكاب ما حَرّم اللّه سبحانه، إنّ الذين آمنوا وعملوا الصالحات لا يستحلّون حراماً فاردد قدامة فاستتبه ممّا قال، فإن تاب أقِم عليه الحَدّ، وإن لم يَتُب فاقتله فقد خرج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لا ينافي القول الأوّل، لاحتمال كون قدامة ارتداده عن ملّةٍ لا عن فطرة، فيتوجّه حينئذٍ القتل بعد الاستتابة، وما أفاده لا يتمّ في صورة الشُّبهة، فإنّه في تلك الصورة تكون الوظيفة رفع الشُّبهة عنه، بحيث يصيرُ ما أنكره ضروريّاً له، فإنْ استحلّ أيضاً كان حينئذٍ مرتدّاً يُستتاب إنْ كان مليّاً، ويُقتل إنْ كان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فماذكره الشيخان ومن تبعهما لايتمّ في صورة العلم، ولا في صورة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أنّ الحقّ أنّه إن لم يُحتمل الشُّبهة فهو مرتدٌّ، وإلّا فالمتعيّن رفع الشُّبهة، ثمّ تطبيق حكم المرتدّ إنْ استحلّه بعد رفعها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 مُستحلّ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المُسكرات، لعدم كون حرمة شربها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3" w:name="pg11384_112467"/>
    </w:p>
    <w:p>
      <w:pPr>
        <w:pStyle w:val="BookText"/>
        <w:rPr/>
      </w:pPr>
      <w:bookmarkEnd w:id="193"/>
      <w:r>
        <w:rPr>
          <w:rFonts w:ascii="Amiri" w:hAnsi="Amiri" w:eastAsia="Amiri" w:cs="Amiri"/>
          <w:color w:val="111111"/>
          <w:sz w:val="28"/>
          <w:sz w:val="28"/>
          <w:szCs w:val="28"/>
          <w:rtl w:val="true"/>
          <w:lang w:bidi="ar-SA"/>
        </w:rPr>
        <w:t>ولو باع الخَمر مُستَحِلّاً استُتِيب،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بائع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قبل قيام البيّنة سَقَط الحَدُّ،</w:t>
      </w:r>
    </w:p>
    <w:p>
      <w:pPr>
        <w:pStyle w:val="BookText"/>
        <w:rPr/>
      </w:pPr>
      <w:r>
        <w:rPr>
          <w:rFonts w:ascii="Amiri" w:hAnsi="Amiri" w:eastAsia="Amiri" w:cs="Amiri"/>
          <w:color w:val="111111"/>
          <w:sz w:val="28"/>
          <w:sz w:val="28"/>
          <w:szCs w:val="28"/>
          <w:rtl w:val="true"/>
          <w:lang w:bidi="ar-SA"/>
        </w:rPr>
        <w:t>الضروريّات، لتحليل بعض المسلمين إيّاها، ويكون ذلك كافياً فى انتفاء الكفر باستحلالها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الخمر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فطريّاً كان أم مليّاً، إذ ليس تحريمه معلوماً ضرورة، وقد يقع فيه الشُّبهة من حيث إنّه يسوغ تناوله على بعض وجوه الضرورات،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موضع وفاقٍ‌، وما وقفتُ على نصّ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نظر الأصحاب إلى أنّه حيث يكون حرمة بيعها مجمعاً عليها فإن باعها مستحلّاً، فإن كان ذلك مع العلم بالحرمة فهو مرتدٌّ يلحقه حكم غيره من المرتدّين، وإلّا عُرّف، فإن تاب وإلّا قُتل كما هو الحال في من أنكر ما هو مجمعٌ عليه بين المسلمين، وإنّما أطلقوا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أنّ عروض الشُّبهة فيه أظهر من عروضها في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ويُعزَّر بائعُ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وإن لم يَتب، لعدم الإجماع من المسلمين على حرمته، فلا يُقتل، وإنّما يؤدّب لفعله المحرّم، فتأمّل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83447_73709187"/>
      <w:bookmarkStart w:id="195" w:name="_Toc66"/>
      <w:bookmarkEnd w:id="194"/>
      <w:r>
        <w:rPr>
          <w:rtl w:val="true"/>
        </w:rPr>
        <w:t>توبة الشارب قبل أن يُحدّ</w:t>
      </w:r>
      <w:bookmarkEnd w:id="19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قيام البيِّنة، سَقَط الحَدُّ، </w:t>
      </w:r>
    </w:p>
    <w:p>
      <w:pPr>
        <w:pStyle w:val="BookText"/>
        <w:rPr/>
      </w:pPr>
      <w:r>
        <w:rPr>
          <w:rFonts w:ascii="Amiri" w:hAnsi="Amiri" w:eastAsia="Amiri" w:cs="Amiri"/>
          <w:color w:val="111111"/>
          <w:sz w:val="28"/>
          <w:sz w:val="28"/>
          <w:szCs w:val="28"/>
          <w:rtl w:val="true"/>
          <w:lang w:bidi="ar-SA"/>
        </w:rPr>
        <w:t>ولا يسقطُ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ثُمّ تابَ تخيَّر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الأوّل، وعلى المشهور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Style w:val="FootnoteAnchor"/>
          <w:rtl w:val="true"/>
        </w:rPr>
        <w:footnoteReference w:id="959"/>
      </w:r>
      <w:r>
        <w:rPr>
          <w:rFonts w:ascii="Amiri" w:hAnsi="Amiri" w:eastAsia="Amiri" w:cs="Amiri"/>
          <w:color w:val="111111"/>
          <w:sz w:val="28"/>
          <w:sz w:val="28"/>
          <w:szCs w:val="28"/>
          <w:rtl w:val="true"/>
          <w:lang w:bidi="ar-SA"/>
        </w:rPr>
        <w:t>كالصحيح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أو شرب الخمر أو زنا، فلم يعلم ذلك منه، ولم يؤخذ حتّى تاب وصَلُح‌؟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وعُرف منه أمرٌ جميل، لم يقم عليه الحَدّ،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عدم السقوط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عدم ظهور المسقط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العفو عنه كما اختاره في الزّنا، وقد مرّ ما فيه في الزّنا، مع أنّ مراده لو كان هو امام الأصل، فليس وظيفتنا بيان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ثُمّ تابَ 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الحَدّ عليه أو العفو عنه على الأشهر، عليماصرّح به غير واحدٍ</w:t>
      </w:r>
      <w:r>
        <w:rPr>
          <w:rStyle w:val="FootnoteAnchor"/>
          <w:rtl w:val="true"/>
        </w:rPr>
        <w:footnoteReference w:id="961"/>
      </w:r>
      <w:r>
        <w:rPr>
          <w:rFonts w:ascii="Amiri" w:hAnsi="Amiri" w:eastAsia="Amiri" w:cs="Amiri"/>
          <w:color w:val="111111"/>
          <w:sz w:val="28"/>
          <w:sz w:val="28"/>
          <w:szCs w:val="28"/>
          <w:rtl w:val="true"/>
          <w:lang w:bidi="ar-SA"/>
        </w:rPr>
        <w:t>، واستدلّوا له بأنّها مسقطة لتحتّم أقوى العقوبتين وهو الرَّجم أو الجَلد مائة، وأقوى الذنبين وهو الزّنا، فأضعفهما وهو الجَلد ثمانين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الاستدلال له بعموم التعليل في بعض النصوص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عليه السلام، في حديثٍ طويل،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الرّجل الذي اعترف باللّواط، فإنّه لم يقم عليه البيّنة وإنّما تطوّع بالإقرار من نفسه، وإذا كان للإمام الذي من اللّه أن يُعاقب عن اللّه كان له أن يمنّ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ويثبتُ بشهادة عدلين، أو بالإقرار مرّتين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ذُكر من الأولويّة أيضاً لا بأس بها،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من منع التخيير، وتحتّم الاستيفاء لثبوته بالإقرار فيستصحب،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ذَكَرين، لعموم ما دلّ على حجيّتها ومثبتيّتها للحقوق</w:t>
      </w:r>
      <w:r>
        <w:rPr>
          <w:rStyle w:val="FootnoteAnchor"/>
          <w:rtl w:val="true"/>
        </w:rPr>
        <w:footnoteReference w:id="968"/>
      </w:r>
      <w:r>
        <w:rPr>
          <w:rFonts w:ascii="Amiri" w:hAnsi="Amiri" w:eastAsia="Amiri" w:cs="Amiri"/>
          <w:color w:val="111111"/>
          <w:sz w:val="28"/>
          <w:sz w:val="28"/>
          <w:szCs w:val="28"/>
          <w:rtl w:val="true"/>
          <w:lang w:bidi="ar-SA"/>
        </w:rPr>
        <w:t>، وإنّما اعتبرنا الذكورة لما دلّ على أنّه لا تُقبل شهادة النساء في الحدود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لثبوته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أمير المؤمنين عليه السلام، أنّه قال في حقّ قدامة لمّا شهد عليه واحدٌ بشربها، والآخر بقيئها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قاءها حتّى شَرِبها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بالإقرار مرّتين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وفي عدم الثبوت بالإقرار مرّةً‌، بل على الثاني الإجماع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وهو الحجّة فيه وفي تقييد إطلاق مادلّ على مثبتيّة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شَرِب المُسكر جاهلاً به أو بالتحريم، سَقَط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استحلّ ما أُجمِعَ على تحريمه كالميتة قُتِل، ولو تناوله مُحرِّماً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دية لمقتول الحَدّ أو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شرب المُسكر جاهلاً به أو بالتحريم،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عند بيان شرائط الثبوت، وأيضاً 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استحلّ ما أُجمعَ على تحريمه كالميتة قُتل، ولو تناوله مُحرِّماً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دية لمقتول الحَدّ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حدود اللّه، وأمّا في الحَدّ للنّاس فتجبُ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التفصيل بين من قَتَله الحَدّ أو التعزير، فاختار عدم الدِّية في الأوّل، وثبوتها في بيت المال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خلافه</w:t>
      </w:r>
      <w:r>
        <w:rPr>
          <w:rStyle w:val="FootnoteAnchor"/>
          <w:rtl w:val="true"/>
        </w:rPr>
        <w:footnoteReference w:id="975"/>
      </w:r>
      <w:r>
        <w:rPr>
          <w:rFonts w:ascii="Amiri" w:hAnsi="Amiri" w:eastAsia="Amiri" w:cs="Amiri"/>
          <w:color w:val="111111"/>
          <w:sz w:val="28"/>
          <w:sz w:val="28"/>
          <w:szCs w:val="28"/>
          <w:rtl w:val="true"/>
          <w:lang w:bidi="ar-SA"/>
        </w:rPr>
        <w:t>القطع بأن التعزير كالحَدّ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الدِّية كصحيح الكناني، عن الإمام الصادق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قَتلهُ القِصاص له دية‌؟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بانَ فسق الشهود، فالديَّة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كذلك لم يُقتصّ من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خبرا زيد الشّحام</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35165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ومُعلّى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 فيها</w:t>
      </w:r>
    </w:p>
    <w:p>
      <w:pPr>
        <w:pStyle w:val="BookText"/>
        <w:rPr/>
      </w:pPr>
      <w:r>
        <w:rPr>
          <w:rFonts w:ascii="Amiri" w:hAnsi="Amiri" w:eastAsia="Amiri" w:cs="Amiri"/>
          <w:color w:val="111111"/>
          <w:sz w:val="28"/>
          <w:sz w:val="28"/>
          <w:szCs w:val="28"/>
          <w:rtl w:val="true"/>
          <w:lang w:bidi="ar-SA"/>
        </w:rPr>
        <w:t>إمّا يشمل التعزير، أو يكون التعزير ملحقاً به، لعدم القول بالفصل كذا قيل، ومقتضاها عدم ثبوت الدِّية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الثوري،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ضربناه حَدّاً من حدود اللّه تعالى فماتَ فلا ديَّة له علينا، ومَن ضربناه حَدّاً من حدود النّاس فماتَ فإنّ ديته علينا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الثانية ضعيفة السند لحسن بن صالح،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من أنّها متواترة عنهم لم نتحقّقه، والراوي عنه وإنْ كان ابن محبوب، إلّاأنّه لم يثبت كونه من أصحاب الإجماع، فتأمّل، مع أنّه يمكن أن يكون ذلك مختصّاً بهم، فالمتّبع هو النصوص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تقييد ذلك بما إذا لم يصل الخطاء لو كان من غيرالمعصوم بالتجاوز، وإلّا اتّجه الضمان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الحاكم الحَدّ بالقتل أو غيره بما يوجبُ الدِّية،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فِسق الشهود، فالدّية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ممّا يَخطأ فيه الحاكم، ولا يضمنها الحاكم ولا عاقلته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خلافٍ‌، ويشهد به خبر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أنّ ما أخطأت القضاة في دمٍ أو قطعٍ فهو على بيت مال المسلمين</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والمسألة محرّرة في كتاب القضاء</w:t>
      </w:r>
      <w:r>
        <w:rPr>
          <w:rStyle w:val="FootnoteAnchor"/>
          <w:rtl w:val="true"/>
        </w:rPr>
        <w:footnoteReference w:id="981"/>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6" w:name="pg11384_112473"/>
    </w:p>
    <w:p>
      <w:pPr>
        <w:pStyle w:val="BookText"/>
        <w:rPr/>
      </w:pPr>
      <w:bookmarkEnd w:id="196"/>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قطع السّارق التكليف،</w:t>
      </w:r>
    </w:p>
    <w:p>
      <w:pPr>
        <w:pStyle w:val="Heading3"/>
        <w:numPr>
          <w:ilvl w:val="2"/>
          <w:numId w:val="1"/>
        </w:numPr>
        <w:rPr/>
      </w:pPr>
      <w:bookmarkStart w:id="197" w:name="__RefHeading___Toc283449_73709187"/>
      <w:bookmarkStart w:id="198" w:name="_Toc67"/>
      <w:bookmarkEnd w:id="197"/>
      <w:r>
        <w:rPr>
          <w:rtl w:val="true"/>
        </w:rPr>
        <w:t>الفصل الحادي عشر في حَدّ السَّرقة</w:t>
      </w:r>
      <w:bookmarkEnd w:id="198"/>
    </w:p>
    <w:p>
      <w:pPr>
        <w:pStyle w:val="Heading4"/>
        <w:numPr>
          <w:ilvl w:val="3"/>
          <w:numId w:val="1"/>
        </w:numPr>
        <w:rPr/>
      </w:pPr>
      <w:bookmarkStart w:id="199" w:name="__RefHeading___Toc283451_73709187"/>
      <w:bookmarkStart w:id="200" w:name="_Toc68"/>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السّارق الذي يجبُ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قطع السّارق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والعقل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كلماتهم على اعتباره في الجملة، والمشهور بين الأصحاب</w:t>
      </w:r>
      <w:r>
        <w:rPr>
          <w:rStyle w:val="FootnoteAnchor"/>
          <w:rtl w:val="true"/>
        </w:rPr>
        <w:footnoteReference w:id="982"/>
      </w:r>
      <w:r>
        <w:rPr>
          <w:rFonts w:ascii="Amiri" w:hAnsi="Amiri" w:eastAsia="Amiri" w:cs="Amiri"/>
          <w:color w:val="111111"/>
          <w:sz w:val="28"/>
          <w:sz w:val="28"/>
          <w:szCs w:val="28"/>
          <w:rtl w:val="true"/>
          <w:lang w:bidi="ar-SA"/>
        </w:rPr>
        <w:t>أنّه لو سَرق الصَّبي لم يُحدّ، وإنْ كان يؤدّب بما يراه الحاكم، ولو تكرّرت سرقته الخامسة فما فوق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والقاضي</w:t>
      </w:r>
      <w:r>
        <w:rPr>
          <w:rStyle w:val="FootnoteAnchor"/>
          <w:rtl w:val="true"/>
        </w:rPr>
        <w:footnoteReference w:id="98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يُعفى عنه أوّلاً، فإنْ عاد أُدّب، فإن عاد حُكّت أنامله حتّى تُدمى، فإنْ عاد قُطِعت أنامله، فإنْ عاد قُطع كما يُقطع الرّجل، ونَسبه المصنّف إلى الأكثر، وإنْ 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86"/>
      </w:r>
      <w:r>
        <w:rPr>
          <w:rFonts w:ascii="Amiri" w:hAnsi="Amiri" w:eastAsia="Amiri" w:cs="Amiri"/>
          <w:color w:val="111111"/>
          <w:sz w:val="28"/>
          <w:sz w:val="28"/>
          <w:szCs w:val="28"/>
          <w:rtl w:val="true"/>
          <w:lang w:bidi="ar-SA"/>
        </w:rPr>
        <w:t>لم يتحقّقه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يحيى بن سعيد</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يُعفى عنه أوّلاً، فإن عاد عُزّر، وإن عاد قُطع أطراف أصابعه، فإن عاد قُطع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العفو عنه مرّتين، فإن عاد قُطع بنانه، فإن عاد قُطع أسفل من ذلك، كصحيح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يسرق‌؟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مرّة وهو صغير عُفي عنه، فإن عاد عُفي عنه، فإن عاد قُطع بنانه، فإن عاد قُطع أسفل بنانه، فإن عاد قُطع أسفل من ذلك</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ذلك كصحيح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يسرق‌؟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أو مرّتين، ويُعزّر في الثالثة، فإن عاد قُطِعت أطراف أصابعه، فإن عاد قُطِع أسفل من ذلك</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ابن سعيد، لاحظ حسن الحلبي، عن الإمام الصادق عليه السلام،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عُفي عنه، فإن عاد عُزِّر، فإن عاد قُطع أطراف الأصابع،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عاد قُطع أسفل من ذلك، وقد اُتي عليٌّ عليه السلام بغلامٍ يُشكّ في احتلامه، فقَطَع أطراف الأصابع</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الصَّدوق، كصحيح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يَسرق‌؟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مايدلّ‌على العفوفي الأوّل، والتأديب بالحَكّ حتّى تُدمى في الثانية، وقطع أطراف أنامله من المِفصل الأوّل في الثالثة، وقطع أطرافها من المِفصل الثاني في الرابعة، وقطعها من اُصولها فى الخامسة، قيل كخبر إسحاق بن عمّار،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يسرق‌؟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مرّتين، فإن عاد الثالثة قُطعت أنامله، فإن عاد قُطع المِفصل الثاني، فإن عاد قُطع المِفصل الثالث وتُركت راحته وإبهامه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نسبته إلى رواية الأصحاب، ولكنّه كما ترى حيث إنّ الخبر يدلّ على العفو مرّتين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يُقطع من لحم أطراف أصابعه في المرّة الأُولى‌، ويُقطع اليد في الثانية، كخبر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بغلامٍ قد سَرق ولم يبلغ الحُلُم، فقطع من لحم أطراف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 قطعتُ يدك</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قطع أطراف الأصابع مطلقاً، كخبر البصري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ولم يَحتلم قَطَعتُ أطراف أصابعه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يصنعه إلّا رسول اللّه وأنا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التأديب بالضَّرب كخبر السكوني</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العفوإنْ لم يعلم بأنّ فى السَّرقة عقوبة، كخبر عبداللّه القسري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العفو إن سَرق قبل سبع سنين، وإن عادَ بعدها قُطعت بنانه، أو حُكّت حتّى تُدمى، فإن عاد قُطع من أسفل بنانه، فإن عاد بعد ذلك وقد بلغ تسع سنين قُطع يده كصحيح محمّد بن مسلم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الجمع بين النصوص، هو البناء على العفو عن القطع أو الحَكّ مرّتين، وإنْ كان يُعزّر بالضَّرب، وفي الثالثة يؤدّب بالحَكّ أي حَكّ أطراف أصابعه حتّى تُدمى، أو يُقطع من أطراف لحم أصابعه، وفي الرابعة يُقطع بنانه، وبعد الرابعة يُعزّر بما يراه الحاكم ولو بالقطع كما يقطع البالغ</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اشتراط التعزير بعدم بلوغ الحَدّ، لجواز تخصيص دليله بهذه النصوص، مع أنّ الحَدّ للبالغ في المرتبة الأُولى ذلك لا في المرتبة الخامسة، فهو غير بالغ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وانتفاء الشُّبهة،</w:t>
      </w:r>
    </w:p>
    <w:p>
      <w:pPr>
        <w:pStyle w:val="BookText"/>
        <w:rPr/>
      </w:pPr>
      <w:r>
        <w:rPr>
          <w:rFonts w:ascii="Amiri" w:hAnsi="Amiri" w:eastAsia="Amiri" w:cs="Amiri"/>
          <w:color w:val="111111"/>
          <w:sz w:val="28"/>
          <w:sz w:val="28"/>
          <w:szCs w:val="28"/>
          <w:rtl w:val="true"/>
          <w:lang w:bidi="ar-SA"/>
        </w:rPr>
        <w:t>ولكن بما أنّ المشهور أعرضوا عن هذه النصوص، فالأوفق بالاحتياط الذي في المقام يجبُ رعايته، هو العفو عنه مرّة بل مرّتين، ثمّ التأديب الذي منتهاه الإدماء بالحَكّ أو قطع اللّحم من الأنامل شيئاً فشيئاً بمنقاشٍ وشبهه، ولا يصلُ إلى قطع الاُنملة فضلاً عن القطع كما يُقطع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لاعتباره حديث</w:t>
      </w:r>
      <w:r>
        <w:rPr>
          <w:rStyle w:val="FootnoteAnchor"/>
          <w:rtl w:val="true"/>
        </w:rPr>
        <w:footnoteReference w:id="1000"/>
      </w:r>
      <w:r>
        <w:rPr>
          <w:rFonts w:ascii="IRNazanin" w:hAnsi="IRNazanin" w:eastAsia="IRNazanin"/>
          <w:color w:val="111111"/>
          <w:sz w:val="28"/>
          <w:sz w:val="28"/>
          <w:szCs w:val="28"/>
          <w:rtl w:val="true"/>
          <w:lang w:bidi="fa-IR"/>
        </w:rPr>
        <w:t>رفع القلم، وما دلّ‌</w:t>
      </w:r>
      <w:r>
        <w:rPr>
          <w:rStyle w:val="FootnoteAnchor"/>
          <w:rtl w:val="true"/>
        </w:rPr>
        <w:footnoteReference w:id="1001"/>
      </w:r>
      <w:r>
        <w:rPr>
          <w:rFonts w:ascii="Amiri" w:hAnsi="Amiri" w:eastAsia="Amiri" w:cs="Amiri"/>
          <w:color w:val="111111"/>
          <w:sz w:val="28"/>
          <w:sz w:val="28"/>
          <w:szCs w:val="28"/>
          <w:rtl w:val="true"/>
          <w:lang w:bidi="ar-SA"/>
        </w:rPr>
        <w:t>على أنّه لا حدَّ على المجنون المتقدّم في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يُعزّر حَسماً لمادّة الفساد، ونظماً لاُمور العباد؟</w:t>
      </w:r>
    </w:p>
    <w:p>
      <w:pPr>
        <w:pStyle w:val="BookText"/>
        <w:rPr/>
      </w:pPr>
      <w:r>
        <w:rPr>
          <w:rFonts w:ascii="Amiri" w:hAnsi="Amiri" w:eastAsia="Amiri" w:cs="Amiri"/>
          <w:color w:val="111111"/>
          <w:sz w:val="28"/>
          <w:sz w:val="28"/>
          <w:szCs w:val="28"/>
          <w:rtl w:val="true"/>
          <w:lang w:bidi="ar-SA"/>
        </w:rPr>
        <w:t>أم لا لعدم الدليل عليه، وعدم كون ما ذُكر صالحاً للاستناد إليه في الحكم‌؟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ما ذُكر في الصَّبي لا يَجري في المجنون بعد حرمة القياس، وعدم الدليل على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لاعتباره ما قدّمناه من الأخبار</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والقطعُ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1" w:name="pg11384_112478"/>
    </w:p>
    <w:p>
      <w:pPr>
        <w:pStyle w:val="BookText"/>
        <w:rPr/>
      </w:pPr>
      <w:bookmarkEnd w:id="201"/>
      <w:r>
        <w:rPr>
          <w:rFonts w:ascii="Amiri" w:hAnsi="Amiri" w:eastAsia="Amiri" w:cs="Amiri"/>
          <w:color w:val="111111"/>
          <w:sz w:val="28"/>
          <w:sz w:val="28"/>
          <w:szCs w:val="28"/>
          <w:rtl w:val="true"/>
          <w:lang w:bidi="ar-SA"/>
        </w:rPr>
        <w:t>وهَتك الحِرز، وهو المستور بقفلٍ أو غَلقٍ أو دَفن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83453_73709187"/>
      <w:bookmarkStart w:id="203" w:name="_Toc69"/>
      <w:bookmarkEnd w:id="202"/>
      <w:r>
        <w:rPr>
          <w:rtl w:val="true"/>
        </w:rPr>
        <w:t>اعتبار كون المال محرزاً</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الحرز، وهو المستورُ بقفلٍ أو غَلقٍ أو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المال مُحرَزاً لم يُقطع، بلا خلافٍ‌،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دعوى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إلّامن نقّب بيتاً أو كسر قفلاً</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جميل عن أحدهما عليهما السلام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طلحة بن زيد، عن جعفر، عن أبيه،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السّارق قطعٌ حتّى يخرج بالسَّرقة من البيت</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الأجير والضيف، والسَّرقة من المواضع المتناوبة كالحمّامات، ومن الجيب والكُمّ الظاهرين، وما شاكل الآتية، فلا إشكال في اعتبار كون المال مُحرَزاً، وحيث لا تحديد شرعاً للحِرز، فيتعيّن الرجوع فيه إلى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موضعٍ ليس لغير مالكه الدخول عليه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نسبته إلى أصحابنا، وعن الأخير دعوى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يُنتقض بالسَّرقة من الدار الّتي لا تكون مغلقة، فإنّه لا خلاف بينهم في عدم القطع بالسَّرقة، منها كما عن الحِلّي</w:t>
      </w:r>
      <w:r>
        <w:rPr>
          <w:rStyle w:val="FootnoteAnchor"/>
          <w:rtl w:val="true"/>
        </w:rPr>
        <w:footnoteReference w:id="1014"/>
      </w:r>
      <w:r>
        <w:rPr>
          <w:rFonts w:ascii="Amiri" w:hAnsi="Amiri" w:eastAsia="Amiri" w:cs="Amiri"/>
          <w:color w:val="111111"/>
          <w:sz w:val="28"/>
          <w:sz w:val="28"/>
          <w:szCs w:val="28"/>
          <w:rtl w:val="true"/>
          <w:lang w:bidi="ar-SA"/>
        </w:rPr>
        <w:t>، مع أنّ التعريف المذكور صادقٌ عليه، ولذلك حُكي عن ابن حمزة</w:t>
      </w:r>
      <w:r>
        <w:rPr>
          <w:rStyle w:val="FootnoteAnchor"/>
          <w:rtl w:val="true"/>
        </w:rPr>
        <w:footnoteReference w:id="1015"/>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مغلقاً أو مقفلاً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 وتوجيه المصنّف رحمه الله إيّاه بإرادة أنّه ليس لغير المالك الدخول فيه تكويناً، لا عدم الجواز الشرعي، كما ترى‌، أضف إلى ذلك أنّه لا دليل على هذا الضابط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من أنّ في النصوص إيماءٌ إليه، ففي خبر السكوني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مدخلٍ يَدخلُ فيه بغير إذنٍ فسَرق منه السّارق فلا قطع فيه</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وفي الصحيح الآتي المتضمّن عدم قطع الرّجل بسرقة مالِ إبيه واُخته وأخيه تعليله بعدم حَجْبه عن الدخول إلى منزلهم، فمفهومه القطع مع عدم الإذن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منهما النصوص المتضمّنة</w:t>
      </w:r>
      <w:r>
        <w:rPr>
          <w:rStyle w:val="FootnoteAnchor"/>
          <w:rtl w:val="true"/>
        </w:rPr>
        <w:footnoteReference w:id="1018"/>
      </w:r>
      <w:r>
        <w:rPr>
          <w:rFonts w:ascii="Amiri" w:hAnsi="Amiri" w:eastAsia="Amiri" w:cs="Amiri"/>
          <w:color w:val="111111"/>
          <w:sz w:val="28"/>
          <w:sz w:val="28"/>
          <w:szCs w:val="28"/>
          <w:rtl w:val="true"/>
          <w:lang w:bidi="ar-SA"/>
        </w:rPr>
        <w:t>لعدم قطع الضيف والأجير، معلّلةً بالاستيمان، وليس إلّامن حيث الإذن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لشيء من تلك النصوص مفهومٌ كي تدلّ على القطع في غير تلك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حرزٌ لشيء من الأشياء فهو حرزٌ لجميع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مخالف للعرف، ألا ترى أنّ حِرز الذهب عرفاً غير حرز الدابة، وعليه فالحقّ ما ذكرناه من إيكال ذلك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هتك الحرز شخصٌ وأخرج المال غيره، لم يُقطع أحدهما وإن جاءا معاً بقصد التعاون، بلا خلافٍ أجده،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 عدم صدق السَّرقة على الأوّل، وعدم الأخذ من الحِرز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تعاونا على النقب مثلاً، وانفرد أحدهما بالإخراج، أو تعاونا في الإخراج وانفرد أحدهما بالنقب، ثَبَت القطع على المُخرِج في الأوّل، والناقب في الثاني، لصدق السّارق والأخذ من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أنّه يُعتبر اُمور اُخر في السّارق غير ما مرّ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سِرّاً، فلو هتك الحرز قهراً ظاهراً وأخذ لم يُقطع، لكونه غاصباً عرفاً لا سارقاً، والنصوص المتضمّنة لعدم قطع المختلس علانية تشهد به، 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وإخراج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أحدهما عليهما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أقطعُ في الدغارة المعلنة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اعزّره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رجلٍ اختلس ثوباً من السوق، فقالوا قد سَرق هذا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أقطع في الدغارة المعلنة، ولكن أقطعُ من يأخذ ثمّ يُخفي</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سرق خِلسةً اختلسها لم يُقطع، ولكن يُضرب ضرباً شديداً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المستأمن لو خان بأخذه، لعدم كونه سارقاً، إذ المال في يده، ونصوص الأجير</w:t>
      </w:r>
      <w:r>
        <w:rPr>
          <w:rStyle w:val="FootnoteAnchor"/>
          <w:rtl w:val="true"/>
        </w:rPr>
        <w:footnoteReference w:id="1025"/>
      </w: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بنفسه، أو بمشاركٍ من الحِرز، والظاهر تسالم الأصحاب على اعتباره، ويشهد به خبر إسحاق بن عمّار، عن جعفر، عن أبيه، عن عليّ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على السّارق حتّى يخرج بالسَّرقة من البيت</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ويتحقّق الإخراج بالمباشرة وبالتسبيب، مثل أن يشدّه بحبلٍ ثمّ يحدّ به من خارج، أو يضعه على دابةٍ من الحِرز ويُخرجها، بأن ساقها وسارت لنفسها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والدٌ من ولده، ولا خلاف فيه بل عليه الإجماع كما صرّح به جماعة</w:t>
      </w:r>
      <w:r>
        <w:rPr>
          <w:rStyle w:val="FootnoteAnchor"/>
          <w:rtl w:val="true"/>
        </w:rPr>
        <w:footnoteReference w:id="1029"/>
      </w:r>
      <w:r>
        <w:rPr>
          <w:rFonts w:ascii="Amiri" w:hAnsi="Amiri" w:eastAsia="Amiri" w:cs="Amiri"/>
          <w:color w:val="111111"/>
          <w:sz w:val="28"/>
          <w:sz w:val="28"/>
          <w:szCs w:val="28"/>
          <w:rtl w:val="true"/>
          <w:lang w:bidi="ar-SA"/>
        </w:rPr>
        <w:t xml:space="preserve">، بل في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الأب وإن على‌، وهو الحجّة فيه، مضافاً إلى فحوى ما دلّ على عدم قتله به</w:t>
      </w:r>
      <w:r>
        <w:rPr>
          <w:rStyle w:val="FootnoteAnchor"/>
          <w:rtl w:val="true"/>
        </w:rPr>
        <w:footnoteReference w:id="1031"/>
      </w:r>
      <w:r>
        <w:rPr>
          <w:rFonts w:ascii="Amiri" w:hAnsi="Amiri" w:eastAsia="Amiri" w:cs="Amiri"/>
          <w:color w:val="111111"/>
          <w:sz w:val="28"/>
          <w:sz w:val="28"/>
          <w:szCs w:val="28"/>
          <w:rtl w:val="true"/>
          <w:lang w:bidi="ar-SA"/>
        </w:rPr>
        <w:t>، وما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 أبو الصّلاح</w:t>
      </w:r>
      <w:r>
        <w:rPr>
          <w:rStyle w:val="FootnoteAnchor"/>
          <w:rtl w:val="true"/>
        </w:rPr>
        <w:footnoteReference w:id="1033"/>
      </w:r>
      <w:r>
        <w:rPr>
          <w:rFonts w:ascii="Amiri" w:hAnsi="Amiri" w:eastAsia="Amiri" w:cs="Amiri"/>
          <w:color w:val="111111"/>
          <w:sz w:val="28"/>
          <w:sz w:val="28"/>
          <w:szCs w:val="28"/>
          <w:rtl w:val="true"/>
          <w:lang w:bidi="ar-SA"/>
        </w:rPr>
        <w:t xml:space="preserve">بالأب الاُمّ‌، ونفى عنه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البأس، لأنّها أحد الأبوين، ولاشتراكهما في وجوب الإعظام، وفيه تأمّل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4" w:name="pg11384_112483"/>
    </w:p>
    <w:p>
      <w:pPr>
        <w:pStyle w:val="BookText"/>
        <w:rPr/>
      </w:pPr>
      <w:bookmarkEnd w:id="204"/>
      <w:r>
        <w:rPr>
          <w:rFonts w:ascii="Amiri" w:hAnsi="Amiri" w:eastAsia="Amiri" w:cs="Amiri"/>
          <w:color w:val="111111"/>
          <w:sz w:val="28"/>
          <w:sz w:val="28"/>
          <w:szCs w:val="28"/>
          <w:rtl w:val="true"/>
          <w:lang w:bidi="ar-SA"/>
        </w:rPr>
        <w:t>والنصاب، وهو ما قيمته رُبع دينارٍ ذهباً خالصاً، مضروباً عليه بسكّة المعاملة،</w:t>
      </w:r>
    </w:p>
    <w:p>
      <w:pPr>
        <w:pStyle w:val="Heading4"/>
        <w:numPr>
          <w:ilvl w:val="3"/>
          <w:numId w:val="1"/>
        </w:numPr>
        <w:rPr/>
      </w:pPr>
      <w:bookmarkStart w:id="205" w:name="__RefHeading___Toc283455_73709187"/>
      <w:bookmarkStart w:id="206" w:name="_Toc70"/>
      <w:bookmarkEnd w:id="205"/>
      <w:r>
        <w:rPr>
          <w:rtl w:val="true"/>
        </w:rPr>
        <w:t>المسروق وما يعتبر فيه</w:t>
      </w:r>
      <w:bookmarkEnd w:id="20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ولا إشكال في أنّه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لتوافق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عليه، إنّما الكلام في حَدّه، فالمشهور بين الأصحاب</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قيمته ربع دينار ذهباً خالصاً، مضروباً عليه بسكّة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 دينارٍ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 قيمته ديناراً،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بلغ درهمين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سَرَق أقلّ من ربع دينار، هل يقع عليه حين سرق اسمُ السّارق، وهل هو عند اللّه سارق‌؟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من مسلمٍ شيئاً قد حواه وأحرزه، فهو يقع عليه اسم السّارق، وهو عند اللّه سارق، ولكن لا يقطع إلّافي ربع دينار أو أكثر</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يد السّارق إلّافي شيء تبلغ قيمته مجناً، وهو ربع دينار</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أقلّ ما يقطع فيه السّارق ربع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الصَّدوق كصحيح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يقطع فيه يد السّارق خُمس دينارٍ</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أخبار اُخر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الأخير كخبر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يسرق من بستانٍ عِذْقاً قيمته درهمان‌؟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اختاره العُمّاني كصحيح الثمالي،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يُقطع السّارق‌؟</w:t>
      </w:r>
    </w:p>
    <w:p>
      <w:pPr>
        <w:pStyle w:val="BookText"/>
        <w:rPr/>
      </w:pPr>
      <w:r>
        <w:rPr>
          <w:rFonts w:ascii="Amiri" w:hAnsi="Amiri" w:eastAsia="Amiri" w:cs="Amiri"/>
          <w:color w:val="111111"/>
          <w:sz w:val="28"/>
          <w:sz w:val="28"/>
          <w:szCs w:val="28"/>
          <w:rtl w:val="true"/>
          <w:lang w:bidi="ar-SA"/>
        </w:rPr>
        <w:t>فجمع كفّيه،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عددها من الدراهم</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اعتبار ثُلث دينار،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يُقطع فيه السّارق‌؟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دينار</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بينها كما لا يخفى، فيتعيّن الرجوع إلى المرجّحات، وهي تقتضي تقديم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المسروق ثوباً، أو طعاماً، أو فاكهةً‌، أم غيرها، ولا بين ما كان أصله الإباحة لجميع المسلمين أو النّاس، أو لم يكن، وضابطه كلّما يملكه المسلم،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وردت جملة من النصوص في الطير</w:t>
      </w:r>
      <w:r>
        <w:rPr>
          <w:rStyle w:val="FootnoteAnchor"/>
          <w:rtl w:val="true"/>
        </w:rPr>
        <w:footnoteReference w:id="1049"/>
      </w:r>
      <w:r>
        <w:rPr>
          <w:rFonts w:ascii="Amiri" w:hAnsi="Amiri" w:eastAsia="Amiri" w:cs="Amiri"/>
          <w:color w:val="111111"/>
          <w:sz w:val="28"/>
          <w:sz w:val="28"/>
          <w:szCs w:val="28"/>
          <w:rtl w:val="true"/>
          <w:lang w:bidi="ar-SA"/>
        </w:rPr>
        <w:t>، وتدلّ على أنّه لا يقطع سارقه، كما أنّ جملة أُخرى منها وردت في حجارة الرخام، وسرقة النخل والزّرع قبل أن يصرم، متضمّنة</w:t>
      </w:r>
      <w:r>
        <w:rPr>
          <w:rStyle w:val="FootnoteAnchor"/>
          <w:rtl w:val="true"/>
        </w:rPr>
        <w:footnoteReference w:id="1050"/>
      </w:r>
      <w:r>
        <w:rPr>
          <w:rFonts w:ascii="Amiri" w:hAnsi="Amiri" w:eastAsia="Amiri" w:cs="Amiri"/>
          <w:color w:val="111111"/>
          <w:sz w:val="28"/>
          <w:sz w:val="28"/>
          <w:szCs w:val="28"/>
          <w:rtl w:val="true"/>
          <w:lang w:bidi="ar-SA"/>
        </w:rPr>
        <w:t>لعدم قطع سارقها، ولكنّها بأجمعها متروكة عندنا، فتُطرح أو تُحمل على عدم الأخذ من الحرز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على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أنّه لا يقطع سارقها لو سرق قبل إحرازها، والمستند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قطع في ثمرٍ ولا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 شحم النخل</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النبيّ صلى الله عليه و آله فيمن سرق الثمار في كمّه فما أكلوا منه فلا شيء عليه، وما حمل فيعزّر ويُغرم قيمته مرّتين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الأصبغ عن أميرالمؤمنين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من سرق شيئاً من الفاكهة، وإذا مرّ بها فليأكل ولا يفسد</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وإطلاقها وإن شمل صورة السَّرقة بعد الصرم والإحراز، إلّاأنّه يقيّد بما قبلها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الفضيل 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الرّجل من النخل والزرع قبل أن يَصرم، فليس عليه قطعٌ‌، فإذا صَرُم النخل وحصد الزرع فأخذ قُطع</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تبادر كون الثمرة على الشجرة من إطلاق الأخبار، فيختصّ به، ولا حاجة إلى التقييد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إطلاقها عدم الفرق بين كون الشجرة في موضعٍ مُحرَزٍ كالدار، وبين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غير محرزة، وقيّده المصنّف رحمه الله</w:t>
      </w:r>
      <w:r>
        <w:rPr>
          <w:rStyle w:val="FootnoteAnchor"/>
          <w:rtl w:val="true"/>
        </w:rPr>
        <w:footnoteReference w:id="1057"/>
      </w:r>
      <w:r>
        <w:rPr>
          <w:rFonts w:ascii="IRNazanin" w:hAnsi="IRNazanin" w:eastAsia="IRNazanin"/>
          <w:color w:val="111111"/>
          <w:sz w:val="28"/>
          <w:sz w:val="28"/>
          <w:szCs w:val="28"/>
          <w:rtl w:val="true"/>
          <w:lang w:bidi="fa-IR"/>
        </w:rPr>
        <w:t>وولده</w:t>
      </w:r>
      <w:r>
        <w:rPr>
          <w:rStyle w:val="FootnoteAnchor"/>
          <w:rtl w:val="true"/>
        </w:rPr>
        <w:footnoteReference w:id="1058"/>
      </w:r>
      <w:r>
        <w:rPr>
          <w:rFonts w:ascii="Amiri" w:hAnsi="Amiri" w:eastAsia="Amiri" w:cs="Amiri"/>
          <w:color w:val="111111"/>
          <w:sz w:val="28"/>
          <w:sz w:val="28"/>
          <w:szCs w:val="28"/>
          <w:rtl w:val="true"/>
          <w:lang w:bidi="ar-SA"/>
        </w:rPr>
        <w:t>والشهيد الثاني</w:t>
      </w:r>
      <w:r>
        <w:rPr>
          <w:rStyle w:val="FootnoteAnchor"/>
          <w:rtl w:val="true"/>
        </w:rPr>
        <w:footnoteReference w:id="1059"/>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ضعيفة، ولا شهرة محقّقة جابرة على وجهٍ يخصّ بها إطلاق ما دلّ على القطع بسرقة المحروز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هذه النصوص، وما دلّ على القطع مطلقاً، كخبر إسحاق المتقدّم، المتضمّن لقطع من سرق من بستان عِذقاً قيمته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ضعف سند النصوص منجبرٌ بالعمل والاستناد، والخبر ضعيفٌ ومشتملٌ على ما هو مخالفٌ للمشهور شهرة عظيمة، مع أنّه لا شاهد للجمع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فالمتّجه هو البناء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 باختصاص الأخبار بصورة عدم الإحراز، كما هو الغالب،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مرّ اعتبار كون المال مُحرَزاً، وأن يخرجه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سِرّاً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07" w:name="pg11384_112488"/>
    </w:p>
    <w:p>
      <w:pPr>
        <w:pStyle w:val="BookText"/>
        <w:rPr/>
      </w:pPr>
      <w:bookmarkEnd w:id="207"/>
      <w:r>
        <w:rPr>
          <w:rFonts w:ascii="Amiri" w:hAnsi="Amiri" w:eastAsia="Amiri" w:cs="Amiri"/>
          <w:color w:val="111111"/>
          <w:sz w:val="28"/>
          <w:sz w:val="28"/>
          <w:szCs w:val="28"/>
          <w:rtl w:val="true"/>
          <w:lang w:bidi="ar-SA"/>
        </w:rPr>
        <w:t>ومع الشرائط تُقطع أصابعه الأربع من يده اليمنى‌، فإن عاد قُطِعت رجله اليُسرى من مفصل القَدَم، ويُترك له العَقِب، فإن عاد ثالثاً، خُلِّد في السِّجن، فإن سرق فيه قُتِل</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83457_73709187"/>
      <w:bookmarkStart w:id="209" w:name="_Toc71"/>
      <w:bookmarkEnd w:id="208"/>
      <w:r>
        <w:rPr>
          <w:rtl w:val="true"/>
        </w:rPr>
        <w:t>بيان حَدّ السارق وكيفيّته</w:t>
      </w:r>
      <w:bookmarkEnd w:id="20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 وكيفيّته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 تُقطع أصابعه الأربع من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له الراحة والإبهام،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قُطِعت رجله اليسرى من مفصل القدم، ويُترك له العَقب، فإن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خُلّد في السجن، فإن سَرق فيه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إلّافي موضع القطع من الرّجل، وسيمرّ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نصوص مستفيضة، وحقّ القول في المقام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اجتماع الشرائط، تُقطع أصابعه الأربع من يده اليمنى، أمّا لزوم كون المقطوع اليد اليمنى‌، فيشهد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السّارق إذا سرق قُطعت يمينه، وإذا سرق مرّة أُخرى قطعت رجله اليسرى‌، ثُمّ إذا سرق مرّة أُخرى سَجَنه، وتُركت رجله اليمنى يمشي عليها إلى الغائط، ويده اليُسرى يأكل بها ويستنجي بها، الحديث</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فقطعت يده اليمنى‌، ثُمّ سرق فقطعت رجله اليسرى‌، ثُمّ سرق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يُخلّده في السجن، الحديث</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لزوم كون القطع من اُصول الأصابع، وأنّه يُترك الراحة والإبهام،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هلال، عن مولانا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تُقطع اليد؟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الأربع أصابع ويُترك الإبهام يعتمد عليها في الصلاة، ويغسل بها وجهه، الحديث</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من وسط الكف، ولا يقطع الإبهام، وإذا قطعت الرّجل ترك العقب لم يُقطع</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 السّارق ويترك ابهامه وصدر راحته</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إبراهيم بن عبد الحميد، عن عامّة أصحابه، يرفعه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قطع السّارق تَرك الإبهام والراحة</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من السّارق أربع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أصابع ويُترك الإبهام، وتقطع الرّجل من المفصل ويُترك العقب يطأ عليه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إصبعٌ زائدة متميّزة عن الأربع، قالوا أثبتت، ومقتضى إطلاق أكثر الأخبار تعيّن قطعها، لأنّها تدلّ على أنّه يُقطع الأصابع من اُصولها إلّاالإبهام، وخبر معاوية لا مفهوم له كي يدلّ على عدم قطع ما زاد عن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تسالمهم على عدم القطع، ولعلّه من جهة حمل إطلاق النصوص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متميّزة، فعلى القول بحرمة قطع الزائدة، الأظهر هو كونه بالخيار، فإنّ المستفاد من النصوص هو لزوم قطع الأربع أصابع من اليد غير الإبهام، فيتخيّر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له اصبعٌ زائدة متّصلة بإحدى الأربع، ولم يمكن قطع الأربع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 ولا يبعد القول بالجواز من جهة تزاحم وجوب قطع الأربع مع حرمة قطع الزائدة على القول بها، وحيث لا مرجّح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سرق ثانياً قُطعت رجله اليسرى‌، بلا خلافٍ‌، والنصوص المتقدّمة جملة منها شاهدة به، إنّما الكلام في موضع القطع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المصنّف في كتبه</w:t>
      </w:r>
      <w:r>
        <w:rPr>
          <w:rStyle w:val="FootnoteAnchor"/>
          <w:rtl w:val="true"/>
        </w:rPr>
        <w:footnoteReference w:id="1069"/>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0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تُقطع من مفصل القدم، ويُترك له العقب، أي من أصل الساق حتّى لا يبقى من عظم القدم إلّاعظم العقب وما بينه وبين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يُقطع من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إليه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من أنّه يُقطع من عند معقد الشراك من عند الناتى على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رجوع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عند معقد الشراك، ويُترك له مؤخّر القدم والعَقب، فإنّ الظاهر أنّ موضع عقد الشراك هو الوسط في العَرض، أي يقع عقَد الشراكين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w:t>
      </w:r>
      <w:r>
        <w:rPr>
          <w:rStyle w:val="FootnoteAnchor"/>
          <w:rtl w:val="true"/>
        </w:rPr>
        <w:footnoteReference w:id="10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من الكعب، الذي فسّره في كتاب الطهارة بقُبّة القدم، والظاهر رجوع ذلك أيضاً إلى ما أفاده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القطع من المفصل، كخبر معاوية المتقدّم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القطع من وسط القدم، كخبر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السّارق قُطعت يده من وسط الكف، فإن عاد قُطعت رجله من وسط القدم</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القطع من الكعب، كصحيح زرارة، عن أبي جعفر عليه السلام في حديث السَّرقة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قطع اليد قَطَعها دون المِفصل، فإذا قطع الرِّجل قَطَعها من الكعب</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هلال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يُقطع الرِّجل من الكعب</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مطلقة دالّة على أنّه يُقطع الرِّجل ويُترك العَقب، والظاهر رجوع الجميع إلى معنى واحد، إلّاما تضمّن القطع من وسط القدم، أمّا رجوع الأخيرة إلى الأُولى فلأنّ الظاهر من قطع الرّجل وترك العقب عدم إبقاء شيء من عظام القَدَم إلّاعَظْم العَقب وما بينه وبين عظم الساق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رجوع ما تضمّن القَطع من الكعب، فلما مر في كتاب الطهارة من أنّ الكَعب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العظم المائل إلى الاستدارة، الواقع في مُلتقى الساق والقَدَم الناتئ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وسط القدم العرضي نتوّاً غير محسوسٍ أعلاه في حفرتي الساق، له زائدتان في أعلاه، يدخلان حفرتي قصبة الساق، وزائدتان في أسفله يدخلان في حفرتي العَقب، وهو الذي يكون في رجل البقر والغنم، ربما يلعب به النّاس، كما ذكره جمعٌ من الفقهاء</w:t>
      </w:r>
      <w:r>
        <w:rPr>
          <w:rStyle w:val="FootnoteAnchor"/>
          <w:rtl w:val="true"/>
        </w:rPr>
        <w:footnoteReference w:id="1088"/>
      </w:r>
      <w:r>
        <w:rPr>
          <w:rFonts w:ascii="Amiri" w:hAnsi="Amiri" w:eastAsia="Amiri" w:cs="Amiri"/>
          <w:color w:val="111111"/>
          <w:sz w:val="28"/>
          <w:sz w:val="28"/>
          <w:szCs w:val="28"/>
          <w:rtl w:val="true"/>
          <w:lang w:bidi="ar-SA"/>
        </w:rPr>
        <w:t>واللّغويين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بعد تفسيره بالعظم الناتئ الواقع في مجمع الساق والقدم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المفصل دون عظم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من فهم غيره إلى عدم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ماتضمّن القطع من وسط القدم، فالمراد من الوسط ليس خصوص الوسط الحقيقي، بل مابين المبدأ والمنتهى‌، وهو يجتمعُ مع القطع من المفصل وإبقاء عظم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البناء على القطع من المفصل دون الساق وترك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ثالثاً خلّد في السجن، واُنفق عليه من بيت المال إن لم يكن له مالٌ‌، بلا خلافٍ في ذلك ولا إشكال فتوىً ونصّاً، وقد تقدّمت جملة من النصوص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 عن الإمام الصادق عليه السلام في حديثٍ في السَّرقة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اليد والرّجل ثُمّ لا يقطع بعد، ولكن إن عاد حُبس واُنفق عليه من بيت مال المسلمين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محمّد بن قيس المتقدّم عن الإمام الباقر عليه السلام، عن أميرالمؤمنين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0" w:name="pg11384_112494"/>
    </w:p>
    <w:p>
      <w:pPr>
        <w:pStyle w:val="BookText"/>
        <w:rPr/>
      </w:pPr>
      <w:bookmarkEnd w:id="210"/>
      <w:r>
        <w:rPr>
          <w:rFonts w:ascii="Amiri" w:hAnsi="Amiri" w:eastAsia="Amiri" w:cs="Amiri"/>
          <w:color w:val="111111"/>
          <w:sz w:val="28"/>
          <w:sz w:val="28"/>
          <w:szCs w:val="28"/>
          <w:rtl w:val="true"/>
          <w:lang w:bidi="ar-SA"/>
        </w:rPr>
        <w:t>ولو تكرّرتِ السَّرقة من غير حَدٍّ، كفى حَدٌّ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اللّه أن أتركه لاينتفع بشيء، ولكن أسجنه حتّييموت في السجن</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زرارة،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إن هو سرق بعد قطع اليد والرِّجل‌؟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استودعه السجن أبداً، وأغني عن النّاس شرّه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جملة منها وإنْ كان هو الإنفاق عليه من بيت المال، وإنْ كان له مال، ولكن الظاهر تسالمهم على تقييده بأن لا يكون له مالٌ‌، ويُشعر به خبر زرارة، مع أنّ بيت المال لمصالح المسلمين والفقراء، والإنفاق عليه مع وجود المال له، وعدم صدق الفقير عليه، غير مشمولٍ لأدلّته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سرق بعد ذلك فيه قُتِل بلا خلافٍ‌، وقد مرّ خبر سماعة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سرق من السِّجن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إن سرق في السجن قُتِل</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المؤيّدة بما دلّ على قتل أصحاب الكبائر في الرابعة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211" w:name="__RefHeading___Toc283459_73709187"/>
      <w:bookmarkStart w:id="212" w:name="_Toc72"/>
      <w:bookmarkEnd w:id="211"/>
      <w:r>
        <w:rPr>
          <w:rtl w:val="true"/>
        </w:rPr>
        <w:t>حكم ما لو تكرّرت السَّرقة</w:t>
      </w:r>
      <w:bookmarkEnd w:id="21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تكرّرت السَّرقة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حَدٌّ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اتّحد المسروق منه أو اختلف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مقتضى قاعدة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بكير بن أعين أو صحيحه،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فلم يقدر عليه ثُمّ سرق مرّة أُخرى ولم يقدر عليه، وسَرق مرّة أُخرى فأُخذ، فجاءت البيّنة فشهدوا عليه بالسّرقة الأُولى والسَّرقة الأخيرة‌؟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بالسَّرقة الأُولى‌، ولا تُقطع رجله بالسَّرقة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الشهود شهدوا جميعاً في مقام واحد بالسَّرقة الأُولى والأخيرة قبل أن يُقطع بالسَّرقة الأُولى‌، ولو أنّ الشهود شهدوا عليه بالسَّرقة الأُولى‌، ثُمّ امسكوا حتّى يُقطع، ثُمّ شهدوا عليه بالسَّرقة الأخيرة قُطعت رجله اليسرى‌</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أنّ القطع إنّما يكون بالأُولى لا بالثانية ولا بهما معاً، وعليه فلو عَفى عنه صاحب الحقّ الأوّل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عَفى أحدهما قُطع بالاُخرى‌، لأنّ كلّ واحدةٍ سببٌ تامٌّ في استحقاق القطع بعد فرض ثبوتهما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 على القاعدة، ولكنّه اجتهادٌ في مقابل النّص الخاصّ‌</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 يُستفاد أنّه لو قامت الحجّة بالسَّرقة، ثُمّ أمسكت حتّى قُطع بها، ثُمّ شهدت هي أو غيرها عليه بسرقةٍ أُخرى‌، تُقطع يده بالأُولى ورجله بالثانية، كما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الصَّدوق</w:t>
      </w:r>
      <w:r>
        <w:rPr>
          <w:rStyle w:val="FootnoteAnchor"/>
          <w:rtl w:val="true"/>
        </w:rPr>
        <w:footnoteReference w:id="1098"/>
      </w:r>
      <w:r>
        <w:rPr>
          <w:rFonts w:ascii="Amiri" w:hAnsi="Amiri" w:eastAsia="Amiri" w:cs="Amiri"/>
          <w:color w:val="111111"/>
          <w:sz w:val="28"/>
          <w:sz w:val="28"/>
          <w:szCs w:val="28"/>
          <w:rtl w:val="true"/>
          <w:lang w:bidi="ar-SA"/>
        </w:rPr>
        <w:t>، والشيخ</w:t>
      </w:r>
      <w:r>
        <w:rPr>
          <w:rStyle w:val="FootnoteAnchor"/>
          <w:rtl w:val="true"/>
        </w:rPr>
        <w:footnoteReference w:id="1099"/>
      </w:r>
      <w:r>
        <w:rPr>
          <w:rFonts w:ascii="Amiri" w:hAnsi="Amiri" w:eastAsia="Amiri" w:cs="Amiri"/>
          <w:color w:val="111111"/>
          <w:sz w:val="28"/>
          <w:sz w:val="28"/>
          <w:szCs w:val="28"/>
          <w:rtl w:val="true"/>
          <w:lang w:bidi="ar-SA"/>
        </w:rPr>
        <w:t xml:space="preserve">، وجماعة،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والحِلّي</w:t>
      </w:r>
      <w:r>
        <w:rPr>
          <w:rStyle w:val="FootnoteAnchor"/>
          <w:rtl w:val="true"/>
        </w:rPr>
        <w:footnoteReference w:id="1102"/>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والشُّبهة، وضعف الخبر، واختصاص دليل قطع الرِّجل بالسَّرقة بعد قطع 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حَسنٌ كالصحيح، ولا شكّ في اعتباره، ومعه لا يُصغى إلى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اليد اليمنى شلّاء، أو كانت اليسرى كذلك، أو كانتا جميعاً هكذا، يُقطع اليمين بلا خلافٍ‌، وعليه الإجماع في جملةٍ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أشلّ اليد اليمنى أو أشلّ الشمال سَرَق‌؟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الفاضلين،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الأشلّ إذا سَرق، قُطعت يمينه على كلّ حالٍ‌، شلّاء كانت أو صحيحة</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مرسل المفضّل 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الرّجل ويد اليسرى شلّاء، لم تُقطع يمينه ولارجله، الحديث</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وإن عمل به الإسكافي</w:t>
      </w:r>
      <w:r>
        <w:rPr>
          <w:rStyle w:val="FootnoteAnchor"/>
          <w:rtl w:val="true"/>
        </w:rPr>
        <w:footnoteReference w:id="1108"/>
      </w:r>
      <w:r>
        <w:rPr>
          <w:rFonts w:ascii="Amiri" w:hAnsi="Amiri" w:eastAsia="Amiri" w:cs="Amiri"/>
          <w:color w:val="111111"/>
          <w:sz w:val="28"/>
          <w:sz w:val="28"/>
          <w:szCs w:val="28"/>
          <w:rtl w:val="true"/>
          <w:lang w:bidi="ar-SA"/>
        </w:rPr>
        <w:t>، لكنّه ضعيفٌ لم يَعمل به الأصحاب، فلا يصلح للمقاومة مع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الأساطين</w:t>
      </w:r>
      <w:r>
        <w:rPr>
          <w:rStyle w:val="FootnoteAnchor"/>
          <w:rtl w:val="true"/>
        </w:rPr>
        <w:footnoteReference w:id="1109"/>
      </w:r>
      <w:r>
        <w:rPr>
          <w:rFonts w:ascii="Amiri" w:hAnsi="Amiri" w:eastAsia="Amiri" w:cs="Amiri"/>
          <w:color w:val="111111"/>
          <w:sz w:val="28"/>
          <w:sz w:val="28"/>
          <w:szCs w:val="28"/>
          <w:rtl w:val="true"/>
          <w:lang w:bidi="ar-SA"/>
        </w:rPr>
        <w:t>قيّدوا ذلك بما إذا لم يَخِف معه على تلف النفس بإخبار أهل العلم من الطبّ بأنّها متى قُطعت أبقيت أفواه العروق مفتتحة احتياطاً لبقاء النفس، إذ ليس المقصود بالقطع هنا إتلافها، فيختصّ الأخبار بالشلل المأمون مع قطعه على النفس،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إنْلم يكن له يسارٌ، فهل تُقطع اليمين كما عن المشهور</w:t>
      </w:r>
      <w:r>
        <w:rPr>
          <w:rStyle w:val="FootnoteAnchor"/>
          <w:rtl w:val="true"/>
        </w:rPr>
        <w:footnoteReference w:id="1110"/>
      </w:r>
      <w:r>
        <w:rPr>
          <w:rFonts w:ascii="Amiri" w:hAnsi="Amiri" w:eastAsia="Amiri" w:cs="Amiri"/>
          <w:color w:val="111111"/>
          <w:sz w:val="28"/>
          <w:sz w:val="28"/>
          <w:szCs w:val="28"/>
          <w:rtl w:val="true"/>
          <w:lang w:bidi="ar-SA"/>
        </w:rPr>
        <w:t>، للعمومات، وخصوص عموم صحيح ابن سنان المتقدّم‌؟</w:t>
      </w:r>
    </w:p>
    <w:p>
      <w:pPr>
        <w:pStyle w:val="BookText"/>
        <w:rPr/>
      </w:pPr>
      <w:r>
        <w:rPr>
          <w:rFonts w:ascii="Amiri" w:hAnsi="Amiri" w:eastAsia="Amiri" w:cs="Amiri"/>
          <w:color w:val="111111"/>
          <w:sz w:val="28"/>
          <w:sz w:val="28"/>
          <w:szCs w:val="28"/>
          <w:rtl w:val="true"/>
          <w:lang w:bidi="ar-SA"/>
        </w:rPr>
        <w:t>أم لا تُقطع بل يُخلّد في السجن، كما عن الإسكافي</w:t>
      </w:r>
      <w:r>
        <w:rPr>
          <w:rStyle w:val="FootnoteAnchor"/>
          <w:rtl w:val="true"/>
        </w:rPr>
        <w:footnoteReference w:id="1111"/>
      </w:r>
      <w:r>
        <w:rPr>
          <w:rFonts w:ascii="Amiri" w:hAnsi="Amiri" w:eastAsia="Amiri" w:cs="Amiri"/>
          <w:color w:val="111111"/>
          <w:sz w:val="28"/>
          <w:sz w:val="28"/>
          <w:szCs w:val="28"/>
          <w:rtl w:val="true"/>
          <w:lang w:bidi="ar-SA"/>
        </w:rPr>
        <w:t>لصحيح عبد الرحمن بن الحجّاج، عن الإمام الصادق عليه السلام في حديثٍ في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ولا يُترك بغير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لا تقطع، وتُقطع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له رجلٌ يسرى‌، لم يكن عليه أكثر من الحبس،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للصحيح، ولأنّ المعهود من حكمة الشارع إبقاء إحدى يديه، وقد جَعل الشارع قطع الرّجل اليُسرى لمرتبة اللاحقة لقطع اليد اليمنى‌، فينتقل إليها، ومع عدمها فإلى الثالثة‌؟</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 لأنّ الصحيح لم يعمل به الأصحاب، والحكمة المذكورة ليست علّة منصوصة يدور الحكم مدارها، مع أنّ غاية ما يستفاد من الوجهين عدم قطع اليد اليمنى، لا قطع الرِّجل اليسرى، أو التخليد في السجن، وما ذكر في وجهه استحسانٌ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على تقدير عدم القطع، هو البناء على ثبوت التعزير الذي هو الأصل في ارتكاب كلّ محرّمٍ لم يرد فيه نصّ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الحكمة المذكورة علّة منصوصة في الأخبار، لاحظ قول عليّ عليه السلام في صحيح ابن قيس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 رجله اليمنى يمشي عليها إلى الغائط، ويده اليسرى يأكل بها ويستنجى بها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ربي أن أدَعَهُ ليس له ما يستنجي به أو يتطهّر به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3" w:name="pg11384_112499"/>
    </w:p>
    <w:p>
      <w:pPr>
        <w:pStyle w:val="BookText"/>
        <w:rPr/>
      </w:pPr>
      <w:bookmarkEnd w:id="213"/>
      <w:r>
        <w:rPr>
          <w:rFonts w:ascii="Amiri" w:hAnsi="Amiri" w:eastAsia="Amiri" w:cs="Amiri"/>
          <w:color w:val="111111"/>
          <w:sz w:val="28"/>
          <w:sz w:val="28"/>
          <w:szCs w:val="28"/>
          <w:rtl w:val="true"/>
          <w:lang w:bidi="ar-SA"/>
        </w:rPr>
        <w:t>ولو سَرق الطفل أو المجنون عُزِّرا، ولا يُقطع العبدُ بسرقة مال سيّده، ويُقطع الأجيرُ،</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فالبناء على عدم القطع متعيّنٌ كما يشهد به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قطع رجله اليسرى، أو التخليد في السجن، فليس له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ثبوت التعزير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من لم يكن له يمين، فإنّه لا إشكال في عدم قطع اليد اليسرى، بل ينتقل الحَدّ إلى التعزير</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83461_73709187"/>
      <w:bookmarkStart w:id="215" w:name="_Toc73"/>
      <w:bookmarkEnd w:id="214"/>
      <w:r>
        <w:rPr>
          <w:rtl w:val="true"/>
        </w:rPr>
        <w:t>مستثنيات قطع السارق</w:t>
      </w:r>
      <w:bookmarkEnd w:id="215"/>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غير ما مرّ،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سرق الطفل أو المجنون عُزِّرا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العبد بسرقة مال سيّده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اُحرز المال دونه، على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بل هو المشهور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للعمومات الدالّة على أنّ المال المحروز إذا سُرق يَقطع السّارق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والزوج والزوجة</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عليه وإنْ كان المال محرَزاً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استأجر أجير وأقعده على متاعه فسّرقه‌؟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يستأجر أجيراً فيسرق من بيته، هل يقطع يده‌؟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مؤتمنٌ‌، وليس بسارق وهذا خائن</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موثّق سماعة</w:t>
      </w:r>
      <w:r>
        <w:rPr>
          <w:rStyle w:val="FootnoteAnchor"/>
          <w:rtl w:val="true"/>
        </w:rPr>
        <w:footnoteReference w:id="1122"/>
      </w:r>
      <w:r>
        <w:rPr>
          <w:rFonts w:ascii="Amiri" w:hAnsi="Amiri" w:eastAsia="Amiri" w:cs="Amiri"/>
          <w:color w:val="111111"/>
          <w:sz w:val="28"/>
          <w:sz w:val="28"/>
          <w:szCs w:val="28"/>
          <w:rtl w:val="true"/>
          <w:lang w:bidi="ar-SA"/>
        </w:rPr>
        <w:t>، وقويّ السكوني</w:t>
      </w:r>
      <w:r>
        <w:rPr>
          <w:rStyle w:val="FootnoteAnchor"/>
          <w:rtl w:val="true"/>
        </w:rPr>
        <w:footnoteReference w:id="1123"/>
      </w:r>
      <w:r>
        <w:rPr>
          <w:rFonts w:ascii="Amiri" w:hAnsi="Amiri" w:eastAsia="Amiri" w:cs="Amiri"/>
          <w:color w:val="111111"/>
          <w:sz w:val="28"/>
          <w:sz w:val="28"/>
          <w:szCs w:val="28"/>
          <w:rtl w:val="true"/>
          <w:lang w:bidi="ar-SA"/>
        </w:rPr>
        <w:t>، ومرسل ابن أبي عمير</w:t>
      </w:r>
      <w:r>
        <w:rPr>
          <w:rStyle w:val="FootnoteAnchor"/>
          <w:rtl w:val="true"/>
        </w:rPr>
        <w:footnoteReference w:id="1124"/>
      </w:r>
      <w:r>
        <w:rPr>
          <w:rFonts w:ascii="Amiri" w:hAnsi="Amiri" w:eastAsia="Amiri" w:cs="Amiri"/>
          <w:color w:val="111111"/>
          <w:sz w:val="28"/>
          <w:sz w:val="28"/>
          <w:szCs w:val="28"/>
          <w:rtl w:val="true"/>
          <w:lang w:bidi="ar-SA"/>
        </w:rPr>
        <w:t>الذي هو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فيها من التعليل كالصريح في الاختصاص بصورة عدم الإحراز، وعليه فالأظهر ما هو المشهور بينهم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من مال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سَرَقت من مال زوجها، إذا لم يكن المال مُحرَزاً من دونها، وأمّا مع الحراز فيقطعان بلا خلافٍ للعمومات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والضيفُ‌</w:t>
      </w:r>
    </w:p>
    <w:p>
      <w:pPr>
        <w:pStyle w:val="BookText"/>
        <w:rPr/>
      </w:pPr>
      <w:r>
        <w:rPr>
          <w:rFonts w:ascii="Amiri" w:hAnsi="Amiri" w:eastAsia="Amiri" w:cs="Amiri"/>
          <w:color w:val="111111"/>
          <w:sz w:val="28"/>
          <w:sz w:val="28"/>
          <w:szCs w:val="28"/>
          <w:rtl w:val="true"/>
          <w:lang w:bidi="ar-SA"/>
        </w:rPr>
        <w:t>نعم، لا بأس بسرقة الزوجة من مال الزوج بمقدار النفقة إذا منعها منها، كما تقدّم في التقاص في آخر باب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مع الإحراز عنه، ولا يُقطع مع عدمه على المشهور بين الأصحاب، لما مرّ، ونُسب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والإسكافي</w:t>
      </w:r>
      <w:r>
        <w:rPr>
          <w:rStyle w:val="FootnoteAnchor"/>
          <w:rtl w:val="true"/>
        </w:rPr>
        <w:footnoteReference w:id="1126"/>
      </w:r>
      <w:r>
        <w:rPr>
          <w:rFonts w:ascii="Amiri" w:hAnsi="Amiri" w:eastAsia="Amiri" w:cs="Amiri"/>
          <w:color w:val="111111"/>
          <w:sz w:val="28"/>
          <w:sz w:val="28"/>
          <w:szCs w:val="28"/>
          <w:rtl w:val="true"/>
          <w:lang w:bidi="ar-SA"/>
        </w:rPr>
        <w:t>، والصَّدوق</w:t>
      </w:r>
      <w:r>
        <w:rPr>
          <w:rStyle w:val="FootnoteAnchor"/>
          <w:rtl w:val="true"/>
        </w:rPr>
        <w:footnoteReference w:id="1127"/>
      </w:r>
      <w:r>
        <w:rPr>
          <w:rFonts w:ascii="Amiri" w:hAnsi="Amiri" w:eastAsia="Amiri" w:cs="Amiri"/>
          <w:color w:val="111111"/>
          <w:sz w:val="28"/>
          <w:sz w:val="28"/>
          <w:szCs w:val="28"/>
          <w:rtl w:val="true"/>
          <w:lang w:bidi="ar-SA"/>
        </w:rPr>
        <w:t>، والحِلّي</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مطلقاً لصحيح محمّد بن قيس،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إذا سَرق لم يُقطع، وإذا أضاف الضيف ضيفاً فسَرق قطع يد ضيف الضيف</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الإغماض عن ما قيل من عدم القول بذلك غير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مرسل ابن أبي عمير الذي هو كالصحيح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الأجير والضيف إذا سَرقا لأنّهما مؤتمنان</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ونحوه موثّق سماعة</w:t>
      </w:r>
      <w:r>
        <w:rPr>
          <w:rStyle w:val="FootnoteAnchor"/>
          <w:rtl w:val="true"/>
        </w:rPr>
        <w:footnoteReference w:id="1132"/>
      </w:r>
      <w:r>
        <w:rPr>
          <w:rFonts w:ascii="Amiri" w:hAnsi="Amiri" w:eastAsia="Amiri" w:cs="Amiri"/>
          <w:color w:val="111111"/>
          <w:sz w:val="28"/>
          <w:sz w:val="28"/>
          <w:szCs w:val="28"/>
          <w:rtl w:val="true"/>
          <w:lang w:bidi="ar-SA"/>
        </w:rPr>
        <w:t>، من جهة ما فيهما من العلّة التي هي تخصّص وتعمّم، يوجبان تخصيص الحكم بصورة عدم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6" w:name="pg11384_112502"/>
    </w:p>
    <w:p>
      <w:pPr>
        <w:pStyle w:val="BookText"/>
        <w:rPr/>
      </w:pPr>
      <w:bookmarkEnd w:id="216"/>
      <w:r>
        <w:rPr>
          <w:rFonts w:ascii="Amiri" w:hAnsi="Amiri" w:eastAsia="Amiri" w:cs="Amiri"/>
          <w:color w:val="111111"/>
          <w:sz w:val="28"/>
          <w:sz w:val="28"/>
          <w:szCs w:val="28"/>
          <w:rtl w:val="true"/>
          <w:lang w:bidi="ar-SA"/>
        </w:rPr>
        <w:t>مع الإحراز دونهم، ويُستعاد المال من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السّارق من المواضع المتناوبة كالحمّامات والمَساجد،</w:t>
      </w:r>
    </w:p>
    <w:p>
      <w:pPr>
        <w:pStyle w:val="BookText"/>
        <w:rPr/>
      </w:pPr>
      <w:r>
        <w:rPr>
          <w:rFonts w:ascii="Amiri" w:hAnsi="Amiri" w:eastAsia="Amiri" w:cs="Amiri"/>
          <w:color w:val="111111"/>
          <w:sz w:val="28"/>
          <w:sz w:val="28"/>
          <w:szCs w:val="28"/>
          <w:rtl w:val="true"/>
          <w:lang w:bidi="ar-SA"/>
        </w:rPr>
        <w:t>الإحراز كما مرّ في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وينبّه عليه الحكم بقطع ضيف الضيف، لأنّ المالك لم يأتمنه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يُقطع الزوج والزوجة والأجير والضيف ومن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الإحراز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ويُستعاد المال من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 ومثله أو قيمته مع تلفه، من غير فرقٍ بين القطع وعدمه، كما هو المتّفق عليه بين أصحابنا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لعموم ما دلّ على وجوب رَدّ المال إلى صاحبه، والضمان مع تلفه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ولخصوص النصوص الكثيرة الدالّة عليه، كصحيح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السّارق قُطعت يده، وغُرم ما أخذ</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ونحوه غيره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283463_73709187"/>
      <w:bookmarkStart w:id="218" w:name="_Toc74"/>
      <w:bookmarkEnd w:id="217"/>
      <w:r>
        <w:rPr>
          <w:rtl w:val="true"/>
        </w:rPr>
        <w:t>حكم السّارق من المواضع المتناوبة</w:t>
      </w:r>
      <w:bookmarkEnd w:id="21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السّارق من المواضع المتناوبة، كالحمّامات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والأرحية، بلا خلافٍ فيه مع عدم مراعاة المالك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فيه مع مراعاة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1136"/>
      </w:r>
      <w:r>
        <w:rPr>
          <w:rFonts w:ascii="Amiri" w:hAnsi="Amiri" w:eastAsia="Amiri" w:cs="Amiri"/>
          <w:color w:val="111111"/>
          <w:sz w:val="28"/>
          <w:sz w:val="28"/>
          <w:szCs w:val="28"/>
          <w:rtl w:val="true"/>
          <w:lang w:bidi="ar-SA"/>
        </w:rPr>
        <w:t>، وابن حمزة</w:t>
      </w:r>
      <w:r>
        <w:rPr>
          <w:rStyle w:val="FootnoteAnchor"/>
          <w:rtl w:val="true"/>
        </w:rPr>
        <w:footnoteReference w:id="1137"/>
      </w:r>
      <w:r>
        <w:rPr>
          <w:rFonts w:ascii="Amiri" w:hAnsi="Amiri" w:eastAsia="Amiri" w:cs="Amiri"/>
          <w:color w:val="111111"/>
          <w:sz w:val="28"/>
          <w:sz w:val="28"/>
          <w:szCs w:val="28"/>
          <w:rtl w:val="true"/>
          <w:lang w:bidi="ar-SA"/>
        </w:rPr>
        <w:t>، والديلمي</w:t>
      </w:r>
      <w:r>
        <w:rPr>
          <w:rStyle w:val="FootnoteAnchor"/>
          <w:rtl w:val="true"/>
        </w:rPr>
        <w:footnoteReference w:id="1138"/>
      </w:r>
      <w:r>
        <w:rPr>
          <w:rFonts w:ascii="Amiri" w:hAnsi="Amiri" w:eastAsia="Amiri" w:cs="Amiri"/>
          <w:color w:val="111111"/>
          <w:sz w:val="28"/>
          <w:sz w:val="28"/>
          <w:szCs w:val="28"/>
          <w:rtl w:val="true"/>
          <w:lang w:bidi="ar-SA"/>
        </w:rPr>
        <w:t>، والمصنّف</w:t>
      </w:r>
      <w:r>
        <w:rPr>
          <w:rStyle w:val="FootnoteAnchor"/>
          <w:rtl w:val="true"/>
        </w:rPr>
        <w:footnoteReference w:id="1139"/>
      </w:r>
      <w:r>
        <w:rPr>
          <w:rFonts w:ascii="Amiri" w:hAnsi="Amiri" w:eastAsia="Amiri" w:cs="Amiri"/>
          <w:color w:val="111111"/>
          <w:sz w:val="28"/>
          <w:sz w:val="28"/>
          <w:szCs w:val="28"/>
          <w:rtl w:val="true"/>
          <w:lang w:bidi="ar-SA"/>
        </w:rPr>
        <w:t>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ومن تبعه</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ويصير المال بذلك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لتحقّق الحرز بذلك بالنصوص المتضمّنة لقضيّة صفوان، المحكيّة بطرق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يأخذ اللِّص يرفعه أو يتركه‌؟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اُميّة كان مضطجعاً في المسجد الحرام، فوضع رداءه وخَرج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فذهب يطلبه، فأخذ صاحبه فرفعه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يده من أجل ردائي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أهبه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الحديث لو دلّ على شيء لدل على ما ذهب إليه ابن أبي عقيل</w:t>
      </w:r>
      <w:r>
        <w:rPr>
          <w:rStyle w:val="FootnoteAnchor"/>
          <w:rtl w:val="true"/>
        </w:rPr>
        <w:footnoteReference w:id="1144"/>
      </w:r>
      <w:r>
        <w:rPr>
          <w:rFonts w:ascii="Amiri" w:hAnsi="Amiri" w:eastAsia="Amiri" w:cs="Amiri"/>
          <w:color w:val="111111"/>
          <w:sz w:val="28"/>
          <w:sz w:val="28"/>
          <w:szCs w:val="28"/>
          <w:rtl w:val="true"/>
          <w:lang w:bidi="ar-SA"/>
        </w:rPr>
        <w:t>من قطع السّارق في أيّ موضعٍ سَرق من بيتٍ أو سوقٍ أو مسجدٍ أو غير ذلك، وحينئذٍ لمخالفته للنصوص الاُخر، وفتوى الأصحاب يُطرح، وذلك لأنّه صريحٌ في غيبة صفوان لا مراعاته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في واقعة، ولعلّه كان غيبته بنحوٍ لا تنافي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يسقط الاستدلال به رأساً من جهة احتمال أنّه من الممكن أنّه كان قد أحرز ردائه بشيء في المسجد، مِن جعله في صندوقٍ مُقفلٍ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عن الصَّدوق</w:t>
      </w:r>
      <w:r>
        <w:rPr>
          <w:rStyle w:val="FootnoteAnchor"/>
          <w:rtl w:val="true"/>
        </w:rPr>
        <w:footnoteReference w:id="1145"/>
      </w:r>
      <w:r>
        <w:rPr>
          <w:rFonts w:ascii="Amiri" w:hAnsi="Amiri" w:eastAsia="Amiri" w:cs="Amiri"/>
          <w:color w:val="111111"/>
          <w:sz w:val="28"/>
          <w:sz w:val="28"/>
          <w:szCs w:val="28"/>
          <w:rtl w:val="true"/>
          <w:lang w:bidi="ar-SA"/>
        </w:rPr>
        <w:t>أنّ صفوان كان نائماً في المسجد فسُرِق رداءه، ولعلّه كان قد افترشه ونام عليه، وحصول الحرز بذلك غير حصوله بالنظر الذي فُسِّر المراعاة في كلماتهم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المراعاة بمعنى النظر حِرزاً فيه محذورٌ آخر، وهو أنّه إن سرق السّارق مع نظر المالك إليه، كان ذلك فاقداً لشرطٍ من شروط القطع وهو الأخذ سِرّاً، بل هو يكون مستلباً غاصباً ومثله لا يقطع، وإنْ كان مع الغفلة عنه لم يكن محرزاً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العلماء فسَّر الحرز بما على سارقه خطر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من الجيب والكُمّ الظاهرين، ولو كانا باطنين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ملحوظاً غير مضيّع إمّا بلحاظ دائم أو بلحاظ معتادة، وعلى هذا يتوجّه الحكم في الرواية بقطع سارق الرّداء، لأنّ سارقه في المسجد على خَطَر من أن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ينبغي التوقّف في بطلان ذلك، فإنّ هذا يُعدّ مختلساً عرفاً لا سارقاً، وقد دلّت النصوص</w:t>
      </w:r>
      <w:r>
        <w:rPr>
          <w:rStyle w:val="FootnoteAnchor"/>
          <w:rtl w:val="true"/>
        </w:rPr>
        <w:footnoteReference w:id="1147"/>
      </w:r>
      <w:r>
        <w:rPr>
          <w:rFonts w:ascii="Amiri" w:hAnsi="Amiri" w:eastAsia="Amiri" w:cs="Amiri"/>
          <w:color w:val="111111"/>
          <w:sz w:val="28"/>
          <w:sz w:val="28"/>
          <w:szCs w:val="28"/>
          <w:rtl w:val="true"/>
          <w:lang w:bidi="ar-SA"/>
        </w:rPr>
        <w:t>على أنّ المُختلس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السّارق من المواضع المتناوبة مع النظر وبدونه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الجيب والكُمّ الظاهرين، ولو كانا باطنين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قاطعون بالتفصيل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50"/>
      </w:r>
      <w:r>
        <w:rPr>
          <w:rFonts w:ascii="Amiri" w:hAnsi="Amiri" w:eastAsia="Amiri" w:cs="Amiri"/>
          <w:color w:val="111111"/>
          <w:sz w:val="28"/>
          <w:sz w:val="28"/>
          <w:szCs w:val="28"/>
          <w:rtl w:val="true"/>
          <w:lang w:bidi="ar-SA"/>
        </w:rPr>
        <w:t>، وابن زُهرة</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بطرّارٍ قد طَرّ دراهم من كُمّ رجلٍ‌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قميصه الأعلى لم أقطعه، وإنْ كان طَرّ من قميصه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السافل قطعته</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مسمع أبي سيّار</w:t>
      </w:r>
      <w:r>
        <w:rPr>
          <w:rStyle w:val="FootnoteAnchor"/>
          <w:rtl w:val="true"/>
        </w:rPr>
        <w:footnoteReference w:id="1153"/>
      </w:r>
      <w:r>
        <w:rPr>
          <w:rFonts w:ascii="Amiri" w:hAnsi="Amiri" w:eastAsia="Amiri" w:cs="Amiri"/>
          <w:color w:val="111111"/>
          <w:sz w:val="28"/>
          <w:sz w:val="28"/>
          <w:szCs w:val="28"/>
          <w:rtl w:val="true"/>
          <w:lang w:bidi="ar-SA"/>
        </w:rPr>
        <w:t>، المنجبران على فرض الضعف بالشهرة، مع أنّ الأوّل معتبرٌ سنداً، وبهما يقيّد إطلاق ما دلّ على أنّه لا يُقطع الطرّار كالموثّق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 يستلب قطعٌ‌، وليس على الذي يطرّ الدراهم من ثوبٍ قَطعٌ‌</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ونحوه صحيح عيسى بن صبيح</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بهما يُقيّد إطلاق ما دلّ على القطع، كصحيح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النبّاش والطرّار، ولا يُقطع المختلس</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فتُحمل الأولى على الطَرّ من الثوب الظاهر، والثانية على الطر من الثوب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الخبرين المفصّلين أنّه لا يُقطع لو كانت السَّرقة من الثوب الأعلى‌، سواءٌ كان باب في ظاهره أو باطنه، وسواءٌ كان الشَّد على تقديره من داخله أو من خارجه،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59"/>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إنّ معنى الخبرين إنْ طَرّ الأعلى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9" w:name="pg11384_112507"/>
    </w:p>
    <w:p>
      <w:pPr>
        <w:pStyle w:val="BookText"/>
        <w:rPr/>
      </w:pPr>
      <w:bookmarkEnd w:id="219"/>
      <w:r>
        <w:rPr>
          <w:rFonts w:ascii="Amiri" w:hAnsi="Amiri" w:eastAsia="Amiri" w:cs="Amiri"/>
          <w:color w:val="111111"/>
          <w:sz w:val="28"/>
          <w:sz w:val="28"/>
          <w:szCs w:val="28"/>
          <w:rtl w:val="true"/>
          <w:lang w:bidi="ar-SA"/>
        </w:rPr>
        <w:t>ويُقطَع سارق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قميصه فلا قطع، وإنْ طَرّ الأسفل من قميصه قُطع،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مفعولين لطرور بما يؤيّد ذلك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الظاهر، فإنّ الظاهر كون الأعلى والداخل وصفان للقميص، والاعتبار أيضاً موافقٌ لذلك، فإنّ الطرَّ عبارة عن الشّق والقطع، وفي ذلك لا يفرّق بين كون باب الكُمّ ظاهراً أو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وإن اختصَّت بالطرّار، إلّاأنّه من الضروري عدم خصوصيّة للطرّار، فلو أدخل غيره يده في جيب إنسانٍ وأخذ ما فيه جَرى التفصيل المتقدّم فيه، كما هو واضح</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83465_73709187"/>
      <w:bookmarkStart w:id="221" w:name="_Toc75"/>
      <w:bookmarkEnd w:id="220"/>
      <w:r>
        <w:rPr>
          <w:rtl w:val="true"/>
        </w:rPr>
        <w:t>حكم سارق الكفن</w:t>
      </w:r>
      <w:bookmarkEnd w:id="22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سارق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القبر إجماعاً</w:t>
      </w:r>
      <w:r>
        <w:rPr>
          <w:rStyle w:val="FootnoteAnchor"/>
          <w:rtl w:val="true"/>
        </w:rPr>
        <w:footnoteReference w:id="1161"/>
      </w:r>
      <w:r>
        <w:rPr>
          <w:rFonts w:ascii="Amiri" w:hAnsi="Amiri" w:eastAsia="Amiri" w:cs="Amiri"/>
          <w:color w:val="111111"/>
          <w:sz w:val="28"/>
          <w:sz w:val="28"/>
          <w:szCs w:val="28"/>
          <w:rtl w:val="true"/>
          <w:lang w:bidi="ar-SA"/>
        </w:rPr>
        <w:t>، كما صرّح به غير واحدٍ، لأنّ القبر حِرزٌ له، 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محمّد الجعفي،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حرمة الميّت كحرمة الحَيّ‌، تُقطع يده لنبشه وسلبه الثياب، الحديث</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قَطَع نبّاش القبر،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أيقطع في الموتى؟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لنقطع لأمواتنا كما نقطع لأحيائنا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العَزرمي،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قطع نبّاشاً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عيسى بن صبيح،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الطرّار والنبّاش</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طوائف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القطع مطلقاً، كصحيح عيسى بن صبيح،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الطرّار والنبّاش والمختلس‌؟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ونحوه خبر الفضيل</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ما لو كان نَبَش مراراً فالقطع، وبين ما فعل ذلك مرّةً فلا قطع، كخبر علي بن سعيد، عنه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النبّاش‌؟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النبش له بعادة لم يقطع ويُعزّر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ونحوه غيره</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يُقتل، كمرسل أبي يحيى الواسطي،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بنبّاشٍ فأخَّر عذابه إلى يوم الجمعة، فلمّا كان يوم الجمعة ألقاه تحت أقدام النّاس، فما زالوا يتواطّئونه بأرجلهم حتّى مات</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الأخيرة متضمّنة لقضايا في وقائع، ومن الممكن أنّهم كانوا تكرّر منهم ذلك وأُقيم عليهم الحَدّ، وكان ذلك منهم في المرّة الرابعة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كونها أعمّ من النصوص المتقدّمة الدالّة على القطع، فإنّها بواسطة ما فيها من القرائن مختصّة بصورة النبش وسرقة الكفن، كما يشير إليه قوله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يده لنبشه وسلبه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مرسل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نقطع لأمواتنا كما نقطع لأحيائنا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القطع للأحياء إنّما يكون في صورة السَّرقة، وعليه فيقيّد إطلاقها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 بها الصَّدوق</w:t>
      </w:r>
      <w:r>
        <w:rPr>
          <w:rStyle w:val="FootnoteAnchor"/>
          <w:rtl w:val="true"/>
        </w:rPr>
        <w:footnoteReference w:id="117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ولكن الأصحاب لم يعملوا بها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بينها وبين النصوص الأولة عمومٌ من وجه، لأعمّيتها من حيث الشمول للنبش مرّةً واحدة، وأعميّة هذه من حيث الشمول لما إذا لم يسرق الكفن، وإنّما يُحَدّ حينئذٍ لإفساده، فتتعارضان، فتقدّم تلك النصوص، وتُحمل هذه على ما لو نبش ولم يأخذ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إلى ذلك نظر الشهيد الثاني رحمه الله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هذه الأخبار مع قطع النظر عن سندها، على ما لو نَبَش ولم يأخذ،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القطع مع أخذ الكفن، والتعزير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الخلاف بينهم في اعتبار بلوغ قيمة الكفن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1174"/>
      </w:r>
      <w:r>
        <w:rPr>
          <w:rFonts w:ascii="Amiri" w:hAnsi="Amiri" w:eastAsia="Amiri" w:cs="Amiri"/>
          <w:color w:val="111111"/>
          <w:sz w:val="28"/>
          <w:sz w:val="28"/>
          <w:szCs w:val="28"/>
          <w:rtl w:val="true"/>
          <w:lang w:bidi="ar-SA"/>
        </w:rPr>
        <w:t>، وسلّار</w:t>
      </w:r>
      <w:r>
        <w:rPr>
          <w:rStyle w:val="FootnoteAnchor"/>
          <w:rtl w:val="true"/>
        </w:rPr>
        <w:footnoteReference w:id="1175"/>
      </w:r>
      <w:r>
        <w:rPr>
          <w:rFonts w:ascii="Amiri" w:hAnsi="Amiri" w:eastAsia="Amiri" w:cs="Amiri"/>
          <w:color w:val="111111"/>
          <w:sz w:val="28"/>
          <w:sz w:val="28"/>
          <w:szCs w:val="28"/>
          <w:rtl w:val="true"/>
          <w:lang w:bidi="ar-SA"/>
        </w:rPr>
        <w:t>، وابني حمزة وزُهرة</w:t>
      </w:r>
      <w:r>
        <w:rPr>
          <w:rStyle w:val="FootnoteAnchor"/>
          <w:rtl w:val="true"/>
        </w:rPr>
        <w:footnoteReference w:id="1176"/>
      </w:r>
      <w:r>
        <w:rPr>
          <w:rFonts w:ascii="Amiri" w:hAnsi="Amiri" w:eastAsia="Amiri" w:cs="Amiri"/>
          <w:color w:val="111111"/>
          <w:sz w:val="28"/>
          <w:sz w:val="28"/>
          <w:szCs w:val="28"/>
          <w:rtl w:val="true"/>
          <w:lang w:bidi="ar-SA"/>
        </w:rPr>
        <w:t>، 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r>
        <w:rPr>
          <w:rStyle w:val="FootnoteAnchor"/>
          <w:rtl w:val="true"/>
        </w:rPr>
        <w:footnoteReference w:id="1177"/>
      </w:r>
      <w:r>
        <w:rPr>
          <w:rFonts w:ascii="Amiri" w:hAnsi="Amiri" w:eastAsia="Amiri" w:cs="Amiri"/>
          <w:color w:val="111111"/>
          <w:sz w:val="28"/>
          <w:sz w:val="28"/>
          <w:szCs w:val="28"/>
          <w:rtl w:val="true"/>
          <w:lang w:bidi="ar-SA"/>
        </w:rPr>
        <w:t xml:space="preserve">في آخر كلامه،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فيقطع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179"/>
      </w:r>
      <w:r>
        <w:rPr>
          <w:rFonts w:ascii="Amiri" w:hAnsi="Amiri" w:eastAsia="Amiri" w:cs="Amiri"/>
          <w:color w:val="111111"/>
          <w:sz w:val="28"/>
          <w:sz w:val="28"/>
          <w:szCs w:val="28"/>
          <w:rtl w:val="true"/>
          <w:lang w:bidi="ar-SA"/>
        </w:rPr>
        <w:t>في 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 في المرّة الأُولى دون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عليه، بعد كونه من السارقين من الحِرز، فيشترط فيه حينئذٍ ما يشترط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يعتبر في المرّة الأُولى لإطلاق أدلّة الاعتبار، ولا يعتبر في الثانية والثالثة لأنّه مفسد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المقام بأنفسها ظاهرة في الاعتبار للتشبيه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نَبَش ولم يأخذ عُزِّر، فإن تكرّر</w:t>
      </w:r>
    </w:p>
    <w:p>
      <w:pPr>
        <w:pStyle w:val="BookText"/>
        <w:rPr/>
      </w:pPr>
      <w:r>
        <w:rPr>
          <w:rFonts w:ascii="Amiri" w:hAnsi="Amiri" w:eastAsia="Amiri" w:cs="Amiri"/>
          <w:color w:val="111111"/>
          <w:sz w:val="28"/>
          <w:sz w:val="28"/>
          <w:szCs w:val="28"/>
          <w:rtl w:val="true"/>
          <w:lang w:bidi="ar-SA"/>
        </w:rPr>
        <w:t>بالسَّرقة من الأحياء في جملةٍ منها، وظاهر التشبيه يقتضي المساواة في الشرائط، ولقوله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 ما يشترط في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جميع الجهات، وإنّما هي في قام البيان من ناحية أنّ القبر حِرزٌ، فيجري في أخذ الكفن ما يجري في سرقة الأموال المُحرَزة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تكون نصوص اعتبار بلوغ النصاب حاكمة على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الحِلّي في أوّل كلامه له وجهٌ‌، فإنّ جملةً من النصوص المفصّلة بين النبش مرّة، وبين ما صار ذلك عادةً له، تدلّ بعد الجمع على القطع مع كون النبش عادة، ولو لم يأخذ الكفن كما مرّ فليس القطع حينئذٍ للسرقة كي يُعتبر فيه بلوغ النصاب، بل للإفساد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من أنّه غير ظاهر الوجه والمستند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لم يفتِ بذلك أحدٌ حتّى الحِلّي نفسه حيث قد رجع عنه في آخر كلامه، فيصير ذلك منشأ للشبهة وهي تدرأ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الاشتراط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ولم يأخذ عُزِّر فإنْ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النبش</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2" w:name="pg11384_112512"/>
    </w:p>
    <w:p>
      <w:pPr>
        <w:pStyle w:val="BookText"/>
        <w:rPr/>
      </w:pPr>
      <w:bookmarkEnd w:id="222"/>
      <w:r>
        <w:rPr>
          <w:rFonts w:ascii="Amiri" w:hAnsi="Amiri" w:eastAsia="Amiri" w:cs="Amiri"/>
          <w:color w:val="111111"/>
          <w:sz w:val="28"/>
          <w:sz w:val="28"/>
          <w:szCs w:val="28"/>
          <w:rtl w:val="true"/>
          <w:lang w:bidi="ar-SA"/>
        </w:rPr>
        <w:t>وفاتَ السلطان جازَ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هرب النبّاش منه، ولم يقدر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1181"/>
      </w:r>
      <w:r>
        <w:rPr>
          <w:rFonts w:ascii="Amiri" w:hAnsi="Amiri" w:eastAsia="Amiri" w:cs="Amiri"/>
          <w:color w:val="111111"/>
          <w:sz w:val="28"/>
          <w:sz w:val="28"/>
          <w:szCs w:val="28"/>
          <w:rtl w:val="true"/>
          <w:lang w:bidi="ar-SA"/>
        </w:rPr>
        <w:t>، بل لا خلاف فيه إلّاعن الشيخ في كتابي الحديث</w:t>
      </w:r>
      <w:r>
        <w:rPr>
          <w:rStyle w:val="FootnoteAnchor"/>
          <w:rtl w:val="true"/>
        </w:rPr>
        <w:footnoteReference w:id="1182"/>
      </w:r>
      <w:r>
        <w:rPr>
          <w:rFonts w:ascii="Amiri" w:hAnsi="Amiri" w:eastAsia="Amiri" w:cs="Amiri"/>
          <w:color w:val="111111"/>
          <w:sz w:val="28"/>
          <w:sz w:val="28"/>
          <w:szCs w:val="28"/>
          <w:rtl w:val="true"/>
          <w:lang w:bidi="ar-SA"/>
        </w:rPr>
        <w:t>، فلم يفرّع القتل على الفوات من السلطان، بل على إقامة الحَدّ عليه ثلاث مرّات، ولم أقف لهم على مستندٍ سوى ما تقدّم من النصوص المتضمّنة لأمر الوصيّ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بوطء النبّاش حتّى مات، وقد مرّ أنّها من قبيل القضيّة في الواقعة، فلا إطلاق لها، والمتيقّن منها ما أفاده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عدم وجوب القتل، وهو المنسوب إلى الأكثر، وعن الشيخ</w:t>
      </w:r>
      <w:r>
        <w:rPr>
          <w:rStyle w:val="FootnoteAnchor"/>
          <w:rtl w:val="true"/>
        </w:rPr>
        <w:footnoteReference w:id="1183"/>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وجوبه مع تخلّل الحَدّ ثلاثاً كسائر الحدود، وعدم جوازه بدون ذلك</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83467_73709187"/>
      <w:bookmarkStart w:id="224" w:name="_Toc76"/>
      <w:bookmarkEnd w:id="223"/>
      <w:r>
        <w:rPr>
          <w:rtl w:val="true"/>
        </w:rPr>
        <w:t>حكم السرقة المشتركة</w:t>
      </w:r>
      <w:bookmarkEnd w:id="22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المسروق بالغاً نصابين، فلا كلام في أنّه يُقطع يد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بلغ نصاباً واحداً وزائداً مع عدم بلوغ نصيب كلّ منهما نصاباً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أخرج كلّ منهما أقلّ من نصاب على حِدة، فلا خلاف في عدم القطع كما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84"/>
      </w:r>
      <w:r>
        <w:rPr>
          <w:rFonts w:ascii="Amiri" w:hAnsi="Amiri" w:eastAsia="Amiri" w:cs="Amiri"/>
          <w:color w:val="111111"/>
          <w:sz w:val="28"/>
          <w:sz w:val="28"/>
          <w:szCs w:val="28"/>
          <w:rtl w:val="true"/>
          <w:lang w:bidi="ar-SA"/>
        </w:rPr>
        <w:t>،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أخرجاه معاً، بوضع أيديهما عليه بعد أن هتكا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والمفيد</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أتباع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القطع،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والإسكافي</w:t>
      </w:r>
      <w:r>
        <w:rPr>
          <w:rStyle w:val="FootnoteAnchor"/>
          <w:rtl w:val="true"/>
        </w:rPr>
        <w:footnoteReference w:id="1189"/>
      </w:r>
      <w:r>
        <w:rPr>
          <w:rFonts w:ascii="Amiri" w:hAnsi="Amiri" w:eastAsia="Amiri" w:cs="Amiri"/>
          <w:color w:val="111111"/>
          <w:sz w:val="28"/>
          <w:sz w:val="28"/>
          <w:szCs w:val="28"/>
          <w:rtl w:val="true"/>
          <w:lang w:bidi="ar-SA"/>
        </w:rPr>
        <w:t>، والحِلّي</w:t>
      </w:r>
      <w:r>
        <w:rPr>
          <w:rStyle w:val="FootnoteAnchor"/>
          <w:rtl w:val="true"/>
        </w:rPr>
        <w:footnoteReference w:id="1190"/>
      </w:r>
      <w:r>
        <w:rPr>
          <w:rFonts w:ascii="Amiri" w:hAnsi="Amiri" w:eastAsia="Amiri" w:cs="Amiri"/>
          <w:color w:val="111111"/>
          <w:sz w:val="28"/>
          <w:sz w:val="28"/>
          <w:szCs w:val="28"/>
          <w:rtl w:val="true"/>
          <w:lang w:bidi="ar-SA"/>
        </w:rPr>
        <w:t>، وعامّة متأخّري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القطع،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الشيخ رحمه الله</w:t>
      </w:r>
      <w:r>
        <w:rPr>
          <w:rFonts w:eastAsia="Amiri" w:cs="Amiri" w:ascii="Amiri" w:hAnsi="Amiri"/>
          <w:color w:val="111111"/>
          <w:sz w:val="28"/>
          <w:szCs w:val="28"/>
          <w:rtl w:val="true"/>
          <w:lang w:bidi="ar-SA"/>
        </w:rPr>
        <w:t>:</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أنّها إذا بلغت السَّرقة نصاباً وأخرجوها بأجمعهم، وجب عليهم القطع ولم يفصِّلوا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نصوص سرقة النصاب، لصدقها على مجموعهما، فيدور الأمر بين عدم قطعهما، وقطعهما، وقطع أحدهما دون الآخر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يستلزمُ منه سقوط الحَدّ مع تحقّق موضوعه، وهو غير صحيح، والثالث مستلزمٌ للترجيح بلا مرجّح، فيتعيّن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5" w:name="pg11384_112514"/>
    </w:p>
    <w:p>
      <w:pPr>
        <w:pStyle w:val="BookText"/>
        <w:rPr/>
      </w:pPr>
      <w:bookmarkEnd w:id="2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نفرٍ نَحروا بعيراً فأكلوه، فامتحنوا أيّهم نَحَر، فشهدوا على أنفسهم أنّهم نحروه جميعاً لم يخصّوا أحداً دون أحد، فقضي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أيمانهم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المرسل لم نقف عليه، ولا ذكره أصحاب الحديث في كتبهم، ولا أشار إليه أحدٌ من الأصحاب كي يقال إنّ ضعفه منجبرٌ بالعمل، بل استدلّ القائلون بذلك بالوجوه الاُخر، وإطلاق النصوص لا يشمل المجموع، لظهورها بحكم التبادر بصورة انفراده به، وإنْ شئت قلت إنّهما وإن سرقا شيئاً واحداً، ولكنّهما سارقان لا سارق واحد، ولذا كلّ منهما فَعَل محرّماً، ويستحقّ العقوبة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تدلّ على أنّ السّارق الواحد لما يبلغ النصاب يُقطع، فلا تشمل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متضمّنٌ لقضيّة شخصيّة، ولعلّه كان في مورده يبلغ حصّة كلّ منهم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ثبوت كونه تعبّديّاً، يعارضه دعوى الإجماع على خلافه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وعليهذا، فما ذهب إليه المتأخّرون أظهر، سيّما وأنّ المقام يكفي فيه الشُّبهة الدارئة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83469_73709187"/>
      <w:bookmarkStart w:id="227" w:name="_Toc77"/>
      <w:bookmarkEnd w:id="226"/>
      <w:r>
        <w:rPr>
          <w:rtl w:val="true"/>
        </w:rPr>
        <w:t>حكم ما لو هتك الحِرز شخص ٌ وأخرج المال غيره</w:t>
      </w:r>
      <w:bookmarkEnd w:id="22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هتك الحِرز شخصٌ كما لو فتح الباب، أو كَسَر القفل، أو نقّب نقباً، ثمّ دخل غيره وأخرج المال، فالظاهر أن لا يكون القطع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الهاتك، فلعدم الإخراج، وأمّا على المُخرِج فلعدم كون المال الذي أخرجه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إخراج المال الذي أحرزه المالك، وفي الفرض المُخرِج يخرجُ ذلك المال، ولم يشترط فيه كون المخرِج هاتكاً بنفسه، فالظاهر ثبوت القطع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السَّرقة من المُحرَز موجبةٌ للقطع، وفي الفرض السّارق سَرَق المال من المنهتك لا من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الذريعة إلى إسقاط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كما يحتال لإسقاط الحكم بغيره من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ففي المورد يجبُ على الأوّل ضمان ما أفسده من جدارٍ أو صندوق أو غيره والتعزير، وعلى الثاني ضمان المال والتعزير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هتك الحرز جماعة، وأخرج المال بعضهم، كان القطعُ على المُخرِج خاصّة، بلا كلامٍ كما مرّ، لانفراده بالموجب، وهو إخراج المال من الحِرز بعد هتكه، وكذا لو قرّبه أحدهم من النقب مثلاً وأخرجه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 أحدهم من الحِرز إلى خارج النقب، وأخذه الآخر، كان القطع على الداخل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وضعه الداخل في وسط النقب، وأخرجه الخارج، ففيه أقوال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يثبت القطع عليهما، نُسِب ذلك إلى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وكاشف اللِّثام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القطع على الداخل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القطع على المُخرِج أخيراً، وهو مختار الحِلّي</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هوالذي نقله المحقّق</w:t>
      </w:r>
      <w:r>
        <w:rPr>
          <w:rStyle w:val="FootnoteAnchor"/>
          <w:rtl w:val="true"/>
        </w:rPr>
        <w:footnoteReference w:id="119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 وتبعه القاضي</w:t>
      </w:r>
      <w:r>
        <w:rPr>
          <w:rStyle w:val="FootnoteAnchor"/>
          <w:rtl w:val="true"/>
        </w:rPr>
        <w:footnoteReference w:id="1198"/>
      </w:r>
      <w:r>
        <w:rPr>
          <w:rFonts w:ascii="IRNazanin" w:hAnsi="IRNazanin" w:eastAsia="IRNazanin"/>
          <w:color w:val="111111"/>
          <w:sz w:val="28"/>
          <w:sz w:val="28"/>
          <w:szCs w:val="28"/>
          <w:rtl w:val="true"/>
          <w:lang w:bidi="fa-IR"/>
        </w:rPr>
        <w:t>وهوانتفائه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 الإخراج بتعاونهما، فهما كما لو أخرجاه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الداخل أخرجه من الحِرز فعليه القطع، والخارجُ إنّما أخذ المال المُخرَج من حِرزه فلا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أخرج المال من الحِرز الذي هَتَكه، فعليه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لم يُخرجه عن كمال حِرزه، فإنّ الأوّل أخرجه إلى نصفه مثلاً، والثاني أكمل إخراجه، فهو كما لو وضعه الأوّل في ذلك الموضع فأخذه غيره ممّن لم يُشارك في 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بحسب المتفاهم العرفي، صدق كون المال في حِرزه الذي هتكوه بعد وضع المال في النقب، وعليه فيتعيّن القطع على من هو خارجٌ عن الدار، وأخذه من النقب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اندفاع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الإخراج وإنْ تحقّق بفعل الخارج، إلّا أنّه لكونه تمام السَّبب لا السَّبب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8" w:name="pg11384_112517"/>
    </w:p>
    <w:p>
      <w:pPr>
        <w:pStyle w:val="BookText"/>
        <w:rPr/>
      </w:pPr>
      <w:bookmarkEnd w:id="228"/>
      <w:r>
        <w:rPr>
          <w:rFonts w:ascii="Amiri" w:hAnsi="Amiri" w:eastAsia="Amiri" w:cs="Amiri"/>
          <w:color w:val="111111"/>
          <w:sz w:val="28"/>
          <w:sz w:val="28"/>
          <w:szCs w:val="28"/>
          <w:rtl w:val="true"/>
          <w:lang w:bidi="ar-SA"/>
        </w:rPr>
        <w:t>ويثبتُ بشهادة عَدلين، أو الإقرار مرّتين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 أوّلاً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أخرجه أحدهما من حرزه إلى نصف المسافة كوسط الدار مثلاً، وأخرجه الآخر منه، إذ لاشكّ ولاخلاف في أنّ‌القطع على المُخرِج، مع أنّ فعله جزءُ السَّبب لا تمام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الموضوع هو الإخراج من الحرز، وما فعله الداخل يعدّ من المقدّمات المُعدّة لفعل المخرج، ففعله السَّبب التامّ لا تمام السَّبب</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83471_73709187"/>
      <w:bookmarkStart w:id="230" w:name="_Toc78"/>
      <w:bookmarkEnd w:id="229"/>
      <w:r>
        <w:rPr>
          <w:rtl w:val="true"/>
        </w:rPr>
        <w:t>بيان ما يثبت به السَّرقة</w:t>
      </w:r>
      <w:bookmarkEnd w:id="230"/>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الموجب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حَدّ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عليها، وخصوص ما سيمرّ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الإقرار مرّتين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200"/>
      </w:r>
      <w:r>
        <w:rPr>
          <w:rFonts w:ascii="Amiri" w:hAnsi="Amiri" w:eastAsia="Amiri" w:cs="Amiri"/>
          <w:color w:val="111111"/>
          <w:sz w:val="28"/>
          <w:sz w:val="28"/>
          <w:szCs w:val="28"/>
          <w:rtl w:val="true"/>
          <w:lang w:bidi="ar-SA"/>
        </w:rPr>
        <w:t xml:space="preserve">أنّه لا يُقطع بالإقرار مرّة واحدة،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الإجماع عليه، والنصوص الواردة فيه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الإقرار مرّتين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السّارق حتّى يقرّ بالسَّرقة </w:t>
      </w:r>
    </w:p>
    <w:p>
      <w:pPr>
        <w:pStyle w:val="BookText"/>
        <w:rPr/>
      </w:pPr>
      <w:r>
        <w:rPr>
          <w:rFonts w:ascii="Amiri" w:hAnsi="Amiri" w:eastAsia="Amiri" w:cs="Amiri"/>
          <w:color w:val="111111"/>
          <w:sz w:val="28"/>
          <w:sz w:val="28"/>
          <w:szCs w:val="28"/>
          <w:rtl w:val="true"/>
          <w:lang w:bidi="ar-SA"/>
        </w:rPr>
        <w:t>مرّتين، ولا يُرجم الزّاني حتّى يقرّ أربع مرّات</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 من يتوقّف فيه سوى علي بن السِّندي، وقد قيل بحُسنه، مع أنّ ضعفه لو كان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فإن رَجَع ضَمِن السَّرقة ولم يقطع إذا لم يكن شهود</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عثمان،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عيسى بن موسى فاُتي بسارقٍ وعنده رجلٌ من آل عمر، فأقبل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السّارق إذا أقرّ على نفسه أنّه سرق‌؟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تقولُ في الزّنا إذا أقرّ على نفسه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يمنعكم من السّارق إذا أقرّ على نفسه مرّتين أن تقطعوه فيكون بمنزلة الزّاني</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القطع بالإقرار مرّة كصحيح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 الرّجل الحُرّ علينفسه بالسَّرقة مرّة واحدة عندالإمام قطع</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 الظرف متعلّقاً بالسَّرقة فيكون لدفع توهم أن لا قَطع ما لم تتكرّر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السَّرقة، فيكون مجملاً في عدد الإقرار، أو كون القطع بمعنى القطع عن الإقرار ثانياً، خلاف الظاهر جدّاً، لا يُصار إليه بلا قرينة، وإلّا جرى الاحتمال الأوّل في النصوص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القطع بعد الإقرار ثلاث مرّات، كخبر الأصبغ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أسودٍ اُتي وقالوا إنّه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أنتَ 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أنتَ 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قلتها ثالثةً قَطعتُ يمينك يا أسود، أنتَ 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يمين الأسود</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الأخيرة مضافاً إلى ضعف سندها، لم يَعمل بها أحدٌ، مع أنّها في إقرار العبد الذي بنائهم على عدم حجيّته ولو كان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الأوليتان فربما يُجمع بينهما بحمل الثانية على الإقرار عند الإمام، والأُولى على الإقرار عند غيره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احتماله، وهذا وإنْ كان يشهد به القييد بذلك بصحيح الفضيل، لكن لعدم العامل بذلك حتّى المصنّف رحمه الله فإنّه احتمل ذلك، والاحتمال غير العمل لا يُعتنى به، فالظاهر تعارض الطائفتين، والترجيح للنصوص الأولى للشهرة التي هي أوّل المرجّحات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الإقرار مرّتين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 غُرم المال المرّة، وشهادة الواحد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تابَ قبل البيِّنة سَقَط الحَدُّ لا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غرم المال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الواحد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بالقطع، وفي غيره يرجع إلى قواعد باب القضاء، وهي تقتضي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 الأوّل، وعلى المشهور في الثاني، والمستند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فالسارق إذا جاء من قِبل نفسه تائباً إلى اللّه تعالى ورَدّ سرقته على صاحبها، فلا قَطع عليه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كالصحيح،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أو شرب الخمر أو زنى، فلم يعلم ذلك منه، ولم يؤخذ حتّى تاب وصَلُح‌؟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وعُرف منه أمرٌ جميل، لم يقم عليه الحَدّ</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ودلالتهما على سقوط الحَدّ قبل قيام البيّنة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مقتضى إطلاقهما ذلك، ولكنّه لو تمّ تعيّن تقييده بمرسل البرقي عن بعض الصادقين عليهم السلام في حديثٍ‌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فليس للإمام أن يعفو، وإذا أقرّ الرّجل على نفسه فذاك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تابَ بعد الإقرار تخيَّر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إنْ شاءَ عفى وإنْ شاء قَطَع</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خبر طلحة، وقريبٌ منه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إذ النسبة عليهذا التقدير بين الطائفتين وإنْ كانت عموماً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إنّما هما في العفو، ولا ربط لهما بمسقطيّة التوبة، والأوّلان يدلّان على مسقطيّة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فالمتعيّن هو التقييد بالإجماع، إذ الظاهر تسالمهم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Style w:val="FootnoteAnchor"/>
          <w:rtl w:val="true"/>
        </w:rPr>
        <w:footnoteReference w:id="1212"/>
      </w:r>
      <w:r>
        <w:rPr>
          <w:rFonts w:ascii="Amiri" w:hAnsi="Amiri" w:eastAsia="Amiri" w:cs="Amiri"/>
          <w:color w:val="111111"/>
          <w:sz w:val="28"/>
          <w:sz w:val="28"/>
          <w:szCs w:val="28"/>
          <w:rtl w:val="true"/>
          <w:lang w:bidi="ar-SA"/>
        </w:rPr>
        <w:t>ورد في الزِّنا الدّال على أنّه لا يسقط الحَدّ بالتوبة بعد قيام البيّنة، بدعوى الأولويّة، فإنّ الحَدّ في الزّنا للّه تعالى‌، وهنا لحقّ النّاس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الإقرار، 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وظاهر أكثر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الأكثر، وصريح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يتحتّم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الجحود بعد الإقرار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جملة منهاعلى التحتّم، كصحيح الحلبي، عن الإمام الصادق عليه السلام،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على نفسه عند الإمام أنّه سرق، ثُمّ جَحَد قُطعت يده وإن رغم أنفه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محمّد بن مسلم، عنه عليه السلام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والدّال طائفة منها على التخيّير كخبري طلحة والبرقي المتقدّمين، بدعوى أنّ ظاهر الأصحاب عدم القول بالفرق بين الجحود والتوبة في المقام، فمن قال بالتخيّير في الجحود قال به في التوبة، وكذا من قال بتحتّم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سُلّم عدم القول بالفصل، الأظهر في تلك المسألة تقديم الصحيحين، لأصحيّة السند وأشهريّتهما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هناك ظهور الصحيحين في لزوم القطع، والخبران صريحان في جواز العفو، وحمل الظاهر على النّص يقتضي البناء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ليس فيهما التخيير بعد الرجوع، بل ظاهرهما ثبوته للإمام مطلقاً، ولو لم يرجع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يقيّدان بصورة الرجوع بالإجماع، فالأظهر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يشملان صورة التوبة، والصحيحان مختصّان بصورة الجحود، وعدم القول بالفصل غير ثابت، فالمستندُ في المقام خصوص الخبرين، وعليه فالصحيحان أخصّ مطلق منهما، والجمع الموضوعي مقدّمٌ على الجمع الحكمي، فيقيّد إطلاق الخبرين بهما، فيختصّ الخبران بصورة التوبة، والصحيحان بصورة الجحود بعد الإنكار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 المقام التخيير، وفي تلك المسألة تحتّم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1" w:name="pg11384_112523"/>
    </w:p>
    <w:p>
      <w:pPr>
        <w:pStyle w:val="BookText"/>
        <w:rPr/>
      </w:pPr>
      <w:bookmarkEnd w:id="231"/>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اثنان نصاباً، فالأقوى سقوط الحَدّ عنهما حتّى يبلغ نصيب كلّ واحدٍ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السّارق موقوفٌ على المرافعة، فلو لم يرافعه المسروق منه لم يقطع الإمام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83473_73709187"/>
      <w:bookmarkStart w:id="233" w:name="_Toc79"/>
      <w:bookmarkEnd w:id="232"/>
      <w:r>
        <w:rPr>
          <w:rtl w:val="true"/>
        </w:rPr>
        <w:t>قطع السّارق موقوفٌ على المرافعة</w:t>
      </w:r>
      <w:bookmarkEnd w:id="2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اثنان نصاباً، فالأقوى سقوط الحَدّ عنهما حتّى يبلغ نصيب كلّ واحدٍ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المسألة السابعة من المقام الرابع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ومطالبة من سرق منه برفعه إلى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يرافعه المسروق منه، لم يَقطع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قامت البيِّنة عنده حسبةً‌، أو علم به الحاكم، أو أقرّ به عنده مرّتين، والمستند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ولا يحتاج إلى بيّنةٍمع نظره، لأنّه أمين اللّه في خلقه، وإذا نظر إلى رجلٍ يسرق أن يزبره وينهاه ويمضي ويدعه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وإذا كان للناس فهو للناس</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وَهَبه أو عَفى عن القطع، سَقَط إنْ كان قبل المرافعة،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 بحقّ أحدٍ من حقوق المسلمين، فليس على الإمام أن يقيم عليه الحَدّ الذي أقرّ به عنده حتّى يحضر صاحب حقّ الحَدّ، أو وليّه ويطلبه بحقّه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إذا ثبت بالإقرار، لعموم النصوص المعتضد بوجوه استحسانيّة، ولا يصغى إلى شيءٍ منها بعد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عَفى عن القطع، سَقَط إنْ كان قبل المرافعة،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الحلبي المتقدّم، المتضمّن لقضيّة صفوان، فإنّ صفوان بعدما رأى حكمه صلى الله عليه و آله بقطع يد سارق ردائه،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العفو قبل أن ينتهي إلى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سارقاً فعفى عنه فذلك له، فإذا رفع إلى الإمام قطعه، فإنْ قال الذي سرق منه أنا أهبه له، لم يدعه الإمام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النصاب دفعةً‌، وجبَ القطع، وكذا لو أخرجه مراراً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يقطعه إذا رفعه إليه، وإنّما الهبة قبل أن يرفع إلى الإمام، الحديث</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يقيّد إطلاق صحيح ضريس،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للّه دون الإمام، فأمّا ما كان من حقّ النّاس فلا بأس بأن يعفى عنه دون الإمام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إنْ عَفى فيما له ذلك، فليس له بعد ذلك إقامة الدّعوى عليه، بلا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لفرض سقوط الحَدّ، فلا وجه لعوده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سماعة،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عفى عن قاذفه ثُمّ بدا له أن يقدمه حتّى يجلده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بعد العفو</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النصاب دفعةً 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أخرجه مراراً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هنا،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الوالد من مال ولده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وأبي الصّلاح</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قصر الزمان الفاصل بنحوٍ يعدّ المجموع سرقة واحدة عرفاً فالقطع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طال بحيث لا يُسمّى سرقة واحدة فعدمه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أخرج نصاباً، واشتراط المرّة في الإخراج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صدق السَّرقة الواحدة على السرقات العديدة، ليس هناك سرقة متّصفة بكونها سرقة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القطع اتّصاف السَّرقة الواحدة بكونها سرقة النصاب، بل الموضوع في النصوص كون السّارق سارقاً لشيء يبلغ النصاب، وهذا يصدق مع تعدّد السرقات، فالقطع مطلقاً أظهر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الوالدُ من مال وَلده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الحجّة فيه، ويعضده ما دلّ‌</w:t>
      </w:r>
      <w:r>
        <w:rPr>
          <w:rStyle w:val="FootnoteAnchor"/>
          <w:rtl w:val="true"/>
        </w:rPr>
        <w:footnoteReference w:id="1234"/>
      </w:r>
      <w:r>
        <w:rPr>
          <w:rFonts w:ascii="IRNazanin" w:hAnsi="IRNazanin" w:eastAsia="IRNazanin"/>
          <w:color w:val="111111"/>
          <w:sz w:val="28"/>
          <w:sz w:val="28"/>
          <w:szCs w:val="28"/>
          <w:rtl w:val="true"/>
          <w:lang w:bidi="fa-IR"/>
        </w:rPr>
        <w:t>على عدم قتل الوالد بالولد، وما دلّ‌</w:t>
      </w:r>
      <w:r>
        <w:rPr>
          <w:rStyle w:val="FootnoteAnchor"/>
          <w:rtl w:val="true"/>
        </w:rPr>
        <w:footnoteReference w:id="1235"/>
      </w:r>
      <w:r>
        <w:rPr>
          <w:rFonts w:ascii="IRNazanin" w:hAnsi="IRNazanin" w:eastAsia="IRNazanin"/>
          <w:color w:val="111111"/>
          <w:sz w:val="28"/>
          <w:sz w:val="28"/>
          <w:szCs w:val="28"/>
          <w:rtl w:val="true"/>
          <w:lang w:bidi="fa-IR"/>
        </w:rPr>
        <w:t>على أنّ الولد وماله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سَرَق الولدُ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اليمين وإنْ كانت إحدى يديه أو هما شلّاوين، أو لم يكن له يسارٌ، ولو لم يكن له يمينٌ قطعت يساره،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معقد الإجماع الأب وإنْ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سرق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والده المُحرَز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اليمين وإنْ كانت إحدى يديه أو هما شلّاوين، أو لم يكن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 المسألة في تنبيهات المقام الثالث، وبيّنا أنّ الأظهر عدم قطع يمين من ليس له يسار، كما أنّه بيّنا هناك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صرّح بعضٌ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له يمينٌ قُطعت يساره، وقيل يُقطع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غير تامّين، وأنّ الأظهر سقوط الحَدّ والانتقال إلى التعزير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4" w:name="pg11384_112528"/>
    </w:p>
    <w:p>
      <w:pPr>
        <w:pStyle w:val="BookText"/>
        <w:rPr/>
      </w:pPr>
      <w:bookmarkEnd w:id="234"/>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المحارب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جَرَّد السِّلاح للإخافة في برٍّ أو بحرٍ، ليلاً أو نهاراً</w:t>
      </w:r>
    </w:p>
    <w:p>
      <w:pPr>
        <w:pStyle w:val="Heading3"/>
        <w:numPr>
          <w:ilvl w:val="2"/>
          <w:numId w:val="1"/>
        </w:numPr>
        <w:rPr/>
      </w:pPr>
      <w:bookmarkStart w:id="235" w:name="__RefHeading___Toc283475_73709187"/>
      <w:bookmarkStart w:id="236" w:name="_Toc80"/>
      <w:bookmarkEnd w:id="235"/>
      <w:r>
        <w:rPr>
          <w:rtl w:val="true"/>
        </w:rPr>
        <w:t>الفصل الثاني عشر في حَدّ المُحارب</w:t>
      </w:r>
      <w:bookmarkEnd w:id="236"/>
    </w:p>
    <w:p>
      <w:pPr>
        <w:pStyle w:val="Heading4"/>
        <w:numPr>
          <w:ilvl w:val="3"/>
          <w:numId w:val="1"/>
        </w:numPr>
        <w:rPr/>
      </w:pPr>
      <w:bookmarkStart w:id="237" w:name="__RefHeading___Toc283477_73709187"/>
      <w:bookmarkStart w:id="238" w:name="_Toc81"/>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المحارب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المحارب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جَرّد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أو غيره كالحَجَر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للإخافة في برٍّ أو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المحارب من أهل الإخافة، بأن كان ضعيفاً عنها، ولا من أهل الفتنة ولا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الفقهاء مُشعراً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كونه من أهل الرِّيبة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الذكورة، ووافقه الحِلّي</w:t>
      </w:r>
      <w:r>
        <w:rPr>
          <w:rStyle w:val="FootnoteAnchor"/>
          <w:rtl w:val="true"/>
        </w:rPr>
        <w:footnoteReference w:id="1240"/>
      </w:r>
      <w:r>
        <w:rPr>
          <w:rFonts w:ascii="Amiri" w:hAnsi="Amiri" w:eastAsia="Amiri" w:cs="Amiri"/>
          <w:color w:val="111111"/>
          <w:sz w:val="28"/>
          <w:sz w:val="28"/>
          <w:szCs w:val="28"/>
          <w:rtl w:val="true"/>
          <w:lang w:bidi="ar-SA"/>
        </w:rPr>
        <w:t>في أوّل كلامه، وطَعَن على الشيخ رحمه الله الملتزم بعدم اعتبارها،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لأصحابنا المصنّفين قولاً في قتل النساء في المحاربة، ولكنّه في آخر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قلنا إنّ أحكام المحاربين تتعلّق </w:t>
      </w:r>
    </w:p>
    <w:p>
      <w:pPr>
        <w:pStyle w:val="BookText"/>
        <w:rPr/>
      </w:pPr>
      <w:r>
        <w:rPr>
          <w:rFonts w:ascii="Amiri" w:hAnsi="Amiri" w:eastAsia="Amiri" w:cs="Amiri"/>
          <w:color w:val="111111"/>
          <w:sz w:val="28"/>
          <w:sz w:val="28"/>
          <w:szCs w:val="28"/>
          <w:rtl w:val="true"/>
          <w:lang w:bidi="ar-SA"/>
        </w:rPr>
        <w:t>بالنساء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ذلك ونحوه منه عقوبة على سوء أدبه مع الشيخ وغيره من أساطين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فالأظهر ما هو المشهور بين الأصحاب، لاحظ صحيح محمّد ابن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السِّلاح في مصرٍ من الأمصار فعقر اقتُصَّ منه، ونُفي من تلك البلد، ومن شَهَر السِّلاح في مصرٍ من الأمصار، وضَرَب وعَقَر وأخذ المال ولم يَقتل، فهو محاربٌ‌، فجزاءه جزاء المحارب، وأمره إلى الإمام إن شاء قَتَله وصلبه، وإن شاء قَطَع يده ورجله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 وقتل وأخذ المال، فَعَلى الإمام أن يقطع يده اليمنى بالسَّرقة، ثمّ يدفعه إلى أولياء المقتول فيتبعونه بالمال، ثمّ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عَفى عنه أولياء المقتول‌؟</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 عنه كان على الإمام أن يقتله، لأنّه قد حارب وقَتَل وسَرق، الحديث</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كما ترى عامٌ يشمل أحكامه الذكر والاُنثى‌،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وشاملٌ لمن كان من أهل الربية أو لم يكن، ولكون ذلك في الليل أو النهار،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ومورده المصر فما عن بعضهم من اعتبار كونه في البَرّ والمواضع البعيدة عن العمران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احتمالُ اعتبار ذلك، وكثيرٌ ممّا قيل باعتباره في المقام، الآية الكريمة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ضريس،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السِّلاح باللّيل فهو محاربٌ‌، إلّا أن يكون رجلاً ليس من أهل الرِّيبة</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فلا يدلّ على اعتبار كونه من أهل الرِّيبة، بحيث إذا جَرّد السِّلاح لإخافة النّاس لا يكون محارباً، فإنّ مفاده أنّ مجرّد حمل السِّلاح باللّيل لا يوجبُ صدق المحارب عليه، إذا لم يكن من أهل الرِّيبة، بخلاف من كان من أهلها، فإنّه يُحكم بذلك وإن لم يعلم أنّ قصده الإخافة، وبذلك يظهر وجه التقييد باللّيل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9" w:name="pg11384_112531"/>
    </w:p>
    <w:p>
      <w:pPr>
        <w:pStyle w:val="BookText"/>
        <w:rPr/>
      </w:pPr>
      <w:bookmarkEnd w:id="239"/>
      <w:r>
        <w:rPr>
          <w:rFonts w:ascii="Amiri" w:hAnsi="Amiri" w:eastAsia="Amiri" w:cs="Amiri"/>
          <w:color w:val="111111"/>
          <w:sz w:val="28"/>
          <w:sz w:val="28"/>
          <w:szCs w:val="28"/>
          <w:rtl w:val="true"/>
          <w:lang w:bidi="ar-SA"/>
        </w:rPr>
        <w:t>تخيّر الإمام بين قتله، وصَلْبه، وقطعه مخالفاً ونفيه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83479_73709187"/>
      <w:bookmarkStart w:id="241" w:name="_Toc82"/>
      <w:bookmarkEnd w:id="240"/>
      <w:r>
        <w:rPr>
          <w:rtl w:val="true"/>
        </w:rPr>
        <w:t>كيفيّة حَدّ المحارب</w:t>
      </w:r>
      <w:bookmarkEnd w:id="24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حَدّ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حَدّ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القتل أو الصلب أو القطع مخالفاً، بأن تُقطع اليد اليمنى والرِّجل اليسرى كما في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بين الأصحاب في أنّ ذلك على نحو التخيّير أو الترتيب‌؟</w:t>
      </w:r>
    </w:p>
    <w:p>
      <w:p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1246"/>
      </w:r>
      <w:r>
        <w:rPr>
          <w:rFonts w:ascii="Amiri" w:hAnsi="Amiri" w:eastAsia="Amiri" w:cs="Amiri"/>
          <w:color w:val="111111"/>
          <w:sz w:val="28"/>
          <w:sz w:val="28"/>
          <w:szCs w:val="28"/>
          <w:rtl w:val="true"/>
          <w:lang w:bidi="ar-SA"/>
        </w:rPr>
        <w:t>، والديلمي</w:t>
      </w:r>
      <w:r>
        <w:rPr>
          <w:rStyle w:val="FootnoteAnchor"/>
          <w:rtl w:val="true"/>
        </w:rPr>
        <w:footnoteReference w:id="1247"/>
      </w:r>
      <w:r>
        <w:rPr>
          <w:rFonts w:ascii="Amiri" w:hAnsi="Amiri" w:eastAsia="Amiri" w:cs="Amiri"/>
          <w:color w:val="111111"/>
          <w:sz w:val="28"/>
          <w:sz w:val="28"/>
          <w:szCs w:val="28"/>
          <w:rtl w:val="true"/>
          <w:lang w:bidi="ar-SA"/>
        </w:rPr>
        <w:t>، والحِلّي</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رحمه الله هنا، حيث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الإمام بين قتله وصلبه وقطعه مخالفاً ونفيه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والإسكافي</w:t>
      </w:r>
      <w:r>
        <w:rPr>
          <w:rStyle w:val="FootnoteAnchor"/>
          <w:rtl w:val="true"/>
        </w:rPr>
        <w:footnoteReference w:id="1250"/>
      </w:r>
      <w:r>
        <w:rPr>
          <w:rFonts w:ascii="Amiri" w:hAnsi="Amiri" w:eastAsia="Amiri" w:cs="Amiri"/>
          <w:color w:val="111111"/>
          <w:sz w:val="28"/>
          <w:sz w:val="28"/>
          <w:szCs w:val="28"/>
          <w:rtl w:val="true"/>
          <w:lang w:bidi="ar-SA"/>
        </w:rPr>
        <w:t>، والتقي</w:t>
      </w:r>
      <w:r>
        <w:rPr>
          <w:rStyle w:val="FootnoteAnchor"/>
          <w:rtl w:val="true"/>
        </w:rPr>
        <w:footnoteReference w:id="1251"/>
      </w:r>
      <w:r>
        <w:rPr>
          <w:rFonts w:ascii="Amiri" w:hAnsi="Amiri" w:eastAsia="Amiri" w:cs="Amiri"/>
          <w:color w:val="111111"/>
          <w:sz w:val="28"/>
          <w:sz w:val="28"/>
          <w:szCs w:val="28"/>
          <w:rtl w:val="true"/>
          <w:lang w:bidi="ar-SA"/>
        </w:rPr>
        <w:t>، وابن زُهرة</w:t>
      </w:r>
      <w:r>
        <w:rPr>
          <w:rStyle w:val="FootnoteAnchor"/>
          <w:rtl w:val="true"/>
        </w:rPr>
        <w:footnoteReference w:id="1252"/>
      </w:r>
      <w:r>
        <w:rPr>
          <w:rFonts w:ascii="Amiri" w:hAnsi="Amiri" w:eastAsia="Amiri" w:cs="Amiri"/>
          <w:color w:val="111111"/>
          <w:sz w:val="28"/>
          <w:sz w:val="28"/>
          <w:szCs w:val="28"/>
          <w:rtl w:val="true"/>
          <w:lang w:bidi="ar-SA"/>
        </w:rPr>
        <w:t>، وأتباع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الإرشاد</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بالترتيب اختلفوا 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الراوندي</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إنْ قَتَل قصاصاً إنْ كان المقتول مكافئاً له، ولم يعف الوليّ‌، وإلّا قتله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قَتَل وأخذ المال استُعِيد منه، وقُطع مخالفاً ثمّ 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المال ولم يَقتل، قُطع مخالفاً ونُفي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ولم يأخذ المال، اقتصّ منه ونُفي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اقتصر على شَهر السِّلاح نفي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قَتَل قُتِل، وإنْ قَتَل وأخذ المال قُتل وصُلب، وإنْ اقتصر على أخذ المال قُطع من خلافٍ‌، ولو اقتصر على الإخافة فإنّما عليه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يُنفى على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يتحتّم عليه القتل إذا قَتَل لأخذ المال، وأمّا إن قَتَل لغيره فالقِود واجبٌ غير متحتّم، أي يجوز لوليّ المقتول العفو مجاناً وعلى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حجّةً على شيء من هذه الكيفيّات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القول الأوّل، لأنّ الأصل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القرآن للتخيير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منها صريحة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الآية أيّ شيءٍ عليه من هذه الحدود التي سَمّى اللّه عزّ وجلّ؟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إن شاء قَطَع، وإن شاء نَفى، وإن شاء صَلَب، وإن شاء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إلى مصر آخر</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سماعة</w:t>
      </w:r>
      <w:r>
        <w:rPr>
          <w:rStyle w:val="FootnoteAnchor"/>
          <w:rtl w:val="true"/>
        </w:rPr>
        <w:footnoteReference w:id="1262"/>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عبداللّه عليه السلام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نحو الجناية</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نصوصٌ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المتقدّم، وهو يدلّ على التخيير بين الاُمور الأربعة مع عدم القتل، وتحتّم القتل معه، وجعله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جامعاً بين الأخبار،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وهو أولى من القول بالترتيب الذي ذكره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الترتيب على ما أفاده الأوّلون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عبيدبن بشر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قاطع الطريق، وقلت إنّ النّاس يقولون إنّ الإمام فيه مخيّرٌ أي شيء صنع‌؟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أيّ شيء صنع، ولكنّه يصنعُ بهم على قدر 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الطريق، فَقَتل وأخذ المال، قُطعت يده ورجله وصُلب، ومن قَطَع الطريق وقَتَل ولم يأخذ المال قُتِل، ومن قَطعَ الطريق وأخذ المال ولم يقتل، قُطعت يده ورجله، ومن قَطَع الطريق ولم يأخذ مالاً ولم يَقتل نُفي من الأرض</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على القول الأوّل من الترتيب، إلّامن جهة عدم التعرّض لصورة الجَرح، ولعلّ مدرك الاقتصاص فيها عموم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عُبيداً مجهولٌ‌، واستناد الأصحاب إلى ذلك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أحمد بن الفضل الخاقاني، عن أبي جعفر الثاني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أخافوا السبيل فقط، ولم يقتلوا أحداً، ولم يأخذوا مالاً، أمرَ بإيداعهم الحبس، فإنّ ذلك معنى نفيهم من الأرض بإخافتهم السبيل، وإنْ كانوا أخافوا السبيل، وقتلوا النفس أمر بقتلهم، وإنْ كانوا أخافوا السبيل وقتلوا النفس، وأخذوا المال، أمر بقطع أيديهم وأرجلهم من خلافٍ وصَلبهم بعد ذلك</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ما لا يقولون به، وهو الحبس، فهذا القول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من أقوال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بما رواه عبيد اللّه المدائني، عن أبي الحسن الرّضا عليه السلام، ورواه عبيد اللّه عن أبي عبد اللّه عليه السلام، ومحمّد بن إسحاق عن أبي الحسن عليه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اَلْأَرْضِ فَساداً</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ورسوله، وسَعى في الأرض فساداً فقَتَل قُتِل به، وإن قَتَل وأخذ المال قُتل وصُلب، إنْ أخذ المال ولم يقتُل قُطعت يده ورجله من خلافٍ‌، وإن شَهَر السّيف وحاربَ اللّه ورسول اللّه، وسَعى في الأرض فساداً، ولم يقتل، ولم يأخذ المال، نُفي من الأرض، الحديث</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ذلك مرسل داود الطائي، عن أبي عبد اللّه عليه السلام</w:t>
      </w:r>
      <w:r>
        <w:rPr>
          <w:rStyle w:val="FootnoteAnchor"/>
          <w:rtl w:val="true"/>
        </w:rPr>
        <w:footnoteReference w:id="1271"/>
      </w:r>
      <w:r>
        <w:rPr>
          <w:rFonts w:ascii="Amiri" w:hAnsi="Amiri" w:eastAsia="Amiri" w:cs="Amiri"/>
          <w:color w:val="111111"/>
          <w:sz w:val="28"/>
          <w:sz w:val="28"/>
          <w:szCs w:val="28"/>
          <w:rtl w:val="true"/>
          <w:lang w:bidi="ar-SA"/>
        </w:rPr>
        <w:t>، وخبر علي بن حسّان، عن أبي جعفر عليه السلام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ضعيفٌ لمحمّد بن سليمان الديلمي، فإنّه في الطريق بجميع طرق الخبر، ولعبيد اللّه، والمرسل لإرساله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حسّان، فهو وإنْ كان على ما ذكره المصنّف من وثاقته موثّقاً، لكنّها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شيئاً منها لا يدلّ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في الأخيرين، كما لا دلالة في شيء منها على التفصيل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القتل لأخذ المال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بعض نصوص اُخر ضعيف لا دلالة فيه على شيء من الأقوال المتقدّمة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بالتخيّير، ثمّ ما يستفاد من صحيح محمّد ابن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تابَ قبل القدرة عليه سَقَط الحَدُّ دون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تابَ بعدها لم يسقط، وإذا نُفي كُتِب إلى كلّ بلدٍ بالمنع من معاملته ومؤاكلته ومجالسته إلى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التخيير معارضة مع الصحيح، فلأيّ شيء تقدّم تلك النصوص‌؟</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الأكثر، ولموافقة الكتاب،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فروعاً ينبغي التعرّض لحكمها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تابَ قبل القدرة عليه،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ولكن يختصّ السقوط 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الآية بالحَدّ، ولأنّه لا مدخليّة للتوبة في حقّ النّاس المتوقّف سقوطه على إسقاط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بعدها،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للأصل ولمفهوم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نُفي كُتب إلى كلّ بلدٍ بالمنع من معاملته ومؤاكلته ومجالسته إلى أن يتوب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يتب، استمرّ النفي إلى أن يموت، كما هو المشهور بين الأصحاب، وعن بعضهم الإجماع</w:t>
      </w:r>
      <w:r>
        <w:rPr>
          <w:rStyle w:val="FootnoteAnchor"/>
          <w:rtl w:val="true"/>
        </w:rPr>
        <w:footnoteReference w:id="127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سعيد</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نفيه نفياً شبيهاً بالصلب والقتل، تُثقل رِجلاه، ويُرمى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والنصوص الدالّة على النفي من الأرض، الظاهرة في النفي إلى الأبد، خرج ما لو تاب بالإجماع،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ما ذكروه من إعلام كلّ بلدٍ يصلُ إليه بالامتناع منه على الوجه المزبور، لينتقل إلى آخر، لأنّ النفي من الأرض كناية عن ذلك، إذ لايخرج عن مجموع الأرض، ولكن لمّا لم يقرّ على أرضٍ كان في معنى النفي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حنّان، عن الإمام الصادق عليه السلام في تفسير الآية الشريفة،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لايُبايَع ولا يُؤوى ولا يُتصدّق عليه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المدائني، عن الإمام الرّضا عليه السلام في حديث المحارب،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وما حَدّ نفيه‌؟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ويكتب إلى أهل ذلك المصر أنّه منفيٌّ فلا تجالسوه ولا تبايعوه ولا تناكحوه ولا تؤاكلوه ولا تشاربوه، فيفعل ذلك به سنةً‌، فإن خرج من ذلك المصر إلى غيره كُتب إليهم بمثل ذلك حتّى تتمّ السَّنة</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الخبر صريحٌ في التحديد بالسنة، وضعفه منجبرٌ بالعمل به بالنسبة إلى إعلام كلّ بلدٍ يصلُ إليه بالامتناع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الأصحاب ليس هذا الخبر، فإنّه مذيّلٌ بأنّه إن دخل في أرض الشرك قوتل أهلها، ولم يفتِ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العمل ببعض الخبر المنجبر بالعمل دون بعضٍ غير منجبرٍ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به في التقييد بالسَّنة لعدم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خبر عبد اللّه بن طلحة</w:t>
      </w:r>
      <w:r>
        <w:rPr>
          <w:rStyle w:val="FootnoteAnchor"/>
          <w:rtl w:val="true"/>
        </w:rPr>
        <w:footnoteReference w:id="1279"/>
      </w:r>
      <w:r>
        <w:rPr>
          <w:rFonts w:ascii="Amiri" w:hAnsi="Amiri" w:eastAsia="Amiri" w:cs="Amiri"/>
          <w:color w:val="111111"/>
          <w:sz w:val="28"/>
          <w:sz w:val="28"/>
          <w:szCs w:val="28"/>
          <w:rtl w:val="true"/>
          <w:lang w:bidi="ar-SA"/>
        </w:rPr>
        <w:t>، لكن لمعارضته مع ما تقدّم، وإعراض الأصحاب عنه، لا يُعتمد عليه، ولا يَصلُح للمقاومة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المراد بالنفي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بين الأصحاب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إن صُلب بعد القتل، أو صُلب وهو حَيٌّ على القول بالتخيير، لأنّه أحد أفراده القسيم للقتل، لا يُترك على الخشبة أكثر من ثلاثة ثمّ يُنزل ويُجهّز عليه بما يجب، للنصوص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المصلوب بعد ثلاثة أيّام حتّى ينزل فيدفن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صَلَب رجلاً بالحيرة ثلاثة أيّام، ثمّ أنزله في اليوم الرابع فصلّى عليه ودفنه</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يُنزّل عن الخشبة بعد ثلاثة أيّام، ويُغسّل ويُدفن، ولا يجوز صلبه أكثر من ثلاثة أيّام</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صُلِب حَيّاً ولم يمت قبل ثلاثة أيّام، فقد يقال إنّه يُنزّل ويُجْهَز عليه لإطلاق النصوص، ولكنّها منصرفة إلى صورة عدم الحياة، فيبقى حتّى يموت، ولا يُترك بعده أكثر من ثلاثة أيّام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وجوب تغسيله محرّرٌ في كتاب الطهارة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2" w:name="pg11384_112541"/>
    </w:p>
    <w:p>
      <w:pPr>
        <w:pStyle w:val="BookText"/>
        <w:rPr/>
      </w:pPr>
      <w:bookmarkEnd w:id="242"/>
      <w:r>
        <w:rPr>
          <w:rFonts w:ascii="Amiri" w:hAnsi="Amiri" w:eastAsia="Amiri" w:cs="Amiri"/>
          <w:color w:val="111111"/>
          <w:sz w:val="28"/>
          <w:sz w:val="28"/>
          <w:szCs w:val="28"/>
          <w:rtl w:val="true"/>
          <w:lang w:bidi="ar-SA"/>
        </w:rPr>
        <w:t>واللِّص محاربٌ‌</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83481_73709187"/>
      <w:bookmarkStart w:id="244" w:name="_Toc83"/>
      <w:bookmarkEnd w:id="243"/>
      <w:r>
        <w:rPr>
          <w:rtl w:val="true"/>
        </w:rPr>
        <w:t>أحكام اللِّص إذا دخل داراً</w:t>
      </w:r>
      <w:bookmarkEnd w:id="24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وهو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سلاحاً وما في معناه،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لما مرّ في بيان حقيقة المحارب، وإن لم يكن معه سلاحٌ‌، بل يريد اختلاس المال والهَرب، فمقتضى إطلاق الفتاوى والنصوص كونه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اللِّص محاربٌ للّه ولرسوله فاقتلوه، فما دخل عليك فعليّ‌</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يريدُ أهلك ومالك، فإن استطعتَ أن تبدره وتضربه فابدره واضربه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للّه ولرسوله فاقتله، فما منك منه فهو عليّ‌</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عموم التنزيل في باديء النظر أنّ حكمه حكم المحارب مطلقاً، ويجري عليه حكم المحارب، ولكن حيث إنّه من المعلوم بالبداهة أنّه إنْ رُفع إلى الحاكم لا يَجري عليه حكم المحارب، فيعلم أنّ المراد بهما أنّه بحكم المحارب في أنّه يجوز دفعه ولو بالقتال، وأنّه لو قُتل بعد ذلك فدَمه هَدرٌ، وعليذلك فيتّجه ما أفادوه </w:t>
      </w:r>
    </w:p>
    <w:p>
      <w:pPr>
        <w:pStyle w:val="BookText"/>
        <w:rPr/>
      </w:pPr>
      <w:r>
        <w:rPr>
          <w:rFonts w:ascii="Amiri" w:hAnsi="Amiri" w:eastAsia="Amiri" w:cs="Amiri"/>
          <w:color w:val="111111"/>
          <w:sz w:val="28"/>
          <w:sz w:val="28"/>
          <w:szCs w:val="28"/>
          <w:rtl w:val="true"/>
          <w:lang w:bidi="ar-SA"/>
        </w:rPr>
        <w:t>يُدفع مع غلبة السَّلامة،</w:t>
      </w:r>
    </w:p>
    <w:p>
      <w:pPr>
        <w:pStyle w:val="BookText"/>
        <w:rPr/>
      </w:pPr>
      <w:r>
        <w:rPr>
          <w:rFonts w:ascii="Amiri" w:hAnsi="Amiri" w:eastAsia="Amiri" w:cs="Amiri"/>
          <w:color w:val="111111"/>
          <w:sz w:val="28"/>
          <w:sz w:val="28"/>
          <w:szCs w:val="28"/>
          <w:rtl w:val="true"/>
          <w:lang w:bidi="ar-SA"/>
        </w:rPr>
        <w:t>من أنّه لا يجوزُ قَتله ابتداءً‌، بل يُراعى فيه مراتب الأمر بالمعروف والنهي عن المنكر، فيتدرّج في الدفع من الأدنى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مطلقاً، وكذا عن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غلبة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تغلّب عليه، كما قال الأصحاب</w:t>
      </w:r>
      <w:r>
        <w:rPr>
          <w:rStyle w:val="FootnoteAnchor"/>
          <w:rtl w:val="true"/>
        </w:rPr>
        <w:footnoteReference w:id="1286"/>
      </w:r>
      <w:r>
        <w:rPr>
          <w:rFonts w:ascii="Amiri" w:hAnsi="Amiri" w:eastAsia="Amiri" w:cs="Amiri"/>
          <w:color w:val="111111"/>
          <w:sz w:val="28"/>
          <w:sz w:val="28"/>
          <w:szCs w:val="28"/>
          <w:rtl w:val="true"/>
          <w:lang w:bidi="ar-SA"/>
        </w:rPr>
        <w:t>، بل قالوا يجبُ في الأوّل، ولو ظنّ على نفسه التلف، لإطلاق النصوص، ولوجوب حفظ النفس، وغايته العطب، وهو غاية عمل المفسد، فيكون الدفاع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أمكن السَّلامة بالهرب، كان أحد أسباب حفظ النفس، فيجبُ عيناً إن توقّفت عليه، وتخييراً إن أمكنت به 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اللِّص إنْ دخل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السِّلاح للإخافة، فإنّه لا إشكال في أنّ حكمه حينئذٍ حكم المحارب، بل هو محاربٌ حقيقة، لما مرّ من أنّ المحارب يتحقّق في العمران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سلاح، وحينئذٍ فقد يريدُ المال، وقد يريدُ النفس، وقد يريد العِرض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لم يغلب على نفسه السَّلامة إن دفعه، لا يجوزُ له الدفع، لعدم جواز التغرير بالنفس دون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المرسل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السَّفر ومعه جارية له، فيجيء قومٌ يريدون أخذ جاريته، أيمنع جاريته من أن تؤخذ وإنْ خافَ على نفسه القتل‌؟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المال يريدون أخذه في سفره، فيمنعه وإن خاف القتل‌؟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فلضعفه سنداً، ومعارضته مع ما دلّ على عدم وجوب الدفاع عن المال، كصحيح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لتركتُ المال ولم اُقاتل</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يقاتل عن ماله‌؟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أفيقاتل أفضل‌؟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يُقاتل فلا بأس، أمّا أنا لو كنتُ لتركته ولم اُقاتل</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لم يجب القتال والدفاع عن المال، لم يَجُز مع خوف التلف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النفس، وجَبَ الدفاع وإنْ ظنّ التلف، لإطلاق نصوص محاربة اللِّص ودفعه المتقدّم جملةً منها، والآتي بعضها الآخر، وقد عرفت أنّ ذلك فيما إذا لم يتمكّن من حفظ نفسه بالهَرَب، وإلّا فيجبُ تعييناً أو تخييراً إن أمكن به وبغيره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قُتِل فَهَدْرٌ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ظَنَّ‌الهَلاك، فالظاهر جاز الاستسلام،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وغيره، لأولويّة حفظ النفس من حفظ العِرض، كما هو المستفاد من النصوص</w:t>
      </w:r>
      <w:r>
        <w:rPr>
          <w:rStyle w:val="FootnoteAnchor"/>
          <w:rtl w:val="true"/>
        </w:rPr>
        <w:footnoteReference w:id="1293"/>
      </w:r>
      <w:r>
        <w:rPr>
          <w:rFonts w:ascii="Amiri" w:hAnsi="Amiri" w:eastAsia="Amiri" w:cs="Amiri"/>
          <w:color w:val="111111"/>
          <w:sz w:val="28"/>
          <w:sz w:val="28"/>
          <w:szCs w:val="28"/>
          <w:rtl w:val="true"/>
          <w:lang w:bidi="ar-SA"/>
        </w:rPr>
        <w:t>الواردة في المستكرهة على الزّنا، معلّلة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دافع في موردٍ، يجوزُ له الدفاع، أو يجبُ مع مراعاة الموازين فتارةً يُقتل، وأُخرى يَقتل اللِّص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كان كالشهيد في الأجر، ويشهد به صحيح محمّد، وخبر أبي بصير المتقدّمان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295"/>
      </w:r>
      <w:r>
        <w:rPr>
          <w:rFonts w:ascii="Amiri" w:hAnsi="Amiri" w:eastAsia="Amiri" w:cs="Amiri"/>
          <w:color w:val="111111"/>
          <w:sz w:val="28"/>
          <w:sz w:val="28"/>
          <w:szCs w:val="28"/>
          <w:rtl w:val="true"/>
          <w:lang w:bidi="ar-SA"/>
        </w:rPr>
        <w:t>، 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المحارب فاقتله، وما أصابك فدمه في عنقي</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عليَّ في بيتي يريدُ نفسي ومالي‌؟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فاُشهد اللّه ومن سَمعه أنّ دمه في عنقي</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جعفر، عن أبيه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رجلٌ يريد أهلك ومالك فأبدره بالضربة إن استطعت، فإنّ اللِّص محاربٌ للّه ولرسوله، فما تبعك منه من شيءٍ فهو عليَّ‌</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البَختري</w:t>
      </w:r>
      <w:r>
        <w:rPr>
          <w:rStyle w:val="FootnoteAnchor"/>
          <w:rtl w:val="true"/>
        </w:rPr>
        <w:footnoteReference w:id="1299"/>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فيما بينه وبين ربّه، وأمّا إنْ قُدّم إلى الحاكم، فلابدّ وأن يثبت ذلك بأحد الموازين المثبتة، كما صرّح بذلك في طائفةٍ من النصوص</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وأن يعلم أنّ اللِّص إذا أدبر وفرّ لا يجوزُ قتله، وإن قَتَله حينئذٍ ضَمن بلا خلافٍ‌، إذ لا يجوز الضَّرب إلّاللدفع، ولا دفع مع الإدبار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45" w:name="pg11384_112546"/>
    </w:p>
    <w:p>
      <w:pPr>
        <w:pStyle w:val="BookText"/>
        <w:rPr/>
      </w:pPr>
      <w:bookmarkEnd w:id="245"/>
      <w:r>
        <w:rPr>
          <w:rFonts w:ascii="Amiri" w:hAnsi="Amiri" w:eastAsia="Amiri" w:cs="Amiri"/>
          <w:color w:val="111111"/>
          <w:sz w:val="28"/>
          <w:sz w:val="28"/>
          <w:szCs w:val="28"/>
          <w:rtl w:val="true"/>
          <w:lang w:bidi="ar-SA"/>
        </w:rPr>
        <w:t>ومن كابر امرأةً على فرجها، أو غلاماً، فلهما دفعه، فإنْ قَتَلاه 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دار قومٍ فزجروه فلم ينزجر، لم يَضمن بتلفه أو بتلف بعض أعضائه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83483_73709187"/>
      <w:bookmarkStart w:id="247" w:name="_Toc84"/>
      <w:bookmarkEnd w:id="246"/>
      <w:r>
        <w:rPr>
          <w:rtl w:val="true"/>
        </w:rPr>
        <w:t>من كابر امرأة على فرجها</w:t>
      </w:r>
      <w:bookmarkEnd w:id="24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كابر امرأةً على فرجها، أو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بهما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في ذلك الموازين المتقدّمة من الدفع من الأدنى إلى الأعلى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قَتلاه 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والمستند ما مرّ، مضافاً إلى روايات خاصّة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أراد امرأة على نفسها حراماً، فَرَمتهُ بحجرٍ فأصابت منه مقتلاً؟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فيما بينها وبين اللّه عزّ وجلّ وإنْ قُدِّمت إلى إمامٍ عادل هَدرَ دمُه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كابر امرأةً ليفجر بها فقتلته، فلا دية له، ولا قِود</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ونحوهما غيرهما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قومٍ فزجروه فلم 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الدفع والزجر بمراتبهما المتقدّمة إلى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 بتلفه أو بتلف بعض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شَهد بذلك </w:t>
      </w:r>
    </w:p>
    <w:p>
      <w:pPr>
        <w:pStyle w:val="BookText"/>
        <w:rPr/>
      </w:pP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اطّلع رجلٌ على قومٍ يشرف عليهم، أو ينظر من خُلل شيء لهم، فرموه فأصابوه فقتلوه أو فقؤوا عينه، فليس عليهم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اطّلع من خُلل حُجرة رسول اللّه صلى الله عليه و آله، فجاءَ رسول اللّه صلى الله عليه و آله بمشقصٍ ليفقأ عينه فوجده قد انطلق،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واللّه لو ثبتَ لي لفقأتُ عينك</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اطّلع على قومٍ في دارهم لينظر إلى عوراتهم ففقئوا عينه، أو جَرحوه، فلا 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اعتدى فاعتُدي عليه فلا قود له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وقد أشرنا في المسألة المتقدّمة إلى أنّ ذلك حكمه فيما بينه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رُفع الأمر إلى الحاكم، فلابدّ وأن يثبت ذلك، وإلّا فحكمه حكم غيره ممّن قُتل أو جُرح كما تدلّ عليه النصوص</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48" w:name="pg11384_112548"/>
    </w:p>
    <w:p>
      <w:pPr>
        <w:pStyle w:val="BookText"/>
        <w:rPr/>
      </w:pPr>
      <w:bookmarkEnd w:id="248"/>
      <w:r>
        <w:rPr>
          <w:rFonts w:ascii="Amiri" w:hAnsi="Amiri" w:eastAsia="Amiri" w:cs="Amiri"/>
          <w:color w:val="111111"/>
          <w:sz w:val="28"/>
          <w:sz w:val="28"/>
          <w:szCs w:val="28"/>
          <w:rtl w:val="true"/>
          <w:lang w:bidi="ar-SA"/>
        </w:rPr>
        <w:t>ويُعزّر المختلِس والمُستَلِب والمحتال بشهادة الزور وغيرها، والمبنَّج، بما يرتدعُ به، ويُستعاد منهم ما أخذوه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83485_73709187"/>
      <w:bookmarkStart w:id="250" w:name="_Toc85"/>
      <w:bookmarkEnd w:id="249"/>
      <w:r>
        <w:rPr>
          <w:rtl w:val="true"/>
        </w:rPr>
        <w:t>حكم المُختلس والمُستَلب</w:t>
      </w:r>
      <w:bookmarkEnd w:id="25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المال خفيةً من غير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المال جهراً ويهرب، مع كونه غير 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الزّور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كالرسائل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أعطى البَنج حتّى خرج من العقل، ثمّ أخذ منه شيئاً، ومن سقى غيره مُرقداً فأخذ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يرتدع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ويزجرهم لفعلهم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ويُستعاد منهم ما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يقطعون، بلا خلافٍ في شيء من تلكم، بل عليها الإجماع كما في بعض العبائر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حيث إنّه يكون بعض شرائط القطع من أخذ المال من الحِرز وغيره مفقوداً، فلا قطع، وفَعَلوا المُحرّم فيعزَّرون، واستعادة المال لا تحتاج إلى إقامة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في الأولين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أحدهما عليهما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أقطعُ في الدّغارة المعلنة وهي الخِلسة، ولكن اُعزّره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اختلس ثوباً من السوق، فقالوا قد سرق هذا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أقطع في الدغارة المعلنة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خِلسةً خَلَسها لم يُقطع، ولكن يُضرب ضرباً شديداً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 يَستلبُ قطعٌ‌</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أخبار كثيرة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تفسير المختلس بما ذكرناه في تفسير المُستَلب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اُريد به ما يعمّ المستلب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 عن الإمام الصادق عليه السلام، المتضمّن قطع الكاذب في الرسالة، فقد حَمَله الشيخ على كون القطع للإفساد لا للسرقة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فيه بأنّ القطع للسرقة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قضيّةٍ في واقعة اقتضت المصلحة فيها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حُكمٍ كلّي، وليس فيه ما يشهد بكونه قضيّة في واقعة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شاذٌّ لا عامل به، فيُطرح</w:t>
      </w:r>
      <w:r>
        <w:rPr>
          <w:rFonts w:eastAsia="Amiri" w:cs="Amiri" w:ascii="Amiri" w:hAnsi="Amiri"/>
          <w:color w:val="111111"/>
          <w:sz w:val="28"/>
          <w:szCs w:val="28"/>
          <w:rtl w:val="true"/>
          <w:lang w:bidi="ar-SA"/>
        </w:rPr>
        <w:t>.</w:t>
      </w:r>
      <w:bookmarkStart w:id="251" w:name="pg11384_112551"/>
    </w:p>
    <w:p>
      <w:pPr>
        <w:pStyle w:val="BookText"/>
        <w:rPr/>
      </w:pPr>
      <w:bookmarkEnd w:id="251"/>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العاقل البالغ بهيمةً عُزِّر،</w:t>
      </w:r>
    </w:p>
    <w:p>
      <w:pPr>
        <w:pStyle w:val="Heading4"/>
        <w:numPr>
          <w:ilvl w:val="3"/>
          <w:numId w:val="1"/>
        </w:numPr>
        <w:rPr/>
      </w:pPr>
      <w:bookmarkStart w:id="252" w:name="__RefHeading___Toc283487_73709187"/>
      <w:bookmarkStart w:id="253" w:name="_Toc86"/>
      <w:bookmarkEnd w:id="252"/>
      <w:r>
        <w:rPr>
          <w:rtl w:val="true"/>
        </w:rPr>
        <w:t>حَدُّ وطء البهائم</w:t>
      </w:r>
      <w:bookmarkEnd w:id="2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العاقل البالغ بهيمة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الفضيل وربعي،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رجلٍيقع على البهيمة‌؟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ولكن يُضرب تعزيراً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راكب البهيمة‌؟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ولا حَدّ، ولكن يُعاقب عقوبةً موجعة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يقعُ على 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ولكن يُضرب تعزيراً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سدير،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دون الحَدّ</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يُجلد حَدّاً غير الحَدّ</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هلال،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قائماً ثمّ يُضرب ضربةً بالسّيف اخذَ السّيفُ منه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حَدّه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بهيمة فأولج‌؟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الزّاني</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فروة، عن سيّدنا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 بالفاحشة والذي يأتي البهيمة حَدّه حَدّ الزّاني</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من تكرّر منه الفعل، وتخلّل بينه التعزير، وكان ذلك في المرّة الثالثة أو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w:t>
      </w:r>
      <w:r>
        <w:rPr>
          <w:rStyle w:val="FootnoteAnchor"/>
          <w:rtl w:val="true"/>
        </w:rPr>
        <w:footnoteReference w:id="1326"/>
      </w:r>
      <w:r>
        <w:rPr>
          <w:rFonts w:ascii="Amiri" w:hAnsi="Amiri" w:eastAsia="Amiri" w:cs="Amiri"/>
          <w:color w:val="111111"/>
          <w:sz w:val="28"/>
          <w:sz w:val="28"/>
          <w:szCs w:val="28"/>
          <w:rtl w:val="true"/>
          <w:lang w:bidi="ar-SA"/>
        </w:rPr>
        <w:t>احتمال حملها على ما إذا أعاد بعد التعزير، أو حملها على ما إذا تحقّق الإيلاج، ونصوص التعزير على الإتيان دون الإيلاج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تبرّعيّان ولا شاهد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كانت مأكولة اللَّحم حَرُم لحمها ولحم نسلها، وتُذبح وتُحرق، ويُغرّم قيمتها لصاحبها، ولو اشتبهت قُسِّم القطيع نصفين، ثُمّ أُقرع، ثُمّ قُسّم الخارج بالقرعة إلى أن يقع إلى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تعارض مع نصوص التعزير، ويُقدّم تلكم النصوص للشهرة التي هي أوّل المرجّحات، والمشهور بين الأصحاب أنّ تقدير التعزير إلى الإمام كغيره ممّا يثبت فيه التعزير لإطلاق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موثّق إسحاق بن عمّار عن أبي إبراهيم عليه السلام، وصحيح ابن سنان عن أبي عبد اللّه عليه السلام، وخبر الحسين بن خالد عن أبي الحسن الرّضا عليه السلام في الرّجل يأتي البهيمة‌؟</w:t>
      </w:r>
    </w:p>
    <w:p>
      <w:pPr>
        <w:pStyle w:val="BookText"/>
        <w:rPr/>
      </w:pPr>
      <w:r>
        <w:rPr>
          <w:rFonts w:ascii="Amiri" w:hAnsi="Amiri" w:eastAsia="Amiri" w:cs="Amiri"/>
          <w:color w:val="111111"/>
          <w:sz w:val="28"/>
          <w:sz w:val="28"/>
          <w:szCs w:val="28"/>
          <w:rtl w:val="true"/>
          <w:lang w:bidi="ar-SA"/>
        </w:rPr>
        <w:t>إنّهم 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هو خمسة وعشرون سوطاً رُبع حَدّ الزّاني</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على كون ذلك أحد الأفراد خلافُ الظاهر، بل الجمع بينهما وبين ما اُطلق فيه التعزير، يقتضي البناء على تقييد إطلاق تلك النصوص بهذه، وهذا هو الأظهر، إلّاأن يثبت الإجماع على خلافه، أو الشهرة الموجبة لوهن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بعدم الزيادة على هذا العدد لابدّ من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البهيمة الموطوءة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مأكولة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مقصودة بالأكل عادةً كالشاة والبقرة ونحوهما ممّا يُسمّى في العرف بهيمة دون نحو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لحمها، ولَحم نسلها، وتُذبح وتُحرق ويُغرّم قيمتها لصاحبها، ولو اشتبهت قُسّم القطيع نصفين، ثُمّ أُقرع، ثُمّ قُسّم الخارج بالقرعة إلى أن يقع إلى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بها ما يُعمل بالمعلومة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غير مأكولة اللَّحم، اُخرجت من البلد، وبيعت في غيره، ويُغرّم قيمتها لصاحبها إن لم يكن له، ويتصدّق بالثمن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بشهادة عدلين، أو الإقرار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غير مأكولة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المقصود منها ظهرها كالبغل والحمار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اُخرجت من البلد، وبيعت في غيره، ويُغرّم قيمتها لصاحبها إن لم يكن له، ويتصدّق بالثمن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جميع تلكم في كتاب الأطعمة والأشربة،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إلّاما قيل من إشعار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باشتراط أربعة رجال، أو ثلاثة مع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لكفاية شهادة عدلين، عموم ما دلّ‌</w:t>
      </w:r>
      <w:r>
        <w:rPr>
          <w:rStyle w:val="FootnoteAnchor"/>
          <w:rtl w:val="true"/>
        </w:rPr>
        <w:footnoteReference w:id="1329"/>
      </w:r>
      <w:r>
        <w:rPr>
          <w:rFonts w:ascii="Amiri" w:hAnsi="Amiri" w:eastAsia="Amiri" w:cs="Amiri"/>
          <w:color w:val="111111"/>
          <w:sz w:val="28"/>
          <w:sz w:val="28"/>
          <w:szCs w:val="28"/>
          <w:rtl w:val="true"/>
          <w:lang w:bidi="ar-SA"/>
        </w:rPr>
        <w:t>على حجيّتها، وثبوت الحقوق وغيرها بها، فإنّ الخارج خصوص الزّنا كما دلّت على ذلك النصوص</w:t>
      </w:r>
      <w:r>
        <w:rPr>
          <w:rStyle w:val="FootnoteAnchor"/>
          <w:rtl w:val="true"/>
        </w:rPr>
        <w:footnoteReference w:id="1330"/>
      </w:r>
      <w:r>
        <w:rPr>
          <w:rFonts w:ascii="Amiri" w:hAnsi="Amiri" w:eastAsia="Amiri" w:cs="Amiri"/>
          <w:color w:val="111111"/>
          <w:sz w:val="28"/>
          <w:sz w:val="28"/>
          <w:szCs w:val="28"/>
          <w:rtl w:val="true"/>
          <w:lang w:bidi="ar-SA"/>
        </w:rPr>
        <w:t>، وقياس ذلك بالزّنا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كفاية الإقرار مرّة واحدة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ذلك</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334"/>
      </w:r>
      <w:r>
        <w:rPr>
          <w:rFonts w:ascii="Amiri" w:hAnsi="Amiri" w:eastAsia="Amiri" w:cs="Amiri"/>
          <w:color w:val="111111"/>
          <w:sz w:val="28"/>
          <w:sz w:val="28"/>
          <w:szCs w:val="28"/>
          <w:rtl w:val="true"/>
          <w:lang w:bidi="ar-SA"/>
        </w:rPr>
        <w:t>، وابن حمزة</w:t>
      </w:r>
      <w:r>
        <w:rPr>
          <w:rStyle w:val="FootnoteAnchor"/>
          <w:rtl w:val="true"/>
        </w:rPr>
        <w:footnoteReference w:id="1335"/>
      </w:r>
      <w:r>
        <w:rPr>
          <w:rFonts w:ascii="Amiri" w:hAnsi="Amiri" w:eastAsia="Amiri" w:cs="Amiri"/>
          <w:color w:val="111111"/>
          <w:sz w:val="28"/>
          <w:sz w:val="28"/>
          <w:szCs w:val="28"/>
          <w:rtl w:val="true"/>
          <w:lang w:bidi="ar-SA"/>
        </w:rPr>
        <w:t xml:space="preserve">، وظاهر الماتن هنا عدم كفايته، واشتراط الإقرار مرّتين،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على</w:t>
      </w:r>
      <w:r>
        <w:rPr>
          <w:rStyle w:val="FootnoteAnchor"/>
          <w:rtl w:val="true"/>
        </w:rPr>
        <w:footnoteReference w:id="1337"/>
      </w:r>
      <w:r>
        <w:rPr>
          <w:rFonts w:ascii="IRNazanin" w:hAnsi="IRNazanin" w:eastAsia="IRNazanin"/>
          <w:color w:val="111111"/>
          <w:sz w:val="28"/>
          <w:sz w:val="28"/>
          <w:szCs w:val="28"/>
          <w:rtl w:val="true"/>
          <w:lang w:bidi="fa-IR"/>
        </w:rPr>
        <w:t>أنّ 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الحَدّ من بنائهم على اعتبار الإقرار مرّتين في الحَدّ فيما يعتبر فيه شهادة عدلين، ويمكن استفادته من</w:t>
      </w:r>
      <w:r>
        <w:rPr>
          <w:rStyle w:val="FootnoteAnchor"/>
          <w:rtl w:val="true"/>
        </w:rPr>
        <w:footnoteReference w:id="1338"/>
      </w:r>
      <w:r>
        <w:rPr>
          <w:rFonts w:ascii="Amiri" w:hAnsi="Amiri" w:eastAsia="Amiri" w:cs="Amiri"/>
          <w:color w:val="111111"/>
          <w:sz w:val="28"/>
          <w:sz w:val="28"/>
          <w:szCs w:val="28"/>
          <w:rtl w:val="true"/>
          <w:lang w:bidi="ar-SA"/>
        </w:rPr>
        <w:t>ما تضمّن توجيه الإمام عليه السلام لاعتبار الإقرار مرّتين في ثبوت السَّرقة بالمقايسة بالزّنا، وأنّه كما أنّ الزّنا حيثُ لا يثبت إلّا بشهادة أربعة رجال، فيعتبر في الإقرار به أن يكون أربع مرّات، كذلك السَّرقة لاتثبتُ إلّابشهادة عدلين، فيعتبر في الإقرار المُثبِت لها أن يكون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نعرف له مستنداً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الاستقراء، ولا بأس به إنْ أفاد ظنّاً معتمداً، ويحتمل مطلقاً لإيراثه الشُّبهة الدارئة لا أقلّ منها هذا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سائر الأحكام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الدّابة لنفسه، فلا ينبغي التوقّف في ثبوته بالإقرار مرّة لعموم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4" w:name="pg11384_112556"/>
    </w:p>
    <w:p>
      <w:pPr>
        <w:pStyle w:val="BookText"/>
        <w:rPr/>
      </w:pPr>
      <w:bookmarkEnd w:id="254"/>
      <w:r>
        <w:rPr>
          <w:rFonts w:ascii="Amiri" w:hAnsi="Amiri" w:eastAsia="Amiri" w:cs="Amiri"/>
          <w:color w:val="111111"/>
          <w:sz w:val="28"/>
          <w:sz w:val="28"/>
          <w:szCs w:val="28"/>
          <w:rtl w:val="true"/>
          <w:lang w:bidi="ar-SA"/>
        </w:rPr>
        <w:t>ولو تكرّر التعزير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بميّتةٍ فهو كمن زنى بحيّةٍ في الحَدّ، واعتبار الإحصان،</w:t>
      </w:r>
    </w:p>
    <w:p>
      <w:pPr>
        <w:pStyle w:val="BookText"/>
        <w:rPr/>
      </w:pPr>
      <w:r>
        <w:rPr>
          <w:rFonts w:ascii="Amiri" w:hAnsi="Amiri" w:eastAsia="Amiri" w:cs="Amiri"/>
          <w:color w:val="111111"/>
          <w:sz w:val="28"/>
          <w:sz w:val="28"/>
          <w:szCs w:val="28"/>
          <w:rtl w:val="true"/>
          <w:lang w:bidi="ar-SA"/>
        </w:rPr>
        <w:t>وإنْ كانت لغيره، فقد يقال بعدم ثبوته بالإقرار ولو مرّات، 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فيه تأمّلٌ‌، فإنّه إقرارٌ على نفسه، لفرض ثبوت الغرامة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موجب التعزير بشهادة النساء، ولو منضمّات، لما دلّ على</w:t>
      </w:r>
      <w:r>
        <w:rPr>
          <w:rStyle w:val="FootnoteAnchor"/>
          <w:rtl w:val="true"/>
        </w:rPr>
        <w:footnoteReference w:id="1340"/>
      </w:r>
      <w:r>
        <w:rPr>
          <w:rFonts w:ascii="Amiri" w:hAnsi="Amiri" w:eastAsia="Amiri" w:cs="Amiri"/>
          <w:color w:val="111111"/>
          <w:sz w:val="28"/>
          <w:sz w:val="28"/>
          <w:szCs w:val="28"/>
          <w:rtl w:val="true"/>
          <w:lang w:bidi="ar-SA"/>
        </w:rPr>
        <w:t>عدم ثبوت الحَدّ بها الشامل للتعزير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التعزير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الثالثة على الخلاف المتقدّم إليه الإشارة غير مرّة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83489_73709187"/>
      <w:bookmarkStart w:id="256" w:name="_Toc87"/>
      <w:bookmarkEnd w:id="255"/>
      <w:r>
        <w:rPr>
          <w:rtl w:val="true"/>
        </w:rPr>
        <w:t>بيان حَدّ وطء الميّتة من بنات آدم</w:t>
      </w:r>
      <w:bookmarkEnd w:id="2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كمن زنى بحَيّةٍ في الحَدّ، واعتبار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كما هو المشهور بين الأصحاب</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عليه الإجماع في ظاهر بعض العبارات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يمكن تحصيل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ويُغلّظ هاهنا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3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45"/>
      </w:r>
      <w:r>
        <w:rPr>
          <w:rFonts w:ascii="Amiri" w:hAnsi="Amiri" w:eastAsia="Amiri" w:cs="Amiri"/>
          <w:color w:val="111111"/>
          <w:sz w:val="28"/>
          <w:sz w:val="28"/>
          <w:szCs w:val="28"/>
          <w:rtl w:val="true"/>
          <w:lang w:bidi="ar-SA"/>
        </w:rPr>
        <w:t xml:space="preserve">من الإجماع على كونه زنا، فيدخل في عموم ما دلّ على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محمّد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وجاء كتاب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نبش امرأةً فسلبها ثيابها ونكحها؟</w:t>
      </w:r>
    </w:p>
    <w:p>
      <w:pPr>
        <w:pStyle w:val="BookText"/>
        <w:rPr/>
      </w:pPr>
      <w:r>
        <w:rPr>
          <w:rFonts w:ascii="Amiri" w:hAnsi="Amiri" w:eastAsia="Amiri" w:cs="Amiri"/>
          <w:color w:val="111111"/>
          <w:sz w:val="28"/>
          <w:sz w:val="28"/>
          <w:szCs w:val="28"/>
          <w:rtl w:val="true"/>
          <w:lang w:bidi="ar-SA"/>
        </w:rPr>
        <w:t>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تُقطع يده لنبشه وسلبه الثياب، ويُقام عليه الحَدّ في الزّنا، إن أحصن رُجم، وإنْ لم يكن أحصن جُلد مائة</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المرويّ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زنى بميتة‌؟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فلضعفه في نفسه، وعدم عمل الأصحاب به يُطرح، أو يُحمل على إرادة أنّه لا حَدَّ موظّفٍ مخصوصٍ به، وحَدّه حَدّ الزّاني بحَيّةٍ‌، أو على من أتى زوجة نفسه بعد موتها، أو يُحمل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حَدّه حَدّ من زنى بحيَّة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ويُغلّظ هاهنا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الحَدّ، بلا خلافٍ‌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الفعل هنا أفحش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كانت الميّتة زوجةً عُزِّر، ويثبتُ بأربعة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ولمرسل ابن أبي عمير،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يأتي المرأة وهي ميتة‌؟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وزره أعظم من ذلك الذي يأتيها وهي حَيّة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الميّتة زوجةً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يوجد، لأنّه ليس زناً كي يثبت عليه الحَدّ، ولا يكون جائزاً، لأنّ ظاهرهم الاتّفاق على حرمة وطئها بعد الموت، فيثبت عليه التعزير كما في سائر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بالميتة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ذكورٍ عدول إجماعاً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هل يعتبر الأربعة، أم يكفي شهادة عدلين‌؟</w:t>
      </w:r>
    </w:p>
    <w:p>
      <w:pPr>
        <w:pStyle w:val="BookText"/>
        <w:rPr/>
      </w:pPr>
      <w:r>
        <w:rPr>
          <w:rFonts w:ascii="IRNazanin" w:hAnsi="IRNazanin" w:eastAsia="IRNazanin"/>
          <w:color w:val="111111"/>
          <w:sz w:val="28"/>
          <w:sz w:val="28"/>
          <w:szCs w:val="28"/>
          <w:rtl w:val="true"/>
          <w:lang w:bidi="fa-IR"/>
        </w:rPr>
        <w:t>فالمشهور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1350"/>
      </w:r>
      <w:r>
        <w:rPr>
          <w:rFonts w:ascii="Amiri" w:hAnsi="Amiri" w:eastAsia="Amiri" w:cs="Amiri"/>
          <w:color w:val="111111"/>
          <w:sz w:val="28"/>
          <w:sz w:val="28"/>
          <w:szCs w:val="28"/>
          <w:rtl w:val="true"/>
          <w:lang w:bidi="ar-SA"/>
        </w:rPr>
        <w:t>، وابن حمزة</w:t>
      </w:r>
      <w:r>
        <w:rPr>
          <w:rStyle w:val="FootnoteAnchor"/>
          <w:rtl w:val="true"/>
        </w:rPr>
        <w:footnoteReference w:id="1351"/>
      </w:r>
      <w:r>
        <w:rPr>
          <w:rFonts w:ascii="Amiri" w:hAnsi="Amiri" w:eastAsia="Amiri" w:cs="Amiri"/>
          <w:color w:val="111111"/>
          <w:sz w:val="28"/>
          <w:sz w:val="28"/>
          <w:szCs w:val="28"/>
          <w:rtl w:val="true"/>
          <w:lang w:bidi="ar-SA"/>
        </w:rPr>
        <w:t>، وجماعة</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توقّف ثبوت الزّنا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في خبر إسماعيل بن أبي حنيفة،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 والزّنا لا يجوز فيه إلّا أربعة شهود، والقتل أشدّ من الزّنا؟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فعلٌ واحد، والزّنا فعلان، فمن ثَمّ لا يجوزُ إلّاأربعة شهود على الرّجل شاهدان، وعلى المرأة شاهدان</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xml:space="preserve">وهو كالصحيح سنداً، لكون الراوي البزنطي، والظاهر أنّه إلى ذلك نظر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اثنان لأنّها شهادة على فعلٍ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فلم نقف على رواية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فيردّ على الاستدلال به أنّ الظاهر كونه من قبيل الحكمة لا العلّة، وذلك لأنّ شهادة الاثنين تُسمع على الألف فصاعداً، مع أنّه ينتقض بالزّنا بالمكرَهة والمجنونة والنائمة وغيرهنّ‌، فإنّ‌الفعل فيها واحدٌ ولا شكّ في اعتبارالأربعة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w:t>
      </w:r>
      <w:r>
        <w:rPr>
          <w:rStyle w:val="FootnoteAnchor"/>
          <w:rtl w:val="true"/>
        </w:rPr>
        <w:footnoteReference w:id="1354"/>
      </w:r>
      <w:r>
        <w:rPr>
          <w:rFonts w:ascii="Amiri" w:hAnsi="Amiri" w:eastAsia="Amiri" w:cs="Amiri"/>
          <w:color w:val="111111"/>
          <w:sz w:val="28"/>
          <w:sz w:val="28"/>
          <w:szCs w:val="28"/>
          <w:rtl w:val="true"/>
          <w:lang w:bidi="ar-SA"/>
        </w:rPr>
        <w:t>النصوص استدلّ الإمام بذلك على بطلان القياس، وعليه الأظهر اعتبار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كفاية ثلاثة رجال مع امرأتين، لعموم أدلّتها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ابتناء الحدود على التخفيف، وأنّ الأصل والنّص والفتوى عدم قبول شهادتهنّ في الحدود، خرج الزّنا بالحيّة بالنَّص والإجماع، ومن كونه زنا، أو أضعف 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ابتناء الحدود على التخفيف لا يُلازم عدم الثبوت بها، بعد دلالة الدليل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7" w:name="pg11384_112560"/>
    </w:p>
    <w:p>
      <w:pPr>
        <w:pStyle w:val="BookText"/>
        <w:rPr/>
      </w:pPr>
      <w:bookmarkEnd w:id="257"/>
      <w:r>
        <w:rPr>
          <w:rFonts w:ascii="Amiri" w:hAnsi="Amiri" w:eastAsia="Amiri" w:cs="Amiri"/>
          <w:color w:val="111111"/>
          <w:sz w:val="28"/>
          <w:sz w:val="28"/>
          <w:szCs w:val="28"/>
          <w:rtl w:val="true"/>
          <w:lang w:bidi="ar-SA"/>
        </w:rPr>
        <w:t>وحكمُ اللّائط بالميّت حكم اللّائط بالحَيّ‌، ويُغلّظ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استمنى بيده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والخارج عمّا دلّ على عدم قبول شهادتهنّ ليس خصوص الزّنا بالحيّة بل مطلق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وطء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وطء الرّجل زوجته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الثبوت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دليل</w:t>
      </w:r>
      <w:r>
        <w:rPr>
          <w:rStyle w:val="FootnoteAnchor"/>
          <w:rtl w:val="true"/>
        </w:rPr>
        <w:footnoteReference w:id="1357"/>
      </w:r>
      <w:r>
        <w:rPr>
          <w:rFonts w:ascii="Amiri" w:hAnsi="Amiri" w:eastAsia="Amiri" w:cs="Amiri"/>
          <w:color w:val="111111"/>
          <w:sz w:val="28"/>
          <w:sz w:val="28"/>
          <w:szCs w:val="28"/>
          <w:rtl w:val="true"/>
          <w:lang w:bidi="ar-SA"/>
        </w:rPr>
        <w:t>البيّنة، واختصاص ما دلّ‌</w:t>
      </w:r>
      <w:r>
        <w:rPr>
          <w:rStyle w:val="FootnoteAnchor"/>
          <w:rtl w:val="true"/>
        </w:rPr>
        <w:footnoteReference w:id="1358"/>
      </w:r>
      <w:r>
        <w:rPr>
          <w:rFonts w:ascii="Amiri" w:hAnsi="Amiri" w:eastAsia="Amiri" w:cs="Amiri"/>
          <w:color w:val="111111"/>
          <w:sz w:val="28"/>
          <w:sz w:val="28"/>
          <w:szCs w:val="28"/>
          <w:rtl w:val="true"/>
          <w:lang w:bidi="ar-SA"/>
        </w:rPr>
        <w:t>على اعتبار الأربعة بالزّنا غير الصادق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قدّمناه يظهر حكم الإقرار فإنّه يعتبر أربع مرّات في وطء الأجنبيّة كسائر موارد الزّنا، وفي وطء الزوجة الخلاف المتقدّم مراراً من كفاية الإقرار مرّة أو اعتبار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اللّائط بالميّت حكمُ اللّائط بالحَيّ‌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ويُغلّظ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سابقه، لأنّ الفعل هنا أفحش، ولفحوى المرسل المتقدّم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83491_73709187"/>
      <w:bookmarkStart w:id="259" w:name="_Toc88"/>
      <w:bookmarkEnd w:id="258"/>
      <w:r>
        <w:rPr>
          <w:rtl w:val="true"/>
        </w:rPr>
        <w:t>الإستمناء موجبُ التعزير</w:t>
      </w:r>
      <w:bookmarkEnd w:id="25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استمنى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بغيرها من أعضاء المُستمني وغيره عدا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لأنّه فَعَل محرّماً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وفي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 للاتّفاق ظاهراً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حرمته حيث يشهد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وهذا الفعل يعدّ ممّا وراء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بن عيسى‌،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الخضخضة‌؟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عظيم قد نَهى اللّه في كتابه، وفاعله كناكح نفسه، ولو علمه ما 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يا ابن رسول اللّه من كتاب اللّه فيه‌؟ فقرأ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الزّنا أو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عظيم، الحديث</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بن موسي‌،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الرّجل ينكح بهيمة أو يَدلك‌؟</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من هذا وشبهه فهو زنا</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والمراد بحكمه إثماً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زرين، عن رجلٍ‌،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الخضخضة‌؟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الفواحش، ونكاح الأمَة خيرٌ منه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يوم القيامة، ولا ينظر إليهم،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الناتف شيبه، والناكح نفسه، والمنكوح في دبره</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ناكحُ نفسه لا شيء عليه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ثعلبة بن ميمون، وحسين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يعبث بيديه حتّى ينزل‌؟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ولم يبلغ به ذاك شيئاً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 الأصحاب هذين الخبرين على محامل بعيدة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الأوّل ضعيفُ السند، والثاني قاصرُ الدلالة، فإنّه ليس فيه العَبَث بيديه مع ذَكره، ولعلّ المراد العَبَث بيديه مع زوجته، فتأمّل فإنّ ظاهره العَبَث بيديه مع ذَكره، وعليه فيتعيّن طرحه لعدم إفتاء الأصحاب بمضمونه،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ومعارضته مع النصوص المتقدّمة، سيّما الموثّق،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لم يكن الحَمل حقيقيّاً، فلا محالة يكون المراد أنّه بحُكمه في الحرمة، فغايته الظهور فيها، فالجمع بينهما يقتضي البناء على الكراهة والمرجوحيّة، وأمّا سائر النصوص فما بين ضعيفٍ ومجهول ومرسل، وأمّا الآية فيقيّد إطلاقها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اُغمض عن ما في هذا الجمع، حيث أنّ الأصحاب أعرضوا عن الخبر، فهو ساقطٌ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تعزير المُستمني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ظاهراً في أنّه يُعزّر بما يراه الحاكم، لأنّه فعل محرّماً، ويشهد به خبر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اُتي برجلٍ عَبث بذكره، فضَرب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زرارة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والخبران المتقدّمان الدالّان على عدم حرمة الاستمناء يعارضاهما، فلابدّ وأن يُطرحان، لإعراض الأصحاب عنهما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الخبرين من الضَّرب إلى أن احمرّت ليس على نحو التعيين، لعدم وجود ما يدلّ عليه، فإنّه حكاية فعلٍ‌، ولعلّه كان الإمام عليه السلام رأى تعزيره بهذا النحو</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لا حَدّ لتعزيره بل ما يراه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بشهادة عدلين أو الإقرار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الدفع عن نفسه وحريمه وماله ما استطاع، ويجبُ الأسهل، فإنْ لم يندفع انتقل إلى الأصعب، ومن اطّلع على دار قومٍ فزجروه فلم ينزجر فرموه بحصاةٍ أو عودٍ فجنى عليه فهو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w:t>
      </w:r>
      <w:r>
        <w:rPr>
          <w:rStyle w:val="FootnoteAnchor"/>
          <w:rtl w:val="true"/>
        </w:rPr>
        <w:footnoteReference w:id="1370"/>
      </w:r>
      <w:r>
        <w:rPr>
          <w:rFonts w:ascii="Amiri" w:hAnsi="Amiri" w:eastAsia="Amiri" w:cs="Amiri"/>
          <w:color w:val="111111"/>
          <w:sz w:val="28"/>
          <w:sz w:val="28"/>
          <w:szCs w:val="28"/>
          <w:rtl w:val="true"/>
          <w:lang w:bidi="ar-SA"/>
        </w:rPr>
        <w:t>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الإقرار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اشتراط الإقرار مرّتين، أو الاكتفاء به مرّة كلامٌ مرّ في نظائره، والأحوط رعاية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الدفع عن نفسه وحريمه وماله ما استطاع، ويجبُ الأسهل، فإنْ لم يندفع انتقل إلى الأصعب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اطّلع على دار قومٍ فزجروه فلم ينزجر، فرموه بحصاةٍ أو عودٍ فجنى عليه، فهو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كلّه مفصّلاً في المسألة الثالثة من مسائل الفصل الثاني عشر، فراجع</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الحدود عصر يوم الجمعة غُرّة صفر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المباركة، والحمد للّه 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60" w:name="pg11384_112565"/>
    </w:p>
    <w:p>
      <w:pPr>
        <w:pStyle w:val="BookText"/>
        <w:rPr/>
      </w:pPr>
      <w:bookmarkEnd w:id="260"/>
      <w:r>
        <w:rPr>
          <w:rFonts w:ascii="Amiri" w:hAnsi="Amiri" w:eastAsia="Amiri" w:cs="Amiri"/>
          <w:color w:val="111111"/>
          <w:sz w:val="28"/>
          <w:sz w:val="28"/>
          <w:szCs w:val="28"/>
          <w:rtl w:val="true"/>
          <w:lang w:bidi="ar-SA"/>
        </w:rPr>
        <w:t>كتابُ القِصاص</w:t>
      </w:r>
    </w:p>
    <w:p>
      <w:pPr>
        <w:pStyle w:val="Heading2"/>
        <w:numPr>
          <w:ilvl w:val="1"/>
          <w:numId w:val="1"/>
        </w:numPr>
        <w:rPr/>
      </w:pPr>
      <w:bookmarkStart w:id="261" w:name="__RefHeading___Toc283493_73709187"/>
      <w:bookmarkStart w:id="262" w:name="_Toc89"/>
      <w:bookmarkEnd w:id="261"/>
      <w:r>
        <w:rPr>
          <w:rtl w:val="true"/>
        </w:rPr>
        <w:t>كتابُ القِصاص</w:t>
      </w:r>
      <w:bookmarkEnd w:id="262"/>
    </w:p>
    <w:p>
      <w:pPr>
        <w:pStyle w:val="Heading3"/>
        <w:numPr>
          <w:ilvl w:val="2"/>
          <w:numId w:val="1"/>
        </w:numPr>
        <w:rPr/>
      </w:pPr>
      <w:bookmarkStart w:id="263" w:name="__RefHeading___Toc283495_73709187"/>
      <w:bookmarkStart w:id="264" w:name="_Toc90"/>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مصدرٌ وهو والمقاصّة، والمعاوضة، والمبادلة نظائر، وأصله التلو من قَصّ الأثر، وهو تلو الأثر، والمرادُ به هنا الأخذ من الجاني بمثل ما جنى، فكأنّ المقتصّ يتبعُ أثر الجاني فيفعل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النفس، أو الطَرف، فالكلام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على أنّ المراد بالقصاص هنا القِصاص في القتل، والآية السابقة</w:t>
      </w:r>
      <w:r>
        <w:rPr>
          <w:rStyle w:val="FootnoteAnchor"/>
          <w:rtl w:val="true"/>
        </w:rPr>
        <w:footnoteReference w:id="1374"/>
      </w:r>
      <w:r>
        <w:rPr>
          <w:rFonts w:ascii="Amiri" w:hAnsi="Amiri" w:eastAsia="Amiri" w:cs="Amiri"/>
          <w:color w:val="111111"/>
          <w:sz w:val="28"/>
          <w:sz w:val="28"/>
          <w:szCs w:val="28"/>
          <w:rtl w:val="true"/>
          <w:lang w:bidi="ar-SA"/>
        </w:rPr>
        <w:t>لهذه الآية تعيّن ذلك، وإنّما فيه حياة،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 الإنسان بالقتل وتذكّر القِصاص ارتدع، فكان ذلك سبباً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يُقتل إلّاالقاتل دون غيره، خلاف فعل الجاهلية الذين كانوا يتفانون بالطوائل، وفي الآية إشارةٌ إلى حكمة التشريع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والدِّية وإنْ كان فيهما تخفيفٌ ورحمةٌ‌، إلّاأنّ مصلحة المجتمع </w:t>
      </w:r>
    </w:p>
    <w:p>
      <w:pPr>
        <w:pStyle w:val="BookText"/>
        <w:rPr/>
      </w:pPr>
      <w:r>
        <w:rPr>
          <w:rFonts w:ascii="Amiri" w:hAnsi="Amiri" w:eastAsia="Amiri" w:cs="Amiri"/>
          <w:color w:val="111111"/>
          <w:sz w:val="28"/>
          <w:sz w:val="28"/>
          <w:szCs w:val="28"/>
          <w:rtl w:val="true"/>
          <w:lang w:bidi="ar-SA"/>
        </w:rPr>
        <w:t>قائمة على القِصاص، فإنّ الحياة لا يضمنها إلّاالقِصاص، والإنسان إذا كان ذا لبٍّ يتوجّه إلى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تتّقون القتل، بمنزلة التعليل لتشريع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 وأصل الكتب الخَطّ الدّال على معنى الفرض، وقيل لأنّه ممّا كتبه اللّه في اللّوح المحفوظ على جهة الفرض، ومنه الصلاة المكتوبة أي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فرضاً، والأولياء مخيّرون بين القِصاص والعفو وأخذ الدِّية‌؟</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تدلّ على أنّه فُرض اختيار القِصاص يكون المفروض هو ما تضمّنته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عليكم ترك مجاوزة ما حُدّد لكم إلى التعدّي فيما لم يُجعل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 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تنهى عن قتل النفس المحترمة، إلّاأن يستحقّ ذلك لقودٍ أو لغير ذلك من الأسباب الشرعيّة، والمراد بجعل السلطان لوليّه تسليطه شرعاً على قتل قاتل وليّه قصاصاً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وبغير الحقّ‌، فقد جَعلنا بحسب التشريع لوليّه وهو وليّ دمه سلطنةً على القِصاص، فلا يُسرف الوليّ في القتل، بأن يقتل أكثر من الواحد، أو يقتل غير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في مقام بيان حكم القِصاص في جميع الجنايات من القتل، والقطع، والجرح، والمقاتلة إنّما هي بين المقتصّ له والمقتصّ به، والمراد به أنّ النفس تُعادل النفس في باب القِصاص، والعين تقابل العين،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للمقابلة، فيؤول معنى الجملة إلى أنّ النفس تُقتل بالنفس، والعين تُفقأ بالعين وهكذا، والجروح ذوات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النفس، وأعضاء الإنسان مقتصٌّ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يدلّ عليه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فوق حَدّ الاستفاضة، بل التواتر، وستمرّ عليك طرفٌ منها في ضمن المسائل الآتية</w:t>
      </w:r>
      <w:r>
        <w:rPr>
          <w:rFonts w:eastAsia="Amiri" w:cs="Amiri" w:ascii="Amiri" w:hAnsi="Amiri"/>
          <w:color w:val="111111"/>
          <w:sz w:val="28"/>
          <w:szCs w:val="28"/>
          <w:rtl w:val="true"/>
          <w:lang w:bidi="ar-SA"/>
        </w:rPr>
        <w:t>.</w:t>
      </w:r>
      <w:bookmarkStart w:id="265" w:name="pg11384_112569"/>
    </w:p>
    <w:p>
      <w:pPr>
        <w:pStyle w:val="BookText"/>
        <w:rPr/>
      </w:pPr>
      <w:bookmarkEnd w:id="265"/>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إمّا عَمدٌ وهو أن يقصد بفعله إلى القتل كمن يقصدُ قَتل إنسانٍ بفعلٍ صالحٍ له ولو نادراً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83497_73709187"/>
      <w:bookmarkStart w:id="267" w:name="_Toc91"/>
      <w:bookmarkEnd w:id="266"/>
      <w:r>
        <w:rPr>
          <w:rtl w:val="true"/>
        </w:rPr>
        <w:t>[</w:t>
      </w:r>
      <w:r>
        <w:rPr>
          <w:rtl w:val="true"/>
        </w:rPr>
        <w:t>الفصل الأوّل</w:t>
      </w:r>
      <w:r>
        <w:rPr>
          <w:rtl w:val="true"/>
        </w:rPr>
        <w:t xml:space="preserve">: </w:t>
      </w:r>
      <w:r>
        <w:rPr>
          <w:rtl w:val="true"/>
        </w:rPr>
        <w:t>في أقسام القتل</w:t>
      </w:r>
      <w:r>
        <w:rPr>
          <w:rtl w:val="true"/>
        </w:rPr>
        <w:t>]</w:t>
      </w:r>
      <w:bookmarkEnd w:id="267"/>
    </w:p>
    <w:p>
      <w:pPr>
        <w:pStyle w:val="Heading4"/>
        <w:numPr>
          <w:ilvl w:val="3"/>
          <w:numId w:val="1"/>
        </w:numPr>
        <w:rPr/>
      </w:pPr>
      <w:bookmarkStart w:id="268" w:name="__RefHeading___Toc283499_73709187"/>
      <w:bookmarkStart w:id="269" w:name="_Toc92"/>
      <w:bookmarkEnd w:id="268"/>
      <w:r>
        <w:rPr>
          <w:rtl w:val="true"/>
        </w:rPr>
        <w:t>البحث عن القتل العَمدي</w:t>
      </w:r>
      <w:bookmarkEnd w:id="2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 المقام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 العمَد، أو خطأ محض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 العمد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البالع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بما لا يكون قاتلاً غالباً، فيما إذا ترتّب القتل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يقصد قتل إنسانٍ بفعل صالح له ولو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بل عليه عامّة المتأخّرين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نسبته إلى ظاهر الأكثر وإن لم نتحقّقه، لأنّ الموضوع للقصاص هو القتل العمدي وهو يتحقّق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ولجملةٍ من النصوص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 كلّ ما اعتمد شيئاً </w:t>
      </w:r>
    </w:p>
    <w:p>
      <w:pPr>
        <w:pStyle w:val="BookText"/>
        <w:rPr/>
      </w:pPr>
      <w:r>
        <w:rPr>
          <w:rFonts w:ascii="Amiri" w:hAnsi="Amiri" w:eastAsia="Amiri" w:cs="Amiri"/>
          <w:color w:val="111111"/>
          <w:sz w:val="28"/>
          <w:sz w:val="28"/>
          <w:szCs w:val="28"/>
          <w:rtl w:val="true"/>
          <w:lang w:bidi="ar-SA"/>
        </w:rPr>
        <w:t>فأصابه بحديدةٍ‌، أو بحجرٍ، أو بعصاً، أو بوكزة، فهذا كلّه عَمد، والخطأ من اعتمد شيئاً فأصاب غيره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كالصحيح،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العمد كلّ ما عَمَد به الضَّرب فعليه القِوَد، وإنّما الخطأ أن تُريد الشيء فتصيبَ غيره</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الخطأ أن تُريد شيئاً فتصيبَ غيره، فأمّا كلّ شيء قصدتَ إليه فأصبته فهو العمد</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الدالّة عليه عموماً، بل ظهوراً في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إذا لم يكن الآلة ممّا يُقتل عادةً‌، فمجامعة القصد معها كالقصد بلا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رجلٌ رجلاً بعصا أو بحجرٍ فمات من ضربةٍ واحدة قبل أن يتكلّم، فهو يشبه العمد</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الرّجل بالشيء الذي لا يقتل مثله‌؟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ثمّ أخذ حَصاةً صغيرة فرمى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الشاة فأصيبُ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الخطأالذي لاشكّ فيه، والعمد الذي يضرب بالشيء الذي يقتل بمثله</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الخطأشبه العمدأن تقتله بالسوط، أوبالعصا، أوبالحجارة، إنّ دية ذلك تُغلّظ وهي مائة من الإبل، الحديث</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أن تعمده فتقتله بما مثله يَقتل</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النصوص الدالّة على القول الأوّل، بحمل العمد فيها علي ما يشمل شبه العمد، لمقابلته بالخطإ المحض، مع أنّه لو سُلّم تعارضهما يُقدّم الثانية لموافقتها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هي النصوص، وأمّا التعليل بأنّ الآلة إذا كانت ممّا لا تقتل عادةً‌، فالقصدُ المجامع معها كالقصد بلا ضرب، فهو مضافاً إلى ظهور علّته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الاُولى منها على ما ذكر يُنافي ما في جملةٍ منها من التصريح بالقود في العمد، وهو لا يُجامع حمله على شبيه العمد أو ما يشمله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إسناد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للحمل على صورة عدم القصد إلى القتل، كما هو الغالب في الضَّرب بما لا يَقتلُ عادةً‌، بل لو جَمع العرف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يقصد إلى فعلٍ يقتلُ غالباً وإن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الطائفتين لا يشكّ أحدٌ في أنّ ما ذكرناه جمعٌ عرفي يفهمه كلّ أحدٍ بعد جمع المتنافيين في بادئ النظر، مع أنّه لو سُلّم التعارض، لا ريب في أنّ الترجيح للنصوص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حقّقناه في الاُصول</w:t>
      </w:r>
      <w:r>
        <w:rPr>
          <w:rStyle w:val="FootnoteAnchor"/>
          <w:rtl w:val="true"/>
        </w:rPr>
        <w:footnoteReference w:id="1390"/>
      </w:r>
      <w:r>
        <w:rPr>
          <w:rFonts w:ascii="Amiri" w:hAnsi="Amiri" w:eastAsia="Amiri" w:cs="Amiri"/>
          <w:color w:val="111111"/>
          <w:sz w:val="28"/>
          <w:sz w:val="28"/>
          <w:szCs w:val="28"/>
          <w:rtl w:val="true"/>
          <w:lang w:bidi="ar-SA"/>
        </w:rPr>
        <w:t>أنّه ليس من مرجّحات أحد المتعارضين على الآخر، فالأظهر تحقّق العمد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ظاهراً في أنّه يتحقّق العمد بقصد ما يكون قاتلاً عادةً‌، وإن لم يكن قاصداً للقتل ابتداءً‌، وهو الذي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يقصد إلى فعل يقتلُ غالباً، وإن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وعلّلوه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القصد إلى الفعل مع الالتفات إلى ترتّب القتل عليه عادةً لا ينفكّ عن قصد القتل تبعاً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رجلاً بعصا فلم يرفع عنه حتّى قُتل، أيدفع إلى أولياء المقتول‌؟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يُترك يُعبَث به، ولكن يُجاز عليه</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غيره، فإنّها شاملة بإطلاقها لمن قَصَد القتل بالمفروض الذي هو ممّا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يَقتل مثله غالباً، وعدمه ولكن قَصَد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عبد الملك،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الرَّجلُ بالحديدة فذلك العَمد، الحديث</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الضَّرب بالحديدة التي تقتل عادةً من القتل العمدي، وإن لم يقصد الضارب القتل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العمد أن يتعمّده فيقتله بما يَقتل مثله، والخطاء أن يتعمّده ولا يريد قتله، يقتله بما لا يقتل مثله، والخطاء الذي لا شكّ فيه أن يتعمّد شيئاً آخر فيصيبه</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التقييد بما لا يقتل مثله يدلّ على أنّ الآلة إذا كانت قتّالة فليس هو من الخطأ، وإن لم يقصد القتل ابتداءً‌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0" w:name="pg11384_112574"/>
    </w:p>
    <w:p>
      <w:pPr>
        <w:pStyle w:val="BookText"/>
        <w:rPr/>
      </w:pPr>
      <w:bookmarkEnd w:id="270"/>
      <w:r>
        <w:rPr>
          <w:rFonts w:ascii="Amiri" w:hAnsi="Amiri" w:eastAsia="Amiri" w:cs="Amiri"/>
          <w:color w:val="111111"/>
          <w:sz w:val="28"/>
          <w:sz w:val="28"/>
          <w:szCs w:val="28"/>
          <w:rtl w:val="true"/>
          <w:lang w:bidi="ar-SA"/>
        </w:rPr>
        <w:t>وإمّا شبيهُ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عامداً في فعله، مُخطِئاً في قصده، كمن يضربُ تأديباً فيموت</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83501_73709187"/>
      <w:bookmarkStart w:id="272" w:name="_Toc93"/>
      <w:bookmarkEnd w:id="271"/>
      <w:r>
        <w:rPr>
          <w:rtl w:val="true"/>
        </w:rPr>
        <w:t>شبيه العَمد</w:t>
      </w:r>
      <w:bookmarkEnd w:id="272"/>
    </w:p>
    <w:p>
      <w:pPr>
        <w:pStyle w:val="BookText"/>
        <w:rPr/>
      </w:pPr>
      <w:r>
        <w:rPr>
          <w:rFonts w:ascii="Amiri" w:hAnsi="Amiri" w:eastAsia="Amiri" w:cs="Amiri"/>
          <w:color w:val="111111"/>
          <w:sz w:val="28"/>
          <w:sz w:val="28"/>
          <w:szCs w:val="28"/>
          <w:rtl w:val="true"/>
          <w:lang w:bidi="ar-SA"/>
        </w:rPr>
        <w:t xml:space="preserve">وأمّا إذا لم يكن الضارب قاصداً للقتل، ولم يكن الفعل قاتلاً عادةً‌، كما إذا ضربه بعودٍ خفيف، أو رماه بحصاةٍ فاتّفق موته، فهل هو عَمدٌ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إمّا مطلقاً كما حكاه بعض، أو إذا كان محدّداً كما هو الظاهر من العبارة التي نقلها كاشف اللّثام</w:t>
      </w:r>
      <w:r>
        <w:rPr>
          <w:rStyle w:val="FootnoteAnchor"/>
          <w:rtl w:val="true"/>
        </w:rPr>
        <w:footnoteReference w:id="1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يكون عمداً، كما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شبيه عمدٍ، وهو أن يكون عامداً في فعله، مُخطئاً في قصده، كمن يَضرب تأديباً فيموت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عامّة من تأخّر، حتّى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التأمّل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الاطمئنان بأنّ الشيخ رحمه الله أيضاً يذهب إلى هذا القول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تحقّق العَمد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p>
    <w:p>
      <w:pPr>
        <w:pStyle w:val="BookText"/>
        <w:rPr/>
      </w:pP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الرّجل بالشيء الذي لا يقتل مثله‌؟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ثمّ أخذ حصاةً صغيرة فرمى‌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الشاة فأصيبُ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 الذي لا شكّ فيه، والعمد الذي يضربُ بالشيء الذي يَقتل بمثله</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عن بعض أصحابه،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رجلٌ رجلاً بعصا، أو بحجرٍ فمات من ضربةٍ واحدة قبل أن يتكلّم، فهو يشبه العمد، فالدّية على القاتل، وإن علاه وألحّ عليه بالعصا أو بالحجارة حتّى يقتله، فهو عمدٌ يُقتل به، وإن ضربه ضربةً واحدةً فتكلّم ثمّ مكث يوماً أو أكثر من يوم فهو شبه العمد</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وأبي العبّاس المتقدّم آنفاً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عليه جميع النصوص التي استدلّ بها للقول الثاني في المسألة المتقدّمة، التي عرفت أنّ الجمع بينها وبين معارضتها إنّما يكون بحملها على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ضرب رجلاً بخزفةٍ‌، أو بآجرةٍ‌، أو بعودٍ، فمات كان عمداً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جميل، عن بعض أصحابنا،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العمد كلّ ما عَمَد به الضَّرب فعليه القود، وإنّما الخطأ أن تريد الشيء فتصيب غيره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كلّ ما اعتمد شيئاً فأصابه بحديدةٍ‌، أو بحجرٍ، أو بعصا، أو بوكزةٍ‌، فهذا كلّه عمد، والخطأ من اعتمد شيئاً فأصاب غيره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الرواية الأُولى ضعفٌ بعليّ بن حمزة، والثانية بارسالها، والثالثة في طريقها محمّد بن عيسى عن يونس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 بن أبي حمزة يُعتمد على خبره وإنْ كان واقفيّاً، وإرسال مثل جميل، سيّما وأنّ في الطريق ابن أبي عمير لا يضرّ، ومحمّد بن عيسى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رواية محمّد بن عيسى عن يونس، منشأه اعتقاد ابن الوليد توقّف جواز الرواية على القراءة عن الشيخ، أو قراءة الشيخ عليه، وكون السّامع فاهماً لما يرويه، وكان لا يعتبر الإجازة المشهورة، وكان محمّد بن عيسى عند تحمّل الرواية عن يونس صغير السِّن، فتَرَك ابن الوليد رواية محمّد بن عيسى عن يونس لعدم اعتماده على فهمه لصغره، وعدم كفاية إجازة يونس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الميزان هو حين الأداء لا حين التحمّل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إنّ الروايات بأجمعها محلّ الاعتماد، ولكن في دلالتها تأمّلاً من جهة كونها في مقام بيان ما يقابل الخطأ، فهي قابلة للحمل على إرادة شبيه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3" w:name="pg11384_112577"/>
    </w:p>
    <w:p>
      <w:pPr>
        <w:pStyle w:val="BookText"/>
        <w:rPr/>
      </w:pPr>
      <w:bookmarkEnd w:id="273"/>
      <w:r>
        <w:rPr>
          <w:rFonts w:ascii="Amiri" w:hAnsi="Amiri" w:eastAsia="Amiri" w:cs="Amiri"/>
          <w:color w:val="111111"/>
          <w:sz w:val="28"/>
          <w:sz w:val="28"/>
          <w:szCs w:val="28"/>
          <w:rtl w:val="true"/>
          <w:lang w:bidi="ar-SA"/>
        </w:rPr>
        <w:t>وإمّا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مخطئاً في الفعل والقصد معاً، كمن يرمي طائراً فيُصيب إنساناً، وكذا أقسام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القِصاص بالأوّل مع صدوره من البالغ العاقل، في النفس المعصومة المتكافئة،</w:t>
      </w:r>
    </w:p>
    <w:p>
      <w:pPr>
        <w:pStyle w:val="BookText"/>
        <w:rPr/>
      </w:pPr>
      <w:r>
        <w:rPr>
          <w:rFonts w:ascii="Amiri" w:hAnsi="Amiri" w:eastAsia="Amiri" w:cs="Amiri"/>
          <w:color w:val="111111"/>
          <w:sz w:val="28"/>
          <w:sz w:val="28"/>
          <w:szCs w:val="28"/>
          <w:rtl w:val="true"/>
          <w:lang w:bidi="ar-SA"/>
        </w:rPr>
        <w:t>ومع التنزّل، فهي بأجمعها مطلقات من حيث أنّ الآلة ممّا يقتل مثله عادةً وعدمه، فيقيّد إطلاقها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صراحتها فيما ذُكر، يقع التعارض بين الطائفتين، فأوّل المرجّحات وهي الشهرة توجبُ تقدّم تلك النصوص، وعليه فالأظهر أنّه شبيه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مُخطئاً في الفعل والقصد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فعلاً لا يريد به إصابة المقتول فيُصيبه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يرمي طائراً فيصيبُ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أو لا يقصد الفعل أصلاً، كمن يزلق رجله فيسقط على غيره، ولا خلاف في ذلك، والنصوص المتقدّمة متّفقة الدلالة على ذلك، فلاكلام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أقسام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الأقسام الثلاثة المتقدّمة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83503_73709187"/>
      <w:bookmarkStart w:id="275" w:name="_Toc94"/>
      <w:bookmarkEnd w:id="274"/>
      <w:r>
        <w:rPr>
          <w:rtl w:val="true"/>
        </w:rPr>
        <w:t>لا فرق بين القتل بالمباشرة أو التسبيب</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القِصاص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القتل عمديّاً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صدوره من البالغ العاقل في النفس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المحترمة غير المهدورة، ولو بالنسبة إلى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الحريّة، والذكوريّة، وغيرهما من القيود الآتية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لثبوت القِصاص بالأوّل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من الضروريّات، وإلى جملةٍ من الآيات المتقدّمة، والنصوص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مباشرةً كالذبح والخَنق،</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 أن يرضى أولياء المقتول أن يقبلوا الدِّية، بالسَّهم والحَجَر، والضَّرب المتكرّر بالعصا بحيث لايحتمله مثله، والإلقاء إلى الأسد فيفترسه، الحديث</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أقدتُ القاتل بالقتيل أي قتلته به، وسُمِّي قِودَاً لأنّهم يقودون الجاني بحبلٍ أو غيره، قاله الأزهري</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الحكم بن عتيبة،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الخطاء مثل العمد، العمد فيه القتل</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فإنّه يُقاد به</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فضّال،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قتل شيئاً صغيراً أو كبيراً بعد أن يتعمّد، فعليه القود</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القيود المذكورة فسيأتي الكلام فيها في شرائط القِصاص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القِصاص</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مباشرةً كالذبح والخَنق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وسَقي السُّم القاتل بإيجاره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تسبيباً كالرّمي بالسَّهم والحَجَر، والضَّرب المتكرّر بالعَصا، بحيث لايحتمله مثله، والإلقاء إلى الأسد فيفترسه،</w:t>
      </w:r>
    </w:p>
    <w:p>
      <w:pPr>
        <w:pStyle w:val="BookText"/>
        <w:rPr/>
      </w:pPr>
      <w:r>
        <w:rPr>
          <w:rFonts w:ascii="Amiri" w:hAnsi="Amiri" w:eastAsia="Amiri" w:cs="Amiri"/>
          <w:color w:val="111111"/>
          <w:sz w:val="28"/>
          <w:sz w:val="28"/>
          <w:szCs w:val="28"/>
          <w:rtl w:val="true"/>
          <w:lang w:bidi="ar-SA"/>
        </w:rPr>
        <w:t>في حلقه، والضَّرب بالسكين والسّيف والحَجَر الغافر الكابس على البدن لثقله، والجرح في المقتل ولو بغَرز الإبرة ونحو ذلك ممّا يكون فعل الفاعل علّة تامّةً للقتل، أو جزءاً أخيراً للعلّة، بحيث لا ينفكّ الموت عن فعل الفاعل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تسبيباً كالرَّمي بالسَّهم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أراد قتله فأصابه فمات بعد مدّةٍ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المتكرّر بالعصا، بحيثُ لا يحتمله مثله، والإلقاء إلى الأسد فيفترسه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واسطةً بين فعل الفاعل وزهاق الروح من المقتول، وكان ذلك غير الفعل الاختياري من شخصٍ آخر، إذ الميزان في القِصاص كما عرفت كون القتل عمديّاً، وعرفت أنّ ملاك العمد في القتل هو إيجاد عملٍ يَقصدُ به القتل، أو يترتّب عليه غالباً، وهذا الميزان يتحقّق في جميع هذه الموارد، وعلى ذلك فلا فائدة في النزاع في بعض ما ذُكر أنّه من القتل المباشري أو التسببي بعد عدم كون العنوانين دخيلين في الحكم، ولعلّه لذلك وَقَع الخلط في كلمات الفقهاء، فالمصنّف ذكر الخَنق في المتن بالمباشرة، وفي بعض كتبه بالتسبيب</w:t>
      </w:r>
      <w:r>
        <w:rPr>
          <w:rStyle w:val="FootnoteAnchor"/>
          <w:rtl w:val="true"/>
        </w:rPr>
        <w:footnoteReference w:id="1410"/>
      </w:r>
      <w:r>
        <w:rPr>
          <w:rFonts w:ascii="Amiri" w:hAnsi="Amiri" w:eastAsia="Amiri" w:cs="Amiri"/>
          <w:color w:val="111111"/>
          <w:sz w:val="28"/>
          <w:sz w:val="28"/>
          <w:szCs w:val="28"/>
          <w:rtl w:val="true"/>
          <w:lang w:bidi="ar-SA"/>
        </w:rPr>
        <w:t>، وكذلك وقع للمحقّق</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يظهر من بعض النصوص من اعتبار عدم الفصل بين الفعل وزهاق الروح في صدق العمد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6" w:name="pg11384_112580"/>
    </w:p>
    <w:p>
      <w:pPr>
        <w:pStyle w:val="BookText"/>
        <w:rPr/>
      </w:pPr>
      <w:bookmarkEnd w:id="276"/>
      <w:r>
        <w:rPr>
          <w:rFonts w:ascii="Amiri" w:hAnsi="Amiri" w:eastAsia="Amiri" w:cs="Amiri"/>
          <w:color w:val="111111"/>
          <w:sz w:val="28"/>
          <w:sz w:val="28"/>
          <w:szCs w:val="28"/>
          <w:rtl w:val="true"/>
          <w:lang w:bidi="ar-SA"/>
        </w:rPr>
        <w:t>كخبر العلاء،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الذي يضرب بالسلاح أو بالعصا لا يقلع عنه حتّى يقتل</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يونس،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علاه وألحّ عليه بالعصا أو بالحجارة حتّى يقتله، فهو عمدٌ يقتل به، وإن ضربه ضربةً واحدةً فتكلّم ثُمّ مكثَ يوماً أو أكثر من يوم فهو شبه العمد</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تلك النصوص في مقام بيان الفرق بين الفعل الذي يترتّب عليه القتل بحسب العادة والغالب، وما لا يترتّب عليه إلّانادراً، وأنّه لا يعتبر في صدق العمد في الأوّل قصد القتل ابتداءً‌، ويعتبر فيه في الثاني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83505_73709187"/>
      <w:bookmarkStart w:id="278" w:name="_Toc95"/>
      <w:bookmarkEnd w:id="277"/>
      <w:r>
        <w:rPr>
          <w:rtl w:val="true"/>
        </w:rPr>
        <w:t>الموت بالإلقاء في النّار</w:t>
      </w:r>
      <w:bookmarkEnd w:id="2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يتحقّق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متمكّناً من الخروج ولم يخرج باختياره، فلا قِود، ولا دية، لأنّ الموت مستندٌ إلى نفسه لا إلى المُلقي، فلا يتحقّق موجب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ثبوتها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لأنّه هو الجاني بالقائه في النار، وعدم الخروج لا يُسقط الضمان عن الجاني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دية عليه أيضاً، ولعلّه المشهور بين الأصحاب، لأنّه بتمكّنه من </w:t>
      </w:r>
    </w:p>
    <w:p>
      <w:pPr>
        <w:pStyle w:val="BookText"/>
        <w:rPr/>
      </w:pPr>
      <w:r>
        <w:rPr>
          <w:rFonts w:ascii="Amiri" w:hAnsi="Amiri" w:eastAsia="Amiri" w:cs="Amiri"/>
          <w:color w:val="111111"/>
          <w:sz w:val="28"/>
          <w:sz w:val="28"/>
          <w:szCs w:val="28"/>
          <w:rtl w:val="true"/>
          <w:lang w:bidi="ar-SA"/>
        </w:rPr>
        <w:t>الخروج وبقائه في النار، هو الذي أهلك نفسه وأتلفها، فهو كمن خَرَج من النار ثمّ عاد إليها،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المُلقي ضمان ما شيطته النار عند وصوله إليها إلى أن يخرج منها في أوّل أوقات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بأنّه لم يكن متمكّناً من الخروج منها، وإنجاء نفسه من الهلاك، فلا إشكال في القِود، لتحقّق موضوعه وهو القتل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واشتبه الأمر، هل كان قادراً على الخروج فتركه تخاذلاً، أم لا؟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ضمنه وإنْ قَدَر على الخروج، لأنّ النّار قد تُرعبه وتُدهشه وتُشنِّج أعضائه بالملاقاة، فلا يظفر بوجه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رحمه الله 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له هو القتل العمدي وهو في الفرض مشكوكٌ فيه، وليس الإلقاء من حيثُ هو مقتضياً لشيء، مع أنّه لو سُلّم كونه مقتضياً، فالقدرة على الخروج من قبيل المانع لا المُسقِط، فمع الشكّ فيه لا يُبنى على تحقّق المقتضى بالفتح إلّاعلى القول بحجيّة قاعدة المقتضي والمانع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حال الإنسان أن لا يتخاذل عن الخروج حتّى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يحترق، وهو مقدّمٌ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أوجب الاطمئنان فهو الحجّة، فيدخل في الصورة الثانية، وإلّا فلا دليل على حجيّة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الاحتياط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عدم القَود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الذي عرفت 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الاحتياط في الدِّماء، بدعوى أنّها وإنْ كان لا تقتضي القِصاص لما مرّ، وللشُبهة بناءً على أنّه كالحَدّ يُدرأ بها، إلّاأنّها تقتضي الدِّية حفظاً لأن يذهب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هو الضمان في موارد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الاحتياط بالمعنى المشار إليه لا مَدرك لها، غاية ما هناك أنّه لو شُكّ في موردٍ أنّه مهدور الدَّم أو محترمه، فإنّ مقتضى الأصل عدم جواز القتل، ولا دليل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الضمان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لا قصاص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أحرقه بالنار قاصداً به قتله، وكان متمكّناً من إنجاء نفسه بالمداواة، وتركها باختياره فماتَ‌، فالظاهر أنّه لا خلاف بين الأصحاب في أنّ‌عليه القِصاص</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التلف هنا مستندٌ إلى الجرح الواقع عدواناً،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بخلاف الموت بالنّار في الصورة السابقة، فإنّه مستندٌ إلى احتراقٍ متجدّدٍ عن الأوّل الواقع 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وأوضحه الاُستاذ</w:t>
      </w:r>
      <w:r>
        <w:rPr>
          <w:rStyle w:val="FootnoteAnchor"/>
          <w:rtl w:val="true"/>
        </w:rPr>
        <w:footnoteReference w:id="1416"/>
      </w:r>
      <w:r>
        <w:rPr>
          <w:rFonts w:ascii="Amiri" w:hAnsi="Amiri" w:eastAsia="Amiri" w:cs="Amiri"/>
          <w:color w:val="111111"/>
          <w:sz w:val="28"/>
          <w:sz w:val="28"/>
          <w:szCs w:val="28"/>
          <w:rtl w:val="true"/>
          <w:lang w:bidi="ar-SA"/>
        </w:rPr>
        <w:t>وشيّد أركانه، بأنّ القتل مستندٌ إلى فعله وهو الجرح والإحراق، وترك المداواة وإنْ كان دخيلاً في تحقّق الموت، إلّاأنّ الموت لم يُستند إليه، فإنّه إنّما هو من آثار المقتضي، والمداواة من قبيل المانع، فإذا لم يوجد ولو اختياراً استند الأثر إلى المقتضي، فإنّ الموجود إنّما ينشأ من الموجود، ويترتّب عليه، ولا يستند إلى الأمر العدمي، فالقتل عند عدم المداواة يستندُ إلى المُحرِّق دون المقتول، وذلك نظير من قَتَل شخصاً وكان المقتول متمكّناً من الدفاع عن نفسه ولم يدفع حتّى قُتِل، فإنّه لا يُشكّ في استناد القتل إلى القاتل دون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المقتضى للحرقة ولزهاق الروح هو النّار، وفعلُ القاتل إنّما هو من قبيل إيجاد ما هو شرط، وكما أنّه في الصورة الأُولى عدم الخروج إبقاءٌ للشرط، ولذا عبّر الشهيد رحمه الله</w:t>
      </w:r>
      <w:r>
        <w:rPr>
          <w:rStyle w:val="FootnoteAnchor"/>
          <w:rtl w:val="true"/>
        </w:rPr>
        <w:footnoteReference w:id="1417"/>
      </w:r>
      <w:r>
        <w:rPr>
          <w:rFonts w:ascii="Amiri" w:hAnsi="Amiri" w:eastAsia="Amiri" w:cs="Amiri"/>
          <w:color w:val="111111"/>
          <w:sz w:val="28"/>
          <w:sz w:val="28"/>
          <w:szCs w:val="28"/>
          <w:rtl w:val="true"/>
          <w:lang w:bidi="ar-SA"/>
        </w:rPr>
        <w:t>عنه باحتراق متجدّد، فكذلك المداواة إيجادُ للمانع، ولا فرق في استناد الموت إلى الشخص بين كونه موجداً أو مُبقياً للشرط، وكونه غير موجدٍ للمانع ورافعاً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استناد القتل إلى الشخص يكفي كون الجزء الأخير للعلّة التامّة مستنداً إليه، ولا يعتبر أزيد من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فكما أنّه في الصورة الأُولى يُستند القتل إلى نفسه لتركه الخروج، كذلك في الصورة الثانية يُستند إليه لتركه المداواة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9" w:name="pg11384_112584"/>
    </w:p>
    <w:p>
      <w:pPr>
        <w:pStyle w:val="BookText"/>
        <w:rPr/>
      </w:pPr>
      <w:bookmarkEnd w:id="279"/>
      <w:r>
        <w:rPr>
          <w:rFonts w:ascii="Amiri" w:hAnsi="Amiri" w:eastAsia="Amiri" w:cs="Amiri"/>
          <w:color w:val="111111"/>
          <w:sz w:val="28"/>
          <w:sz w:val="28"/>
          <w:szCs w:val="28"/>
          <w:rtl w:val="true"/>
          <w:lang w:bidi="ar-SA"/>
        </w:rPr>
        <w:t>وكذا لو جَرَحه فسرتِ الجناية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 الصورتين، إلّاأن يكون إجماعٌ تعبّدي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ما لو ألقاه في الماء فأمسك نفسه تحته مع القدرة على الخروج، فلا قصاص ولا دية، والظاهر أنّه لا خلاف فيه بين الأصحاب</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83507_73709187"/>
      <w:bookmarkStart w:id="281" w:name="_Toc96"/>
      <w:bookmarkEnd w:id="280"/>
      <w:r>
        <w:rPr>
          <w:rtl w:val="true"/>
        </w:rPr>
        <w:t>موتُ المَجنيّ عليه بالسِّراية اتّفاقاً</w:t>
      </w:r>
      <w:bookmarkEnd w:id="28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الجرح ممّا يَقتلُ غالباً، ولم يكن الجاني قد قَصَد به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الجناية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ظاهرٌ في ما لو كان الجرح بما يَقتلُ غالباً، أو قَصَد به القتل، لما عرفت من أنّه يصدق عليه القتل العَمدي، وأمّا إذا لم يكن ممّا يَقتُلُ غالباً، ولا قَصَد به ذلك، فمقتضى إطلاق كلمات الأصحاب ثبوت القِوَد، ولكنّه مشكلٌ كما اعترف به جماعة، إذ الجناية مضمونة بمقدارها المقصود، والموتُ المترتّب في الفرض غير مقصودٍ، ولا ممّا يترتّب على الجناية غالباً، فلا يكون عمديّاً، بل هو شبيهٌ بالعمد الذي عرفت أنّه متقوّمٌ بقصد الفعل المترتّب عليه القتل اتّفاقاً من دون قصد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 معتبر ذريح،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شجّ رجلاً موضحةً‌، وشجّه آخر دامية في مقام واحدٍ، فمات الرّجل‌؟ </w:t>
      </w:r>
      <w:bookmarkStart w:id="282" w:name="pg11384_112585"/>
    </w:p>
    <w:p>
      <w:pPr>
        <w:pStyle w:val="BookText"/>
        <w:rPr/>
      </w:pPr>
      <w:bookmarkEnd w:id="282"/>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الدِّية في أموالهما نصفين</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الموت إذا ترتّب على الجناية اتّفاقاً، فلا قصاص، بل يجبُ الدِّية، ونظير هذه المسألة ما لو ألقى نفسه من شاهقٍ على إنسان عمداً، فإنْ قَصَد به القتل، أو كان ممّا يترتّب عليه القتل عادةً فَقَتَله، فإنّ عليه القود، لأنّ القتل 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يسقط على الرّجل فيقتله‌؟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عبيدبن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على رجل فقتله‌؟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فظاهرها الوقوع لا عن عمدٍ، فغير مربوطة بمفروض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يقصد به القتل، ولم يكن ممّا يقتلُ عادةً‌، فلا قِوَد عليه، لعدم كون القتل عمديّاً، وعلى جميع التقادير إذا مات المُلقى فدمه هَدْرٌ لاستناد قتله إلى نفسه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83509_73709187"/>
      <w:bookmarkStart w:id="284" w:name="_Toc97"/>
      <w:bookmarkEnd w:id="283"/>
      <w:r>
        <w:rPr>
          <w:rtl w:val="true"/>
        </w:rPr>
        <w:t>حكمُ ما لو كان الجارح والقاتل واحداً</w:t>
      </w:r>
      <w:bookmarkEnd w:id="28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الجارحُ والقاتلُ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الجرح والقتل بضربةٍ واحدة، وعملٍ واحد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بضربتين وعملين، كما لو قطع يده ولم يمت ثمّ قتله، فالكلام </w:t>
      </w:r>
    </w:p>
    <w:p>
      <w:pPr>
        <w:pStyle w:val="BookText"/>
        <w:rPr/>
      </w:pP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بضربة واحدة، كما لو قطع يده فمات،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القِود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المورد من موارد ثبوت الدِّية أصالة، فلا خلاف بين الأصحاب في التداخل،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صحيح أبي عُبيدة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رجلاً بعمود فسطاط على رأسه ضربة واحدة، فأجافه حتّى وصلت الضربة إلى الدماغ، فذهب عقله‌؟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أوقات الصلاة، ولا يعقل ما قال، ولا ما قيل له، فإنّه يُنتَظر به سنة، فإن مات فيما بينه وبين السنة اُقيد به ضاربه، وإنْ لم يمت فيما بينه وبين السنة، ولم يرجع إليه عقله، اُغرم ضاربه الدِّية في ماله لذهاب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 ضربةً واحدة فجنت الضربة جنايتين، فألزمته أغلظ الجنايتين وهي الدِّية، ولو كان ضربه ضربتين فجنت الضربتان جنايتين، لألزمته جناية ما جنتا، كائناً ما كان، إلّاأن يكون فيهما الموت بواحدة، وتُطرح الأُخرى فيقاد به ضاربه، فإنْ ضَرَبه ثلاث ضربات واحدة بعد واحدة، فجنينَ ثلاث جناياتٍ‌، ألزمتُه جنايةَ ما جنت الثلاث ضربات، كائنات ما كانت، ما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فيها الموت، فيُقاد به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بعموم علّته يدلّ على دخول دية الطرف في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 مورده بدخول دية الطرف في دية العقل، فإنّ العبرة بعموم العلّة لا بخصوص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القِصاص مع كون الضربة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قصاص الطرف في قصاص النفس اتّفاقاً في الظاهر، وبعدم الخلاف فيه صريح في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الشهيد الثاني رحمه الله</w:t>
      </w:r>
      <w:r>
        <w:rPr>
          <w:rStyle w:val="FootnoteAnchor"/>
          <w:rtl w:val="true"/>
        </w:rPr>
        <w:footnoteReference w:id="1424"/>
      </w:r>
      <w:r>
        <w:rPr>
          <w:rFonts w:ascii="Amiri" w:hAnsi="Amiri" w:eastAsia="Amiri" w:cs="Amiri"/>
          <w:color w:val="111111"/>
          <w:sz w:val="28"/>
          <w:sz w:val="28"/>
          <w:szCs w:val="28"/>
          <w:rtl w:val="true"/>
          <w:lang w:bidi="ar-SA"/>
        </w:rPr>
        <w:t xml:space="preserve">نقل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 واختاره ابن إدريس</w:t>
      </w:r>
      <w:r>
        <w:rPr>
          <w:rStyle w:val="FootnoteAnchor"/>
          <w:rtl w:val="true"/>
        </w:rPr>
        <w:footnoteReference w:id="1425"/>
      </w:r>
      <w:r>
        <w:rPr>
          <w:rFonts w:ascii="Amiri" w:hAnsi="Amiri" w:eastAsia="Amiri" w:cs="Amiri"/>
          <w:color w:val="111111"/>
          <w:sz w:val="28"/>
          <w:sz w:val="28"/>
          <w:szCs w:val="28"/>
          <w:rtl w:val="true"/>
          <w:lang w:bidi="ar-SA"/>
        </w:rPr>
        <w:t>ناقلاً له عن الشيخ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قطع يده غيره فسَرَت إلى نفسه، لو قطع الوليّ يده ثُمّ ضَرب عنقه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محمّدبن قيس الصحيح إليه، واشتراكه مجبورٌ بابن أبي عمير، المجمع علي تصحيح ما يصحّ عنه الراوى عنه، ولو بواسطة محمّد بن أبي حمزة عن أحدهما عليهما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فقأ عيني رجلٍ وقطع اُذنيه ثُمّ قتله‌؟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ويدخلُ قصاص الطرف وديته في قصاص النفس وديتها، ولو جَرَحه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فَرّق ذلك اقتُصَّ منه ثُمّ يُقتل، وإنْ كان ضَرَبه ضربةً واحدة، ضُربت عنقه ولم يُقتصّ منه</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على رأسه فذهب سمعه وبصره، واعتقل لسانه، ثُمّ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ضَرَبه ضربة اقتصّ منه ثُمّ قُتِل، وإنْ كان أصابه هذا من ضربةٍ واحدةٍ‌، قُتل ولم يُقتصَّ منه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لا ينفكّ عادةً عن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شمول العمومات لكلّ من الجنايتين، مع أنّه ممنوعٌ‌، يفيدُ إطلاقها ويُخصّص عمومها بالخبرين، وعليه فلا إشكال في الحكم، فما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قصاص الطرف وديته في قصاص النفس 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فيما هو مورد كلامه، وهو ما لو جَرَحه فَسَرَتِ الجناية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لو كانت الجنايتان بعملين،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جَرَحه ثُمّ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 فيه أيضاً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429"/>
      </w:r>
      <w:r>
        <w:rPr>
          <w:rFonts w:ascii="Amiri" w:hAnsi="Amiri" w:eastAsia="Amiri" w:cs="Amiri"/>
          <w:color w:val="111111"/>
          <w:sz w:val="28"/>
          <w:sz w:val="28"/>
          <w:szCs w:val="28"/>
          <w:rtl w:val="true"/>
          <w:lang w:bidi="ar-SA"/>
        </w:rPr>
        <w:t>هو التداخل، والاكتفاء بديةٍ واحدةٍ وهي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المحقّق الأردبيلي</w:t>
      </w:r>
      <w:r>
        <w:rPr>
          <w:rStyle w:val="FootnoteAnchor"/>
          <w:rtl w:val="true"/>
        </w:rPr>
        <w:footnoteReference w:id="1430"/>
      </w:r>
      <w:r>
        <w:rPr>
          <w:rFonts w:ascii="Amiri" w:hAnsi="Amiri" w:eastAsia="Amiri" w:cs="Amiri"/>
          <w:color w:val="111111"/>
          <w:sz w:val="28"/>
          <w:sz w:val="28"/>
          <w:szCs w:val="28"/>
          <w:rtl w:val="true"/>
          <w:lang w:bidi="ar-SA"/>
        </w:rPr>
        <w:t>فى التداخل فيما إذا كان الفصل بين الضربتين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 الاُستاذ</w:t>
      </w:r>
      <w:r>
        <w:rPr>
          <w:rStyle w:val="FootnoteAnchor"/>
          <w:rtl w:val="true"/>
        </w:rPr>
        <w:footnoteReference w:id="1431"/>
      </w:r>
      <w:r>
        <w:rPr>
          <w:rFonts w:ascii="IRNazanin" w:hAnsi="IRNazanin" w:eastAsia="IRNazanin"/>
          <w:color w:val="111111"/>
          <w:sz w:val="28"/>
          <w:sz w:val="28"/>
          <w:szCs w:val="28"/>
          <w:rtl w:val="true"/>
          <w:lang w:bidi="fa-IR"/>
        </w:rPr>
        <w:t>عدم التداخل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ولا كلام في التداخل مع كون الموت مستنداً إلى كليهما، والوجه فيه ظاهر، ولا إشكال أيضاً في عدم التداخل مع كون الفصل بين الضربتين زماناً معتدّاً به، لإطلاق الأدلّة، وعدم المقيّد، إذ المقيّد على فرضه صحيح أبي عبيدة، وهو في مورد ضربة بعد ضربة، فلا يشمل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صورة توالي الضربتين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أبي عبيدة الحذّاء المتقدّم ذكره يدلّ على أنّ كلّ جناية يلزم بها الجانى ما لم ينته إلى الاقتصاص، ومعه يثبت القِود، ويُطرح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التداخل في الدِّية بدل الاقتصاص الثابتة صُلحاً، فيثبت في الدِّية الثابتة بالأصالة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كلّ جنايةٍ يلزم بها الجاني ما لم ينته إلى الموت، لاحظ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لألزمتُه جناية ما جَنَتا كائناً ما كان، إلّاأن يكون فيهما الموت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الأُخرى‌،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فيقاد به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مقيّداً له، فتدبّر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ما هو المشهور المُدّعى عليه الإجماع من التداخل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فُرّق اقتصّ منهما وإلّا فالنفس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وعرفت قصور صحيح أبي عبيدة لصورة التفرّق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الضربتان متواليتين زماناً، كما إذا ضربه ضربة فقطعت يده مثلاً، ثُمّ ضَرَبه ضربة فقتله،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وإليه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الشيخ رحمه الله في بعض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ascii="IRNazanin" w:hAnsi="IRNazanin" w:eastAsia="IRNazanin"/>
          <w:color w:val="111111"/>
          <w:sz w:val="28"/>
          <w:sz w:val="28"/>
          <w:szCs w:val="28"/>
          <w:rtl w:val="true"/>
          <w:lang w:bidi="fa-IR"/>
        </w:rPr>
        <w:t>التداخل، واستدلّ لعدم التداخل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ولثبوت القِصاص بالقطع والشَّجة عند فعلها، فمقتضى إطلاق دليله عدم سقوطه بالقتل، وعلى فرض الشكّ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صحيحي محمّد بن قيس، وحفص بن البَخترى المتقدّمين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أبي عبيدة المتقدّم يدلّ على التداخل، لاحظ قوله عليه السلام فيه</w:t>
      </w:r>
      <w:r>
        <w:rPr>
          <w:rStyle w:val="FootnoteAnchor"/>
          <w:rtl w:val="true"/>
        </w:rPr>
        <w:footnoteReference w:id="1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ضَرَب ضَربتين، فجنت الضربتان جنايتين، لألزمتُه جناية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5" w:name="pg11384_112591"/>
    </w:p>
    <w:p>
      <w:pPr>
        <w:pStyle w:val="BookText"/>
        <w:rPr/>
      </w:pPr>
      <w:bookmarkEnd w:id="285"/>
      <w:r>
        <w:rPr>
          <w:rFonts w:ascii="Amiri" w:hAnsi="Amiri" w:eastAsia="Amiri" w:cs="Amiri"/>
          <w:color w:val="111111"/>
          <w:sz w:val="28"/>
          <w:sz w:val="28"/>
          <w:szCs w:val="28"/>
          <w:rtl w:val="true"/>
          <w:lang w:bidi="ar-SA"/>
        </w:rPr>
        <w:t>ولو أكره غيره على القتل، اقتصَّ مِن القاتل،</w:t>
      </w:r>
    </w:p>
    <w:p>
      <w:pPr>
        <w:pStyle w:val="BookText"/>
        <w:rPr/>
      </w:pPr>
      <w:r>
        <w:rPr>
          <w:rFonts w:ascii="Amiri" w:hAnsi="Amiri" w:eastAsia="Amiri" w:cs="Amiri"/>
          <w:color w:val="111111"/>
          <w:sz w:val="28"/>
          <w:sz w:val="28"/>
          <w:szCs w:val="28"/>
          <w:rtl w:val="true"/>
          <w:lang w:bidi="ar-SA"/>
        </w:rPr>
        <w:t>ماجَنَتا كائناً ما كان، إلّاأن يكون فيهما الموت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الأُخرى‌، فيقاد به ضاربه، وبه يرفع اليد عن العمومات والمطلقات والاستصحاب، ويُقدّم على الصحيحين، ويُحملان على صورة تفرّق الضربتين زماناً، بل صحيح محمّدبن قيس في نفسه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البختري لو لم يكن ظاهراً في خصوص توالي الضربتين، لا ريب في شموله له، فيقع المعارضة بينه وبين صحيح أبي عبيدة، والحَمل المذكور تبرّعي لا يُصار إليه، فلابدّ من الرجوع إلى أخبار الترجيح، وهي تقتضي تقدّم صحيح ابن البختري لكونه موافقاً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التداخل</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83511_73709187"/>
      <w:bookmarkStart w:id="287" w:name="_Toc98"/>
      <w:bookmarkEnd w:id="286"/>
      <w:r>
        <w:rPr>
          <w:rtl w:val="true"/>
        </w:rPr>
        <w:t>الإكراه على القتل</w:t>
      </w:r>
      <w:bookmarkEnd w:id="28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 غيره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توعَّد به دون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عدم جواز القتل، إذ المعلوم ضرورةً من الشرع أهميّة النفس المحترمة، فلا ترتفع حرمة القتل بالإكراه على ما دون القتل، فلو أقدم حينئذٍ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من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وهو واضح، ويُحبس الآمر مؤبّداً، لصحيح زرارة الآتي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ما توعَّد به 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435"/>
      </w:r>
      <w:r>
        <w:rPr>
          <w:rFonts w:ascii="Amiri" w:hAnsi="Amiri" w:eastAsia="Amiri" w:cs="Amiri"/>
          <w:color w:val="111111"/>
          <w:sz w:val="28"/>
          <w:sz w:val="28"/>
          <w:szCs w:val="28"/>
          <w:rtl w:val="true"/>
          <w:lang w:bidi="ar-SA"/>
        </w:rPr>
        <w:t xml:space="preserve">أنّ حكمه حكم </w:t>
      </w:r>
    </w:p>
    <w:p>
      <w:pPr>
        <w:pStyle w:val="BookText"/>
        <w:rPr/>
      </w:pPr>
      <w:r>
        <w:rPr>
          <w:rFonts w:ascii="Amiri" w:hAnsi="Amiri" w:eastAsia="Amiri" w:cs="Amiri"/>
          <w:color w:val="111111"/>
          <w:sz w:val="28"/>
          <w:sz w:val="28"/>
          <w:szCs w:val="28"/>
          <w:rtl w:val="true"/>
          <w:lang w:bidi="ar-SA"/>
        </w:rPr>
        <w:t>الصورة الأُولى‌، واستدلّوا له بأنّ الإكراه لا يتحقّق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المُكرَه عليه إنّما هو فيما يدفع عن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ما اُكره عليه، وحيثُ إنّ المكرِه لو قتل يثبت عليه القِصاص والقتل شرعاً، فلا يدفع بفعل ما اُكره عليه ما توعّد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إنّما يكون في مقام الامتنان على الاُمّة، ولا منّة على الاُمّة في القتل، وإنْ كان منّة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إنّما شُرِّعت ليحقن بها الدَّم، فإذا بلغ الدَّم فلا تقيّة</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لو قتله والحال هذه كان عليه القِود لإطلاق الأدلّة، ولصحيح زرارة الآتي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الاُستاذ</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ثبوت القتل، بأنّ ذلك داخلٌ في باب التزاحم، إذ الأمر يدور بين ارتكاب محرّم وهو قتل النفس المحترمة، وبين ترك واجبٍ وهو حفظ نفسه، وعدم تعريضه للهلاك، وحيثُ لا ترجيح في البين، فلا مناص من الالتزام بالتخيير، وعليه فالقتل يكون سائغاً، وغير صادرٍ عن ظلم وعدوان، فلا يترتّب عليه القِصاص، ولكن يثبت الدِّية،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إمرئ مسلم لايذهبُ هَدراً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أمر، ويُخلّد الآمر السجن به،</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النفس ينطبق هنا على قتل الغير، ووجوبه حتّى يَقتل غيره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زرارة الآتي دالٌّ على ثبوت القِود في صورة الأمر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قطع النظر عن كونه دليلاً على القِصاص، وإنْلم يشمله الأدلّة العامّة، يوجبُ رفع التزاحم، فإنّه لايحفظ نفسه بالقتل، فلارفع لحرمته وكونه ظلماًوعدواناً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الدِّية عليه لا دليل عليه، وغاية ما يثبت بالعلّة ثبوت الدِّية، فليكن في بيت المال بعد أن القتل 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القِود على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 ويُخلّد الآمر السجن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يموت، ويشهد به 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بقتل رجلٍ فقتله‌؟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الذي قتله، ويُحبس الآمر بقتله في الحبس حتّى يموت</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الإكراه والأمر مع كون المأمور حُرّاً بالغاً عاقلاً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مجنوناً، أو صبيّاً غير مميّزٍ، فالقصاص على المكرَه بلا خلافٍ ولا إشكال، لأنّهما بالنسبة إليه كالآلة في نسبة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عبد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القطع لو أمرهما السيّد بالسَّرقة، في غير محلّه، للفرق بين السَّرقة والقتل، فإنّ السَّرقة لا تصدق على الآمر بخلاف القتل الذي يحصل بالتسبيب والمباشرة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عليه، لأنّ عمد الصَّبي مختاراً خطأٌ، فكيف مع الإكراه، كما سيأتي الكلام فيه، ولا قِود على المكرِه أيضاً، لعدم استناد القتل إليه، بعد كون القاتل مميّزاً، نعم على المكرِه الحبس مؤبّداً، لأنّ مورد صحيح زرارة وإنْ كان هو الرّجل، إلّاأنّه من الظاهر أنّ لا خصوصيّة له، بل الموضوع بحسب المتفاهم العرفي هو كون المتصدّي للقتل فاعلاً مختاراً، ولذا لا أظنّ أن يشكّ أحدٌ في ثبوت الحَبس على الآمر لو كان المأمور هو المرأة، وعلى عاقلة الصَّبي الدِّية كما سيأتي الكلام فيه إن شاء اللّه تعالى‌، وتدلّ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المأمور عبد الآمر، بأن أمر السيّد عبده البالغ العاقل بقتل شخصٍ‌،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العبد، ويُحبس مؤبّداً السيّد، والمصنّف رحمه الله 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عبد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أشهرهما بين المتأخّرين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السيّد، ويُخلّد العبد في السجن،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ذهاب</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 من الأصحاب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اختلاف النصوص، فمقتضى العمومات والمطلقات هو القول الأوّل، وكذا صحيح زرارة المتقدّم على إشكال، ويشهد للقول الثانى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أمر عبده أن يقتل رجلاً فقتله‌؟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السيّد به</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رجلٍ أمر عبده أن يقتل رجلاً فقتله‌؟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عبد الرّجل إلّاكسوطه أو كسيفه، يُقتل السيّد، ويُستودع العبد السجن</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بسنده الصحيح إلى قضايا عليّ عليه السلام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ويستودع العبد في السجن حتّى يموت</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بها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الخبرين قاصران سنداً ومكافئةً لما دلّ على القول الأوّل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رحمه الله</w:t>
      </w:r>
      <w:r>
        <w:rPr>
          <w:rStyle w:val="FootnoteAnchor"/>
          <w:rtl w:val="true"/>
        </w:rPr>
        <w:footnoteReference w:id="1446"/>
      </w:r>
      <w:r>
        <w:rPr>
          <w:rFonts w:ascii="Amiri" w:hAnsi="Amiri" w:eastAsia="Amiri" w:cs="Amiri"/>
          <w:color w:val="111111"/>
          <w:sz w:val="28"/>
          <w:sz w:val="28"/>
          <w:szCs w:val="28"/>
          <w:rtl w:val="true"/>
          <w:lang w:bidi="ar-SA"/>
        </w:rPr>
        <w:t>يعبّر نفسه عن خبر إسحاق بالموثّق كالصحيح، وعن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السكوني بالقويّ‌، ومع هذا التصريح كيف يدّعي 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قصورهما مكافئةً‌، فهو لم ينقل سوى العمومات، وصحيح زرارة، وأشكل على الصحيح بانصرافه إلى الحُرّ، وبأنّه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أمرَ رجلاً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العمومات لا تُكافيء الخاصّ‌، سيّما وأن لسان الخاصّ على ما في خبر السكوني 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الخبرين مخالفان للكتاب، حيث نطق أنّ النفس بالنفس، والسُّنة، ولذلك فينبغي أن يلغى أمرهما ويكون العمل بما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بنحو العموم والخصوص المطلق ليست مخالفة، فإنّ الخاصّ عند العرف قرينة على العام لا مخالف له، ولذا لا يشكّ فقيهٌ في تخصيص عام الكتاب بالخاصّ الخبري، وقد جُعل موافقة الكتاب من مرجّحات إحدى الحجّتين على الأُخرى بعد فقد جملةٍ من المرجّحات، لا من مميّزات الحجّة عن اللاحجّة حتّى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السكوني بالتصرّف في الموضوع لا يخالف الكتاب ولو بنحو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معارضة هذين الخبرين مع ما دلّ على أنّ القودَ على العبد نفسه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نظفر ولم يظفر غيرنا بما يدلّ على ذلك سوى المطلقات، وصحيح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زرارة، والخبران أخصّ من الجميع، فلا تعارض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قتل السيّد معرَضٌ عنها، وإعراض المشهور موهنٌ للخبر، ويُسقطه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المسقط عن الحجيّة، هو إعراض القدماء، ولم يثبُت ذلك في المقام، بل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بأنّ القود على العبد إلى الأشهر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الجمع بين الخبرين، وبين صحيح زرارة، بحملهما على من كانت عادته أن يأمر عبده بقتل النّاس، ويُغريهم بذلك، ويُلجئهم إليه، فإنّه يجوزُ على الإمام أن يقتل من هذا حاله، لأنّه مفسدٌ في الأرض، وحمل الصحيح على ما لو كان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الحلبيّان</w:t>
      </w:r>
      <w:r>
        <w:rPr>
          <w:rStyle w:val="FootnoteAnchor"/>
          <w:rtl w:val="true"/>
        </w:rPr>
        <w:footnoteReference w:id="1449"/>
      </w:r>
      <w:r>
        <w:rPr>
          <w:rFonts w:ascii="IRNazanin" w:hAnsi="IRNazanin" w:eastAsia="IRNazanin"/>
          <w:color w:val="111111"/>
          <w:sz w:val="28"/>
          <w:sz w:val="28"/>
          <w:szCs w:val="28"/>
          <w:rtl w:val="true"/>
          <w:lang w:bidi="fa-IR"/>
        </w:rPr>
        <w:t>على هذا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زرارة على نقل الصَّدوق لا يشملُ المقام، ويختصّ بكون المأمور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أخصّ مطلق من الصحيح، فيقدّمان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المزبور تبرّعيٌ لا شاهد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السيّد هو الذي يقاد منه، وأمّا العبد فيُخلّد في السجن، هذا إذا كان العبد عاقلاً بالغاً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8" w:name="pg11384_112598"/>
    </w:p>
    <w:p>
      <w:pPr>
        <w:pStyle w:val="BookText"/>
        <w:rPr/>
      </w:pPr>
      <w:bookmarkEnd w:id="288"/>
      <w:r>
        <w:rPr>
          <w:rFonts w:ascii="Amiri" w:hAnsi="Amiri" w:eastAsia="Amiri" w:cs="Amiri"/>
          <w:color w:val="111111"/>
          <w:sz w:val="28"/>
          <w:sz w:val="28"/>
          <w:szCs w:val="28"/>
          <w:rtl w:val="true"/>
          <w:lang w:bidi="ar-SA"/>
        </w:rPr>
        <w:t>وأمّا إنْ كان صبيّاً غير مميّزٍ أو مجنوناً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القِوَد على سيّده، ولا شيء على غير المميّز، لأنّه بمنزلة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صبيّاً مميّزاً فلا كلام في أنّ القِوَد على سيّده على ما أخبرناه، لإطلاق الخبرين، ولا شيء على العبد، إذ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 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يختصّ بما إذا كان القِوَد على الصَّبي بمقتضى الأدلّة، فلا يشمل المقام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83513_73709187"/>
      <w:bookmarkStart w:id="290" w:name="_Toc99"/>
      <w:bookmarkEnd w:id="289"/>
      <w:r>
        <w:rPr>
          <w:rtl w:val="true"/>
        </w:rPr>
        <w:t>لو قال اقتلني فَقَتله</w:t>
      </w:r>
      <w:bookmarkEnd w:id="29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اقتلني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القاتلُ مختاراً أو متوعّداً بما دون القتل، لم يسغ القتل، بلا خلافٍ ولا إشكال، لأنّ حرمة القتل الثابتة بنهي المالك الحقيقي لا ترتفعُ بإذن المقتول، وكذا على المختار في إكراه الغير بالقتل من أنّ الإكراه لا يسوّغ القتل لو أكرهه متوعّداً بالقتل، فإفتاء الاُستاذ</w:t>
      </w:r>
      <w:r>
        <w:rPr>
          <w:rStyle w:val="FootnoteAnchor"/>
          <w:rtl w:val="true"/>
        </w:rPr>
        <w:footnoteReference w:id="1450"/>
      </w:r>
      <w:r>
        <w:rPr>
          <w:rFonts w:ascii="Amiri" w:hAnsi="Amiri" w:eastAsia="Amiri" w:cs="Amiri"/>
          <w:color w:val="111111"/>
          <w:sz w:val="28"/>
          <w:sz w:val="28"/>
          <w:szCs w:val="28"/>
          <w:rtl w:val="true"/>
          <w:lang w:bidi="ar-SA"/>
        </w:rPr>
        <w:t>هنا بعدم الجواز، لا يجتمعُ مع ما اختاره هناك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فلو أثم وباشر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القِصاص، واستدلّ له</w:t>
      </w:r>
      <w:r>
        <w:rPr>
          <w:rFonts w:eastAsia="Amiri" w:cs="Amiri" w:ascii="Amiri" w:hAnsi="Amiri"/>
          <w:color w:val="111111"/>
          <w:sz w:val="28"/>
          <w:szCs w:val="28"/>
          <w:rtl w:val="true"/>
          <w:lang w:bidi="ar-SA"/>
        </w:rPr>
        <w:t>:</w:t>
      </w:r>
      <w:bookmarkStart w:id="291" w:name="pg11384_112599"/>
    </w:p>
    <w:p>
      <w:pPr>
        <w:pStyle w:val="BookText"/>
        <w:rPr/>
      </w:pPr>
      <w:bookmarkEnd w:id="291"/>
      <w:r>
        <w:rPr>
          <w:rFonts w:ascii="Amiri" w:hAnsi="Amiri" w:eastAsia="Amiri" w:cs="Amiri"/>
          <w:color w:val="111111"/>
          <w:sz w:val="28"/>
          <w:sz w:val="28"/>
          <w:szCs w:val="28"/>
          <w:rtl w:val="true"/>
          <w:lang w:bidi="ar-SA"/>
        </w:rPr>
        <w:t>بأنّ الآمر قد أسقط حقّه بالإذن، فلا يتسلّط عليه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الأستاد</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غير مسلّط على إتلاف نفسه، ليكون إذنه بالإتلاف مُسقطاً للضمان، كما هو الحال في الأموال، فعمومات أدلّة القِصاص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لإتلاف النفس المحترمة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تعالى‌، وهو حكمه تعالى بعدم جواز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وهو ثبوت القِصاص أو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الأُولى‌، ولا يتمّ في الثانية، بعد كون الإنسان مالكاً لنفسه ولأعضائه وأعماله وذمّته بالمِلْكيّة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بالذاتي ما لا يحتاجُ تحقّقه إلى أمرٍ خارجي، لا الذّاتي في باب البرهان، ولا الذّاتي في باب الكليّات، وهي عبارة عن الإضافة الحاصلة بين الشخص ونفسه وعمله وذمّته، والشاهد به الضرورة والوجدان، والسيرة العقلائيّة، وعليه فالإذنُ يُسقط حقّ القِصاص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كونه من قبيل حقّ النّاس القابل للإسقاط، أنّ للولي ذلك، فلنفسه بالأولى‌، فتدبّر فإنّه حقيقٌ به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83515_73709187"/>
      <w:bookmarkStart w:id="293" w:name="_Toc100"/>
      <w:bookmarkEnd w:id="292"/>
      <w:r>
        <w:rPr>
          <w:rtl w:val="true"/>
        </w:rPr>
        <w:t>لو أمر بقَتل نفسه</w:t>
      </w:r>
      <w:bookmarkEnd w:id="29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 غيره بأن يقتل نفسه فقَتَل نفسه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المأمور صبيّاً 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الآمر القِوَد، لأنّه القاتل عرفاً، والصَّبي المباشر بمنزلة الآلة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مميّزاً أو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مختاراً أو متوعّداً بما دون القتل، فلا قصاص على الآمر، إذ لا يجوز للمأمور في هذه الموارد أن يقتل، فلو قتل نفسه فَقَد فعل حراماً، ولا يُسأل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شمول صحيح زرارة الدّال على أنّ الآمر يُخلّد في السجن له بتنقيح المناط، فإنّ مورده ما لو كان المأمور غير المقتول، ولكن لم أظفر بمن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توعّد بالقتل، فإنّ دليل نفي الإكراه لا يشمل ذلك، فمقتضى عموم ما دلّ على عدم جواز قتل النفس المحترمة، هو عدم الجواز فحكمه حكم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توعّد بما يزيدُ على القتل من الخصوصيّات،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 وإلّا لقطّعتك إرباً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جواز قتل نفسه حينئذٍ، لدليل نفي الإكراه، وما ذكرناه في وجه عدم صدق الإكراه لو أكرهه على قتل غيره لا يشمله، فيجوز قتل نفسه حينئذٍ، ولا قِودَ على المُكرِه لعدم استناد القتل إليه، فإنّ الإكراه لا يوجبُ سَلب الاختيار، فالقتل مستندٌ إلى المباشر، كما أنّ جوازه لا يوجبُ عدم استناد القتل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لا شيء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بعض الأساطين</w:t>
      </w:r>
      <w:r>
        <w:rPr>
          <w:rStyle w:val="FootnoteAnchor"/>
          <w:rtl w:val="true"/>
        </w:rPr>
        <w:footnoteReference w:id="14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الأظهر أنّه يُخلّد في السجن، لأنّ صحيح زرارة بتنقيح المناط دالٌّ عليه، ولا يبعدُ ثبوت الدِّية عليه، لأنّ دم المسلم لا يذهبُ هَدراً، فتأمّل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المقام في جواز القتل ما لو اضطرّ إلى قتل نفسه دفعاً للفرد الأشدّ، كما إذا علم بأنّه لو لم يقتل نفسه، لقتله آخر بأشدّ ممّا يَقتل به نفسه، فإن دليل نفي الاضطرار يدلّ على جواز القتل، ولا يبعدُ ثبوت الدِّية على من يَعلم بأنّه يقتله، فإنّه الباعث لقتل نفسه،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94" w:name="pg11384_112601"/>
    </w:p>
    <w:p>
      <w:pPr>
        <w:pStyle w:val="BookText"/>
        <w:rPr/>
      </w:pPr>
      <w:bookmarkEnd w:id="294"/>
      <w:r>
        <w:rPr>
          <w:rFonts w:ascii="Amiri" w:hAnsi="Amiri" w:eastAsia="Amiri" w:cs="Amiri"/>
          <w:color w:val="111111"/>
          <w:sz w:val="28"/>
          <w:sz w:val="28"/>
          <w:szCs w:val="28"/>
          <w:rtl w:val="true"/>
          <w:lang w:bidi="ar-SA"/>
        </w:rPr>
        <w:t>ولو أمسكهُ واحدٌ وقَتَله آخر ونَظَر ثالثٌ‌، قُتِل القاتل، وخُلّد المُمسِك، وسَمُلَت عين الناظر</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83517_73709187"/>
      <w:bookmarkStart w:id="296" w:name="_Toc101"/>
      <w:bookmarkEnd w:id="295"/>
      <w:r>
        <w:rPr>
          <w:rtl w:val="true"/>
        </w:rPr>
        <w:t>لو أمسكه شخصٌ وقَتَله آخر</w:t>
      </w:r>
      <w:bookmarkEnd w:id="29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أمسكه واحدٌ وقَتَله آخر، ونَظَر ثالثٌ‌، قُتِل القاتل، وخُلِّد المُمْسِك، وسَمُلَت عين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ويُشعر به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نفر رفعوا إلى أمير المؤمنين عليه السلام واحد منهم أمسكَ رجلاً وأقبل الآخر فقتله، والآخر يراهم، فقضى في صاحب الرؤية أن تُسمَل عيناه، وفي الذي أمسك أن يُسجَن حتّى يموت كما أمسكه، وقضى في الذي قَتَل أن يُقتل</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للحكمين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عليه السلام في رجلٍ أمسك </w:t>
      </w:r>
    </w:p>
    <w:p>
      <w:pPr>
        <w:pStyle w:val="BookText"/>
        <w:rPr/>
      </w:pPr>
      <w:r>
        <w:rPr>
          <w:rFonts w:ascii="Amiri" w:hAnsi="Amiri" w:eastAsia="Amiri" w:cs="Amiri"/>
          <w:color w:val="111111"/>
          <w:sz w:val="28"/>
          <w:sz w:val="28"/>
          <w:szCs w:val="28"/>
          <w:rtl w:val="true"/>
          <w:lang w:bidi="ar-SA"/>
        </w:rPr>
        <w:t>أحدهما وقَتَل الآخر،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الآخر حتّى يموت غَمّاً كما حبسه حتّى مات غَمّاً، الحديث</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موثّق سماعة</w:t>
      </w:r>
      <w:r>
        <w:rPr>
          <w:rStyle w:val="FootnoteAnchor"/>
          <w:rtl w:val="true"/>
        </w:rPr>
        <w:footnoteReference w:id="1463"/>
      </w:r>
      <w:r>
        <w:rPr>
          <w:rFonts w:ascii="Amiri" w:hAnsi="Amiri" w:eastAsia="Amiri" w:cs="Amiri"/>
          <w:color w:val="111111"/>
          <w:sz w:val="28"/>
          <w:sz w:val="28"/>
          <w:szCs w:val="28"/>
          <w:rtl w:val="true"/>
          <w:lang w:bidi="ar-SA"/>
        </w:rPr>
        <w:t>، ومعتبر عمرو بن أبي المقدام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من خبر الرؤية أنّها من حيث هي ليست موضوع الحكم، بل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رَفعوا إلى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دخالة الرائي في القتل، ولو بأن يراقبهم حتّى لا يطّلع الغير ويمنع عنه، أو نحو ذلك، ولذا لا يجري هذا الحكم بالنسبة إلى شهود القتل المدّعين للرؤية،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عمرو بن أبي المقدام الأمرَ بأن يُضرب في كلّ سنةٍ خمسين جلدة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7" w:name="pg11384_112603"/>
    </w:p>
    <w:p>
      <w:pPr>
        <w:pStyle w:val="BookText"/>
        <w:rPr/>
      </w:pPr>
      <w:bookmarkEnd w:id="29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القِصاص،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83519_73709187"/>
      <w:bookmarkStart w:id="299" w:name="_Toc102"/>
      <w:bookmarkEnd w:id="298"/>
      <w:r>
        <w:rPr>
          <w:rtl w:val="true"/>
        </w:rPr>
        <w:t>الفصل الثاني شرائط القِصاص</w:t>
      </w:r>
      <w:bookmarkEnd w:id="299"/>
    </w:p>
    <w:p>
      <w:pPr>
        <w:pStyle w:val="Heading4"/>
        <w:numPr>
          <w:ilvl w:val="3"/>
          <w:numId w:val="1"/>
        </w:numPr>
        <w:rPr/>
      </w:pPr>
      <w:bookmarkStart w:id="300" w:name="__RefHeading___Toc283521_73709187"/>
      <w:bookmarkStart w:id="301" w:name="_Toc103"/>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الموضوع لهذا الشرط في هذا الزمان، ومن المستبعد جدّا تحقّق الموضوع له إلى زمان ظهور سيّدنا أرواحنا فداه، فالإعراض عن البحث في فروع هذا الشرط، وصَرف عنان الكلام إلى ما هو المهمّ من المباحث الأُخر، كما عليه بناؤنا في هذا الشرح، أولى‌</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83523_73709187"/>
      <w:bookmarkStart w:id="303" w:name="_Toc104"/>
      <w:bookmarkEnd w:id="302"/>
      <w:r>
        <w:rPr>
          <w:rtl w:val="true"/>
        </w:rPr>
        <w:t>إشتراط التساوي في الدين</w:t>
      </w:r>
      <w:bookmarkEnd w:id="303"/>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فيه في الجملة، بل الإجماع بقسميه عليه</w:t>
      </w:r>
      <w:r>
        <w:rPr>
          <w:rStyle w:val="FootnoteAnchor"/>
          <w:rtl w:val="true"/>
        </w:rPr>
        <w:footnoteReference w:id="1465"/>
      </w:r>
      <w:r>
        <w:rPr>
          <w:rFonts w:ascii="Amiri" w:hAnsi="Amiri" w:eastAsia="Amiri" w:cs="Amiri"/>
          <w:color w:val="111111"/>
          <w:sz w:val="28"/>
          <w:sz w:val="28"/>
          <w:szCs w:val="28"/>
          <w:rtl w:val="true"/>
          <w:lang w:bidi="ar-SA"/>
        </w:rPr>
        <w:t>، بل المحكيّ منه مستفيضٌ‌</w:t>
      </w:r>
      <w:r>
        <w:rPr>
          <w:rStyle w:val="FootnoteAnchor"/>
          <w:rtl w:val="true"/>
        </w:rPr>
        <w:footnoteReference w:id="1466"/>
      </w:r>
      <w:r>
        <w:rPr>
          <w:rFonts w:ascii="Amiri" w:hAnsi="Amiri" w:eastAsia="Amiri" w:cs="Amiri"/>
          <w:color w:val="111111"/>
          <w:sz w:val="28"/>
          <w:sz w:val="28"/>
          <w:szCs w:val="28"/>
          <w:rtl w:val="true"/>
          <w:lang w:bidi="ar-SA"/>
        </w:rPr>
        <w:t>، والنصوص الآتية دالّة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القاتل مسلماً، فلا يُقتل مسلمٌ بكافر وإنْ كان ذميّاً،</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المقتول كافراً والقاتلُ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معاً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المقتول مسلماً والقاتلُ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القاتلُ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مسلمٌ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اعتياد قتله، وهو مشهورٌ بين الأصحاب</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العلماء كافّة في الحربي على الظاهر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الإماميّة خاصّة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ذميّاً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يُقتل به قصاصاً مع الاعتياد، ذهب إليه الحِلّي</w:t>
      </w:r>
      <w:r>
        <w:rPr>
          <w:rStyle w:val="FootnoteAnchor"/>
          <w:rtl w:val="true"/>
        </w:rPr>
        <w:footnoteReference w:id="146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47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472"/>
      </w:r>
      <w:r>
        <w:rPr>
          <w:rFonts w:ascii="IRNazanin" w:hAnsi="IRNazanin" w:eastAsia="IRNazanin"/>
          <w:color w:val="111111"/>
          <w:sz w:val="28"/>
          <w:sz w:val="28"/>
          <w:szCs w:val="28"/>
          <w:rtl w:val="true"/>
          <w:lang w:bidi="fa-IR"/>
        </w:rPr>
        <w:t>، والفخر</w:t>
      </w:r>
      <w:r>
        <w:rPr>
          <w:rStyle w:val="FootnoteAnchor"/>
          <w:rtl w:val="true"/>
        </w:rPr>
        <w:footnoteReference w:id="1473"/>
      </w:r>
      <w:r>
        <w:rPr>
          <w:rFonts w:ascii="IRNazanin" w:hAnsi="IRNazanin" w:eastAsia="IRNazanin"/>
          <w:color w:val="111111"/>
          <w:sz w:val="28"/>
          <w:sz w:val="28"/>
          <w:szCs w:val="28"/>
          <w:rtl w:val="true"/>
          <w:lang w:bidi="fa-IR"/>
        </w:rPr>
        <w:t>، وإن اختلفوا هؤلاء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فبعضهم كالحِلّي</w:t>
      </w:r>
      <w:r>
        <w:rPr>
          <w:rStyle w:val="FootnoteAnchor"/>
          <w:rtl w:val="true"/>
        </w:rPr>
        <w:footnoteReference w:id="1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كالمصنّف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قصاصاً، وإنّما يُقتل به في صورة الاعتياد حَدّاً لا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يُقتل به في صورة الاعتياد، مع رَدّ أولياء المقتول فاضل دية المسلم عن دية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للقول بأنّه لا يُقتل 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إثبات القِصاص لوارث الكافر إذا كان كافراً سبيلٌ واضحٌ‌، ولم يقل أحد بالفرق بين الوارث 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أتلف المؤمن مال الكافر، فهل يتوهّم أنّ إثبات الدين للكافر على المؤمن سبيلٌ غير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مختصّة بالنشأة الآخرة، كما يشهد به قوله تعالى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بَيْنَكُمْ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غير مربوطة بالمقام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تكون عامّة للنشأتين، فمفادها حينئذٍ أنّ المؤمنين غالبون بإذن اللّه دائماً ما داموا ملتزمين بلوازم الإيمان،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حَملناها على دار الدُّنيا، يمكن حَمله على أنّه لا يُجعل لهم عليهم سبيلاً بالحجّة، وإن جاز أن يغلبوهم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غير مربوط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القتل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المسلم يهوديّاً أو نصرانيّاً أو مجوسيّاً فأرادوا أن يقيّدوا ردّوا فَضل دية المسلم وأقادوه</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المسلم النصراني فأراد أهل النصراني أن يقتلوه، قتلوه وأدّوا فضل ما بين الدِّيتين</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 من أهل الذِّمة‌؟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شديدٌ لا يحتمله النّاس، ولكن يُعطي الذِّمي دية المسلم ثُمّ يُقتل به المسلم</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لا يُقتل به مطلقاً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مسلمٌ بذمّي في القتل، ولا في الجراحات، ولكن يؤخذ من المسلم جناية للذِّمي على قدر دية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الذِّمي ثمانمائة درهم</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التفصيل بين المتعوّد للقتل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من أهل الذّمة‌؟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إلّاأن يكون متعوّداً للقتل</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ومعتبره الثاني،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المسلم هل يُقتل بأهل الذِّمة‌؟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متعوّداً لقتلهم فيُقتل صاغراً</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النصوص إنّما هو بتقييد إطلاق الطائفتين الأوليين بالطائفة الثالثة، فتكون النتيجة أنّه لا يُقتل به مع عدم الاعتياد، ومعه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 النصوص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في صورة الاعتياد إنّما يكون قصاصاً لا حَدّاً، فما عن القديمين</w:t>
      </w:r>
      <w:r>
        <w:rPr>
          <w:rStyle w:val="FootnoteAnchor"/>
          <w:rtl w:val="true"/>
        </w:rPr>
        <w:footnoteReference w:id="1485"/>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من كونه حَدّاً للإفساد في الأرض ضعيفٌ‌، وفائدة ذلك ظاهرة، ضرورة سقوطه بالعفو، وعدم استيفائه منه إلّابعد طلب الوليّ‌، ورَدّ الأولياء فاضل الدِّية على الأوّل دون الثاني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الطائفة الثانية من النصوص المتقدّمة بأنّه يقتله بعد رَدّ فاضل ديته، فهي دليل كونه قصاصاً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الروايات وإنْ كان هو الذِّمي، إلّاأنّه يثبتُ في غيره من المستأمن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الذِّمي مستأمنٌ وزيادة، فإذا ثَبَت عدم القتل في الذِّمي ففي المستأمن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والمرجع في الاعتياد إلى العرف، وربما تحقّق بالثانية، لأنّه مشتقٌ من العود، فيقتل فيها أو في الثالثة، وهو الاجود، لأنّ الاعتياد شرطٌ في القِصاص، فلابدّ من تقدّمه على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القتل في الثالثة منظورٌ فيه، لعدم صدق الاعتياد بالمرتين عرفاً، وإن صدق لغةً‌، نظراً إلى مبدأ الاشتقاق، بناءً على ترجيح العرف عليه، كما هو الأظهر الأشهر وبه اعترف، نعم لو عكس صحَّ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معنونٌ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الناقض للوضوء، حيث اعتبر جماعةٌ في ناقضيّة البول والغائط من الخروج مِن المَخرج المُعتاد، فهناك ذكروا أقوالاً، النقض بالثالثة إنّه عبارة عن التكرّر ثلاث مرّات، والنقض في الرابعة، والرجوع إلى العرف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قيل هناك ما أفاده القطيفي رحمه الله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4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يُعزَّر ويُغرم ديَّة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ينضبطُ صِدق اسم العادة عرفاً في عددٍ؟ وجهان، أقربهما ذلك، وما هو الأقرب النقض بالرابعة مع عدم تطاول الفصل زماناً في الخروج، وفي النقض بالثالثة احتمالٌ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 وقد قالوا إنّه تثبتُ العادة فيه بمرّتين، وبه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هنا القتل في الرابعة مع عدم تطاول الفصل زماناً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قتل المسلم الكافر ولم يكن مهدور الدَّم، فهو وإنْ كان لا يُقتل إلّاأن عليه عقوبتين، وهما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يُعزّر ويُغرم دية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كتاب الحدود</w:t>
      </w:r>
      <w:r>
        <w:rPr>
          <w:rStyle w:val="FootnoteAnchor"/>
          <w:rtl w:val="true"/>
        </w:rPr>
        <w:footnoteReference w:id="1490"/>
      </w:r>
      <w:r>
        <w:rPr>
          <w:rFonts w:ascii="Amiri" w:hAnsi="Amiri" w:eastAsia="Amiri" w:cs="Amiri"/>
          <w:color w:val="111111"/>
          <w:sz w:val="28"/>
          <w:sz w:val="28"/>
          <w:szCs w:val="28"/>
          <w:rtl w:val="true"/>
          <w:lang w:bidi="ar-SA"/>
        </w:rPr>
        <w:t>من ثبوته في ارتكاب كلّ معصيةٍ لم يجعل الشارعُ لها حَدّاً حسب ما يراه الحاكم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لثبوتها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صحيح محمّد بن قيس ونحوه غيره يدلّ على أنّ دية الذِّمي ثمانمائة درهم، ويعارضهما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أنّها أربعة آلاف درهم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أنّها تساوي دية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الجمع بين النصوص سيأتي في مبحث الديات، وستعرف أنّ الأظهر هو ما تضمّنه صحيح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04" w:name="pg11384_112610"/>
    </w:p>
    <w:p>
      <w:pPr>
        <w:pStyle w:val="BookText"/>
        <w:rPr/>
      </w:pPr>
      <w:bookmarkEnd w:id="304"/>
      <w:r>
        <w:rPr>
          <w:rFonts w:ascii="Amiri" w:hAnsi="Amiri" w:eastAsia="Amiri" w:cs="Amiri"/>
          <w:color w:val="111111"/>
          <w:sz w:val="28"/>
          <w:sz w:val="28"/>
          <w:szCs w:val="28"/>
          <w:rtl w:val="true"/>
          <w:lang w:bidi="ar-SA"/>
        </w:rPr>
        <w:t>ويُقتل الذِّمي بمثله،</w:t>
      </w:r>
    </w:p>
    <w:p>
      <w:pPr>
        <w:pStyle w:val="BookText"/>
        <w:rPr/>
      </w:pPr>
      <w:r>
        <w:rPr>
          <w:rFonts w:ascii="Amiri" w:hAnsi="Amiri" w:eastAsia="Amiri" w:cs="Amiri"/>
          <w:color w:val="111111"/>
          <w:sz w:val="28"/>
          <w:sz w:val="28"/>
          <w:szCs w:val="28"/>
          <w:rtl w:val="true"/>
          <w:lang w:bidi="ar-SA"/>
        </w:rPr>
        <w:t>هذا بالسند إلى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في محلّه أنّه لا دية في قتلهم كما لا قصاص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الكافر كافراً ثمّ أسلم، فهل يُقتل به للتساوي في الدين حين الجناية، أم لا يُقتل به، إذ العبرة بالإسلام حال الاقتصاص لا حال القتل‌؟</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لما تقدّم من الروايات الدّالة على أنّ المسلم لا يُقاد بالذِّمي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المسلمُ كافراً ثمّ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يَتُب، يثبتُ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تابَ لا قصاص عليه، وإنْكان الارتداد عن فطرةٍ‌، بناءً على قبول إسلامه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83525_73709187"/>
      <w:bookmarkStart w:id="306" w:name="_Toc105"/>
      <w:bookmarkEnd w:id="305"/>
      <w:r>
        <w:rPr>
          <w:rtl w:val="true"/>
        </w:rPr>
        <w:t>حكمُ ما لو كان القاتلُ كافراً</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ظاهراً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الذِّمي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ملَّتهما كاليهودي والنصراني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أدلّة القِصاص كتاباً وسُنّةً‌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اليهودي والنصراني والمجوسي بعضهم من بعض، ويَقتلُ بعضهم بعضاً إذا قَتلوا عمداً</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وبالذميّة بعد رَدّ فاضل ديته، والذميّة بمثلها وبالذّمي، ولا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يُقتل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بالذميّة بعد رَدِّ فاضل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أوليائه كالمُسلمة، بلا خلافٍ‌، لإطلاق ما دلّ على أنّه يُقتل الرّجل القاتل بالمرأة بعد أداء نصف ديته إلى أوليائه، الذي سيمرّ عليك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الذميّة بمثلها وبالذِّمي ولا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لعموم ما دلّ على أنّ المرأة تُقتل بالرجل بلا رَدٍّ، وبالمرأة</w:t>
      </w:r>
      <w:r>
        <w:rPr>
          <w:rFonts w:eastAsia="Amiri" w:cs="Amiri" w:ascii="Amiri" w:hAnsi="Amiri"/>
          <w:color w:val="111111"/>
          <w:sz w:val="28"/>
          <w:szCs w:val="28"/>
          <w:rtl w:val="true"/>
          <w:lang w:bidi="ar-SA"/>
        </w:rPr>
        <w:t>.</w:t>
      </w:r>
      <w:bookmarkStart w:id="307" w:name="pg11384_112612"/>
    </w:p>
    <w:p>
      <w:pPr>
        <w:pStyle w:val="BookText"/>
        <w:rPr/>
      </w:pPr>
      <w:bookmarkEnd w:id="307"/>
      <w:r>
        <w:rPr>
          <w:rFonts w:ascii="Amiri" w:hAnsi="Amiri" w:eastAsia="Amiri" w:cs="Amiri"/>
          <w:color w:val="111111"/>
          <w:sz w:val="28"/>
          <w:sz w:val="28"/>
          <w:szCs w:val="28"/>
          <w:rtl w:val="true"/>
          <w:lang w:bidi="ar-SA"/>
        </w:rPr>
        <w:t>ولو قَتَل الذِّمي مسلماً عَمداً، دُفع هو وماله إلى أولياء المقتول، إن شاءوا قَتَلوه، وإن شاءوا استرقّوه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83527_73709187"/>
      <w:bookmarkStart w:id="309" w:name="_Toc106"/>
      <w:bookmarkEnd w:id="308"/>
      <w:r>
        <w:rPr>
          <w:rtl w:val="true"/>
        </w:rPr>
        <w:t>حكم قتل الذِّمي المسلم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الذِّمي مسلماً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1492"/>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هو وماله إلى أولياء المقتول، إن شاءوا قَتَلوه، وإن شاءوا استرقّوه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94"/>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ضريس الكناني،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قَتَل مسلماً فلما اُخِذ أسلَم‌؟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فإنْ شاءوا قَتَلوا، وإن شاءوا عَفوا، وإن شاءوا استرقّوا، وإنْ كان معه مالٌ دُفِع إلى أولياء المقتول هو وماله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روي هذا الخبر عن ضُريس، عن الإمام الباقر عليه السلام، وعن عبد اللّه بن سنان، عن الإمام الصادق عليه السلام بتفاوت يسير، وهو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المصنّف في المتن، وصريحه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أمواله بين ما يُنقل منها وما لا ينقل، ولا بين العين والدين، وهو الأظهر؛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أحد الخبرين بالعين لا يوجبُ تقييد المال المطلق في الآخر، بعد عدم كونهما متنافيين، بل في الخبر المتضمّن لعين مال، يكون ذلك في السؤال، وأمّا الجواب فهو عامٌ‌، وخصوص السؤال لا يقيّدُ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عدم الفرق في ماله بين المساوي لفاضل دية المسلم، والزائد عليه المساوي للدية، والزائد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يُؤخذ من ماله فَضل ما بين دية المسلم والذِّمي،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الحلبيّين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على تركته وأهله بدية المقتول أو قيمته إنْ كان مملوكاً، لا وجه 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والفتوى عدم الفرق بين، اختيار الأولياء القتل، أو الاسترقاق خلافاً لما عن الحِلّي</w:t>
      </w:r>
      <w:r>
        <w:rPr>
          <w:rStyle w:val="FootnoteAnchor"/>
          <w:rtl w:val="true"/>
        </w:rPr>
        <w:footnoteReference w:id="1499"/>
      </w:r>
      <w:r>
        <w:rPr>
          <w:rFonts w:ascii="Amiri" w:hAnsi="Amiri" w:eastAsia="Amiri" w:cs="Amiri"/>
          <w:color w:val="111111"/>
          <w:sz w:val="28"/>
          <w:sz w:val="28"/>
          <w:szCs w:val="28"/>
          <w:rtl w:val="true"/>
          <w:lang w:bidi="ar-SA"/>
        </w:rPr>
        <w:t>، فإنّه إنّما أجاز أخذ المال إذا اختير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يُسترقّ أولاده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الاسترقاق، لأنّ مال المملوك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الخبر، وظاهرالأكثر، ولكنّه احتمال خلاف الظاهرجدّاً لايُعتنى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مال المملوك لمولاه، فشيءٌ لم يدلّ عليه دليل، وغاية ما يستفاد من الدليل أنّ المملوك لا يملك، فيَخرج أمواله عن ملكه، وذلك لا يستلزمُ دخوله في مِلك مولاه، فليكن مِلْكاً للإمام عليه السلام، أو فيئاً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استرقاق أولاده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يُسترقّ أولاده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المفيد رحمه الله</w:t>
      </w:r>
      <w:r>
        <w:rPr>
          <w:rStyle w:val="FootnoteAnchor"/>
          <w:rtl w:val="true"/>
        </w:rPr>
        <w:footnoteReference w:id="1500"/>
      </w:r>
      <w:r>
        <w:rPr>
          <w:rFonts w:ascii="Amiri" w:hAnsi="Amiri" w:eastAsia="Amiri" w:cs="Amiri"/>
          <w:color w:val="111111"/>
          <w:sz w:val="28"/>
          <w:sz w:val="28"/>
          <w:szCs w:val="28"/>
          <w:rtl w:val="true"/>
          <w:lang w:bidi="ar-SA"/>
        </w:rPr>
        <w:t>، وسلّار</w:t>
      </w:r>
      <w:r>
        <w:rPr>
          <w:rStyle w:val="FootnoteAnchor"/>
          <w:rtl w:val="true"/>
        </w:rPr>
        <w:footnoteReference w:id="1501"/>
      </w:r>
      <w:r>
        <w:rPr>
          <w:rFonts w:ascii="Amiri" w:hAnsi="Amiri" w:eastAsia="Amiri" w:cs="Amiri"/>
          <w:color w:val="111111"/>
          <w:sz w:val="28"/>
          <w:sz w:val="28"/>
          <w:szCs w:val="28"/>
          <w:rtl w:val="true"/>
          <w:lang w:bidi="ar-SA"/>
        </w:rPr>
        <w:t>، وابن حمزة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503"/>
      </w:r>
      <w:r>
        <w:rPr>
          <w:rFonts w:ascii="Amiri" w:hAnsi="Amiri" w:eastAsia="Amiri" w:cs="Amiri"/>
          <w:color w:val="111111"/>
          <w:sz w:val="28"/>
          <w:sz w:val="28"/>
          <w:szCs w:val="28"/>
          <w:rtl w:val="true"/>
          <w:lang w:bidi="ar-SA"/>
        </w:rPr>
        <w:t>، وكثيرٌ من المتأخّرين</w:t>
      </w:r>
      <w:r>
        <w:rPr>
          <w:rStyle w:val="FootnoteAnchor"/>
          <w:rtl w:val="true"/>
        </w:rPr>
        <w:footnoteReference w:id="1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بقائهم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إلى ابن بابويه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المرتضى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نُسِب إلى الشيخ، ولكن الشهيدين</w:t>
      </w:r>
      <w:r>
        <w:rPr>
          <w:rStyle w:val="FootnoteAnchor"/>
          <w:rtl w:val="true"/>
        </w:rPr>
        <w:footnoteReference w:id="1505"/>
      </w:r>
      <w:r>
        <w:rPr>
          <w:rFonts w:ascii="Amiri" w:hAnsi="Amiri" w:eastAsia="Amiri" w:cs="Amiri"/>
          <w:color w:val="111111"/>
          <w:sz w:val="28"/>
          <w:sz w:val="28"/>
          <w:szCs w:val="28"/>
          <w:rtl w:val="true"/>
          <w:lang w:bidi="ar-SA"/>
        </w:rPr>
        <w:t>لم يجداه في كتبه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فالأظهر هو الثاني للأصل، وخلوّ النصوص المتقدّمة عن ذلك، مع ورودها في مقام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أسلمَ بعد القتل فكالمُسلِم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الطفل يتبعُ أباه، فإذا ثبتَ له الإسترقاق شاركه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المقتضي لحقن دمه واحترام ماله وولده، التزامه بالذِّمة، وقد خَرَقها بالقتل، فتجري عليه أحكام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التبعيّة في ذلك، وجناية الأب لا تتخطّاه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الخروج عن الذِّمة بالقتل، مع أنّه لو تَمّ ذلك لزم اشتراك المسلمين فيهم، لأنّهم فيءٌ‌، أو اختصاص الإمام عليه السلام بهم لا اختصاص أولياء المقتول، والنَّص إنّما يدلّ على أنّ استرقاقه إنّما هو حكم قتله المسلم، لا لخروجه بذلك عن الذِّمة المبيح لنفسه قتلاً واسترقاقاً ولماله، وإلّا لم يختصّ استرقاقه بأولياء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بعد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التفرّق، لم يكن لأوليائه إلّاالقتل، وليس لهم استرقاقه، بلا خلافٍ ولا إشكال، ويشهد به الخبران المتقدّمان، مع أنّ موضوع الاسترقاق هو الكافر الذِّمي، فإذا أسلم انتفى موضوعه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إطلاق الأدلّة أنّ وليّ المقتول مخيّرٌ بين القتل والعفو، وقبول الدِّية مع 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0" w:name="pg11384_112616"/>
    </w:p>
    <w:p>
      <w:pPr>
        <w:pStyle w:val="BookText"/>
        <w:rPr/>
      </w:pPr>
      <w:bookmarkEnd w:id="310"/>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ولدُ الحَلال ولد الزّنا بعد وصفه الإسلام يُقتل به؛ لتساويهما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حَكم بكفره من الأصحاب وإن أظهر الإسلام كالسيّد المرتضى</w:t>
      </w:r>
      <w:r>
        <w:rPr>
          <w:rStyle w:val="FootnoteAnchor"/>
          <w:rtl w:val="true"/>
        </w:rPr>
        <w:footnoteReference w:id="1507"/>
      </w:r>
      <w:r>
        <w:rPr>
          <w:rFonts w:ascii="Amiri" w:hAnsi="Amiri" w:eastAsia="Amiri" w:cs="Amiri"/>
          <w:color w:val="111111"/>
          <w:sz w:val="28"/>
          <w:sz w:val="28"/>
          <w:szCs w:val="28"/>
          <w:rtl w:val="true"/>
          <w:lang w:bidi="ar-SA"/>
        </w:rPr>
        <w:t>لايَقتله به، لكن المبنى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دية ولد الزّنا كدية الذِّمي، لا يُلازم عدم ثبوت القِصاص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وهو صغيرٌ لا يصف الإسلام، فهل يُقتل به لإطلاقات الكتاب والسُّنة، وعدم وجود دليلٍ مقيّدٍ بعد اختصاص النصوص بالكافر؟</w:t>
      </w:r>
    </w:p>
    <w:p>
      <w:pPr>
        <w:pStyle w:val="BookText"/>
        <w:rPr/>
      </w:pPr>
      <w:r>
        <w:rPr>
          <w:rFonts w:ascii="Amiri" w:hAnsi="Amiri" w:eastAsia="Amiri" w:cs="Amiri"/>
          <w:color w:val="111111"/>
          <w:sz w:val="28"/>
          <w:sz w:val="28"/>
          <w:szCs w:val="28"/>
          <w:rtl w:val="true"/>
          <w:lang w:bidi="ar-SA"/>
        </w:rPr>
        <w:t>أم لا يُقتل به لعدم اسلامه التبعي بعدم الأبوين له شرعاً، إلّاأن يُسبى بناءً على صحّة سَبي مثله، فيحكم حينئذٍ بإسلامه تبعاً للسابي، ويُشترط في القِصاص المساوات في الإسلام لو كان القاتل مسلماً؟</w:t>
      </w:r>
    </w:p>
    <w:p>
      <w:pPr>
        <w:pStyle w:val="BookText"/>
        <w:rPr/>
      </w:pPr>
      <w:r>
        <w:rPr>
          <w:rFonts w:ascii="Amiri" w:hAnsi="Amiri" w:eastAsia="Amiri" w:cs="Amiri"/>
          <w:color w:val="111111"/>
          <w:sz w:val="28"/>
          <w:sz w:val="28"/>
          <w:szCs w:val="28"/>
          <w:rtl w:val="true"/>
          <w:lang w:bidi="ar-SA"/>
        </w:rPr>
        <w:t>والأوّل أظهر، لعدم الدليل على الشرط المذكور، سوى ما دلّ على أنّ المسلم لايُقتل بالكافر، وهو لا يشمل المقام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83529_73709187"/>
      <w:bookmarkStart w:id="312" w:name="_Toc107"/>
      <w:bookmarkEnd w:id="311"/>
      <w:r>
        <w:rPr>
          <w:rtl w:val="true"/>
        </w:rPr>
        <w:t>حكمُ اختلاف حالتي المجنيّ عليه</w:t>
      </w:r>
      <w:bookmarkEnd w:id="312"/>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مسلمٌ على ذمّي قاصداً قتله، ثمّ أسلم فماتَ‌، كما لو قطع يده فأسلم وسَرَت إلى نفسه، فالظاهر عدم الخلاف في أنّه لا 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قطع الكافر غير مضمونٌ بالقصاص، فسرايته لا تكون مضمونة كقطع يد السّارق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الجراحة إذا وقعت في حالة لا توجبُ القِصاص، لم يجبُ القِصاص بما </w:t>
      </w:r>
    </w:p>
    <w:p>
      <w:pPr>
        <w:pStyle w:val="BookText"/>
        <w:rPr/>
      </w:pPr>
      <w:r>
        <w:rPr>
          <w:rFonts w:ascii="Amiri" w:hAnsi="Amiri" w:eastAsia="Amiri" w:cs="Amiri"/>
          <w:color w:val="111111"/>
          <w:sz w:val="28"/>
          <w:sz w:val="28"/>
          <w:szCs w:val="28"/>
          <w:rtl w:val="true"/>
          <w:lang w:bidi="ar-SA"/>
        </w:rPr>
        <w:t>يحدث بعدها، كما لو جَرَح الصَّبي إنساناً ثمّ بَلَغ وسَرت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لم يكن قاصداً قتل المسلم، وقد مرّ أنّ القِصاص لم يثبُت إلّافيما إذا كان قاصداً قتل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الدِّية الواجبة هي دية المسلم، أو الذِّمي‌؟ وجهان مبنيّان، على أنّ العبرة في الجناية بحالة استقرارها، أم بحال وقوعها؟ والمعروف بين الأصحاب هو الثاني، إلّا أنّ الأظهر هو الأوّل؛ لأنّ من وقع عليه القتل مسلمٌ‌، وهو يستندُ إلى الجارج، غاية ما هناك عدم كون قتل المسلم بما هو مسلمٌ عمديّاً، لعدم القصد إليه، ولكن يكون شبيه العمد، فيثبتُ فيه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أنّه لو كان حربيّاً، أو مرتدّاً ثُمّ أسلم، فسَرَت الجناية، لا قصاص، ولكن تثبت الدِّية، إلّاأن يكون الحكم بعدم الدِّية إجماعيّاً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في ثبوت الدِّية ما لو رمى سهماً وقَصَد به ذميّاً، أو كافراً، أو حربيّاً، أو مرتدّاً، فأصابه بعدما أسلم، فإنّه وإنْ لم يكن قصاصٌ إلّاأنّ عليه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المسلم يد مثله فصار مرتدّاً وماتَ‌، فلا قِوَد في النفس ولا دية، لأنّ المسلم لا يُقتل بالكافر، ولا ديَّة للمرتدّ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لوليّ المقتول الاقتصاص من الجاني بقطع يده، كما عن المصنّف رحمه الله،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و غيرها</w:t>
      </w:r>
      <w:r>
        <w:rPr>
          <w:rStyle w:val="FootnoteAnchor"/>
          <w:rtl w:val="true"/>
        </w:rPr>
        <w:footnoteReference w:id="1510"/>
      </w:r>
      <w:r>
        <w:rPr>
          <w:rFonts w:ascii="Amiri" w:hAnsi="Amiri" w:eastAsia="Amiri" w:cs="Amiri"/>
          <w:color w:val="111111"/>
          <w:sz w:val="28"/>
          <w:sz w:val="28"/>
          <w:szCs w:val="28"/>
          <w:rtl w:val="true"/>
          <w:lang w:bidi="ar-SA"/>
        </w:rPr>
        <w:t>، لأنّ الجناية حصلت موجبة للقصاص، فلا تسقط؟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3" w:name="pg11384_112618"/>
    </w:p>
    <w:p>
      <w:pPr>
        <w:pStyle w:val="BookText"/>
        <w:rPr/>
      </w:pPr>
      <w:bookmarkEnd w:id="313"/>
      <w:r>
        <w:rPr>
          <w:rFonts w:ascii="Amiri" w:hAnsi="Amiri" w:eastAsia="Amiri" w:cs="Amiri"/>
          <w:color w:val="111111"/>
          <w:sz w:val="28"/>
          <w:sz w:val="28"/>
          <w:szCs w:val="28"/>
          <w:rtl w:val="true"/>
          <w:lang w:bidi="ar-SA"/>
        </w:rPr>
        <w:t>أم ليس له ذلك كما عن الشيخ رحمه الله</w:t>
      </w:r>
      <w:r>
        <w:rPr>
          <w:rStyle w:val="FootnoteAnchor"/>
          <w:rtl w:val="true"/>
        </w:rPr>
        <w:footnoteReference w:id="1511"/>
      </w:r>
      <w:r>
        <w:rPr>
          <w:rFonts w:ascii="Amiri" w:hAnsi="Amiri" w:eastAsia="Amiri" w:cs="Amiri"/>
          <w:color w:val="111111"/>
          <w:sz w:val="28"/>
          <w:sz w:val="28"/>
          <w:szCs w:val="28"/>
          <w:rtl w:val="true"/>
          <w:lang w:bidi="ar-SA"/>
        </w:rPr>
        <w:t>، لأنّ الطرف يتبع النفس إذاصارت الجناية قتلاً، فإذا لم يجبُ قصاص النفس، لا يجبُ قصاص الطرف، ولذلك لو قَطَع طرف إنسان فمات منه، فعفى وليّه عن قصاص النفس، لم يكن له أن يقتصّ في الطرف‌؟</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لا لما أفاده الشيخ رحمه الله، 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قصاص الطَرف في قصاص النفس إنّما هو في فرض ثبوته، وأمّا مع وجود المانع عنه خاصّة فلا يدخل فيه بعدم عموم أدلّته، بل لصحيح محمّد بن قيس،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بذمّي في القتل ولا في الجراحات، ولكن يؤخذ من المسلم جنايته للذِّمي على قدر ديَّة الذِّمي ثمانمائة درهم</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المجنيّ عليه في المقام لم يكن له حقّ الاقتصاص لعدم إسلامه، ومعه لا يثبتُ حقّ الاقتصاص للولي، لأنّه إنّما يثبتُ له بالإرث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مسلمٌ على ذمّي قاصداً قتله، ثمّ ارتدّ الجاني، وسَرَت الجناية فماتَ المجنيّ عليه، فالظاهر أنّه يُقتل؛ لأنّ الخارج عن تحت أدلّة القِصاص هو قتل المسلم بالكافر، وهو غير متحقّقٍ في المقام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83531_73709187"/>
      <w:bookmarkStart w:id="315" w:name="_Toc108"/>
      <w:bookmarkEnd w:id="314"/>
      <w:r>
        <w:rPr>
          <w:rtl w:val="true"/>
        </w:rPr>
        <w:t>حكمُ قتل من وَجَب قتله</w:t>
      </w:r>
      <w:bookmarkEnd w:id="315"/>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قتل شخصٍ بزناً، أو لواطٍ، أو بارتدادٍ، بناءً على أنّ قتله إلى الإمام، ولا يجوزُ لغيره ذلك، فقَتَله شخصٌ بدون إذن الإمام، ففيه أقوال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ثبوت القِصاص والدِّية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القِوَد ومع التراضي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الدِّية دون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دمه هدرٌ مطلقاً، غايته أنّ تولّي قتله متوقّفٌ على أمر الحاكم، فإذا فعله غيره أثم ووقع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بأنّ عليّاً عليه السلام قال لرجلٍ قَتَل رجلاً وادّعى أنّه وجده مع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القِوَد إلّاأن تأتي بالبيّنة</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فلو كان القِوَدُ ثابتاً عليه لفعله بدون إذن الإمام، لما رفعه عنه مع إتيانه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القِصاص ثبوت القِوَد على من قَتَل نفساً متعمّداً، وقد خرج عن ذلك ما لو كان القاتلُ يجوز له القتل وبقي الباقي، وفي الفرض حيث إنّه لا يجوزُ للقاتل القتل، فهو داخلٌ تحت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ما ذكرناه، خبر الكناني،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قتله القِصاص، له دية‌؟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يدلّ على أنّ الخارج خصوص من يجوز له القتل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بالزوج، والتعدّى لا وجه له، وقد مرّ فى كتاب الحدود، أنّه يجوز للزوج قتل من رآه يزني بزوجته، فراجع، فهو داخلٌ في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6" w:name="pg11384_112620"/>
    </w:p>
    <w:p>
      <w:pPr>
        <w:pStyle w:val="BookText"/>
        <w:rPr/>
      </w:pPr>
      <w:bookmarkEnd w:id="316"/>
      <w:r>
        <w:rPr>
          <w:rFonts w:ascii="Amiri" w:hAnsi="Amiri" w:eastAsia="Amiri" w:cs="Amiri"/>
          <w:color w:val="111111"/>
          <w:sz w:val="28"/>
          <w:sz w:val="28"/>
          <w:szCs w:val="28"/>
          <w:rtl w:val="true"/>
          <w:lang w:bidi="ar-SA"/>
        </w:rPr>
        <w:t>ولو قَتَل خطأً لزمته الدِّية في ماله، فإنْ لم يكن له مالٌ فعاقلته الإمام دون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قواعد المصنّف رحمه الله</w:t>
      </w:r>
      <w:r>
        <w:rPr>
          <w:rStyle w:val="FootnoteAnchor"/>
          <w:rtl w:val="true"/>
        </w:rPr>
        <w:footnoteReference w:id="1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انسحاب الحكم إلى كلّ قريبٍ للرّجل، أو ولدٍ، أو مملوكٍ‌، وهل ينسحب على الأجانب‌؟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كان على مسلمٍ قصاصٌ‌، فقتله غَير الوليّ بدون إذنه، ثَبَت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 وعلّلوه بأنّه محقون الدَّم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متيناً، إلّاأنّه لم يظهر وجه الفرق بين غير الوليّ في المقام، وغير المأذون من قِبل الإمام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وجب قَتله من جهة سَبّ‌النبيّ صلى الله عليه و آله و سلم لو قتله مسلمٌ لا قِوَد عليه ولا دية، لما مرّ في كتاب الحدود</w:t>
      </w:r>
      <w:r>
        <w:rPr>
          <w:rStyle w:val="FootnoteAnchor"/>
          <w:rtl w:val="true"/>
        </w:rPr>
        <w:footnoteReference w:id="1518"/>
      </w:r>
      <w:r>
        <w:rPr>
          <w:rFonts w:ascii="Amiri" w:hAnsi="Amiri" w:eastAsia="Amiri" w:cs="Amiri"/>
          <w:color w:val="111111"/>
          <w:sz w:val="28"/>
          <w:sz w:val="28"/>
          <w:szCs w:val="28"/>
          <w:rtl w:val="true"/>
          <w:lang w:bidi="ar-SA"/>
        </w:rPr>
        <w:t>من أنّه يجوز لكلّ أحدٍ قتله، ولا يتوقّف على إذن الإمام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83533_73709187"/>
      <w:bookmarkStart w:id="318" w:name="_Toc109"/>
      <w:bookmarkEnd w:id="317"/>
      <w:r>
        <w:rPr>
          <w:rtl w:val="true"/>
        </w:rPr>
        <w:t>دية جناية الذِّمي خطأً في ماله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لزمته الدِّية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مالٌ‌، فعاقلته الإمام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بين أهل الذِّمة معاقلة فيما يجنون من قتلٍ أو جراحةٍ‌، إنّما يُؤخَذ ذلك من أموالهم، فإن لم يكن </w:t>
      </w:r>
    </w:p>
    <w:p>
      <w:pPr>
        <w:pStyle w:val="BookText"/>
        <w:rPr/>
      </w:pPr>
      <w:r>
        <w:rPr>
          <w:rFonts w:ascii="Amiri" w:hAnsi="Amiri" w:eastAsia="Amiri" w:cs="Amiri"/>
          <w:color w:val="111111"/>
          <w:sz w:val="28"/>
          <w:sz w:val="28"/>
          <w:szCs w:val="28"/>
          <w:rtl w:val="true"/>
          <w:lang w:bidi="ar-SA"/>
        </w:rPr>
        <w:t>لهم مالٌ رجعت الجناية 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مماليك للإمام، فمن أسلم منهم فهو حَرّ</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والأصحاب ذكروا هذه المسألة في بحث عاقلة الذِّمي من دون أن يذكروا خلافاً ثمّة، إلّاما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حَكى الخلاف فيه عن الحِلّي، وقد حكم بأنّ عاقلته الإمام مطلقاً، ولو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52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الدِّية 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دلالة الصحيحة على ما ذكر، لا وجه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والفتوى عدم الفرق بين كون عُصبة الذِّمي كفّاراً، أم كانوا من المسلمين، بل الحَصر في الخبر يدلّ على ذلك، أضف إليه الأولويّة القطعيّة، فإنّ عُصبة الكفّار إذا لم يعقلوا له، فلا يعقل عنه المسلمون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9" w:name="pg11384_112622"/>
    </w:p>
    <w:p>
      <w:pPr>
        <w:pStyle w:val="BookText"/>
        <w:rPr/>
      </w:pPr>
      <w:bookmarkEnd w:id="31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أباً، فلا يُقتل الأب بالولد،</w:t>
      </w:r>
    </w:p>
    <w:p>
      <w:pPr>
        <w:pStyle w:val="Heading4"/>
        <w:numPr>
          <w:ilvl w:val="3"/>
          <w:numId w:val="1"/>
        </w:numPr>
        <w:rPr/>
      </w:pPr>
      <w:bookmarkStart w:id="320" w:name="__RefHeading___Toc283535_73709187"/>
      <w:bookmarkStart w:id="321" w:name="_Toc110"/>
      <w:bookmarkEnd w:id="320"/>
      <w:r>
        <w:rPr>
          <w:rtl w:val="true"/>
        </w:rPr>
        <w:t>اشتراط أن لا يكون القاتل أباً</w:t>
      </w:r>
      <w:bookmarkEnd w:id="321"/>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يُقتَلُ الأب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ومن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حمران،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والدٌ بولده، ويُقتل الولد إذا قَتَل والده عمداً</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يقتل ابنه، أيُقتل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أنّه لا قِوَد لرجلٍ أصابه والده في أمرٍ يعيب عليه فيه، فأصابه عيبٌ من قطعٍ وغيره، ويكون له الدِّية، ولا يقاد</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أخبارٌ اُخر 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يُؤخَذ منه الدِّية ويُعزَّر، ويُكفِّر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الوَلدُ أباه قُتِل به،</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الوالد سببُ وجود الولد، فلا يَحسُن أن يصير الولدُ سبباً معدِماً له، وأنّه لا يليقُ بحرمة الأبوّة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وعليه فلا إشكال بحمد اللّه سبحانه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يذهبُ دم إمرئ مسلمٍ هَدراً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يُؤخذ منه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لورثة ولده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ظريف شاهدٌ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الحدود</w:t>
      </w:r>
      <w:r>
        <w:rPr>
          <w:rStyle w:val="FootnoteAnchor"/>
          <w:rtl w:val="true"/>
        </w:rPr>
        <w:footnoteReference w:id="1527"/>
      </w:r>
      <w:r>
        <w:rPr>
          <w:rFonts w:ascii="Amiri" w:hAnsi="Amiri" w:eastAsia="Amiri" w:cs="Amiri"/>
          <w:color w:val="111111"/>
          <w:sz w:val="28"/>
          <w:sz w:val="28"/>
          <w:szCs w:val="28"/>
          <w:rtl w:val="true"/>
          <w:lang w:bidi="ar-SA"/>
        </w:rPr>
        <w:t>من ثبوت التعزير لكلّ معصيةٍ لم يرد فيها حَدٌّ، حسب ما يراه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ابنه أو عبده‌؟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ولكن يُضرب ضرباً شديداً، ويُنفى عن مسقط رأسه</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ضعيفُ السند، فلا بأس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من أنّه محمولٌ على أنّ ذلك بعض أفراد 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 الثابتة في قتل العَمد، كما سيمرّ عليك، لعموم الأدلّة، واختصاص المُخصّص بالقِوَد، وعليه فلا إشكال في ثبوت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الولدُ أباه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للعمومات، وخصوص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الأُمّ لو قَتَلَتْ وَلَدها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الاُمّ لو قَتَلتْ وَلَدها قُتِلت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بعد اختصاص المُخرَج بالأب، فما عن الإسكافي</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تُقتل به، لا وجه له سوى القياس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يشمل الحكم أب الأب، فلو قتل ابن ابنه لا يُقتل به، كما هو المشهور شهرة عظيمة</w:t>
      </w:r>
      <w:r>
        <w:rPr>
          <w:rStyle w:val="FootnoteAnchor"/>
          <w:rtl w:val="true"/>
        </w:rPr>
        <w:footnoteReference w:id="1531"/>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شمول الوالد لأبِ الأب، والولد والابن لابن الابن وعدمه، وحيثُ أنّ الظاهر هو الشمول كما صرّح به اللّغويّون والفقهاء في المقام وفي باب النكاح، وهو المفهوم عرفاً، فالشمول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يُحتمل الاختصاص، لأنّه المتيقّن في مخالفة عموم الآية، لأنّ الجَدّ ليس أباً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نظره إلى الشكّ في صدق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العرفي، بل نفس فتوى الفقهاء الذين هم أهل اللِّسان بالتعميم، أقوى شاهدٍ على الصدق العرفي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نظره إلى الأخذ بالمتيقّن، بعد تسليم صدق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22" w:name="pg11384_112625"/>
    </w:p>
    <w:p>
      <w:pPr>
        <w:pStyle w:val="BookText"/>
        <w:rPr/>
      </w:pPr>
      <w:bookmarkEnd w:id="322"/>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القدر المتيقّن لا يمنعُ عن الأخذ بالإطلاق، بل الظاهر شمول الحكم لأبِ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تردّد في شمول الوالد له، لا إشكال في شمول الابن لابن البنت،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والفتاوى، عدم الفرق في الأب بين الحُرّ والعبد، ولا بين المسلم والكافر، وعدم الفرق بين البنت والابن، كما صرّح بذلك كلّه جماعة من أصحابنا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83537_73709187"/>
      <w:bookmarkStart w:id="324" w:name="_Toc111"/>
      <w:bookmarkEnd w:id="323"/>
      <w:r>
        <w:rPr>
          <w:rtl w:val="true"/>
        </w:rPr>
        <w:t>لو قتل شخصاً وادّعى أنّه ابنه</w:t>
      </w:r>
      <w:bookmarkEnd w:id="324"/>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شخصاً وادّعى أنّه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من موارد سماع دعواه، بأنْ وُلِد على فراشه، وكان بقيّة شرائط الإلحاق موجودة، أو كان في يده، وقلنا بأماريّة اليد لذلك، أو غير ذلك من الموارد، فلا كلام في أنّه لا 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موارد عدم سماع الدّعوى، أي كان هناك أمارةٌ على عدم السماع، فلا كلام في أنّه يُقتل به على فرض تحقّق سائر شرائط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أمارة على أحد الطرفين حتّى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بنينا على أنّ الأصل قبول كلّ دعوى لا 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على ما تقدّم في كتاب القضاء</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حينئذٍ لا يُقتل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بنينا على عدم السماع، فيمكن أن يقال إنّه بإجراء أصالة عدم اُبوّة القاتل للمقتول يُحرز موضوع ثبوت القِصاص، وهو تحقّق القتل، مع عدم كون القاتل أباً للمقتول، فإنّ أحد جُزأي الموضوع وهو القتل محرَزٌ بالوجدان، والجزءُ الآخر يُحرزُ </w:t>
      </w:r>
    </w:p>
    <w:p>
      <w:pPr>
        <w:pStyle w:val="BookText"/>
        <w:rPr/>
      </w:pPr>
      <w:r>
        <w:rPr>
          <w:rFonts w:ascii="Amiri" w:hAnsi="Amiri" w:eastAsia="Amiri" w:cs="Amiri"/>
          <w:color w:val="111111"/>
          <w:sz w:val="28"/>
          <w:sz w:val="28"/>
          <w:szCs w:val="28"/>
          <w:rtl w:val="true"/>
          <w:lang w:bidi="ar-SA"/>
        </w:rPr>
        <w:t>بالأصل، فبضمّ الوجدان إلى الأصل يتمّ الموضوع، فيترتّب عليه حكمه وهو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انتفاء الأبوّة شرطاً، أو كون الأبوّة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هذا الأصل جارياً، وقلنا بحجيّة قاعدة المقتضي والمانع، كان الفرق تامّاً، ولكن المقدّمتين مخدوشتان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القول بجواز التمسّك بالعام في الشُّبهة المصداقيّة، لابدّ من البناء على جواز القِوَد، فإنّ الخارج عن عموم أدلّة القِصاص ما لو كان القاتل أباً للمقتول، فإذا شُكّ في ذلك، فقد شُكّ في مصداق الخاصّ‌، فيتمسّك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إلى ما قيل في وجه عدم القِصاص بأنّ ذلك شُبهة ما نعة من التهجّم على الدَّم، ودارئة للقتل،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ادّعاه اثنان، ولم يكن هناك ما يثبتُ به إحدى الدعوييّن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بصدق أحدهما ولو بالعلم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به، فقَتَله أحدهما أو كلاهما، فيجوز لولي المقتول الاقتصاص، لأصالة عدم كون القاتل أباً للمقتول، إلّاأن يثبُتَ إجماعٌ تعبّدي على عدم جواز الاقتصاص، وقد ادّعى الإجماعَ غَيرُ واحدٍ، إلّاأنّهم استندوا إلى أنّ الاحتمال قائمٌ بالنسبة إلى كلّ منهما، وذلك شبهة مانعة من التهجّم على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علم بصدق أحدهما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ادّعى أحدهما أوّلاً، ثُمّ ادّعى الآخر، فعلى الثاني الإثبات، فإنّه حكمٌ شرعاً بكونه للأوّل، فلو قتله الأوّل لا يُقتل به ويقتل الثاني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ادّعياه معاً وقَتَله أحدهما، أو كلاهما، فالمعروف بينهم عدم جواز الاقتصاص، وذهب بعضهم إلى تعيينه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تقدّمت الإشارة إليه، من أنّ الاحتمال قائمٌ في كلّ منهما، وذلك شبهةٌ مانعةٌ من التهجّم على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للتعيين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أدلّة القضاء أنّ كلّ دعوى بين المتخاصمين لابدَّ من حَلّها بإحدى الطرق الشرعيّة المقرّرة لذلك، ومنها الدّعوى بينهما في بنوّة شخصٍ‌، فإنّه إذا لم يمكن حَلّها بإحدى الطرق، فالمرجع هو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إطلاقات أدلّة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متضمّنة لما إذا ادّعوا جماعةً الولد، ولم يكن أمارة، أُقرع بينهم، وكان الولد للذي يقرع</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القتل لو رجَعَوا إلى القُرعة وتعيّن كونه لأحدهما، يُعامل معه معاملة الأب، ومع الآخر معاملة غير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القتل قبل القرعة، فلا يَبعُد دعوى عدم الرجوع إلى القرعة، إذ العمومات مختصّة بموارد تزاحم الحقوق، وعدم إمكان الرجوع إلى أمارة أو أصلٍ يعيّن به الوظيفة، وفي المقام يمكن ذلك بإجراء أصل العدم بالنسبة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بأُبوّة أحدهما، لا يمنعُ عن إجراء الأصلين، بعد ما لا يلزمُ من إجرائهما مخالفة تكليفٍ إلزامي، بناءً على ما هو الحقّ من جريان الاستصحاب في أطراف العلم الإجمالي، إذا لم يلزم منه مخالفة عمليّة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أو محتملة لما قبل القتل، ولا ينتقض بما لوة</w:t>
      </w:r>
      <w:r>
        <w:rPr>
          <w:rFonts w:eastAsia="Amiri" w:cs="Amiri" w:ascii="Amiri" w:hAnsi="Amiri"/>
          <w:color w:val="111111"/>
          <w:sz w:val="28"/>
          <w:szCs w:val="28"/>
          <w:rtl w:val="true"/>
          <w:lang w:bidi="ar-SA"/>
        </w:rPr>
        <w:t xml:space="preserve">. </w:t>
      </w:r>
      <w:bookmarkStart w:id="325" w:name="pg11384_112628"/>
    </w:p>
    <w:p>
      <w:pPr>
        <w:pStyle w:val="BookText"/>
        <w:rPr/>
      </w:pPr>
      <w:bookmarkEnd w:id="325"/>
      <w:r>
        <w:rPr>
          <w:rFonts w:ascii="Amiri" w:hAnsi="Amiri" w:eastAsia="Amiri" w:cs="Amiri"/>
          <w:color w:val="111111"/>
          <w:sz w:val="28"/>
          <w:sz w:val="28"/>
          <w:szCs w:val="28"/>
          <w:rtl w:val="true"/>
          <w:lang w:bidi="ar-SA"/>
        </w:rPr>
        <w:t>مات وعَلمنا بكونه ولداً لأحد شخصين، فإنّه لا إشكال في الرجوع إلى القرعة لتعيّن من يرثه، فإنّه ليس من جهة النصوص الخاصّة، بل من جهة العمومات، لكونه من موارد تزاحم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فوات محلّ القرعة بالنسبة إلى مثل ذلك وإنْ بقيت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53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انتفاء محلّ القرعة بالنسبة إلى ذلك خاصّة، دون ميراثه وغيره،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يُعامل مع كلّ منهما معاملة غير الأب، للأصل المشار إليه</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83539_73709187"/>
      <w:bookmarkStart w:id="327" w:name="_Toc112"/>
      <w:bookmarkEnd w:id="326"/>
      <w:r>
        <w:rPr>
          <w:rtl w:val="true"/>
        </w:rPr>
        <w:t>لو قتل الرّجل زوجته</w:t>
      </w:r>
      <w:bookmarkEnd w:id="32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الرّجل زوجته، فلا ريب في أنّ لولدها من غيره الاقتصاص، إنّما الكلام في ثبوت حقّ الاقتصاص لولدها منه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والمصنّف في كتبه</w:t>
      </w:r>
      <w:r>
        <w:rPr>
          <w:rStyle w:val="FootnoteAnchor"/>
          <w:rtl w:val="true"/>
        </w:rPr>
        <w:footnoteReference w:id="1537"/>
      </w:r>
      <w:r>
        <w:rPr>
          <w:rFonts w:ascii="Amiri" w:hAnsi="Amiri" w:eastAsia="Amiri" w:cs="Amiri"/>
          <w:color w:val="111111"/>
          <w:sz w:val="28"/>
          <w:sz w:val="28"/>
          <w:szCs w:val="28"/>
          <w:rtl w:val="true"/>
          <w:lang w:bidi="ar-SA"/>
        </w:rPr>
        <w:t xml:space="preserve">، والمشهور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أن يقتصّ من أبيه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يملك هنا، أمكن اقتصاراً بالمنع على مورد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الأدلّة؛ وصلاحيّة العلّة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استدلال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توجيه ما أفاده، بأنّ الباء في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بالولد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السببيّة، ولا يكون الولدُ سبباً للقِوَد إلّامع كونه مقتولاً، أمّا إذا كان المقتول مورّثه، فذلك المقتول هو السَّبب دون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استيفاء القِصاص متوقّفٌ على مطالبة المستحقّ‌، وإذا كان هو الولد وطالب به، كان هو السَّبب في القِوَد، فيتناوله 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من قبيل الشرط، والسَّبب هو القتل، فما أفاده المحقّق رحمه الله من عدم شمول النّص تامٌّ‌، وصلاحيّة العلّة بعد كونها مستنبطة لا مصرّحة،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ما عن المشهور أظهر، لعموم العلّة في صحيح محمّد بن مسلم الوارد في قذف الوالد ولده،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قَذف ابنه بالزّنا؟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وإن قَذَفه لم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واُمّه ميّتة، ولم يكن لها من يأخذ حقّها منه إلّاولدها منه، فإنّه لا يقام عليه، لأنّ حقّ الحَدّ قد صار لولده منها، فإن كان لها ولدٌ من غيره، فهو وليّها يُجلد له، الحديث</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بعموم العلّة يدلّ على حكم المقام، وأنّه لا قصاص عليه، ومن الغريب أنّ المحقّق</w:t>
      </w:r>
      <w:r>
        <w:rPr>
          <w:rStyle w:val="FootnoteAnchor"/>
          <w:rtl w:val="true"/>
        </w:rPr>
        <w:footnoteReference w:id="1540"/>
      </w:r>
      <w:r>
        <w:rPr>
          <w:rFonts w:ascii="Amiri" w:hAnsi="Amiri" w:eastAsia="Amiri" w:cs="Amiri"/>
          <w:color w:val="111111"/>
          <w:sz w:val="28"/>
          <w:sz w:val="28"/>
          <w:szCs w:val="28"/>
          <w:rtl w:val="true"/>
          <w:lang w:bidi="ar-SA"/>
        </w:rPr>
        <w:t>في مسألة القذف أفتى بعموم ثبوت حَدّ القذف له، ومال هنا إلى ثبوت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الاقتصاص وحقّ القذف اقتصاراً بالمنع على مورد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أحد الولدين أباه، ثُمّ الآخر اُمّه، فلكلّ منهما على الآخر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قَتَل عمداً الذي هو الموضوع لجواز القِصاص، فيثبتُ لكلّ منهما حقّ الاقتصاص من الآخر، ولا يرثُ الآخر منه كما لا يرثُ المال، فإذا تشاحا فيمن يبدأ به في الاستيفاء أوّلاً، أُقرع بينهما، لعدم الأولويّة، وقُدّم من أخرجته القرعة، ثمّ يقبض ورثة المقتول من الآخر، وإنّما فائدة القرعة التعجيل، لا حقّ الاستيفاء، كي يُورد على من التزم بذلك، بأنّه لا وجه للقرعة بعد فرض ثبوت حقّ الاستيفاء لكلّ منهما على الإطلاق بمقتضى الأدلّة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بَدَر أحدهما فاقتصّ‌، كان لورثة الآخر الاقتصاص منه؛ لأنّ حقّ الاقتصاص من الحقوق القابلة للانتقال كسائر الحقوق الشرعيّة القابلة لذلك، فيقوم الوارثُ مقام مورّثه في استيفاء الحقّ من القاتل</w:t>
      </w:r>
      <w:r>
        <w:rPr>
          <w:rFonts w:eastAsia="Amiri" w:cs="Amiri" w:ascii="Amiri" w:hAnsi="Amiri"/>
          <w:color w:val="111111"/>
          <w:sz w:val="28"/>
          <w:szCs w:val="28"/>
          <w:rtl w:val="true"/>
          <w:lang w:bidi="ar-SA"/>
        </w:rPr>
        <w:t>.</w:t>
      </w:r>
      <w:bookmarkStart w:id="328" w:name="pg11384_112631"/>
    </w:p>
    <w:p>
      <w:pPr>
        <w:pStyle w:val="BookText"/>
        <w:rPr/>
      </w:pPr>
      <w:bookmarkEnd w:id="32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فلو قَتَل المجنونُ أو الصَّبي لم يُقتلا،</w:t>
      </w:r>
    </w:p>
    <w:p>
      <w:pPr>
        <w:pStyle w:val="Heading4"/>
        <w:numPr>
          <w:ilvl w:val="3"/>
          <w:numId w:val="1"/>
        </w:numPr>
        <w:rPr/>
      </w:pPr>
      <w:bookmarkStart w:id="329" w:name="__RefHeading___Toc283541_73709187"/>
      <w:bookmarkStart w:id="330" w:name="_Toc113"/>
      <w:bookmarkEnd w:id="329"/>
      <w:r>
        <w:rPr>
          <w:rtl w:val="true"/>
        </w:rPr>
        <w:t>اشتراط كمال العقل</w:t>
      </w:r>
      <w:bookmarkEnd w:id="330"/>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فلو قَتَل المجنونُ أو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عاقلاً أو مجنوناً، صغيراً أم كبيراً، كان الجنون دائماً أو أدواراً، وكان القتل حال جنونه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الأوّل، وعليه الإجماع، كما ادّعاه بعض الأجلّة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وبلا خلافٍ في الثاني، إذا لم يبلغ خمسة أشبار ولا عشراً، وكذا إذا بلغهما على الأشهر، بل عليه عامّة متأخّري أصحابنا وفاقاً للحِلّي</w:t>
      </w:r>
      <w:r>
        <w:rPr>
          <w:rStyle w:val="FootnoteAnchor"/>
          <w:rtl w:val="true"/>
        </w:rPr>
        <w:footnoteReference w:id="1542"/>
      </w:r>
      <w:r>
        <w:rPr>
          <w:rFonts w:ascii="Amiri" w:hAnsi="Amiri" w:eastAsia="Amiri" w:cs="Amiri"/>
          <w:color w:val="111111"/>
          <w:sz w:val="28"/>
          <w:sz w:val="28"/>
          <w:szCs w:val="28"/>
          <w:rtl w:val="true"/>
          <w:lang w:bidi="ar-SA"/>
        </w:rPr>
        <w:t xml:space="preserve">والخلاف من القدماء، وادّعى الأخير فيه إجماع الفرقة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يجعل جناية المعتوه على عاقلته، خطأً كان أو عمداً</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وخطائه واحد</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إسحاق بن عمّار،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إسماعيل بن أبي زياد،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أبي بكر كتب إلى أمير المؤمنين عليه السلام يسأله عن رجلٍ مجنونٍ قتل رجلاً عمداً، فجعل الدِّية على قومه، وجعل خطاءه وعمده سواء</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بالإضافة إلى المجنون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فبإزائهما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إذا بلغ عَشر سنين يُقتصُّ منه، وقد حُكي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الإفتاء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كما أفاده الشهيدالثاني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5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لم نظفر إلّابرواية مقطوعة ومرسلة في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عشر سنين اقتصّ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تصلحُ لمعارضة ما تقدّم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أبي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إسماعيل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تجوزُ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الغلام‌؟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إنّ رسول اللّه صلى الله عليه و آله دخل بعائشة وهي بنتُ عشر سنين، وليس يدخل الجارية حتّى تكون امرأة، فإذا كان للغلام عَشرُ سنين جاز أمره، وجازت شهادته</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رواية عن غير المعصوم، وفتوى إسماعيل ليس بحجّة سيّما مع الاستدلال بشيء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الدالّة على جواز طلاقه ووصاياه، وإقامة الحدود عليه، بإدخال القِصاص في الحدود، فهي لا تدلّ على جواز الاقتصاص، لعدم دخول القِصاص في الحدود على أنّها معاوضة في الحدود، بما يدلّ على أنّه لا يجرى الحَدّ على غير البالغ كما تقدّم في كتاب الحدود</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تقام الحدود على الصَّبي إذا بلغ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حفص المروزي، عن الرّجل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للغلام ثمان سنين فجائزٌ أمره، وقد وجبت عليه الفرائض والحدود، وإذا تَمّ للجارية تسع سنين فكذلك</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الحسن بن راشد في الصحيح عن الإمام العسكري عليه السلام هذه الرواية بعينها، إلّاأنّه قال في آخرها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 للجارية سبع سنين فكذلك</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ولكنّها معارضة مع ما دلّ على أنّه لا تجبُ الفرائض، ولا تُقام الحدود على غير البالغ، وأنّ البلوغ إنّما يكون بإكمال خمس عشرة سنة، أو بالاحتلام، أو بإنبات الشَّعر على عانته، وعليه فيتعيّن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يقتصّ منه إذا بلغ خمسة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في رجلٍ وغلامٍ اشتركا في قتل رجلاً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وإذا لم يكن يبلغ خمسة أشبار قضي بالدية</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أفتى المفيد قدس سره</w:t>
      </w:r>
      <w:r>
        <w:rPr>
          <w:rStyle w:val="FootnoteAnchor"/>
          <w:rtl w:val="true"/>
        </w:rPr>
        <w:footnoteReference w:id="1558"/>
      </w:r>
      <w:r>
        <w:rPr>
          <w:rFonts w:ascii="Amiri" w:hAnsi="Amiri" w:eastAsia="Amiri" w:cs="Amiri"/>
          <w:color w:val="111111"/>
          <w:sz w:val="28"/>
          <w:sz w:val="28"/>
          <w:szCs w:val="28"/>
          <w:rtl w:val="true"/>
          <w:lang w:bidi="ar-SA"/>
        </w:rPr>
        <w:t>، والصَّدوق رحمه الله</w:t>
      </w:r>
      <w:r>
        <w:rPr>
          <w:rStyle w:val="FootnoteAnchor"/>
          <w:rtl w:val="true"/>
        </w:rPr>
        <w:footnoteReference w:id="15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مضافاً إلى ضعف سنده، شاذٌ مخالفٌ للاُصول الممهّدة، بل لما أجمع عليه المسلمون إلّامن شَذّ، فلا يلتفت إليه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ضعف سنده، فلا وجه له سوى وجود السكوني، والنوفلي في الطريق، وقد مرّ في هذا الشرح غير مرّة أنّهما معتبران، وقد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إجماع الطائفة على العمل برواياتهما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اُخِذت الدِّية من العاقلة، لأنّ عمدهما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 بعد أنّ القرآن يُخصّص بخبر الواحد، فكيف بالقواعد المستنبطة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إجماع المسلمين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وهنه بعد عمل أعاظم الفقهاء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أورده الأستاذ قدس سره</w:t>
      </w:r>
      <w:r>
        <w:rPr>
          <w:rStyle w:val="FootnoteAnchor"/>
          <w:rtl w:val="true"/>
        </w:rPr>
        <w:footnoteReference w:id="156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فرضنا صبيّين متساويين في السِّن، ولكن بَلَغ أحدهما خمسة أشبار دون الآخر، فلازم ذلك هو أنّ من بلغ منهما خمسة أشبار إذا قَتَل نفساً متعمّداً اقتصّ منه دون الآخر، وهذا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فرضنا أنّ الميزان هو شبر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بعض النصوص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هذا المحذور،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ما هو أشهر،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وإن لم يُقتلا بالقتل إلّاأنّه لا يذهبُ دَم إمرئٍ مسلمٍ هَدراً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اُخذتِ الدِّية من العاقلة، لأنّ 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سيأتي في المجنون ما يوهم أخذ الدِّية من ماله إنْ كان له مالٌ‌، وإلّا فمن عاقلته، إلّاأنّه مع ضعفه غير ظاهرٍ في قتله حال جنونه، بل ظاهره ورود الحكم في مورد الاشتباه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العاقل ثُمّ جُنّ لم يسقط القِوَد، بلا خلافٍ يظهر كما فيص</w:t>
      </w:r>
      <w:r>
        <w:rPr>
          <w:rFonts w:eastAsia="Amiri" w:cs="Amiri" w:ascii="Amiri" w:hAnsi="Amiri"/>
          <w:color w:val="111111"/>
          <w:sz w:val="28"/>
          <w:szCs w:val="28"/>
          <w:rtl w:val="true"/>
          <w:lang w:bidi="ar-SA"/>
        </w:rPr>
        <w:t xml:space="preserve">. </w:t>
      </w:r>
      <w:bookmarkStart w:id="331" w:name="pg11384_112636"/>
    </w:p>
    <w:p>
      <w:pPr>
        <w:pStyle w:val="BookText"/>
        <w:rPr/>
      </w:pPr>
      <w:bookmarkEnd w:id="331"/>
      <w:r>
        <w:rPr>
          <w:rFonts w:ascii="Amiri" w:hAnsi="Amiri" w:eastAsia="Amiri" w:cs="Amiri"/>
          <w:color w:val="111111"/>
          <w:sz w:val="28"/>
          <w:sz w:val="28"/>
          <w:szCs w:val="28"/>
          <w:rtl w:val="true"/>
          <w:lang w:bidi="ar-SA"/>
        </w:rPr>
        <w:t>ولو قَتَل البالغ صبيّاً قُتِل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واستدلّ له بإطلاقات أدلّة القِصاص، بعد كون النصوص الخاصّة المتقدّمة غير شاملة لهذه الصورة، لأنّ ظاهرها هو صدور الفعل من المجنون حال جنونه، فلو جَنّ بعدُ لم يكن مشمولاً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رفع القلم</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يشملُ العقوبة الثابتة على ما فعله في حال كونه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بريد بن معاوية العِجلي،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رجلٍ قَتَل رجلاً عمداً، فلم يقم عليه الحَدّ، ولم تصحّ الشّهادة عليه حتّى خولط وذَهَب عقله، ثمّ إنّ قوماً آخرين شهدوا عليه بعدما خولط أنّه قتله‌؟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عليه أنّه قتله حين قتله وهو صحيحٌ‌، ليس به علّة من فساد عقلٍ قُتل به، وإنْ لم يشهدوا عليه بذلك، وكان له مالٌ يُعرَف، دُفع إلى ورثة المقتول الدِّية من مال القاتل، وإنْ لم يكن له مالٌ‌، اُعطي الدِّية من بيت المال، ولا يَبطل دَمُ إمرئٍ مسلمٍ‌</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 بالعمل، وبكون الراوي عن الضعيف ابن محبوب</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83543_73709187"/>
      <w:bookmarkStart w:id="333" w:name="_Toc114"/>
      <w:bookmarkEnd w:id="332"/>
      <w:r>
        <w:rPr>
          <w:rtl w:val="true"/>
        </w:rPr>
        <w:t>حكم البالغ إذا قتل صبيّاً</w:t>
      </w:r>
      <w:bookmarkEnd w:id="3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البالغُ صبيّاً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1566"/>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أكثر الأصحاب، بل هو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الأظهر بين أصحابنا المعمول عليه عند المحصّلين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أبو الصّلاح</w:t>
      </w:r>
      <w:r>
        <w:rPr>
          <w:rStyle w:val="FootnoteAnchor"/>
          <w:rtl w:val="true"/>
        </w:rPr>
        <w:footnoteReference w:id="1569"/>
      </w:r>
      <w:r>
        <w:rPr>
          <w:rFonts w:ascii="Amiri" w:hAnsi="Amiri" w:eastAsia="Amiri" w:cs="Amiri"/>
          <w:color w:val="111111"/>
          <w:sz w:val="28"/>
          <w:sz w:val="28"/>
          <w:szCs w:val="28"/>
          <w:rtl w:val="true"/>
          <w:lang w:bidi="ar-SA"/>
        </w:rPr>
        <w:t>فألحقه بالمجنون في إثبات الدِّية بقتله عمداً مطلقاً، ووافقه الأستاذ قدس سره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أدلّة القِصاص، السليمة عن المعارض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ابن فضّال، عن بعض أصحابه،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قَتَل شيئاً صغيراً أو كبيراً بعد أن يتعمّد فعليه القِوَد</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العمومات تُخصَّص بما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الصَّدوق بسنده الصحيح عن ابن بُكير، عنه عليه السلام،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قتل بشيء صَغُر أو كبُر</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أنّهما رواية واحدة، فإنّه في طريق الصَّدوق إلى ابن بكير هو حسن ابن علي ابن الفضّال، فالمراد من بعض أصحابه هو ابن بكير، وعلى نقل الصَّدوق الظاهر من الخبر بقرينة أنّ الصغر والكبر صفة للشيء الذي يقع القتل به، كونه أجنبيّاً عن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نقل الصَّدوق، إذ لم يُعهد التعبير عن الإنسان بالشيء، مع أنّه عند دوران الأمر بين الزيادة والنقيصة، يقتضي الأصل البناء على وجود الزائد، وهو في الخبر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قَتَل رجلاً مجنونا؟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المجنون أراده فدفعه عن نفسه فقتله، فلا شيء عليه من قِوَدٍ، ولا ديةٍ‌، ويُعطى ورثته ديته من بيت مال المسلمين، وإنْ كان قتله من غير أن يكون المجنون أراده، فلا قِوَد لمن لا يُقاد منه، وأرى أنّ على قاتله الدِّية في ماله يدفعها إلى ورثة المجنون، ويستغفر اللّه ويتوب إليه</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مورد الخبر وإنْ كان هو المجنون، إلّاأنّ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تشمل الصَّبي والمجنون، حيث إنّه لا يُقاد منهما، فلا يقاد لهما من العاقل، وقد طبّقه الإمام على خصوص المورد، ومعلومٌ أنّ خصوص المورد لا يوجبُ التخصيص، مع تأيّده بما ورد من مثله في الحَدّ، 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 الأصحاب عنه يسقطه عن الحجيّة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ولا أقلّ من المحتمل أنّهم لم يعملوا به من جهة مرسل ابن فضّال المتقدّم، وخرجوا به عن عموم الخبر، كما يعضده ماذكره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Pr>
        <w:footnoteReference w:id="157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34" w:name="pg11384_112639"/>
    </w:p>
    <w:p>
      <w:pPr>
        <w:pStyle w:val="BookText"/>
        <w:rPr/>
      </w:pPr>
      <w:bookmarkEnd w:id="334"/>
      <w:r>
        <w:rPr>
          <w:rFonts w:ascii="Amiri" w:hAnsi="Amiri" w:eastAsia="Amiri" w:cs="Amiri"/>
          <w:color w:val="111111"/>
          <w:sz w:val="28"/>
          <w:sz w:val="28"/>
          <w:szCs w:val="28"/>
          <w:rtl w:val="true"/>
          <w:lang w:bidi="ar-SA"/>
        </w:rPr>
        <w:t>ولو قَتَل العاقلُ مجنوناً أُخذ منه الدِّية،</w:t>
      </w:r>
    </w:p>
    <w:p>
      <w:pPr>
        <w:pStyle w:val="BookText"/>
        <w:rPr/>
      </w:pPr>
      <w:r>
        <w:rPr>
          <w:rFonts w:ascii="Amiri" w:hAnsi="Amiri" w:eastAsia="Amiri" w:cs="Amiri"/>
          <w:color w:val="111111"/>
          <w:sz w:val="28"/>
          <w:sz w:val="28"/>
          <w:szCs w:val="28"/>
          <w:rtl w:val="true"/>
          <w:lang w:bidi="ar-SA"/>
        </w:rPr>
        <w:t>من أنّ الاكتفاء بمثل هذا الظهور في رفع اليد عن العمومات القطعيّة من الكتاب والسُّنة، وظاهر المرسلة المعتضدة بالشهرة العظيمة، التي كادت تكون الآن إجماع الطائفة، في غاية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ذكره من المانع من العمومات القطعيّة من الكتاب والسُّنة، غير تامّ‌، إذ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قطعيّة السند، فقد حُقّق في محلّه أنّ العام الكتابي يُخصَّص بالخبر الواحد الجامع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قطعيّة الدلالة، فلا آية ولا رواية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بحسب الدليل أنّه لا قِوَد عليه، إلّاأنّ مخالفة أساطين الفن غير خالية من الإشكال، وعليه فالاحتياط طريق النجاة، وهو أيضاً يقتضي أخذ الدِّية لا القِوَد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83545_73709187"/>
      <w:bookmarkStart w:id="336" w:name="_Toc115"/>
      <w:bookmarkEnd w:id="335"/>
      <w:r>
        <w:rPr>
          <w:rtl w:val="true"/>
        </w:rPr>
        <w:t>حكم قتل العاقل مجنوناً</w:t>
      </w:r>
      <w:bookmarkEnd w:id="33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العاقلُ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به،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القتل عمديّاً، أو شبيه عمدٍ، بلا خلافٍ‌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يقصد دفعه، فيكون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يقصد دفعه فيكون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 على العاقل ولا عاقلته اتّفاقاً فتوىً ونصّاً خاصّاً، وهو الصحيح المتقدّم، وعامّاً وهو كثيرٌ تقدّم شطر منه في كتاب الحدود في حَدّ المحارب</w:t>
      </w:r>
      <w:r>
        <w:rPr>
          <w:rStyle w:val="FootnoteAnchor"/>
          <w:rtl w:val="true"/>
        </w:rPr>
        <w:footnoteReference w:id="1577"/>
      </w:r>
      <w:r>
        <w:rPr>
          <w:rFonts w:ascii="Amiri" w:hAnsi="Amiri" w:eastAsia="Amiri" w:cs="Amiri"/>
          <w:color w:val="111111"/>
          <w:sz w:val="28"/>
          <w:sz w:val="28"/>
          <w:szCs w:val="28"/>
          <w:rtl w:val="true"/>
          <w:lang w:bidi="ar-SA"/>
        </w:rPr>
        <w:t>، وظاهر إطلاق المتن أنّه لا ديَّة له أصلاً، وهو المشهور بين الأصحاب</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 قدس سره</w:t>
      </w:r>
      <w:r>
        <w:rPr>
          <w:rStyle w:val="FootnoteAnchor"/>
          <w:rtl w:val="true"/>
        </w:rPr>
        <w:footnoteReference w:id="15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580"/>
      </w:r>
      <w:r>
        <w:rPr>
          <w:rFonts w:ascii="Amiri" w:hAnsi="Amiri" w:eastAsia="Amiri" w:cs="Amiri"/>
          <w:color w:val="111111"/>
          <w:sz w:val="28"/>
          <w:sz w:val="28"/>
          <w:szCs w:val="28"/>
          <w:rtl w:val="true"/>
          <w:lang w:bidi="ar-SA"/>
        </w:rPr>
        <w:t>، والصيمري</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نصوص الدفع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الدفع إمّا مباحٌ أو واجب، فلا يتعقّبه الضمان من قِودٍ أو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أنّ الدِّية إنّما تثبتُ بعنوان العقوبة، فتختصّ بمورد حرمة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ما ورد في القِصاص، كخبر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قتله القِصاص، له دية‌؟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من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المقام بعموم العلّة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يقيّد الإطلاق بصحيح أبي بصير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7" w:name="pg11384_112641"/>
    </w:p>
    <w:p>
      <w:pPr>
        <w:pStyle w:val="BookText"/>
        <w:rPr/>
      </w:pPr>
      <w:bookmarkEnd w:id="337"/>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الدِّية أعمٌّ من الحرمة، ولذا يجبُ الدِّية في شبيه العمد والقتل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وثبوتها على بيت المال، لا ينافي مع خبر الكناني، فإنّ مقتضاه نفي الدِّية عن القاتل، فالعمل على صحيح أبي بصير، ويعضده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خبر بريد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إمرئٍ مسلم</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الورد المعتبر برواية الحسن بن محبوب، الذي هو من أصحاب الإجماع،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حمل عليه رجل مجنون فضربه المجنون ضربة، فتناول الرّجل السّيف من المجنون فضربه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لايُقتل به، ولايُغرم ديته، وتكون ديته على الإمام، ولا يبطل دمه</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بين الصحيحة والمعتبرة القريبة منها من الاختلاف، حيث إنّه في الأُولى جعل الدِّية على بيت المال، وفي الثانية على الإمام، بدويٌ‌، والجمع بينهما يقتضي حمل الثانية على الأُولى‌، نظراً إلى أنّ بيت المال مُعدّ لمصالح المسلمين، وبيد الإمام، فكلّ من التعبيرين صحيحٌ‌، ويرجعان إلى شيء واحد</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83547_73709187"/>
      <w:bookmarkStart w:id="339" w:name="_Toc116"/>
      <w:bookmarkEnd w:id="338"/>
      <w:r>
        <w:rPr>
          <w:rtl w:val="true"/>
        </w:rPr>
        <w:t>لو كان القاتلُ سكراناً</w:t>
      </w:r>
      <w:bookmarkEnd w:id="33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القاتل سكراناً، فهل عليه القِوَد كما عن الأكثر، على ما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xml:space="preserve">، بل قد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نسبته إلى الأصحاب، مشعراً بالإجماع عليه،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دعواه صريحاً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 وإن أشكل فيه بعد اختيار العدم‌؟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9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يشربون فيسكرون، فتباعجوا بسكاكين كانَتْ معهم، فرفِعوا إلى أميرالمؤمنين عليه السلام، فسجنهم فماتَ منهم رجلان وبقي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أقِدهما بصاحبينا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تقِيدهما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ذينك الّذين ماتا قَتَلا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 دية المقتولين على قبائل الأربعة، وآخذ دية جراحة الباقين من دية المقتولين</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المفروغيّة عن كون القِوَد عليهما، لو فرض العلم بأن الباقيين قتلاهما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أربعة شربوا مُسكراً، فأخذ بعضهم على بعض السِّلاح، فاقتتلوا فقُتِل اثنان وجُرِح اثنان، فأمر المجروحين فضُرِب كلّ منهما ثمانين جلدة، وقَضى بدية المقتولين على المجروحين، وأمر أن تقاس جراحة المجروحين فتُرفع من الدِّية، فإن مات المجروحان، فليس على أحدٍ من المقتولين شيء</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بحمل الأوّل على ما هو ظاهره من كون شربهم المُسكر في معرض التباعج بالسكاكين، المؤدّي إلى القتل عادةً‌،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ذلك أنّ الشيخ رحمه الله روى هذه الرواية، والمذكور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قومٌ يشربون فيسكرون فيتباعجون بالسكاكين،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 هذه الجملة أنّ التباعج الذي هو معرض القتل في نفسه كان عادةً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الثاني نظراً إلى كونه قضيّة في واقعة على صورة القتل والقتال بينهم اتّفاقاً، من دون علمٍ لهم بأنّ شُرب المُسكر يؤدّي إلى ذلك عادةً‌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تسليم التعارض، فالمرجع هو ما تقتضيه القاعدة، وهو أنّه إنْ‌علم السكران قبل سُكره أنّ شُربه المسكر يكون في معرض القتل، وأنّه يؤدّي إليه نوعاً، فهو بشربه قاصدٌ للقتل، فيكون القتل المترتّب على السُكر قتلاً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عمديّاً، وأمّا إذا لم يكن كذلك، وكان القتل اتّفاقيّاً، لم تجرِ عليه أحكام القتل العمدي، وإنّما تترتّب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في خبرالسكوني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فيه سوى تفرّع التباعج على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ذلك عادةً‌، فلا شاهد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صحّة نقل الشيخ، وإنْ كان ظاهره كون التباعج عادةً لهم، إلّا أنّه على خلاف مقصوده أدلّ‌، إذ بعد كون عادتهم التباعج، وعدم ترتّب القتل عليه في الموارد السالفة، لا محالة يطمئن بعدم ترتّبه في هذه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قضاوة الإمام عليه السلام كانت في واقعة خاصّة، غير معلوم الوجه، إلّاأنّ نَقل الإمام الباقر عليه السلام تلك القضاوة في مقام بيان الحكم، يُخرجه عن ذلك، فيكون هو أيضاً كخبر السكوني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تسليم دلالة خبر السكوني على ثبوت القِودَ فلا محالة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أنّه بعد التعارض يكون المرجع هي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سهو القلم، إذ في تعارض الخبرين، لابدَّ من الرجوع إلى أخبار الترجيح والتخيير لا التساقط والرجوع إلى القاعدة، وهي تقتضي تقديم خبر السكوني، لوجوهٍ غير خفيّة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خبر السكوني ما يدلّ على أنّ عليه القِود، فإنّ منطوقه أن لا قِوَد، لاحتمال قتل كلٍّ منهما صاحبه، ولا مفهوم له كي يدلّ على ثبوته مع عدم الاحتمال</w:t>
      </w:r>
      <w:r>
        <w:rPr>
          <w:rFonts w:eastAsia="Amiri" w:cs="Amiri" w:ascii="Amiri" w:hAnsi="Amiri"/>
          <w:color w:val="111111"/>
          <w:sz w:val="28"/>
          <w:szCs w:val="28"/>
          <w:rtl w:val="true"/>
          <w:lang w:bidi="ar-SA"/>
        </w:rPr>
        <w:t xml:space="preserve">. </w:t>
      </w:r>
      <w:bookmarkStart w:id="340" w:name="pg11384_112645"/>
    </w:p>
    <w:p>
      <w:pPr>
        <w:pStyle w:val="BookText"/>
        <w:rPr/>
      </w:pPr>
      <w:bookmarkEnd w:id="340"/>
      <w:r>
        <w:rPr>
          <w:rFonts w:ascii="Amiri" w:hAnsi="Amiri" w:eastAsia="Amiri" w:cs="Amiri"/>
          <w:color w:val="111111"/>
          <w:sz w:val="28"/>
          <w:sz w:val="28"/>
          <w:szCs w:val="28"/>
          <w:rtl w:val="true"/>
          <w:lang w:bidi="ar-SA"/>
        </w:rPr>
        <w:t>والأعمى كالمُبصِر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كالصحيح يدلّ على أنْ لا قِوَد، وأنّه يثبتُ الدِّية، وعلى ذلك فلا مورد للرجوع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قصاص عليه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83549_73709187"/>
      <w:bookmarkStart w:id="342" w:name="_Toc117"/>
      <w:bookmarkEnd w:id="341"/>
      <w:r>
        <w:rPr>
          <w:rtl w:val="true"/>
        </w:rPr>
        <w:t>لو كان القاتلُ أعمى</w:t>
      </w:r>
      <w:bookmarkEnd w:id="34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من اقتصّ به لو كان بصيراً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594"/>
      </w:r>
      <w:r>
        <w:rPr>
          <w:rFonts w:ascii="Amiri" w:hAnsi="Amiri" w:eastAsia="Amiri" w:cs="Amiri"/>
          <w:color w:val="111111"/>
          <w:sz w:val="28"/>
          <w:sz w:val="28"/>
          <w:szCs w:val="28"/>
          <w:rtl w:val="true"/>
          <w:lang w:bidi="ar-SA"/>
        </w:rPr>
        <w:t>، والصَّدوق رحمه الله</w:t>
      </w:r>
      <w:r>
        <w:rPr>
          <w:rStyle w:val="FootnoteAnchor"/>
          <w:rtl w:val="true"/>
        </w:rPr>
        <w:footnoteReference w:id="1595"/>
      </w:r>
      <w:r>
        <w:rPr>
          <w:rFonts w:ascii="Amiri" w:hAnsi="Amiri" w:eastAsia="Amiri" w:cs="Amiri"/>
          <w:color w:val="111111"/>
          <w:sz w:val="28"/>
          <w:sz w:val="28"/>
          <w:szCs w:val="28"/>
          <w:rtl w:val="true"/>
          <w:lang w:bidi="ar-SA"/>
        </w:rPr>
        <w:t>، والإسكافي رحمه الله</w:t>
      </w:r>
      <w:r>
        <w:rPr>
          <w:rStyle w:val="FootnoteAnchor"/>
          <w:rtl w:val="true"/>
        </w:rPr>
        <w:footnoteReference w:id="1596"/>
      </w:r>
      <w:r>
        <w:rPr>
          <w:rFonts w:ascii="Amiri" w:hAnsi="Amiri" w:eastAsia="Amiri" w:cs="Amiri"/>
          <w:color w:val="111111"/>
          <w:sz w:val="28"/>
          <w:sz w:val="28"/>
          <w:szCs w:val="28"/>
          <w:rtl w:val="true"/>
          <w:lang w:bidi="ar-SA"/>
        </w:rPr>
        <w:t>، والقاضي</w:t>
      </w:r>
      <w:r>
        <w:rPr>
          <w:rStyle w:val="FootnoteAnchor"/>
          <w:rtl w:val="true"/>
        </w:rPr>
        <w:footnoteReference w:id="1597"/>
      </w:r>
      <w:r>
        <w:rPr>
          <w:rFonts w:ascii="Amiri" w:hAnsi="Amiri" w:eastAsia="Amiri" w:cs="Amiri"/>
          <w:color w:val="111111"/>
          <w:sz w:val="28"/>
          <w:sz w:val="28"/>
          <w:szCs w:val="28"/>
          <w:rtl w:val="true"/>
          <w:lang w:bidi="ar-SA"/>
        </w:rPr>
        <w:t>، وابن حمزة رحمه الله</w:t>
      </w:r>
      <w:r>
        <w:rPr>
          <w:rStyle w:val="FootnoteAnchor"/>
          <w:rtl w:val="true"/>
        </w:rPr>
        <w:footnoteReference w:id="1598"/>
      </w:r>
      <w:r>
        <w:rPr>
          <w:rFonts w:ascii="Amiri" w:hAnsi="Amiri" w:eastAsia="Amiri" w:cs="Amiri"/>
          <w:color w:val="111111"/>
          <w:sz w:val="28"/>
          <w:sz w:val="28"/>
          <w:szCs w:val="28"/>
          <w:rtl w:val="true"/>
          <w:lang w:bidi="ar-SA"/>
        </w:rPr>
        <w:t>، والصهرشتي</w:t>
      </w:r>
      <w:r>
        <w:rPr>
          <w:rStyle w:val="FootnoteAnchor"/>
          <w:rtl w:val="true"/>
        </w:rPr>
        <w:footnoteReference w:id="1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وجماعة من متأخّري المتأخّرين أن لا 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600"/>
      </w:r>
      <w:r>
        <w:rPr>
          <w:rFonts w:ascii="Amiri" w:hAnsi="Amiri" w:eastAsia="Amiri" w:cs="Amiri"/>
          <w:color w:val="111111"/>
          <w:sz w:val="28"/>
          <w:sz w:val="28"/>
          <w:szCs w:val="28"/>
          <w:rtl w:val="true"/>
          <w:lang w:bidi="ar-SA"/>
        </w:rPr>
        <w:t>، وجملة المتأخّرين</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كالمُبصِر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وجوب القِصاص عليه بعمده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محمّد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رأس رجلٍ بمعولٍ فسالت عيناه على خدّيه، فوثَب المضروب على ضاربه فقتله‌؟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وهو أعمى‌، والأعمى جنايته خطأ يلزم عاقلته، يؤخذون بها في ثلاث سنين، في كلّ سنةٍ نجماً، فإن لم يكن للأعمى عاقلة، لزمته دية ما جَنى في ماله، يؤخذ بها في ثلاث سنين، ويرجع الأعمى على ورثة ضاربه بدية عينيه</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أبي عبيدة،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أعمى فَقأ عين صحيح‌؟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الخطاء، هذا فيه الدِّية في ماله، فإن لم يكن له مالٌ فالدية على الإمام، ولا يبطل حقّ إمرئ مسلمٍ‌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الشهيد الثاني رحمه الله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الروايتان مشتركتان في الدلالة على أنّ عمد الأعمى خطأ، وفي ضعف السند فيه مختلفان للحكم، ومخالفان للاُصول، لاشتمال الأولى على كون الدِّية تجبُ ابتداءً على العاقلة، ومع عدمها تجبُ على الجاني، ومع عدم ماله على الإمام، ولم يوجبها على العاقلة،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اختلاف الحكمين ومخالفتهما بحكم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الأُولى ليست صريحة في مطلوبهم، لجواز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والجملة الفعليّة بعده الخبر، وإنّما يتمّ استدلالهم بها على تقدير جعله مرفوعا على الخبرية، وأمّا نصب خطأ على التمييز كما فعله بعضهم فهو خطأٌ واضح</w:t>
      </w:r>
      <w:r>
        <w:rPr>
          <w:rFonts w:eastAsia="Amiri" w:cs="Amiri" w:ascii="Amiri" w:hAnsi="Amiri"/>
          <w:color w:val="111111"/>
          <w:sz w:val="28"/>
          <w:szCs w:val="28"/>
          <w:rtl w:val="true"/>
          <w:lang w:bidi="ar-SA"/>
        </w:rPr>
        <w:t>)</w:t>
      </w:r>
      <w:r>
        <w:rPr>
          <w:rStyle w:val="FootnoteAnchor"/>
          <w:rtl w:val="true"/>
        </w:rPr>
        <w:footnoteReference w:id="16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 آله إلى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نظر الشهيد في خبر الحلبي إلى رواية الشيخ، فإنّه في طريقه محمّد بن عبد اللّه بن هلال، وغَفَل أنّه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فإنّ سند الصَّدوق إلى العلاء صحيحٌ في المشيخة، وبه صرّح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أبي عبيد، فليس في سنده من يتوقّف فيه سوى عمّار الساباطي، وهو وإنْ كان فطحيّاً، إلّاأنّه ثقةٌ جليلُ القدر، ومع ذلك في السند قبله الحسن بن محبوب الذي هو من أصحاب الإجماع، وعليه فالخبران معتبران سنداً، ومعتضدان بفتوى القدماء من الأصحاب، ولم يُنقل الخلاف فيه أحدٌ منهم قبل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الأوّل غير صريح في المطلوب، لجواز 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فيكون مفاده أنّ جنايته خطأٌ على العاقلة كالمُبصر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متعدّيان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التعدّي لا يُجامع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قتل الخطاء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تعليله نفي القِوَد بوقوع القتل حال العمى، لا كونه خطأ، ولاتلازم بينهما،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 جنايته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التعليل، ولو كان المراد التعليل بالخطاء للغي ذكر الأعمى‌، لعدم اختصاص عدم القود بالخطاء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ظهور الخبر في ذلك مكابرة، ولا يعتبر في الحجيّة الصراحة، مع أنّ في الثاني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يُحمل على ما إذا لم يكن له عاقلة، بقرينة الصحيح الدّال على أنّه إنْ لم يكن له عاقلة فالدية في ماله، كما أنّ إطلاق ما في ذيل الصحيح، يقيّد بما إذا كان له مال، وإلّا فالدية على الإمام، بمقتضى ذيل الموثّق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فمقتضى الجمع بين الخبرين أنّ الدِّية على عاقلته، وإن لم تكن عاقلة فالدية في ماله، وإلّا فعلى الإمام عليه السلام، مع أنّ خروج بعض الرواية عن الحجيّة، وشذوذها من جهةٍ‌، لا يستلزمُ خروجها عنها بالمِلْكيّة، فصدر الخبرين الدّال على أنّ عمد الأعمى خطأ لا شذوذ فيه، وذيلهما المتضمّن لبيان ما يثبت 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طرحه خاصّة دون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خبر الحلبي،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الرواية فيها مع الشذوذ تخصيصٌ لعموم الآية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الآية يُخصّص بالخبر الواجد لشرائط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قِوَد على النائم إجماعاً، فتوىً ونصّاً، وللأصل مع انتفاء التعمّد المشترط في شرعيّة القِصاص،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حكم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عند تعرّض المصنّف قدس سره 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3" w:name="pg11384_112650"/>
    </w:p>
    <w:p>
      <w:pPr>
        <w:pStyle w:val="BookText"/>
        <w:rPr/>
      </w:pPr>
      <w:bookmarkEnd w:id="343"/>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معصومُ الدَّم، فلو قَتَل مرتدّاً، أو من أباح الشّارع قَتله، لم يُقتَل به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83551_73709187"/>
      <w:bookmarkStart w:id="345" w:name="_Toc118"/>
      <w:bookmarkEnd w:id="344"/>
      <w:r>
        <w:rPr>
          <w:rtl w:val="true"/>
        </w:rPr>
        <w:t>في اشتراط كون المقتول محقون الدَّم</w:t>
      </w:r>
      <w:bookmarkEnd w:id="345"/>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معصومُ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يجوزُ له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مرتدّاً، أو من أباح الشارع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 النبيّ صلى الله عليه و آله، والأئمّة الطاهرين عليهم السلام، والمحارب، والمهاجم القاصد للنفس، أو العرض، ومن يُقتل بقصاصٍ‌، أو حَدٍّ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كون القتل سائغاً للقاتل، وقد وردت روايات في من قتله الحَدّ أو القِصاص</w:t>
      </w:r>
      <w:r>
        <w:rPr>
          <w:rStyle w:val="FootnoteAnchor"/>
          <w:rtl w:val="true"/>
        </w:rPr>
        <w:footnoteReference w:id="1608"/>
      </w:r>
      <w:r>
        <w:rPr>
          <w:rFonts w:ascii="Amiri" w:hAnsi="Amiri" w:eastAsia="Amiri" w:cs="Amiri"/>
          <w:color w:val="111111"/>
          <w:sz w:val="28"/>
          <w:sz w:val="28"/>
          <w:szCs w:val="28"/>
          <w:rtl w:val="true"/>
          <w:lang w:bidi="ar-SA"/>
        </w:rPr>
        <w:t>، وفي المحارب والمهاجم دالّة على ذلك، وقد تقدّم الكلام فيه، وفي من يكون دمه هدراً بالنسبة إلى شخص، وقتله غيره في الفرع العاشر من الشرط الثاني</w:t>
      </w:r>
      <w:r>
        <w:rPr>
          <w:rFonts w:eastAsia="Amiri" w:cs="Amiri" w:ascii="Amiri" w:hAnsi="Amiri"/>
          <w:color w:val="111111"/>
          <w:sz w:val="28"/>
          <w:szCs w:val="28"/>
          <w:rtl w:val="true"/>
          <w:lang w:bidi="ar-SA"/>
        </w:rPr>
        <w:t>.</w:t>
      </w:r>
      <w:bookmarkStart w:id="346" w:name="pg11384_112651"/>
    </w:p>
    <w:p>
      <w:pPr>
        <w:pStyle w:val="BookText"/>
        <w:rPr/>
      </w:pPr>
      <w:bookmarkEnd w:id="346"/>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اشترك جماعةٌ في قَتل حُرٍّ مسلمٍ‌، كان للوليّ قَتل الجميع بعد رَدّ فاضل دية كلّ واحدٍ عن جنايته عليه، وله قتل البعض، ويُردّ الآخرون قدر جنايتهم على المقتصّ منه، ولو فضل للمقتولين فضلٌ قام به الوليّ‌</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83553_73709187"/>
      <w:bookmarkStart w:id="348" w:name="_Toc119"/>
      <w:bookmarkEnd w:id="347"/>
      <w:r>
        <w:rPr>
          <w:rtl w:val="true"/>
        </w:rPr>
        <w:t>الفصل الثالث حكم اشتراك جماعةٍ في قتل واحد</w:t>
      </w:r>
      <w:bookmarkEnd w:id="348"/>
    </w:p>
    <w:p>
      <w:pPr>
        <w:pStyle w:val="Heading4"/>
        <w:numPr>
          <w:ilvl w:val="3"/>
          <w:numId w:val="1"/>
        </w:numPr>
        <w:rPr/>
      </w:pPr>
      <w:bookmarkStart w:id="349" w:name="__RefHeading___Toc283555_73709187"/>
      <w:bookmarkStart w:id="350" w:name="_Toc120"/>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اشترك جماعة في قتل حُرٍّ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ألقوه من شاهقٍ‌، أو جَرَحوه بجراحاتٍ مجتمعة أو متفرّقة ولو مختلفة كميّة وكيفيّة،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الجميع بعد رَدّ فاضل دية كلّ واحدٍ عن جنايته عليه، وله قتل البعض ويردّ الآخرون قدر جنايتهم على المقتصّ منه، ولو فضل للمقتولين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ردّه شركاؤهم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اشترك ثلاثة في قتل واحدٍ، واختار وليّه قتلهم، أدّى إليهم ديتين يقتسمونهما بينهم بالسَّوية، فنصيب كلّ واحدٍ منهم ثلثا دية، ويسقط ما يخصّه من الجناية، وهو الثلث الباقي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قتل رجلان رجلاً، جاز لأولياء المقتول قتلهما بعد أن يردّوا إلى أولياء كلّ منهما نصف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فَضُل منهم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لأولياء المقتول قتل بعضٍ منهم، ففي صورة اشتراك ثلاثة لو قتلوا واحداً منهم، وجبَ على كلّ واحدٍ من الآخرين أن يَردّ ثُلث الدِّية إلى أولياء المقتصّ منه، وإن قَتَل وليّ المقتول اثنين منهم، وجبَ على الثالث أن يردّ ثُلث الدِّية إلى أولياء المقتصّ منهما، ويجبُ على وليّ المقتول المقتصّ أن يردّ إليهم تمام الدِّية ليصل إلى أولياء كلّ واحدٍ من المقتولين ثُلثا الدِّية قبل الاقتصاص،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ديتهم عن دية المقتول، بأن كانوا عَبدين، أو امرأةً حُرّة وأمَة، وقَتَلوا رجلاً، ونقصت القيمة عن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عن دية المقتول على ديتهم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للولي، بلا خلافٍ في شيء من ذلك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كثيرة،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صحاحٌ مستفيضة وغيرها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قتلا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أولياء المقتول أن يؤدّوا دية ويقتلوهما جميعاً قتلوهما</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قتلا رجلاً؟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قتلهما أدّوا دية كاملة وقتلوهما، وتكون الدِّية بين أولياء المقتولين، فإن أرادوا قتل أحدهما قتلوه وأدّى المتروك نصف الدِّية إلى أهل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القاتل، وإن لم يؤدّ دية أحدهما، ولم يقتل أحدهما، قبل الدِّية صاحبه من كليهما، وإن قبل أولياؤه الدِّية كانت عليهما</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عشرة اشتركوا في قتل 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أهل المقتول، فأيّهم شاءوا قَتَلوا، ويرجع أولياؤه على الباقين بتسعة أعشار الدِّية</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الفضيل بن يسار،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قتلوا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أولياؤه قتلوهم جميعاً، وغرموا تسع ديات، وإنْ شاءوا تخيّروا رجلاً فقتلوه، وأدّى التسعة الباقون إلى أهل المقتول الأخير عُشر الدِّية،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الوالي بعدُ يلي أدبهم وحَبسهم</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القاسم بن عروة، عن أبي العبّاس وغيره،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العِدّة على قتل رجلٍ واحدٍ، حَكم الوالي أن يقتل أيّهم شاءوا، وليس لهم أن يقتلوا أكثر من واحدٍ،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وإذا قتل ثلاثة واحداً، خيّر الوالي أيّ الثلاثة شاء أنْ يقتل، ويضمن الآخران ثُلثي الدِّية لورثة المقتول</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البحث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القاسم بن عروة لم تثبت وثاقته، ولم يُذكر بمدحٍ‌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عنه ابن أبي عمير، الذي أجمع على تصحيح ما يصحّ عنه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التقيّة، لأنّ في الفقهاء من لا يجوّز ذلك، وأُخرى على أنّ المراد أنّه ليس له ذلك إلّابشرط أن يردّ مايفضل عن دية صاحبه، قال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خلاف ما ذهب إليه قومٌ من العامّة، وهو مذهب من تقدّم على أمير المؤمنين عليه السلام، لأنّه كان يجوّز قتل الاثنين وما زاد عليهما بواحدٍ ولا يردّ فضل ذلك، وذلك لا يجوز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الثاني لا بأس به؛ لأنّ خبر القاسم مطلق وقابلٌ للتقييد بصريح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غير واحدٍ من الأصحاب من حمله على الاستحباب،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ولا بأس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الموضوعي لو أمكن مقدّمٌ على الجمع الحكمي، وفي المقام يمكن ذلك كما عرفت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يقتصّ من الجماعة في النفس بمقتضى ما ذكر في البحث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1" w:name="pg11384_112655"/>
    </w:p>
    <w:p>
      <w:pPr>
        <w:pStyle w:val="BookText"/>
        <w:rPr/>
      </w:pPr>
      <w:bookmarkEnd w:id="351"/>
      <w:r>
        <w:rPr>
          <w:rFonts w:ascii="Amiri" w:hAnsi="Amiri" w:eastAsia="Amiri" w:cs="Amiri"/>
          <w:color w:val="111111"/>
          <w:sz w:val="28"/>
          <w:sz w:val="28"/>
          <w:szCs w:val="28"/>
          <w:rtl w:val="true"/>
          <w:lang w:bidi="ar-SA"/>
        </w:rPr>
        <w:t>ولو قَتَلتْ امرأتان رجلاً، قُتِلتا به ولا رَدّ، ولو كُنّ أكثر قُتِلنَ به بعد رَدّ الفاضل عليهنّ‌، وللوليّ قتل البعض، وتَردّ الباقيات قدر جنايتهنَّ‌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لفحوى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أبي مريم الأنصاري،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اجتمعا على قطع يد 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يقطعها أدّى إليهما دية يد أحدٍ فاقتسماها ثمّ يقطعهما، وإن أحبّ أخذ منهما دية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يد أحدهما، رَدّ الذي لم تُقطع يده على الذي قُطعت يده رُبع الدِّية</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83557_73709187"/>
      <w:bookmarkStart w:id="353" w:name="_Toc121"/>
      <w:bookmarkEnd w:id="352"/>
      <w:r>
        <w:rPr>
          <w:rtl w:val="true"/>
        </w:rPr>
        <w:t>اشتراك الرّجل والمرأة في قتل رجل</w:t>
      </w:r>
      <w:bookmarkEnd w:id="35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قتلت امرأتان رجلاً، قُتلتا به ولا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إذ لا فاضل لهما عن دية المقتول، ومع ذلك يدلّ عليه معتبر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امرأتين قتلتا رجلاً 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تُقتلان به ما يختلف في هذا أحد</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أكثر قُتِلن به بعد رَدّ الفاضل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حقّ لوليّ المقتول في أمثال المقام قتل الجميع إلّابعد رَدّ فاضل الدِّية، كما ستقف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وللولي قتل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يقتل أثنين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الباقيات قدر جنايتهنّ‌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اشترك رجلٌ وامرأة في قتل رجلٍ‌، فللوليّ قتلهما بعد رَدّ الفاضل على الرّجل، وله قَتل الرّجل، وتَردّ المرأة ديتها عليه، وله قتل المرأة وأخذ نصف الدِّية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ثلاث نساء قَتَلن رجلاً، والوليّ قتل اثنتين منهنّ‌، وجبَ على الثالثة رَدّ ثُلث دية الرّجل إلى أولياء المقتصّ منهما، والوجه في ذلك النصوص المتقدّمة، فإنّها وإنْكانت في الرّجل، إلّا أنّ قاعدة الاشتراك تقتضي بانسحاب الحكم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عرفاً عدم اختصاص الحكم بالرجل، ولذا يُتعدّى إلى صورة الاشتراك في قتل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رجلٌ وامرأة في قتل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فللوليّ قتلهما بعد رَدّ الفاضل على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قتل الرّجل وتَردّ المرأة ديتها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قتل المرأة وأخذ نصف الدِّية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 ذلك، وقد ظهر وجه الجميع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وجبَ فيه الرَّد على الوليّ عند إرادة الاقتصاص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تقديم الرَّد على استيفاء الحقّ كالقتل ونحوه، فلو كان القاتل اثنين، وأراد وليّ المقتول قتلهما وجبَ عليه أوّلاً رَدّ نصف الدِّية إلى كلّ منهما، ثمّ استيفاء الحقّ منهما، ويشهد 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يقتل المرأة متعمّداً، </w:t>
      </w:r>
    </w:p>
    <w:p>
      <w:pPr>
        <w:pStyle w:val="BookText"/>
        <w:rPr/>
      </w:pPr>
      <w:r>
        <w:rPr>
          <w:rFonts w:ascii="Amiri" w:hAnsi="Amiri" w:eastAsia="Amiri" w:cs="Amiri"/>
          <w:color w:val="111111"/>
          <w:sz w:val="28"/>
          <w:sz w:val="28"/>
          <w:szCs w:val="28"/>
          <w:rtl w:val="true"/>
          <w:lang w:bidi="ar-SA"/>
        </w:rPr>
        <w:t>فأراد أهل المرأة أن يقتلوه‌؟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إذا أدّوا إلى أهله نصف الدِّية</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أخذ أداء الدِّية شرطاً لجواز القتل، فما لم يتحقّق الشرط لا يتحقّق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قتلا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قتلهما أدّوا ديةً كاملة وقتلوهما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جواز القتل معلّقٌ على أداء الدِّية خارجاً، فما لم يؤدّوها ليس لهم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 الله تعرّض لمسائل في الاشتراك، من قبيل اشتراك عبدٍ وحُرٍّ في قتل رجلٍ حُرّ، واشتراك عبدٍ وامرأةٍ في قتل حُرّ، وما شاكل، ولكن لمعلوميّة الحكم في الجميع ممّا أسلفناه، ولعدم ترتّب أثرٍ عملي عليه، أغمضنا عن التعرّض لها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54" w:name="pg11384_112658"/>
    </w:p>
    <w:p>
      <w:pPr>
        <w:pStyle w:val="BookText"/>
        <w:rPr/>
      </w:pPr>
      <w:bookmarkEnd w:id="354"/>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ويكفي المرَّة</w:t>
      </w:r>
    </w:p>
    <w:p>
      <w:pPr>
        <w:pStyle w:val="Heading3"/>
        <w:numPr>
          <w:ilvl w:val="2"/>
          <w:numId w:val="1"/>
        </w:numPr>
        <w:rPr/>
      </w:pPr>
      <w:bookmarkStart w:id="355" w:name="__RefHeading___Toc283559_73709187"/>
      <w:bookmarkStart w:id="356" w:name="_Toc122"/>
      <w:bookmarkEnd w:id="355"/>
      <w:r>
        <w:rPr>
          <w:rtl w:val="true"/>
        </w:rPr>
        <w:t>الفصل الرابع فيما يثبُتُ به القتل</w:t>
      </w:r>
      <w:bookmarkEnd w:id="356"/>
    </w:p>
    <w:p>
      <w:pPr>
        <w:pStyle w:val="Heading4"/>
        <w:numPr>
          <w:ilvl w:val="3"/>
          <w:numId w:val="1"/>
        </w:numPr>
        <w:rPr/>
      </w:pPr>
      <w:bookmarkStart w:id="357" w:name="__RefHeading___Toc283561_73709187"/>
      <w:bookmarkStart w:id="358" w:name="_Toc123"/>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ثبوته به، ويقتضيه إطلاق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يكفي المرّة، بل يعتبر المرّتان،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وابني إدريس</w:t>
      </w:r>
      <w:r>
        <w:rPr>
          <w:rStyle w:val="FootnoteAnchor"/>
          <w:rtl w:val="true"/>
        </w:rPr>
        <w:footnoteReference w:id="1623"/>
      </w:r>
      <w:r>
        <w:rPr>
          <w:rFonts w:ascii="Amiri" w:hAnsi="Amiri" w:eastAsia="Amiri" w:cs="Amiri"/>
          <w:color w:val="111111"/>
          <w:sz w:val="28"/>
          <w:sz w:val="28"/>
          <w:szCs w:val="28"/>
          <w:rtl w:val="true"/>
          <w:lang w:bidi="ar-SA"/>
        </w:rPr>
        <w:t>والبرّاج</w:t>
      </w:r>
      <w:r>
        <w:rPr>
          <w:rStyle w:val="FootnoteAnchor"/>
          <w:rtl w:val="true"/>
        </w:rPr>
        <w:footnoteReference w:id="1624"/>
      </w:r>
      <w:r>
        <w:rPr>
          <w:rFonts w:ascii="Amiri" w:hAnsi="Amiri" w:eastAsia="Amiri" w:cs="Amiri"/>
          <w:color w:val="111111"/>
          <w:sz w:val="28"/>
          <w:sz w:val="28"/>
          <w:szCs w:val="28"/>
          <w:rtl w:val="true"/>
          <w:lang w:bidi="ar-SA"/>
        </w:rPr>
        <w:t>، والطبرسي</w:t>
      </w:r>
      <w:r>
        <w:rPr>
          <w:rStyle w:val="FootnoteAnchor"/>
          <w:rtl w:val="true"/>
        </w:rPr>
        <w:footnoteReference w:id="1625"/>
      </w:r>
      <w:r>
        <w:rPr>
          <w:rFonts w:ascii="Amiri" w:hAnsi="Amiri" w:eastAsia="Amiri" w:cs="Amiri"/>
          <w:color w:val="111111"/>
          <w:sz w:val="28"/>
          <w:sz w:val="28"/>
          <w:szCs w:val="28"/>
          <w:rtl w:val="true"/>
          <w:lang w:bidi="ar-SA"/>
        </w:rPr>
        <w:t>، ويحيى بن سعيد</w:t>
      </w:r>
      <w:r>
        <w:rPr>
          <w:rStyle w:val="FootnoteAnchor"/>
          <w:rtl w:val="true"/>
        </w:rPr>
        <w:footnoteReference w:id="1626"/>
      </w:r>
      <w:r>
        <w:rPr>
          <w:rFonts w:ascii="Amiri" w:hAnsi="Amiri" w:eastAsia="Amiri" w:cs="Amiri"/>
          <w:color w:val="111111"/>
          <w:sz w:val="28"/>
          <w:sz w:val="28"/>
          <w:szCs w:val="28"/>
          <w:rtl w:val="true"/>
          <w:lang w:bidi="ar-SA"/>
        </w:rPr>
        <w:t>، وجماعة</w:t>
      </w:r>
      <w:r>
        <w:rPr>
          <w:rStyle w:val="FootnoteAnchor"/>
          <w:rtl w:val="true"/>
        </w:rPr>
        <w:footnoteReference w:id="162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أدلّة الإقرار</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من حدود اللّه مرّة واحدة، حُرّاً كان أو عبداً، أو حُرّة كانت أو أمَة، فعلى الإمام أن يُقيم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فما هذه الحدود التي إذا أقرّ بها عند الإمام مرّةً واحدة على نفسه أُقيم عليه الحَدّ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بقتل رجلٍ لم يَقتله حتّى يحضر أولياء المقتول فيطالبوا بدم صاحبه</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فحُمل إلى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أتاهم رجلٌ فأقرَّ عند الوالي أنّه قتل صاحبهم عمداً، وأنّ هذا الرّجل الذي شهد عليه الشهود بَريءٌ من قتل صاحبه، فلا تقتلوه به، وخُذوني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أن يقتلوا الذى أقرّ علينفسه فليقتلوه</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علي بن إبراهيم، عن بعض أصحابه،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عليه السلام برجلٍ وُجِد في خربةٍ وبيده سكين متلطّخ بالدّم، وإذا رجلٌ مذبوحٌ يتشحَّط في دمه‌؟</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فأقيدوه به</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ومع ذلك فلا يُصغى إلى ما استدلّ به للقول الآخر بحمله على الزّنا والسَّرقة وغيرهما ممّا يعتبر فيه التعدّد، وبأنّ فيه احتياطاً للدِّماء، مع أنّهما غير تامّين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لأنّ القتل حقّ آدمي فيكفي فيه المرّة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فلابدّ من اعتبار الإقرار أربع مرّات، لأنّ القتل ليس بأدون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هنا بمثله في جانب المقتول، لعموم ما ورد من أنّه لا يبطل دم إمرئ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الثبوت به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العاقل، البالغ، المختار، المتلفت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عبرة بإقرار المجنون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بإقرار الصَّبي وإنْكان مراهقاً كسائر إقراراتهما، لحديث رفع القلم عنهما</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بإقرار المُكرَه، لأنّ حديث رفع ما استكرهوا عليه</w:t>
      </w:r>
      <w:r>
        <w:rPr>
          <w:rStyle w:val="FootnoteAnchor"/>
          <w:rtl w:val="true"/>
        </w:rPr>
        <w:footnoteReference w:id="1633"/>
      </w:r>
      <w:r>
        <w:rPr>
          <w:rFonts w:ascii="Amiri" w:hAnsi="Amiri" w:eastAsia="Amiri" w:cs="Amiri"/>
          <w:color w:val="111111"/>
          <w:sz w:val="28"/>
          <w:sz w:val="28"/>
          <w:szCs w:val="28"/>
          <w:rtl w:val="true"/>
          <w:lang w:bidi="ar-SA"/>
        </w:rPr>
        <w:t>أسقط حُكم إقراره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ولخبر أبي البَختري، عن جعفرٍ، عن أبيه، عن عليٍّ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حبسٍ أو تخويفٍ أو تهديدٍ فلا حَدّ عليه</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بإقرار السكران والغافل والنائم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 عدم المحجوريّة لفلسٍ أو سَفهٍ‌، فيُقبل إقرار المحجور عليه بالقتل عمداً، فيثبت عليه القِوَد، لأنّ حجره إنّما هو في التصرف في أمواله، ولا يكون محجوراً عليه في أقواله وإقراره فيشمله إطلاق أدلّة الإقرار، وإذا أقرّ بالقتل الخطائي ثبتت الدِّية في ذمّته دون عاقلته،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في حقّ الغير، ولا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 زيد بن عليّ‌،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إلّاما قامت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فاعترف عنده فجعله في ماله خاصّة، ولم يجعل على العاقلة شيئاً</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59" w:name="pg11384_112662"/>
    </w:p>
    <w:p>
      <w:pPr>
        <w:pStyle w:val="BookText"/>
        <w:rPr/>
      </w:pPr>
      <w:bookmarkEnd w:id="359"/>
      <w:r>
        <w:rPr>
          <w:rFonts w:ascii="Amiri" w:hAnsi="Amiri" w:eastAsia="Amiri" w:cs="Amiri"/>
          <w:color w:val="111111"/>
          <w:sz w:val="28"/>
          <w:sz w:val="28"/>
          <w:szCs w:val="28"/>
          <w:rtl w:val="true"/>
          <w:lang w:bidi="ar-SA"/>
        </w:rPr>
        <w:t>ولو أقرّ بقتله عمداً، فأقرَّ آخر أنّه الذي قَتَل، ورَجع الأوّل، سَقَط القِصاص، وكانت الديَّة على بيت المال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83563_73709187"/>
      <w:bookmarkStart w:id="361" w:name="_Toc124"/>
      <w:bookmarkEnd w:id="360"/>
      <w:r>
        <w:rPr>
          <w:rtl w:val="true"/>
        </w:rPr>
        <w:t>لو أقرّ شخصٌ بالقتل وأقرَّ آخر أنّه القاتل</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رجلٌ بقتل من يُقتصُّ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بقتله عمداً، فأقرّ آخر أنّه الذي قتل وَرَجع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القصاصُ‌، وكانت الدِّية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الأصحاب ذهبوا إلى ذلك، ولا أعرف مخالفاً،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علي بن إبراهيم، عن أبيه، عن بعض أصحابنا، 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أمير المؤمنين عليه السلام برجلٍ وُجِد في خربةٍ وبيده سكين ملطَّخ بالدَّم، وإذا رجلٌ مذبوح يتشحَّط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فاقيدوه به، فلمّا ذهبوا به أقبل رجلٌ 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إقرارك على نفسك‌؟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أستطيع أن أقول، وقد شهد عليَّ أمثال هؤلاء الرجال، وأخذوني وبيدي سكينٌ ملطَّخٌ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هذين فاذهبوا بهما إلى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ذَبَح ذاك فقد أحيا هذا،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يُخلّى عنهما، وتخرج ديَّة المذبوح من بيت المال</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 عن أبي جعفر عليه السلام</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عملوا بالخبر، كما اعترف به الشهيدالثاني رحمه الله</w:t>
      </w:r>
      <w:r>
        <w:rPr>
          <w:rStyle w:val="FootnoteAnchor"/>
          <w:rtl w:val="true"/>
        </w:rPr>
        <w:footnoteReference w:id="1642"/>
      </w:r>
      <w:r>
        <w:rPr>
          <w:rFonts w:ascii="Amiri" w:hAnsi="Amiri" w:eastAsia="Amiri" w:cs="Amiri"/>
          <w:color w:val="111111"/>
          <w:sz w:val="28"/>
          <w:sz w:val="28"/>
          <w:szCs w:val="28"/>
          <w:rtl w:val="true"/>
          <w:lang w:bidi="ar-SA"/>
        </w:rPr>
        <w:t>الرّاد للخبر لضعفه، بل عَمِل به من لا يعمل إلّابالقطعيّات كالحِلّي</w:t>
      </w:r>
      <w:r>
        <w:rPr>
          <w:rStyle w:val="FootnoteAnchor"/>
          <w:rtl w:val="true"/>
        </w:rPr>
        <w:footnoteReference w:id="1643"/>
      </w:r>
      <w:r>
        <w:rPr>
          <w:rFonts w:ascii="Amiri" w:hAnsi="Amiri" w:eastAsia="Amiri" w:cs="Amiri"/>
          <w:color w:val="111111"/>
          <w:sz w:val="28"/>
          <w:sz w:val="28"/>
          <w:szCs w:val="28"/>
          <w:rtl w:val="true"/>
          <w:lang w:bidi="ar-SA"/>
        </w:rPr>
        <w:t>، فضعفه لو كان ينجبر بذلك، مع أنّ الصَّدوق قدس سره ينسب الخبر إلى الإمام الباقر عليه السلام جزماً، وقد مرَّ غير مرّة أنّ هذا القسم من المرسل حجّة، وعليه فلا إشكال فيه سنداً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يخطر بالبال أنّه لا يستندُ إليه في المقام، لقصور في الدلالة، فإنّه قضيّة في واقعة، وكان المورد من الموارد التي لم يكن احتمال تواطيء المُقرِّين عليقتله واسقاطه القِصاص والدِّية؛ لأنّه حكمٌ مجعول بعد تلك الواقعة على خلاف القاعدة، فلا محالة يكون هذا الاحتمال منتفياً، فبطبيعة الحال لا يتعدّى إلى بعد بيان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مع احتمال التواطيء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بالعمل به مع القطع بعدم التواطئ، ففي الحقيقة يكون ذلك قولاً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عدم العمل بالخبر يتعارض الإقراران بعد العلم بعدم مطابقة أحدهما للواقع، وعدم الأثر للإنكار بعد الإقرار، وحيث إنّ المختار في تعارض الأمارتين غير الخبرين هو التخيير، فتكون النتيجة هو ما ذهب إليه الشهيدالثاني</w:t>
      </w:r>
      <w:r>
        <w:rPr>
          <w:rStyle w:val="FootnoteAnchor"/>
          <w:rtl w:val="true"/>
        </w:rPr>
        <w:footnoteReference w:id="1644"/>
      </w:r>
      <w:r>
        <w:rPr>
          <w:rFonts w:ascii="Amiri" w:hAnsi="Amiri" w:eastAsia="Amiri" w:cs="Amiri"/>
          <w:color w:val="111111"/>
          <w:sz w:val="28"/>
          <w:sz w:val="28"/>
          <w:szCs w:val="28"/>
          <w:rtl w:val="true"/>
          <w:lang w:bidi="ar-SA"/>
        </w:rPr>
        <w:t>، ونُسِب إلى أبي العبّاس</w:t>
      </w:r>
      <w:r>
        <w:rPr>
          <w:rStyle w:val="FootnoteAnchor"/>
          <w:rtl w:val="true"/>
        </w:rPr>
        <w:footnoteReference w:id="1645"/>
      </w:r>
      <w:r>
        <w:rPr>
          <w:rFonts w:ascii="IRNazanin" w:hAnsi="IRNazanin" w:eastAsia="IRNazanin"/>
          <w:color w:val="111111"/>
          <w:sz w:val="28"/>
          <w:sz w:val="28"/>
          <w:szCs w:val="28"/>
          <w:rtl w:val="true"/>
          <w:lang w:bidi="fa-IR"/>
        </w:rPr>
        <w:t>، واختاره الأستاذ</w:t>
      </w:r>
      <w:r>
        <w:rPr>
          <w:rStyle w:val="FootnoteAnchor"/>
          <w:rtl w:val="true"/>
        </w:rPr>
        <w:footnoteReference w:id="1646"/>
      </w:r>
      <w:r>
        <w:rPr>
          <w:rFonts w:ascii="Amiri" w:hAnsi="Amiri" w:eastAsia="Amiri" w:cs="Amiri"/>
          <w:color w:val="111111"/>
          <w:sz w:val="28"/>
          <w:sz w:val="28"/>
          <w:szCs w:val="28"/>
          <w:rtl w:val="true"/>
          <w:lang w:bidi="ar-SA"/>
        </w:rPr>
        <w:t xml:space="preserve">، وهو تخيير الوليّ في تصديق أيّهما شاء والاستيفاء منه،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المشهور لو لم يكن بيت مال أشكل دَرءُ القِصاص عنهما، وإذهاب حقّ المُقرُّ له، مع أنّ مقتضى التعليل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نظره بعدم بيت المال إلى هذا الزمان الذي ليس حكومة إسلاميّة، ولا من شؤونها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المراد من بيت المال، الأموال والحقوق الشرعيّة المُعدّة لمصالح المسلمين، كسهم الإمام أرواحنا فداه، فعدم وجود بيت المال لا معنى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يرجع الأوّل عن إقراره، تخيّر الوليّ في تصديق أيّهما شاء، بلا خلافٍ‌،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وجهه ممّا تقدّم من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العمل بالخبر في فرض الرجوع لِمَ لا يُعمل به مع عدم الرجوع مع ما فيه من عموم العلّة‌؟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ظاهراً في كونه علّة يدور الحكم مدارها، بل لعلّه من قبيل الحكمة، مع أنّه بين الإحياء مع الرجوع والإحياء بدونه فرقٌ واضح</w:t>
      </w:r>
      <w:r>
        <w:rPr>
          <w:rFonts w:eastAsia="Amiri" w:cs="Amiri" w:ascii="Amiri" w:hAnsi="Amiri"/>
          <w:color w:val="111111"/>
          <w:sz w:val="28"/>
          <w:szCs w:val="28"/>
          <w:rtl w:val="true"/>
          <w:lang w:bidi="ar-SA"/>
        </w:rPr>
        <w:t>.</w:t>
      </w:r>
      <w:bookmarkStart w:id="362" w:name="pg11384_112666"/>
    </w:p>
    <w:p>
      <w:pPr>
        <w:pStyle w:val="BookText"/>
        <w:rPr/>
      </w:pPr>
      <w:bookmarkEnd w:id="362"/>
      <w:r>
        <w:rPr>
          <w:rFonts w:ascii="Amiri" w:hAnsi="Amiri" w:eastAsia="Amiri" w:cs="Amiri"/>
          <w:color w:val="111111"/>
          <w:sz w:val="28"/>
          <w:sz w:val="28"/>
          <w:szCs w:val="28"/>
          <w:rtl w:val="true"/>
          <w:lang w:bidi="ar-SA"/>
        </w:rPr>
        <w:t>ولو أقرَّ واحدٌ بقتله عمداً، وأقرّ آخر أنّه قتله خطأً، كان للوليّ الأخذ بقول من شاء منهما، ولا سبيل له على الآخر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83565_73709187"/>
      <w:bookmarkStart w:id="364" w:name="_Toc125"/>
      <w:bookmarkEnd w:id="363"/>
      <w:r>
        <w:rPr>
          <w:rtl w:val="true"/>
        </w:rPr>
        <w:t>لو أقرّ شخصٌ بالقَتل عَمداً وأقرّ آخر به خطأً</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واحدٌ بقتله عَمداً، وأقرّ آخر أنّه قَتَله خطأً، كان للوليّ الأخذ بقول من شاء منهما، ولا سبيل له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64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65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الإقرارين حجّة على المقرّ نفسه، إلّاأنّه ليس لوليّ المقتول الأخذ بكليهما معاً، للعلم الإجمالي بمخالفة أحدهما للواقع، فمقتضى القاعدة كما مرّت الإشارة إليه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بن حَيّ‌،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مقتولاً، فجاء رجلان إلى وليّه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عمداً،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خطأً</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أخذ بقول صاحب العَمَد، فليس له على صاحب الخطاء سبيل، وإن أخذ بقول صاحب الخطاء فليس له على صاحب العَمَد سبيل</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وضعف سنده لحسن بن صالح الزيدي البُتْرِيّ الذي قال الشيخ رحمه الله</w:t>
      </w:r>
      <w:r>
        <w:rPr>
          <w:rStyle w:val="FootnoteAnchor"/>
          <w:rtl w:val="true"/>
        </w:rPr>
        <w:footnoteReference w:id="1652"/>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العمل بما يختصّ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لرواية حسن بن محبوب الذي هو من أصحاب الإجماع عنه، ولعمل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الآتي في مسألة ما لو قامت الشهود على قتل شخصٍ‌، وأقرّ آخر أنّه الذي قَتَل، الدّال على أنّه يتخيّر أولياء المقتول بين قتل أيّهما شاءوا، ولكن إن قتلوا من أقرّ على نفسه ليس لهم سبيلٌ على الذي قام الشهود على أنّه القاتل، ولو أرادوا قتلهما لهم ذلك، ولكن لابدّ من رَدّ نصف الدِّية إلى أولياء الذي شَهد عليه دون من أقرّ على نفسه، معلّلاً بأنّ المُقرّ يُبرّئ صاحبه، فإنّ مقتضى ذلك أنّه لأولياء المقتول أن يختاروا تصديق أيّهما شاءوا، ومعه لا سبيل لهم على الآخر، فتدبّر فإنّه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من يُقرّ بأنّه قتل عمداً، فلأولياء المقتول قتله، لأنّه مقتضى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 من أقرّ بأنّه قَتَل خطأً، ثبت الدِّية في ماله بالخصوص دون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ثبوتها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الإقرار نافذٌ على نفس المُقرّ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صحيح زيد بن عليّ عليه السلام المتقدّم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65" w:name="pg11384_112668"/>
    </w:p>
    <w:p>
      <w:pPr>
        <w:pStyle w:val="BookText"/>
        <w:rPr/>
      </w:pPr>
      <w:bookmarkEnd w:id="36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عَدْلان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83567_73709187"/>
      <w:bookmarkStart w:id="367" w:name="_Toc126"/>
      <w:bookmarkEnd w:id="366"/>
      <w:r>
        <w:rPr>
          <w:rtl w:val="true"/>
        </w:rPr>
        <w:t>ثبوت القتل بالبيّنة</w:t>
      </w:r>
      <w:bookmarkEnd w:id="367"/>
    </w:p>
    <w:p>
      <w:pPr>
        <w:pStyle w:val="BookText"/>
        <w:rPr/>
      </w:pP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به القتل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رجلان بالغان عاقلان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أدلّة حجيّة البيّنة مطلقاً، المتقدّمة في كتاب القضاء</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القَسامة‌؟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كلّها البيّنة على المُدَّعي، واليمينُ على المُدّعى عليه، إلّافي الدَّم خاصّة، فإنّ رسول اللّه صلى الله عليه و آله بينما هو بخيبر إذ فَقَدت الأنصار رجلاًمنهم فوجدوه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اليهودي قَتَل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رجلين من غيركم اقيده برمّته، فإن لم تجدوا شاهدين فأقيموا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مسعدة بن زياد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رضى الله عنه إذا لم يُقِم القوم المُدَّعون البيّنة على قتل قتيلهم، ولم يقسموا بأن المتّهمين قتلوه، حلّف المتّهمين بالقتل خمسين يميناً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شهد عليه الشهود بالقتل، فأقرّ آخر أنّه قَتَل صاحبهم، وإن أرادوا أن يقتلوا الذي شهد عليه فليقتلوا</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إسماعيل بن أبي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 والزّنا لا يجوزُ فيه إلّاأربعة شهود، والقتلُ أشدُّ من الزّنا؟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فعلٌ واحد والزّنا فعلان، الحديث</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شبرمة، عنه عليه السلام معاتباً أبي حنيفة في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أيّهما أعظم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قَبِل في قتل النفس شاهدين، ولم يقبل في الزّنا إلّا أربعة، الحديث</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النصوص التي سيمرّ عليك طرفٌ منها في المسائل الآتية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حَكَم في دمائكم بغير ما حَكَم به في أموالكم، حَكم في أموالكم أنّ البيّنة على المُدّعي واليمين على المُدّعى عليه، وحَكَم في دمائكم أنّ البيّنة على المُدَّعى عليه واليمينُ على من ادّعى، لئلّا يبطل دم إمرئ مسلم</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68" w:name="pg11384_112670"/>
    </w:p>
    <w:p>
      <w:pPr>
        <w:pStyle w:val="BookText"/>
        <w:rPr/>
      </w:pPr>
      <w:bookmarkEnd w:id="368"/>
      <w:r>
        <w:rPr>
          <w:rFonts w:ascii="Amiri" w:hAnsi="Amiri" w:eastAsia="Amiri" w:cs="Amiri"/>
          <w:color w:val="111111"/>
          <w:sz w:val="28"/>
          <w:sz w:val="28"/>
          <w:szCs w:val="28"/>
          <w:rtl w:val="true"/>
          <w:lang w:bidi="ar-SA"/>
        </w:rPr>
        <w:t>فهو لأدلّ على عدم حجيّة البيّنة، بل ولا على عدم حجيّة بيّنة المُدَّعي، وإنّما يدلّ على أنّ المطالب بها هو المنكر دون المُدَّعي، مع أنّه خاصٌ بموارد اللّوث دون غيرها، وأمّا في غيرها، فالمُطالَب بها هو المُدّعي، بمقتضى العمومات والنصوص الخاصّة، وأمّا في مورد اللّوث فسيأتي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الفقهاء في المقام لفروع، مثل اعتبار توارد شهادتهما على أمرٍ واحدٍ، فلو اختلفا في ذلك لم تُقبل، وحكم ما لو شَهد أحدهمابالقتل، والآخر بإقراره به، وما شابه، ولكن لعدم اختصاص تلك الفروع بالشهادة بالقتل، وكونها أحكاماً لمطلق البيِّنة، وتعرّضنا لها في كتاب القضاء</w:t>
      </w:r>
      <w:r>
        <w:rPr>
          <w:rStyle w:val="FootnoteAnchor"/>
          <w:rtl w:val="true"/>
        </w:rPr>
        <w:footnoteReference w:id="1661"/>
      </w:r>
      <w:r>
        <w:rPr>
          <w:rFonts w:ascii="IRNazanin" w:hAnsi="IRNazanin" w:eastAsia="IRNazanin"/>
          <w:color w:val="111111"/>
          <w:sz w:val="28"/>
          <w:sz w:val="28"/>
          <w:szCs w:val="28"/>
          <w:rtl w:val="true"/>
          <w:lang w:bidi="fa-IR"/>
        </w:rPr>
        <w:t>، فالإغماض عن التعرّض لها أولى‌</w:t>
      </w:r>
      <w:r>
        <w:rPr>
          <w:rFonts w:eastAsia="IRNazanin" w:cs="IRNazanin"/>
          <w:color w:val="111111"/>
          <w:sz w:val="28"/>
          <w:szCs w:val="28"/>
          <w:rtl w:val="true"/>
          <w:lang w:bidi="fa-IR"/>
        </w:rPr>
        <w:t>.</w:t>
      </w:r>
    </w:p>
    <w:p>
      <w:pPr>
        <w:pStyle w:val="Heading4"/>
        <w:numPr>
          <w:ilvl w:val="3"/>
          <w:numId w:val="1"/>
        </w:numPr>
        <w:rPr/>
      </w:pPr>
      <w:bookmarkStart w:id="369" w:name="__RefHeading___Toc283569_73709187"/>
      <w:bookmarkStart w:id="370" w:name="_Toc127"/>
      <w:bookmarkEnd w:id="369"/>
      <w:r>
        <w:rPr>
          <w:rtl w:val="true"/>
        </w:rPr>
        <w:t>ثبوتُ القَتل بشاهدٍ وامرأتين</w:t>
      </w:r>
      <w:bookmarkEnd w:id="370"/>
    </w:p>
    <w:p>
      <w:pPr>
        <w:pStyle w:val="BookText"/>
        <w:rPr/>
      </w:pPr>
      <w:r>
        <w:rPr>
          <w:rFonts w:ascii="Amiri" w:hAnsi="Amiri" w:eastAsia="Amiri" w:cs="Amiri"/>
          <w:color w:val="111111"/>
          <w:sz w:val="28"/>
          <w:sz w:val="28"/>
          <w:szCs w:val="28"/>
          <w:rtl w:val="true"/>
          <w:lang w:bidi="ar-SA"/>
        </w:rPr>
        <w:t>إنّما الكلام في ثبوت القتل الذي يجبُ به القِصاص بشاهدٍ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الشيخ رحمه الله</w:t>
      </w:r>
      <w:r>
        <w:rPr>
          <w:rStyle w:val="FootnoteAnchor"/>
          <w:rtl w:val="true"/>
        </w:rPr>
        <w:footnoteReference w:id="16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إدريس قدس سره</w:t>
      </w:r>
      <w:r>
        <w:rPr>
          <w:rStyle w:val="FootnoteAnchor"/>
          <w:rtl w:val="true"/>
        </w:rPr>
        <w:footnoteReference w:id="1663"/>
      </w:r>
      <w:r>
        <w:rPr>
          <w:rFonts w:ascii="IRNazanin" w:hAnsi="IRNazanin" w:eastAsia="IRNazanin"/>
          <w:color w:val="111111"/>
          <w:sz w:val="28"/>
          <w:sz w:val="28"/>
          <w:szCs w:val="28"/>
          <w:rtl w:val="true"/>
          <w:lang w:bidi="fa-IR"/>
        </w:rPr>
        <w:t>من عدم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16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قدس سره</w:t>
      </w:r>
      <w:r>
        <w:rPr>
          <w:rStyle w:val="FootnoteAnchor"/>
          <w:rtl w:val="true"/>
        </w:rPr>
        <w:footnoteReference w:id="1665"/>
      </w:r>
      <w:r>
        <w:rPr>
          <w:rFonts w:ascii="Amiri" w:hAnsi="Amiri" w:eastAsia="Amiri" w:cs="Amiri"/>
          <w:color w:val="111111"/>
          <w:sz w:val="28"/>
          <w:sz w:val="28"/>
          <w:szCs w:val="28"/>
          <w:rtl w:val="true"/>
          <w:lang w:bidi="ar-SA"/>
        </w:rPr>
        <w:t xml:space="preserve">في كتاب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ثبوته بذلك، ويترتّب عليه موجبه وهو القِوَد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166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الجُنيد</w:t>
      </w:r>
      <w:r>
        <w:rPr>
          <w:rStyle w:val="FootnoteAnchor"/>
          <w:rtl w:val="true"/>
        </w:rPr>
        <w:footnoteReference w:id="1667"/>
      </w:r>
      <w:r>
        <w:rPr>
          <w:rFonts w:ascii="Amiri" w:hAnsi="Amiri" w:eastAsia="Amiri" w:cs="Amiri"/>
          <w:color w:val="111111"/>
          <w:sz w:val="28"/>
          <w:sz w:val="28"/>
          <w:szCs w:val="28"/>
          <w:rtl w:val="true"/>
          <w:lang w:bidi="ar-SA"/>
        </w:rPr>
        <w:t>، وأبي الصّلاح</w:t>
      </w:r>
      <w:r>
        <w:rPr>
          <w:rStyle w:val="FootnoteAnchor"/>
          <w:rtl w:val="true"/>
        </w:rPr>
        <w:footnoteReference w:id="16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والقاضي</w:t>
      </w:r>
      <w:r>
        <w:rPr>
          <w:rStyle w:val="FootnoteAnchor"/>
          <w:rtl w:val="true"/>
        </w:rPr>
        <w:footnoteReference w:id="1669"/>
      </w:r>
      <w:r>
        <w:rPr>
          <w:rFonts w:ascii="Amiri" w:hAnsi="Amiri" w:eastAsia="Amiri" w:cs="Amiri"/>
          <w:color w:val="111111"/>
          <w:sz w:val="28"/>
          <w:sz w:val="28"/>
          <w:szCs w:val="28"/>
          <w:rtl w:val="true"/>
          <w:lang w:bidi="ar-SA"/>
        </w:rPr>
        <w:t xml:space="preserve">من الثبوت، لكن يجبُ الدِّية لا القِوَد الذي نَسَبه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في المقام إلى الشذوذ،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نَسبهُ إلى كبراء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بالقاعدة المشهورة من عدم قبول شهادة النساء لا منفردات ولا منضمّات فيما كان من حقوق الآدمي غير المالي، ولا المقصود منه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عدم قبول شهادة النساء في الدَّم، كخبر محمّد بن الفضيل</w:t>
      </w:r>
      <w:r>
        <w:rPr>
          <w:rStyle w:val="FootnoteAnchor"/>
          <w:rtl w:val="true"/>
        </w:rPr>
        <w:footnoteReference w:id="16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33935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أو في الحدود وفي القِوَد كما في معتبر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القتل كما في صحيح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القاعدة المشار إليها غير ثابتة، كما تقدّم الكلام فيها في كتاب الشهادات</w:t>
      </w:r>
      <w:r>
        <w:rPr>
          <w:rStyle w:val="FootnoteAnchor"/>
          <w:rtl w:val="true"/>
        </w:rPr>
        <w:footnoteReference w:id="1673"/>
      </w:r>
      <w:r>
        <w:rPr>
          <w:rFonts w:ascii="Amiri" w:hAnsi="Amiri" w:eastAsia="Amiri" w:cs="Amiri"/>
          <w:color w:val="111111"/>
          <w:sz w:val="28"/>
          <w:sz w:val="28"/>
          <w:szCs w:val="28"/>
          <w:rtl w:val="true"/>
          <w:lang w:bidi="ar-SA"/>
        </w:rPr>
        <w:t>مفصّلاً، والنصوص المذكورة معارضة بصحيح جميل بن درّاج، ومحمّد بن حمران،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 شهادة النساء في الحدود؟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إمرئ مسلم</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يظهر مدرك القول الثاني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النصوص يقتضي البناء عليثبوت الدِّية بشهادتهنّ دون القِوَد، كما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الأساطين منهم الشيخ قدس سره</w:t>
      </w:r>
      <w:r>
        <w:rPr>
          <w:rStyle w:val="FootnoteAnchor"/>
          <w:rtl w:val="true"/>
        </w:rPr>
        <w:footnoteReference w:id="167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على ماحُكي، والشهيد الثاني</w:t>
      </w:r>
      <w:r>
        <w:rPr>
          <w:rStyle w:val="FootnoteAnchor"/>
          <w:rtl w:val="true"/>
        </w:rPr>
        <w:footnoteReference w:id="167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بحمل ما دلّ على الثبوت على الدِّية، وما دلّ على عدمه على القِوَد، وتمام الكلام في كتاب الشهادات</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ثبوته بشهادة النساء منفردات، هو الكلام في ثبوته بشهادة رجلٍ وامرأتين، لما ذكرناه في كتاب الشهادات من أنّه في كلّ موردٍ بنينا على قبول شهادة النساء، لا فرق بين صورتي الانضمام والانفراد، بل بشهادة امرأةٍ واحدةٍ يثبتُ رُبع الدِّية، وبشهادة امرأتين نصفها، وبشهادة ثلاث نسوة ثلاثة أرباعها، وبشهادة أربع نسوة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غلامٍ شهدت عليه امرأة أنّه دفع غلاماً في بئرٍ فقتله، فأجاز شهادة المرأة بحساب شهادة المرأة</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مطلق شامل للشهادة بالقتل عمداً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بحساب شهادة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النصف بشهادة امرأتين، وثلاثة أرباع بشهادة ثلاث نسوة، وأمّا ثبوت تمام الدِّية فقد مرّ الكلام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لو سُلّم اختصاصه بشهادة امرأة واحدة، فعدم الفصل لا يقبل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ما يوجبُ الدِّية كالخطأ والهاشمة بشاهدٍ وامرأتين، أو بشاهدٍ ويمين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عبد اللّه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شهدت على رجلٍ أنّه دَفَع صبيّاً في بئرٍ فمات‌؟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الدِّية الصَّبي بشهادة المرأة</w:t>
      </w:r>
      <w:r>
        <w:rPr>
          <w:rFonts w:eastAsia="Amiri" w:cs="Amiri" w:ascii="Amiri" w:hAnsi="Amiri"/>
          <w:color w:val="111111"/>
          <w:sz w:val="28"/>
          <w:szCs w:val="28"/>
          <w:rtl w:val="true"/>
          <w:lang w:bidi="ar-SA"/>
        </w:rPr>
        <w:t>»</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إفتاء الأصحاب بذلك، وهذا لو لم يوجب سقوطهما عن الحجيّة، يوجبُ التوقّف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القتل بشاهد ويمين اختلافٌ وأقوال، أقواها بحسب الأدلّة هو الثبوت، لما تقدّم في كتاب القضاء</w:t>
      </w:r>
      <w:r>
        <w:rPr>
          <w:rStyle w:val="FootnoteAnchor"/>
          <w:rtl w:val="true"/>
        </w:rPr>
        <w:footnoteReference w:id="1681"/>
      </w:r>
      <w:r>
        <w:rPr>
          <w:rFonts w:ascii="Amiri" w:hAnsi="Amiri" w:eastAsia="Amiri" w:cs="Amiri"/>
          <w:color w:val="111111"/>
          <w:sz w:val="28"/>
          <w:sz w:val="28"/>
          <w:szCs w:val="28"/>
          <w:rtl w:val="true"/>
          <w:lang w:bidi="ar-SA"/>
        </w:rPr>
        <w:t>من أنّ الأظهر بحسب الروايات هو ثبوت الحقّ غير المالي أيضاً بهما، وإنْ كان ذلك خلاف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عدم ثبوت القِصاص بهما، فلا إشكال في ثبوت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فالأحوط لأولياء المقتول أن يُصالحوا مع القاتل بأخذ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هنا وفي كتاب الشهادات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ما يوجبُ الدِّية 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والهاشمة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والمُنقِّلة، والجايفة، وكسر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قِوَد فيه بل الديِّة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 وامرأتين، أو بشاهدٍ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يُعتدّ به في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في المقام فروعاً من قبيل، اعتبار أن يكون الشّهادة بالحِسّ‌، أو ما يقربُ منه، وأنّه لو شَهد أحد الشاهدين بالقتل خطأً والآخر بالقتل من دون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71" w:name="pg11384_112674"/>
    </w:p>
    <w:p>
      <w:pPr>
        <w:pStyle w:val="BookText"/>
        <w:rPr/>
      </w:pPr>
      <w:bookmarkEnd w:id="371"/>
      <w:r>
        <w:rPr>
          <w:rFonts w:ascii="Amiri" w:hAnsi="Amiri" w:eastAsia="Amiri" w:cs="Amiri"/>
          <w:color w:val="111111"/>
          <w:sz w:val="28"/>
          <w:sz w:val="28"/>
          <w:szCs w:val="28"/>
          <w:rtl w:val="true"/>
          <w:lang w:bidi="ar-SA"/>
        </w:rPr>
        <w:t>تعيين العَمد والخطأ، وما شابه، وحيث أنّها مذكورة بصورة عامّة في كتاب الشهادات</w:t>
      </w:r>
      <w:r>
        <w:rPr>
          <w:rStyle w:val="FootnoteAnchor"/>
          <w:rtl w:val="true"/>
        </w:rPr>
        <w:footnoteReference w:id="1682"/>
      </w:r>
      <w:r>
        <w:rPr>
          <w:rFonts w:ascii="Amiri" w:hAnsi="Amiri" w:eastAsia="Amiri" w:cs="Amiri"/>
          <w:color w:val="111111"/>
          <w:sz w:val="28"/>
          <w:sz w:val="28"/>
          <w:szCs w:val="28"/>
          <w:rtl w:val="true"/>
          <w:lang w:bidi="ar-SA"/>
        </w:rPr>
        <w:t>، فلا حاجة إلى تكرار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فروعٌ لم تُذكر هناك، فلابدَّ لنا من تنقيح القول فيها، وهي</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83571_73709187"/>
      <w:bookmarkStart w:id="373" w:name="_Toc128"/>
      <w:bookmarkEnd w:id="372"/>
      <w:r>
        <w:rPr>
          <w:rtl w:val="true"/>
        </w:rPr>
        <w:t>لو قامت بيّنةٌ على أنّ زيداً قاتلٌ وأُخرى على أنّه عَمرو</w:t>
      </w:r>
      <w:bookmarkEnd w:id="37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على أنّ زيداً قَتَل شخصاً منفرداً، وقامت بيّنةٌ أُخرى على أنّ القاتل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رحمه الله</w:t>
      </w:r>
      <w:r>
        <w:rPr>
          <w:rStyle w:val="FootnoteAnchor"/>
          <w:rtl w:val="true"/>
        </w:rPr>
        <w:footnoteReference w:id="168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والمفيد قدس سره</w:t>
      </w:r>
      <w:r>
        <w:rPr>
          <w:rStyle w:val="FootnoteAnchor"/>
          <w:rtl w:val="true"/>
        </w:rPr>
        <w:footnoteReference w:id="1684"/>
      </w:r>
      <w:r>
        <w:rPr>
          <w:rFonts w:ascii="Amiri" w:hAnsi="Amiri" w:eastAsia="Amiri" w:cs="Amiri"/>
          <w:color w:val="111111"/>
          <w:sz w:val="28"/>
          <w:sz w:val="28"/>
          <w:szCs w:val="28"/>
          <w:rtl w:val="true"/>
          <w:lang w:bidi="ar-SA"/>
        </w:rPr>
        <w:t>، والقاضي</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بعض كتبه، والفخر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وأبي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القِصاص، ووَجَب الدِّية عليهما نصفين إنْ كان عمداً، ولو كان خطأ محضاً، كان الدِّية على عاقلتهما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 قدس سره</w:t>
      </w:r>
      <w:r>
        <w:rPr>
          <w:rStyle w:val="FootnoteAnchor"/>
          <w:rtl w:val="true"/>
        </w:rPr>
        <w:footnoteReference w:id="1686"/>
      </w:r>
      <w:r>
        <w:rPr>
          <w:rFonts w:ascii="Amiri" w:hAnsi="Amiri" w:eastAsia="Amiri" w:cs="Amiri"/>
          <w:color w:val="111111"/>
          <w:sz w:val="28"/>
          <w:sz w:val="28"/>
          <w:szCs w:val="28"/>
          <w:rtl w:val="true"/>
          <w:lang w:bidi="ar-SA"/>
        </w:rPr>
        <w:t>تخيير الوليّ في تصديق أيّهما شاء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الشهيدالثاني قدس سره</w:t>
      </w:r>
      <w:r>
        <w:rPr>
          <w:rStyle w:val="FootnoteAnchor"/>
          <w:rtl w:val="true"/>
        </w:rPr>
        <w:footnoteReference w:id="168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الدِّية كالقِوَد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بيّنتان تصادمتا، وليس قبول إحداهما في نظر الشارع أولى من قبول الأُخرى‌، ولا يمكن العمل بهما، لاستلزامه وجوب قتل الشخصين معاً، وهو باطلٌ إجماعاً، ولا العمل بإحداهما دون الأُخرى‌، لعدم الأولويّة، فلم يبق إلّا سقوطهما معاً بالنسبة إلى القِوَد، لأنّه تهجّم على الدِّماء المحقونة في نظر الشارع بغير سببٍ معلوم ولا مظنون، إذ كلّ واحدةٍ من الشهادتين تُكذّب الأُخرى‌، ولأنّ القتل حَدٌّ يسقط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الدِّية عليهما، فلئلّا يبطلُ دَم إمرئ مُسلمٍ قد ثبت أنّ قاتله أحدهما وجُهل عينه فتجبُ عليهما، لانتفاء المرجّح،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الاُستاذ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الدلالة الالتزاميّة لكلٍّ من البيّنتين معارضة للدلالة المطابقيّة من الأُخرى‌، فتسقطان معاً، فكأنّه لا بيّنة في المقام أصلاً، وعليه فلا يثبت كون هذا قاتلاً ولا ذاك، فإذن لا مقتضي للقصاص منهما، ولا من أحدهما، ولا لأخذ الدِّية كذلك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 مختلف المصنّف رحمه الله</w:t>
      </w:r>
      <w:r>
        <w:rPr>
          <w:rStyle w:val="FootnoteAnchor"/>
          <w:rtl w:val="true"/>
        </w:rPr>
        <w:footnoteReference w:id="1690"/>
      </w:r>
      <w:r>
        <w:rPr>
          <w:rFonts w:ascii="Amiri" w:hAnsi="Amiri" w:eastAsia="Amiri" w:cs="Amiri"/>
          <w:color w:val="111111"/>
          <w:sz w:val="28"/>
          <w:sz w:val="28"/>
          <w:szCs w:val="28"/>
          <w:rtl w:val="true"/>
          <w:lang w:bidi="ar-SA"/>
        </w:rPr>
        <w:t xml:space="preserve">، وقوّاه سيّد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هنا احتمالٌ ثالث، وهو تخيير الوليّ بينهما، كما ذكروه في تعارض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الإقرارين بالقتل عَمداً في أحدهما وفي الثاني بالخطأ، ودلّ عليه النّص الذي مضى، مع تأيّده بما عليه الأصحاب، ودلّ عليه بعض الأخبار، مضافاً إلى الاعتبار من التخيير بين الخبرين المتعارضين مثلاً بحيث لا يترجّح أحدهما على 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بعد نقل ذلك</w:t>
      </w:r>
      <w:r>
        <w:rPr>
          <w:rStyle w:val="FootnoteAnchor"/>
          <w:rtl w:val="true"/>
        </w:rPr>
        <w:footnoteReference w:id="1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جميع ما ذُكر، ولو بضمّ بعضه لعلّه يحصل الظّن بجواز قتل من شهدت عليه إحدى البيّنتين ممّن اختاره الأولياء، فليس فيه التهجّم على الدِّماء الممنوع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يبعدُ المصير إلى ما عليه الحِلّي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الحِلّي قدس سره</w:t>
      </w:r>
      <w:r>
        <w:rPr>
          <w:rStyle w:val="FootnoteAnchor"/>
          <w:rtl w:val="true"/>
        </w:rPr>
        <w:footnoteReference w:id="1693"/>
      </w:r>
      <w:r>
        <w:rPr>
          <w:rFonts w:ascii="Amiri" w:hAnsi="Amiri" w:eastAsia="Amiri" w:cs="Amiri"/>
          <w:color w:val="111111"/>
          <w:sz w:val="28"/>
          <w:sz w:val="28"/>
          <w:szCs w:val="28"/>
          <w:rtl w:val="true"/>
          <w:lang w:bidi="ar-SA"/>
        </w:rPr>
        <w:t>، من أنّ البيّنة قائمة على كلّ منهما بوجوب القِوَد، فلا وجه لسقوطه، وإنّا قد أجمعنا على أنّه لو شهد اثنان على واحدٍ بأنّه القاتل، فأقرّ آخر بالقتل، يتخيّر الوليّ في التصديق والإقرار كالبيّنة، وإنّ نفي القتل عنهما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نُكَت المحقّق</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ادّعى الأولياء القتل على أحدهما قتلوه لقيام البيّنة بالدعوى، وتُهدر الأُخرى‌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من شمول ما دلّ على أنّه عند تعارض البيّنتين يُقدّم أرجح البيّنتين عدالةً‌، فالأكثر منهما شهوداً، وإن تساويا أُقرع بينهما لجميع موارد النزاع، لابدّ من الالتزام بذلك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عدم شموله للمقام، فإن قلنا بأنّ التبرّع بالشهادة بالدَّم لا يصحّ‌، فما أفاده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وأمّا بناءً على صحّته كما لعلّه الأظهر، أو أنّ أولياء المقتول قالوا لا نعلم، أو كان للمُدّعي وكيلان فادّعى كلّ منهما، أو قلنا إنّ للمُدَّعى عليه براءة نفسه بإقامة البيّنة على أنّ القاتل غيره، فبناءً على ما حقّقناه في الاُصول من أنّ مقتضى القاعدة عند تعارض الأمارتين هو التخيير لا التساقط، فلابدّ من البناء على التخيير في المقام، فللوليّ أن يقتصّ من أيّهما شاء، وليس فيه التهجّم على الدِّماء الممنوع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صار إليه الحِلّي أقوى‌، وإنْ كان ما ذكره من الوجوه غير تامّ‌، إلّا أنّ ذِكرها تأييداً للمطلب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قوّى ذلك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شهرة ما عليه الشيخان، مع قوّة احتمال استنادهما إلى روايةٍ‌، كما هو السجيّة لهما والعادة، ونبَّه عليه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وادّعى وجودها لهما الحِلّي</w:t>
      </w:r>
      <w:r>
        <w:rPr>
          <w:rStyle w:val="FootnoteAnchor"/>
          <w:rtl w:val="true"/>
        </w:rPr>
        <w:footnoteReference w:id="169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والفاضل</w:t>
      </w:r>
      <w:r>
        <w:rPr>
          <w:rStyle w:val="FootnoteAnchor"/>
          <w:rtl w:val="true"/>
        </w:rPr>
        <w:footnoteReference w:id="169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أوجبت التردّد في المسألة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الشهرة الفتوائيّة على خلاف ما يقتضيه الدليل لا يُعتنى بها، مع أنّ الشهرة ممنوعة، ووجود رواية مرسلة غير واصلة إلينا ولا إلى غيرنا لا يصلحُ مدركاً للحكم، فضلاً عن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74" w:name="pg11384_112678"/>
    </w:p>
    <w:p>
      <w:pPr>
        <w:pStyle w:val="BookText"/>
        <w:rPr/>
      </w:pPr>
      <w:bookmarkEnd w:id="374"/>
      <w:r>
        <w:rPr>
          <w:rFonts w:ascii="Amiri" w:hAnsi="Amiri" w:eastAsia="Amiri" w:cs="Amiri"/>
          <w:color w:val="111111"/>
          <w:sz w:val="28"/>
          <w:sz w:val="28"/>
          <w:szCs w:val="28"/>
          <w:rtl w:val="true"/>
          <w:lang w:bidi="ar-SA"/>
        </w:rPr>
        <w:t>فإذاً القول بالتخيير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 على التخيير عند تعارض الإقرارين بالقتل عمداً من أحدهما، وفي الثاني بالخطأ المتقدّم، وما دلّ من النّص على التخيير عند تعارض البيّنة والإقرار الآتي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فالمسألة بحمد اللّه تعالى واضحة لا إشكال فيها</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83573_73709187"/>
      <w:bookmarkStart w:id="376" w:name="_Toc129"/>
      <w:bookmarkEnd w:id="375"/>
      <w:r>
        <w:rPr>
          <w:rtl w:val="true"/>
        </w:rPr>
        <w:t>حكم تعارض البيّنة والإقرار</w:t>
      </w:r>
      <w:bookmarkEnd w:id="37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على أنّ شخصاً قتل زيداً عمداً، وأقرّ آخر أنّه هو الذي قَتَله دون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 للوليّ قتل المشهود عليه، ويُرِدّ المُقرّ نصف ديته، وله قتل المُقرّ، فلا رَدّ لإقراره بالانفراد، وله قتلهما بعد أن يَردّ المشهود عليه نصف ديته دون المقرّ، ولو أرادوا الدِّية كانت عليهما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الحكم 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فحُمل إلى الوالي، وجاءه قومٌ فشهد عليه الشهود أنّه قَتَل عمداً، فدفع الوالي القاتلَ إلى أولياء المقتول ليُقاد به، فلم يريموا</w:t>
      </w:r>
      <w:r>
        <w:rPr>
          <w:rStyle w:val="FootnoteAnchor"/>
          <w:rtl w:val="true"/>
        </w:rPr>
        <w:footnoteReference w:id="1700"/>
      </w:r>
      <w:r>
        <w:rPr>
          <w:rFonts w:ascii="Amiri" w:hAnsi="Amiri" w:eastAsia="Amiri" w:cs="Amiri"/>
          <w:color w:val="111111"/>
          <w:sz w:val="28"/>
          <w:sz w:val="28"/>
          <w:szCs w:val="28"/>
          <w:rtl w:val="true"/>
          <w:lang w:bidi="ar-SA"/>
        </w:rPr>
        <w:t>حتّى أتاهم رجلٌ فأقرّ عند الوالي أنّه قَتَل صاحبهم عمداً، وأنّ هذا الرّجل الذي شهد عليه الشهود بَريءٌ من قتل صاحبه، فلا تقتلوه به، وخذوني بدمه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أولياء المقتول أن يقتلوا الذي أقرّ على نفسه </w:t>
      </w:r>
    </w:p>
    <w:p>
      <w:pPr>
        <w:pStyle w:val="BookText"/>
        <w:rPr/>
      </w:pPr>
      <w:r>
        <w:rPr>
          <w:rFonts w:ascii="Amiri" w:hAnsi="Amiri" w:eastAsia="Amiri" w:cs="Amiri"/>
          <w:color w:val="111111"/>
          <w:sz w:val="28"/>
          <w:sz w:val="28"/>
          <w:szCs w:val="28"/>
          <w:rtl w:val="true"/>
          <w:lang w:bidi="ar-SA"/>
        </w:rPr>
        <w:t>فليقتلوه، ولا سبيل لهم على الآخر، ثمّ لا سبيل لورثة الذي أقرّ على نفسه على ورثة الذي شَهد عليه، وإن أرادوا أن يقتلوا الذي شَهد عليه فليقتلوا، ولا سبيل لهم على الذي أقرّ، ثمّ ليؤدّ الدِّية على الذي أقرّ على نفسه إلى أولياء الذي شَهِد عليه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أرادوا أن يقتلوهما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لهم، وعليهم أن يدفعوا إلى أولياء الذي شَهد عليه نصف الدِّية خاصّة دون صاحبه ثمّ يقتلونهما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يأخذوا الدِّية‌؟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بينهما نصفان، لأنّ أحدهما أقرّ والآخر 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لأولياء الذي شُهد عليه على الذي أقرّ نصف الدِّية حيث قتل، ولم تُجعل لأولياء الذي أقرّ على أولياء الذي شهد عليه ولم يُقرّ؟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شُهد عليه ليس مثل الذي أقرّ، الذي شُهد عليه لم يُقرّ ولم يبرّئ صاحبه، والآخر أقرّ وبَرّأ صاحبه، فلزم الذي أقرّ وبَرّأ صاحبه ما لم يلزم الذي شُهد عليه ولم يُقرّ ولم يُبرئ صاحبه</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قتلهما إشكالٌ لانتفاء الشركة، وكذا في إلزامهما بالدِّية نصفين، والقول بتخيير الوليّ في أحدهما وجهٌ قويّ‌، غير أنّ الرواية من المشاهير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أورد عليه الحِلّي قدس سره</w:t>
      </w:r>
      <w:r>
        <w:rPr>
          <w:rStyle w:val="FootnoteAnchor"/>
          <w:rtl w:val="true"/>
        </w:rPr>
        <w:footnoteReference w:id="170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قتلهما جميعاً نظرٌ، لعدم شهادة الشهود، وإقرار المقرّ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نفى عن هذا البأس، والشهيد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اقتصر على نقل إشكال هؤلاء،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بما تقتضيه القواعد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الأستاذ قدس سره</w:t>
      </w:r>
      <w:r>
        <w:rPr>
          <w:rStyle w:val="FootnoteAnchor"/>
          <w:rtl w:val="true"/>
        </w:rPr>
        <w:footnoteReference w:id="1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المسألة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الاشتراك في القتل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عدم الاشتراك وأنّ القاتل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تقتضي جواز قتلهما في الصورة الأُولى دون الثانية، فإنّه في الأُولى البيّنة القائمة على أنّ زيداً هو القاتل لا تخلو من أن تكون لها دلالة التزاميّة على نفي اشتراك غيره في القتل، أو لا تكون لها هذه الدلالة، وعلى التقديرين فهي لاتنفي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الدلالة الالتزاميّة المذكورة تَسقط من جهة إقرار غيره بالقتل، وأمّا إقرار المُقرّ فهو حجّة بالإضافة إلى ما عليه من الآثار، وأمّا بالإضافة إلى نفي القتل من غيره فلا يكون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 البيّنة إلى الإقرار هي أنّهما معاً قاتلان على نحو الاشتراك، فيجري عليهما حكم الاشتراك في القتل، غير أنّ وليّ المقتول إذا اقتصّ من المُقرّ فقط، فليس لورثته أخذ نصف الدِّية من المشهود عليه، وذلك لأجل أخذ المقرّ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العلم الإجمالي بعدم قاتليّة أحدهما قتلهما معاً، يخالفُ الآيات والروايات الدالّة على عدم جواز قتل المؤمن بغير الحقّ‌، ولا سبيل إلى البناء على التخيير بعد تساقط الأمارتين، كما هو الأصل في تعارض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الأخذ بمقتضى الإقرار في هذه الموارد، فليس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ففي الصورة الأُولى يُعمل به ولا محذور فيه، وأمّا في الصورة الثانية فإطلاقها الشامل لها يُعارض ما دلّ على عدم جواز قتل المؤمن بغير حقّ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رفع اليد عن الإطلاق، وحمل الصحيح علي صورة احتمال الاشتراك، فتكون النتيجة أنّ ما أفاده المشهور يتمّ في الصورة الأُولى‌، وأمّا في الصورة الثانية فالظاهر جواز قتل المُقرّ، أو أخذ الدِّية منه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البيّنة كان لها دلالة التزاميّة أم لم تكن لها تلك لا تنفي الاشتراك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المسألة ما لو قامت البيّنة على أنّ القاتل زيدٌ منفرداً، فلا محالة لها دلالة 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سقوط الدلالة الالتزاميّة بالإقرار، يردّه أنّهما متعارضان، فلم يُقدّم الإقرار ويسقط الدلالة الالتزاميّة، ولو تمّ ذلك لزم الالتزام بذلك عند تعارض البيّنتين، كما في المسألة المتقدّمة،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لكلّ منهما تسقط بواسطة البيّنة المعارضة، فتكون النتيجة هو الاشتراك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قامت البيّنة على أنّ القاتل زيدٌ منفرداً، فلا محالة تدلّ بالدلالة المطابقيّة على عدم الاشتراك في القتل، ويكون علماً تعبّديّاً بعدم الاشتراك، وكذلك الإقرار علمٌ تعبّدي بكونه وحده قاتلاً، فإنْ كان في الصورة علمٌ وجداني بعدم الاشتراك في القتل، ففي الصورة الأُولى علمان تعبّديّان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فالتفصيل بين الصورتين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لإقراره حكمٌ بالنسبة إلى نفي الاشتراك، فما أفاده من أنّه إذا اقتصّ من المُقرّ ليس لورثته أخذ نصف الدِّية من المشهود عليه، لأجل أخذ المقرّ بإقراره، لا مورد له، فإنّه لا حكم للإقرار بالنسبة إلى الاشتراك وعدمه، فإذا ثبت الاشتراك لابدّ من ترتيب جميع الأحكام، منها أخذ نصف الدِّية، مع أنّ الإقرار بالنسبة إلى أخذ نصف الدِّية من قبيل الإقرار على الغير، وهو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إطلاق الصحيح يُعارضُ ما دلّ على عدم جواز قتل المؤمن بغير حقّ في الصورة الثانية، وهو يكون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أخصّ مطلقاً من تلك الأدلّة، بعد كون الأمارة في الصورة الأُولى نافية للاشتراك، فلابدّ من تقديمه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الأدلّة تدلّ على عدم جواز القتل بغير حقّ‌، فإذا احتمل أنّ‌ </w:t>
      </w:r>
    </w:p>
    <w:p>
      <w:pPr>
        <w:pStyle w:val="BookText"/>
        <w:rPr/>
      </w:pPr>
      <w:r>
        <w:rPr>
          <w:rFonts w:ascii="Amiri" w:hAnsi="Amiri" w:eastAsia="Amiri" w:cs="Amiri"/>
          <w:color w:val="111111"/>
          <w:sz w:val="28"/>
          <w:sz w:val="28"/>
          <w:szCs w:val="28"/>
          <w:rtl w:val="true"/>
          <w:lang w:bidi="ar-SA"/>
        </w:rPr>
        <w:t>قيام البيّنة أو الإقرار من العناوين الثانويّة المجوّزة، ودلّ الصحيح في مقام الإثبات عليه، لا يكون الصحيح مخالفاً لتلك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أفاده رحمه الله مواقع اُخر من النظر، ورعاية للأدب أغمضنا عنها، وإنْ كان قد خرجنا بهذا المقدار من الأدب، عَصَمنا اللّه تعالى من الخطايا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المشهور أظهر، وعلى فرض التنزّل فما أفاده الحِلّي، وأمّا خبر إبراهيم بن هاشم المتقدّم الذي عرفت اعتبار سنده، فهو في مورد تعارض الإقرارين، فلا يعارض الصحيح، وعليه فالعمل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قتل العمد، وأقام شاهداً وامرأتين، وقلنا بعدم ثبوت القِصاص بهما، ثُمّ عَفى من حقّه، لم يصحّ‌، لأنّه عفى عمّا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إشكالٌ إذ العفو لا يتوقّف على ثبوت الحقّ عند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حسنٌ‌، إذ لو كان له حقّ في الواقع يسقط بعفوه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الفائدة في عدم سماع دعواه بعد ذلك ممّن عُلم منه العفو، لثبوت المقتضي، وهو الدّال عليه، وعدم المانع إذ ليس إلّاعدم ثبوته عند الحاكم، وهو غير صالحٍ للمانعيّة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7" w:name="pg11384_112684"/>
    </w:p>
    <w:p>
      <w:pPr>
        <w:pStyle w:val="Heading4"/>
        <w:numPr>
          <w:ilvl w:val="3"/>
          <w:numId w:val="1"/>
        </w:numPr>
        <w:rPr/>
      </w:pPr>
      <w:bookmarkStart w:id="378" w:name="__RefHeading___Toc283575_73709187"/>
      <w:bookmarkStart w:id="379" w:name="_Toc130"/>
      <w:bookmarkEnd w:id="377"/>
      <w:bookmarkEnd w:id="378"/>
      <w:r>
        <w:rPr>
          <w:rtl w:val="true"/>
        </w:rPr>
        <w:t>القَسامة</w:t>
      </w:r>
      <w:bookmarkEnd w:id="379"/>
    </w:p>
    <w:p>
      <w:pPr>
        <w:pStyle w:val="BookText"/>
        <w:rPr/>
      </w:pP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به القتل،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اليمين فهي الأيمان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لسان الفقهاء</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اسمٌ للأيمان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هي الأيمان، يَقسم على الأولياء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ذلك من مصاديق المفهوم العام للقَسامة، وإلّا فلم يؤخذ الاختصاص بأيمان الدِّماء لغةً‌، وإنّما خصّوها الفقهاء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فهي اسمٌ اُقيم مقام المصدر،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أقساماً وقَسامةً‌، أو هي الاسم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إكراماً وكرامةً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وقد يُسمّى الحالفون قسامة على طريق المجاز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قتيلٌ في موضعٍ لا يُعرف مَن قَتَله، ولا يقومُ عليه بيّنة، ويَدّعي الوليّ على واحدٍ أو جماعةٍ‌، ويقترن بالواقعة ما يُشعرُ تصديق الوليّ في دعواه، ويقال له اللّوث، فيحلف على ما يدّعيه، ويحكم بما سيذكره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مشروعيّتها، وثبوت القتل بها، والأخبار الدالّة عليها فوق حَدّ الاستفاضة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القَسامة كيف كانت‌؟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وهي مكتوبة عندنا، ولولا ذلك لقتل النّاس بعضهم بعضاً، ثمّ لم يكن شيءٌ‌، وإنّما القَسامة نجاةٌ للناس</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القَسامة‌؟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كلّها البيّنة على المُدّعي واليمينُ على المُدّعى عليه إلّافي الدَّم خاصّة، فإنّ رسول اللّه صلى الله عليه و آله بينما هو بخيبر إذ فقدت الأنصار رجلاً منهم فوجدوه قتيلاً،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اليهودي قَتَل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رَجلين عَدلين من غيركم أقيده برمّته، فإنْ لم تجدوا شاهدين، فأقيموا قسامة خمسين رجلاً أقيده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ماعندنا شاهدان من غيرنا، وإنّا لنكره أن نقسَم على مالم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فوادّه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قاتلاً، وإلّا اُغرموا الدِّية إذا وجدوا قتيلاً بين أظهرهم إذا لم يقسم المُدَّعون</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القَسامة احتياطاً للناس لكيما إذا أراد الفاسق أن يقتل رجلاً أو يغتال رجلاً حيثُ لا يراه أحدٌ، خاف ذلك فامتنع من القتل</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القَسامة لعلّة الحوط،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0" w:name="pg11384_112686"/>
    </w:p>
    <w:p>
      <w:pPr>
        <w:pStyle w:val="BookText"/>
        <w:rPr/>
      </w:pPr>
      <w:bookmarkEnd w:id="380"/>
      <w:r>
        <w:rPr>
          <w:rFonts w:ascii="Amiri" w:hAnsi="Amiri" w:eastAsia="Amiri" w:cs="Amiri"/>
          <w:color w:val="111111"/>
          <w:sz w:val="28"/>
          <w:sz w:val="28"/>
          <w:szCs w:val="28"/>
          <w:rtl w:val="true"/>
          <w:lang w:bidi="ar-SA"/>
        </w:rPr>
        <w:t>وهي تثبت مع اللّوث</w:t>
      </w:r>
    </w:p>
    <w:p>
      <w:pPr>
        <w:pStyle w:val="BookText"/>
        <w:rPr/>
      </w:pPr>
      <w:r>
        <w:rPr>
          <w:rFonts w:ascii="Amiri" w:hAnsi="Amiri" w:eastAsia="Amiri" w:cs="Amiri"/>
          <w:color w:val="111111"/>
          <w:sz w:val="28"/>
          <w:sz w:val="28"/>
          <w:szCs w:val="28"/>
          <w:rtl w:val="true"/>
          <w:lang w:bidi="ar-SA"/>
        </w:rPr>
        <w:t>يحتاط على النّاس لكي إذا رأى الفاجر عدوّه فَرَّ منه مخافة القِصاص</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 الكثيرة الآتي طرف منها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83577_73709187"/>
      <w:bookmarkStart w:id="382" w:name="_Toc131"/>
      <w:bookmarkEnd w:id="381"/>
      <w:r>
        <w:rPr>
          <w:rtl w:val="true"/>
        </w:rPr>
        <w:t>اللّوث واعتباره في القَسامة</w:t>
      </w:r>
      <w:bookmarkEnd w:id="38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بل المُتسالم عليه بينهم، بل بين علماء المسلمين كافّة اعتبار اللّوث في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الدّعوى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ناقشهم المحقّق الأردبيلي قدس سره، حيث إنّه بعد نقل جملةٍ من الأخبار المتعلّقة بالقسامة، الدالّة على ثبوتها في الشريعة، قال</w:t>
      </w:r>
      <w:r>
        <w:rPr>
          <w:rStyle w:val="FootnoteAnchor"/>
          <w:rtl w:val="true"/>
        </w:rPr>
        <w:footnoteReference w:id="1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خالية عن اعتبار اللّوث لفظاً، يعني لم يؤخذ للقسامة شرط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بعضها وُجد القتيل في قُليبٍ أو قريةٍ وغير ذلك، وليس ذلك بواضحٍ ولا صريح في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على ذلك إجماعاً أو نصّاً ما اطلعت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لاعتباره بوجوه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في النفس إجماع المسلمين، وفي الأعضاء إجماعنا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مسعدة بن زياد، عن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رضى الله عنه إذا لم يُقِم القوم المُدَّعون البيّنة على قتل قتيلهم، ولم يَقسموا بأنّ المتّهمين قَتَلوه، حلّف المتهمين بالقتل خمسين يميناً باللّه ما قتلناه ولا علمنا له قاتلاً، ثمّ يؤدّي الدِّية إلى أولياء القتيل، ذلك إذا قتل في حَيّ واحد، فأمّا إذا قُتل في عسكرٍ أو سوقٍ مدينةٍ‌، فديته تُدفع إلى أوليائه من بيت المال</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ذلك،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قُتل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يدلّ على ذلك، فإنّه لا وجه للحكم المذكور فيه سوى عدم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القَسامة ليغلظ بها في الرّجل المعروف بالشَّر المُتّهم، فإنْ شَهِدوا عليه جازت شهادتهم</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جعل القَسامة لا يعمّ كلّ موردٍ، بل لابدّ وأن يكون المُدّعى عليه رجلاً متّهماً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أنّه يصحّ الاستدلال بما في نصوصٍ كصحاح زرارة وبُريد وابن سنان، من أنّه إنّما وُضعت القَسامة احتياطاً لدماء النّاس، إذ لولا اعتبار اللّوث لم يكن احتياطاً للدِّماء، بل يوجب هَدرها، حيث أنّ للفاسق الفاجر أن يَدَّعي القتل على أحدٍ ويأتي بالقَسامة فيقتصّ منه، فيذهب دمُ إمرئ مسلم هَدراً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العداوة بين الأنصار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فإذا كانت هذه الأسباب أو ما أشبهها فهي لطخ يجبُ معه القَسامة</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أمارةٌ يَغلبُ معها الظّن بصدق المُدَّعي كالشّاهد الواحد،</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التردّد في اعتبار اللّوث، وبدونه لا مورد للقسامة، ولا يثبتُ بها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القَسامة خالفت غيرها من أيمان الدَّعاوى في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اليمين ابتداء على المُدّعي، وتعدّد الأيمان فيها، وجواز حلف الإنسان لإثبات حقّ غيره، ولنفي الدّعوى من حقّ غيره، وعدم سقوط الدّعوى من نكول من توجَّهت عليه اليمين إجماعاً، بل يَردّ اليمين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بهذا اللّفظ في شيء من الروايات الواصلة إلينا، وإنّما هو شيءٌ استنبط من النصوص، وصرّح به الفقهاء، حيث قالوا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أمارةٌ يغلب معها الظّن بصدق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كالشاهد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لو وُجِد قتيلٌ وعنده رجلٌ معه سلاح متلطّخٌ بالدّم، وكتفرّق جماعة من قتيلٍ في دارٍ كان قد دخل عليهم ضيفاً أو دخلها معهم في حاجة، وكما لو وُجِد قتيلٌ في قبيلةٍ‌، أو حِصن، أو قريةٍ صغيرة، أو محلة منفصلة عن البلد الكبير، وبين القتيل وبين أهلها عداوة ظاهرة، إلى غير ذلك من الموارد، وسيأتي تنقيح القول في موارده، وتمييزها عن غيرها عند تعرّض المصنّف قدس سره 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فمع تحقّق اللّوث طولب المُدَّعى عليه بالبيّنة، فإنْ أقامها على عدم القتل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83" w:name="pg11384_112689"/>
    </w:p>
    <w:p>
      <w:pPr>
        <w:pStyle w:val="BookText"/>
        <w:rPr/>
      </w:pPr>
      <w:bookmarkEnd w:id="383"/>
      <w:r>
        <w:rPr>
          <w:rFonts w:ascii="Amiri" w:hAnsi="Amiri" w:eastAsia="Amiri" w:cs="Amiri"/>
          <w:color w:val="111111"/>
          <w:sz w:val="28"/>
          <w:sz w:val="28"/>
          <w:szCs w:val="28"/>
          <w:rtl w:val="true"/>
          <w:lang w:bidi="ar-SA"/>
        </w:rPr>
        <w:t>فللوليّ معه إثبات الدَّعوى‌، بأن يحلف هو وقومه خَمسين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حَكَم في دمائكم بغير ما حَكَم به في أموالكم، حَكَم في أموالكم أنّ البيّنة على المُدَّعي واليمينُ على المُدّعى عليه، وحَكَم في دمائكم أنّ البيّنة على المُدَّعى عليه واليمين على من ادّعى، لئلّا يبطلُ دم إمرئ مسلم</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أنّ المُطالَب بالبيّنة هو المنكر دون المُدّعي، ولكن لا يدلّ على عدم حجيّة بيّنة المُدّعي، بل صحيح بريد المتقدّم الوارد في مورد ثبوت اللّوث يدلّ على ثبوت القتل المُدّعي بالبيّنة، وكذا صحيح مسعدة المتقدّم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نتيجة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مورد ثبوت اللّوث يثبتُ القَتل بالبيّنة، والمُطالَب بها هو المنكر، ولو لم يقمها ولم يكن للمُدّعي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فللوليّ معه إثبات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القتل على المُتّهم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إجماعاً، ويشهد به النصوص المتقدّمة في مشروعيّة القَسامة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83579_73709187"/>
      <w:bookmarkStart w:id="385" w:name="_Toc132"/>
      <w:bookmarkEnd w:id="384"/>
      <w:r>
        <w:rPr>
          <w:rtl w:val="true"/>
        </w:rPr>
        <w:t>كيفيّة القَسامة وكميتها</w:t>
      </w:r>
      <w:bookmarkEnd w:id="38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فيها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في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يَحلف هو وقومه خَمسين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الخَطأ وشبهه خمسة وعشرون، كما هو المشهور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تنحلّ إلى 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فقد البيِّنة، القَسامة أوّلاً على المُدّعي، وهو وليّ الدَّم، والظاهر أنّه إجمالي، ونصوص القَسامة المتقدّمة شاهدة ومصرّحة به، وما يظهر منه تقديم حلف المنكر، لمعارضته مع النصوص المشار إليها، محمولٌ على عدم القصد إلى بيان الترتيب، وإلّا فالمعتبرة المتضمّنة لتلك القضيّة التي تضمّنها مستفيضة، بعكس الترتيب المذكور في ذلك الخبر،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القَسامة في العمد خمسونَ يميناً، وهو المشهور بين الأصحاب شهرة عظيمة</w:t>
      </w:r>
      <w:r>
        <w:rPr>
          <w:rStyle w:val="FootnoteAnchor"/>
          <w:rtl w:val="true"/>
        </w:rPr>
        <w:footnoteReference w:id="1725"/>
      </w:r>
      <w:r>
        <w:rPr>
          <w:rFonts w:ascii="Amiri" w:hAnsi="Amiri" w:eastAsia="Amiri" w:cs="Amiri"/>
          <w:color w:val="111111"/>
          <w:sz w:val="28"/>
          <w:sz w:val="28"/>
          <w:szCs w:val="28"/>
          <w:rtl w:val="true"/>
          <w:lang w:bidi="ar-SA"/>
        </w:rPr>
        <w:t>، بل عن كثيرٍ من الأصحاب دعوى الإجماع</w:t>
      </w:r>
      <w:r>
        <w:rPr>
          <w:rStyle w:val="FootnoteAnchor"/>
          <w:rtl w:val="true"/>
        </w:rPr>
        <w:footnoteReference w:id="1726"/>
      </w:r>
      <w:r>
        <w:rPr>
          <w:rFonts w:ascii="Amiri" w:hAnsi="Amiri" w:eastAsia="Amiri" w:cs="Amiri"/>
          <w:color w:val="111111"/>
          <w:sz w:val="28"/>
          <w:sz w:val="28"/>
          <w:szCs w:val="28"/>
          <w:rtl w:val="true"/>
          <w:lang w:bidi="ar-SA"/>
        </w:rPr>
        <w:t>عليه، ولم يُنقل الخلاف إلّاعن ابن حمزة</w:t>
      </w:r>
      <w:r>
        <w:rPr>
          <w:rStyle w:val="FootnoteAnchor"/>
          <w:rtl w:val="true"/>
        </w:rPr>
        <w:footnoteReference w:id="1727"/>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خمسة وعشرون في العَمد، إذا كان هناك شاهدٌ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نصوص الباب منها ما تقدّم مصرّحة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القَسامة خمسون رجلاً في العَمد، وفي الخطاء خمسة وعشرون رجلاً، وعليهم أن يحلفوا باللّه</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يونس وابن فضّال جميعاً، عن الإمام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والقَسامةُ جعَل في النفس على العمد خمسين رجلاً، وجَعَل في النفس على الخطاء خمسة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لابن حمزة مدركٌ عدا ما قيل من إنّه مبنيٌّ على أنّ الخمسين بمنزلة شاهدين عدلين، وهو اعتبارٌ ضعيفٌ لا تساعده الأدلّة بل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الخطأ المحض، والشبيه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فالقسامة خمسٌ وعشرون يميناً، وهو الأشهر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عليه الشيخ رحمه الله</w:t>
      </w:r>
      <w:r>
        <w:rPr>
          <w:rStyle w:val="FootnoteAnchor"/>
          <w:rtl w:val="true"/>
        </w:rPr>
        <w:footnoteReference w:id="1730"/>
      </w:r>
      <w:r>
        <w:rPr>
          <w:rFonts w:ascii="Amiri" w:hAnsi="Amiri" w:eastAsia="Amiri" w:cs="Amiri"/>
          <w:color w:val="111111"/>
          <w:sz w:val="28"/>
          <w:sz w:val="28"/>
          <w:szCs w:val="28"/>
          <w:rtl w:val="true"/>
          <w:lang w:bidi="ar-SA"/>
        </w:rPr>
        <w:t>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رواية الأصحاب، مشعراً بالإجماع عليه، والصحيحان المتقدّمان شاهدان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المفيد</w:t>
      </w:r>
      <w:r>
        <w:rPr>
          <w:rStyle w:val="FootnoteAnchor"/>
          <w:rtl w:val="true"/>
        </w:rPr>
        <w:footnoteReference w:id="1731"/>
      </w:r>
      <w:r>
        <w:rPr>
          <w:rFonts w:ascii="Amiri" w:hAnsi="Amiri" w:eastAsia="Amiri" w:cs="Amiri"/>
          <w:color w:val="111111"/>
          <w:sz w:val="28"/>
          <w:sz w:val="28"/>
          <w:szCs w:val="28"/>
          <w:rtl w:val="true"/>
          <w:lang w:bidi="ar-SA"/>
        </w:rPr>
        <w:t>، والديلمي</w:t>
      </w:r>
      <w:r>
        <w:rPr>
          <w:rStyle w:val="FootnoteAnchor"/>
          <w:rtl w:val="true"/>
        </w:rPr>
        <w:footnoteReference w:id="1732"/>
      </w:r>
      <w:r>
        <w:rPr>
          <w:rFonts w:ascii="Amiri" w:hAnsi="Amiri" w:eastAsia="Amiri" w:cs="Amiri"/>
          <w:color w:val="111111"/>
          <w:sz w:val="28"/>
          <w:sz w:val="28"/>
          <w:szCs w:val="28"/>
          <w:rtl w:val="true"/>
          <w:lang w:bidi="ar-SA"/>
        </w:rPr>
        <w:t>، وابن إدريس</w:t>
      </w:r>
      <w:r>
        <w:rPr>
          <w:rStyle w:val="FootnoteAnchor"/>
          <w:rtl w:val="true"/>
        </w:rPr>
        <w:footnoteReference w:id="173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وهو ظاهر المتن، والفخر</w:t>
      </w:r>
      <w:r>
        <w:rPr>
          <w:rStyle w:val="FootnoteAnchor"/>
          <w:rtl w:val="true"/>
        </w:rPr>
        <w:footnoteReference w:id="1734"/>
      </w:r>
      <w:r>
        <w:rPr>
          <w:rFonts w:ascii="Amiri" w:hAnsi="Amiri" w:eastAsia="Amiri" w:cs="Amiri"/>
          <w:color w:val="111111"/>
          <w:sz w:val="28"/>
          <w:sz w:val="28"/>
          <w:szCs w:val="28"/>
          <w:rtl w:val="true"/>
          <w:lang w:bidi="ar-SA"/>
        </w:rPr>
        <w:t>، والشهيدان</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ذلك بين العَمَد والخطأ</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36"/>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يكن للمُدَّعي قَسامةٌ كُرِّرت عليه الأيمان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والاحتياط، وإطلاقات الأخبار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لا مورد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معارَضٌ بما عن مختلف المصنّف قدس سره حيث قال</w:t>
      </w:r>
      <w:r>
        <w:rPr>
          <w:rStyle w:val="FootnoteAnchor"/>
          <w:rtl w:val="true"/>
        </w:rPr>
        <w:footnoteReference w:id="1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 أدون من قتل العَمد، فناسب تخفيف القَسامة، وأنّ التهجّم على الدَّم بالقِوَد أضعف من التهجّم على أخذ الدِّية فكان التشدّد في إثبات الأوّل أولى‌، أضف إليه أنّه لا مورد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وإطلاقات الأخبار لو كانت تقيّد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المُدَّعي خمسين رجلاً يقسمون فلا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للمُدَّعي 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امتنعوا كلّاً أو بعضاً، لعدم العلم، أو اقتراحاً، حَلِف المُدَّعي ومن يوافقه إنْ كان،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كُرّرت عليه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بالعدد كاملاً، بل عن غير واحدٍ دعوى الإجماع عليه، ولم يُنقل الخلاف في المسألة عن أحدٍ، ولم يرد فيه نصٌّ على مقتضى صحيحي بريد بن معاوية وزرارة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القود يتوقّف على خمسين رجل</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لما هو المشهور بوجوه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فإنّه في مثل هذا الحكم الذي لا نصَّ فيه وخلاف ظاهر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 يكون كاشفاً عن حكم اللّه جزماً وعن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القَسامة إنّما هي احتياط للناس لئلّا يغتال الفاسق رجلاً فيقتله حيث لا يراهُ أحد، كما في الأخبار، فإذا كانت هذه علّة جعل القَسامة، فكيف يمكن تعليق القِوَد على أمرٍ نادر التحقّق، وكيف يمكن أن يصير ذلك موجباً لخوف الفاسق من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الوارد في قَسامة الأجزاء، الدّال على ذلك فيها</w:t>
      </w:r>
      <w:r>
        <w:rPr>
          <w:rStyle w:val="FootnoteAnchor"/>
          <w:rtl w:val="true"/>
        </w:rPr>
        <w:footnoteReference w:id="1740"/>
      </w:r>
      <w:r>
        <w:rPr>
          <w:rFonts w:ascii="Amiri" w:hAnsi="Amiri" w:eastAsia="Amiri" w:cs="Amiri"/>
          <w:color w:val="111111"/>
          <w:sz w:val="28"/>
          <w:sz w:val="28"/>
          <w:szCs w:val="28"/>
          <w:rtl w:val="true"/>
          <w:lang w:bidi="ar-SA"/>
        </w:rPr>
        <w:t>، فبعدم القول بالفصل يثبتُ في قسامة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ذهب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7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7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 والشهيد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 xml:space="preserve">، والمحقّق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إذا كان المُدَّعون جماعة أقلّ من عدد القَسامة، قُسِّمت عليهم الأيمان بالسَّوية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عرفت أنّه لا دليل على تكرير الأيمان سوى وجوه لا إطلاق لها، وفي أمثال ذلك لابدّ من الأخذ بالمتيقّن، ففي المقام لابدّ من رعاية التساوي في القسمة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6" w:name="pg11384_112694"/>
    </w:p>
    <w:p>
      <w:pPr>
        <w:pStyle w:val="BookText"/>
        <w:rPr/>
      </w:pPr>
      <w:bookmarkEnd w:id="386"/>
      <w:r>
        <w:rPr>
          <w:rFonts w:ascii="Amiri" w:hAnsi="Amiri" w:eastAsia="Amiri" w:cs="Amiri"/>
          <w:color w:val="111111"/>
          <w:sz w:val="28"/>
          <w:sz w:val="28"/>
          <w:szCs w:val="28"/>
          <w:rtl w:val="true"/>
          <w:lang w:bidi="ar-SA"/>
        </w:rPr>
        <w:t>ولو لم يَحلِف حَلِف المُنكِر خَمسين يميناً هو وقومه، ولو لم يكن له أحدٌ كُرِّرت الخمسون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عدم التساوي، فلا دليل على ثبوت القِوَد بها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هؤلاء الاعاظم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المُدَّعون مختلفين بحسب حِصَص الإرث، كما لو فرضنا أنّ للوليّ ابنٌ وبنتٌ أنّه لابدّ من التقسيم بحسب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يحلف الابن أربعاً وثلاثين والبنت سبع عشرة، وحيث أنّه لا إطلاق لدليل التكرير، فلابدَّ من الأخذ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القدر المتيقّن هو أن يحلف الابن أربعاً وثلاثين والبنت خمساً وعشرين، إلّاأن يثبت إجماعٌ على ما أفاده الشيخ رحمه الله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83581_73709187"/>
      <w:bookmarkStart w:id="388" w:name="_Toc133"/>
      <w:bookmarkEnd w:id="387"/>
      <w:r>
        <w:rPr>
          <w:rtl w:val="true"/>
        </w:rPr>
        <w:t>ثبوت القَسامة على المدّعى عليه</w:t>
      </w:r>
      <w:bookmarkEnd w:id="38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المُدَّعي بالقَسامة،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يَحلِف، حَلِف المنكر خمسين يميناً هو وقومه، ولو لم يكن له أحدٌ كُرّرت الخمسون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المتقدّم في قسامة المُدَّعي، بلا خلافٍ فيه بين الأصحاب، ويدلّ عليه الأخبار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بريد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حَلف المُدّعى عليه قسامة خمسين رجلاً ما قتلنا ولا علمنا قاتلاً</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مسعدة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رضى الله عنه إذا لم يقم القوم المُدَّعون البيّنة على قتل قتيلهم، ولم يقسموا بأنّ المتّهمين قَتَلوه، حَلّف المتّهمين بالقتل خمسين يميناً باللّه ما قتلناه ولا عَلِمنا له قاتلاً، ثمّ يؤدّي الدِّية إلى أولياء القتيل</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القَسامة‌؟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إنّ رجلاً من الأنصار وُجِد قتيلاً في قُليبٍ من قُلَب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ندفعه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على ما لم نره‌؟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وما ذكرناه من المباحث في قسامة المُدّعي جارٍ هنا،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بها سقطت الدّعوى، واُخذت الدِّية من بيت المال، ضرورة كونه حينئذٍ قتيلاً لم يُعرف له قاتلٌ‌، فيؤخذ ديته من بيت المال لئلّا يبطل دم إمرئ مسلم، ويشهد به صحيح بريد المتقدّم، المعلّق لغرامة المُدّعى عليه على عدم الحَلف، فإنّه بضميمة ما يدلّ على أنّ دم المُسلم لا يذهب هَدراً، دالٌّ على كونها من بيت المال، وبه يظهر وجه الاستدلال بمعتبرة عليّ بن الفضيل الآتي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منهما دلالةً على ذلك، صحيح محمّد بن مسلم، وعبد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جالساً مع قومٍ فمات وهو معهم، أو رجلٌ وُجِد في قبيلة وعلى باب دار قومٍ‌، فادّعي عليهم‌؟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نكل أُلزم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شيءٌ‌، ولا يَبطل دمه</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خبرا أبي بصير وأبي البختري، الدالّان على أنّ الدِّية على أهل القرية الذين وجد فيهم القتيل، فلضعف سندهما، ومعارضتهما لما هو مقدّم عليهما، لابدّ من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صحيح مسعدة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يُؤدّي الدِّية إلى أولياء القتيل</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فمن جهة كون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مبنيّة للمجهول، وإلّا كان المناسب الإتيان بها بصيغة الجمع، فلا يدلّ على أنّ الديَّة على المُدّعى عليهم، وما فيه من التفصيل بين وجدان القتيل في حَيٍّ واحدٍ، أو سوقِ مدينةٍ‌، فإنّما هو بلحاظ أنّ الدِّية المأخوذة من بيت المال في المورد الأوّل بعد القَسامة، وفي المورد الثاني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عن الأيمان كلّاً أو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عمداً كان القتل المُدّعى عليه أو خطأ، ولا يُردّ اليمين على المُدّعي على الأشهر الأقوى‌، بل عليه عامّة متأخّري أصحابنا،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يُردّ اليمين على المُدّعي كسائر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عبارته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أمّا بناءً على الحكم والقضاء بالنكول في مطلق الدعاوى، كما قوّيناه، وقد مرَّ في كتاب القضاء</w:t>
      </w:r>
      <w:r>
        <w:rPr>
          <w:rStyle w:val="FootnoteAnchor"/>
          <w:rtl w:val="true"/>
        </w:rPr>
        <w:footnoteReference w:id="1754"/>
      </w:r>
      <w:r>
        <w:rPr>
          <w:rFonts w:ascii="Amiri" w:hAnsi="Amiri" w:eastAsia="Amiri" w:cs="Amiri"/>
          <w:color w:val="111111"/>
          <w:sz w:val="28"/>
          <w:sz w:val="28"/>
          <w:szCs w:val="28"/>
          <w:rtl w:val="true"/>
          <w:lang w:bidi="ar-SA"/>
        </w:rPr>
        <w:t>فالحكم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فيمكن الاستدلال له، بصحيح مسعدة المتقدّم، وبخبر علي بن الفضيل المعتبر برواية ابن محبوب عنه،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رجلً مقتولٌ في قبيلةِ قومٍ‌، حَلفوا جميعاً ماقتلوه ولا يعلمون له قاتلاً، فإنْ أبوا أن يحلفوا، غَرمَوا الدِّية فيما بينهم في أموالهم، سواء بين جميع القبيلة من الرِّجال المُدرِكين</w:t>
      </w:r>
      <w:r>
        <w:rPr>
          <w:rFonts w:eastAsia="Amiri" w:cs="Amiri" w:ascii="Amiri" w:hAnsi="Amiri"/>
          <w:color w:val="111111"/>
          <w:sz w:val="28"/>
          <w:szCs w:val="28"/>
          <w:rtl w:val="true"/>
          <w:lang w:bidi="ar-SA"/>
        </w:rPr>
        <w:t>»</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الخبر وصحيح بُريد يظهر أنّ المُدّعى عليه إذا لم يكن شخصاً معيّناً، ووجد القتيل في قبيلةٍ أو قريةٍ‌، وامتنعوا عن الحلف، اُلزموا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لابدَّ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المُدّعي، أو المدّعى عليه امرأة، فهل يثبتُ القَسامة، أم لا؟</w:t>
      </w:r>
    </w:p>
    <w:p>
      <w:pPr>
        <w:pStyle w:val="BookText"/>
        <w:rPr/>
      </w:pPr>
      <w:r>
        <w:rPr>
          <w:rFonts w:ascii="Amiri" w:hAnsi="Amiri" w:eastAsia="Amiri" w:cs="Amiri"/>
          <w:color w:val="111111"/>
          <w:sz w:val="28"/>
          <w:sz w:val="28"/>
          <w:szCs w:val="28"/>
          <w:rtl w:val="true"/>
          <w:lang w:bidi="ar-SA"/>
        </w:rPr>
        <w:t xml:space="preserve">الظاهر هو الأوّل، كما لا خلاف فيه ظاهراً، ويشهد به عموم التعليل في جملةٍ من النصوص المعتبرة المتقدّمة،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القَسامة احتياطاً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w:t>
      </w:r>
      <w:r>
        <w:rPr>
          <w:rStyle w:val="FootnoteAnchor"/>
          <w:rtl w:val="true"/>
        </w:rPr>
        <w:footnoteReference w:id="1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القَسامة نجاةٌ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w:t>
      </w:r>
      <w:r>
        <w:rPr>
          <w:rStyle w:val="FootnoteAnchor"/>
          <w:rtl w:val="true"/>
        </w:rPr>
        <w:footnoteReference w:id="1757"/>
      </w:r>
      <w:r>
        <w:rPr>
          <w:rFonts w:ascii="Amiri" w:hAnsi="Amiri" w:eastAsia="Amiri" w:cs="Amiri"/>
          <w:color w:val="111111"/>
          <w:sz w:val="28"/>
          <w:sz w:val="28"/>
          <w:szCs w:val="28"/>
          <w:rtl w:val="true"/>
          <w:lang w:bidi="ar-SA"/>
        </w:rPr>
        <w:t>وما شابه، وكذا يدلّ عليه نصوصٌ بإطلاقها كصحيح بريد، عن الإمام الصادق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الحقوق كلّها البيّنة على المُدّعي، واليمينُ على المُدّعى عليه إلّا في الدَّم خاصّة</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عليه أكثر من واحد، فهل على كلّ واحدٍ منهم قَسامة خمسين رجلاً، كما هو المشهور بين الأصحاب</w:t>
      </w:r>
      <w:r>
        <w:rPr>
          <w:rStyle w:val="FootnoteAnchor"/>
          <w:rtl w:val="true"/>
        </w:rPr>
        <w:footnoteReference w:id="17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أم يكتفى بالخمسين منهم أجمع،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فإنّ في قوله عليه السلام في 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المُدّعى عليه قسامة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الحقيقيّة، ومقتضاه أنّ كلّ من صَدَق عليه عنوان المُدّعى عليه، يثبتُ عليه قسامة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القتيل كافراً، فادّعى وليّه القتل على المسلم، فهل تثبُتُ القَسامة كماعن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 ورجّحه المصنّف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 xml:space="preserve">، غاية الأمر أنّه لا يثبتُ بها القِوَد، وإنّما تثبتُ بها الدِّية، أم لا،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 والمصنّف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76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الأخبار، كصحيح زرارة المتقدّم، وصحيح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كيف كانت‌؟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وهي مكتوبة عندنا، ولولا ذلك لقَتَل النّاس بعضهم بعضاً، ثمّ لم يكن شيءٌ‌، وإنّما القَسامة نجاة للناس</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صحيح عبد اللّه بن سنان</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تقييد الإطلاقات بالعلّة المذكورة في معتبر أبي بصير المتقدّم، لمشروعيّة القَسامة، وهي عدم بطلان دم إمرئ مُسلمٍ‌</w:t>
      </w:r>
      <w:r>
        <w:rPr>
          <w:rStyle w:val="FootnoteAnchor"/>
          <w:rtl w:val="true"/>
        </w:rPr>
        <w:footnoteReference w:id="1766"/>
      </w:r>
      <w:r>
        <w:rPr>
          <w:rFonts w:ascii="Amiri" w:hAnsi="Amiri" w:eastAsia="Amiri" w:cs="Amiri"/>
          <w:color w:val="111111"/>
          <w:sz w:val="28"/>
          <w:sz w:val="28"/>
          <w:szCs w:val="28"/>
          <w:rtl w:val="true"/>
          <w:lang w:bidi="ar-SA"/>
        </w:rPr>
        <w:t>، فإنّها كما تُعمّم 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القَسامة لعلّة الحوط، يحتاط على النّاس لكي إذا رأى الفاجر عدوّه فرَّ منه مخافة القِصاص</w:t>
      </w:r>
      <w:r>
        <w:rPr>
          <w:rFonts w:eastAsia="Amiri" w:cs="Amiri" w:ascii="Amiri" w:hAnsi="Amiri"/>
          <w:color w:val="111111"/>
          <w:sz w:val="28"/>
          <w:szCs w:val="28"/>
          <w:rtl w:val="true"/>
          <w:lang w:bidi="ar-SA"/>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مشروعيّة القَسامة إنّما هي في ما إذا ترتّب عليها القِصاص، وهو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بريد،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حُقِن دماء المسلمين بالقَسامة، لكي إذا رأى الفاجر الفاسق فرصةً من عدوّه حَجَزه مخافة القَسامة أن يقتل به، فكفّ 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التخصيص به 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 القَسامة فيما إذا ادّعى الوليّ القتل على المسلم، لأنّه لو ثبت القتل لا قِوَد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ادّعى وليُّ الكافر المقتول على كافرٍ آخر، ثبُتت القَسامة فيه،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9" w:name="pg11384_112700"/>
    </w:p>
    <w:p>
      <w:pPr>
        <w:pStyle w:val="BookText"/>
        <w:rPr/>
      </w:pPr>
      <w:bookmarkEnd w:id="389"/>
      <w:r>
        <w:rPr>
          <w:rFonts w:ascii="Amiri" w:hAnsi="Amiri" w:eastAsia="Amiri" w:cs="Amiri"/>
          <w:color w:val="111111"/>
          <w:sz w:val="28"/>
          <w:sz w:val="28"/>
          <w:szCs w:val="28"/>
          <w:rtl w:val="true"/>
          <w:lang w:bidi="ar-SA"/>
        </w:rPr>
        <w:t>والأعضاء الموجبة للدِّية كالنفس،</w:t>
      </w:r>
    </w:p>
    <w:p>
      <w:pPr>
        <w:pStyle w:val="Heading4"/>
        <w:numPr>
          <w:ilvl w:val="3"/>
          <w:numId w:val="1"/>
        </w:numPr>
        <w:rPr/>
      </w:pPr>
      <w:bookmarkStart w:id="390" w:name="__RefHeading___Toc283583_73709187"/>
      <w:bookmarkStart w:id="391" w:name="_Toc134"/>
      <w:bookmarkEnd w:id="390"/>
      <w:r>
        <w:rPr>
          <w:rtl w:val="true"/>
        </w:rPr>
        <w:t>ثبوت القَسامة في الجروح</w:t>
      </w:r>
      <w:bookmarkEnd w:id="39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الموجبة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بل عليه إجماعنا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xml:space="preserve">على ما حكاه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 xml:space="preserve">، وهو أيضاً ظاهرُ غيره وهو الحجّة،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صحيح يونس،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أفتى به أمير المؤمنين عليه السلام في الديات، فممّا أفتى به في الجسد وجعله ستّ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والبصر، والسمع، والكلام، ونقص الصوت من الغنن، والبحح، والشلل في اليدين والرِّجلين، ثمّ جَعَل مع كلّ شيء من هذه قَسامة على نحو ما بلغت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في النفس والسمع والبصر والعقل، والصوت من الغنن والبحح، ونقص اليدين والرِّجلين، فهو ستّة أجزاء الرّجل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اُصيبَ الرّجل من هذه الأجزاء الستّة وقيس ذلك، فإن كان سُدسُ بَصره أو سَمعه أو كلامه أو غير ذلك، حلف هو وحده، وإنْ كان ثُلثُ بَصره، حَلف هو وحَلِف معه رجلٌ واحد، وإنْ كان نصفُ بَصره، حَلِف هو وحَلِف معه </w:t>
      </w:r>
    </w:p>
    <w:p>
      <w:pPr>
        <w:pStyle w:val="BookText"/>
        <w:rPr/>
      </w:pPr>
      <w:r>
        <w:rPr>
          <w:rFonts w:ascii="Amiri" w:hAnsi="Amiri" w:eastAsia="Amiri" w:cs="Amiri"/>
          <w:color w:val="111111"/>
          <w:sz w:val="28"/>
          <w:sz w:val="28"/>
          <w:szCs w:val="28"/>
          <w:rtl w:val="true"/>
          <w:lang w:bidi="ar-SA"/>
        </w:rPr>
        <w:t>ولو نَقَصَت فبالحساب،</w:t>
      </w:r>
    </w:p>
    <w:p>
      <w:pPr>
        <w:pStyle w:val="BookText"/>
        <w:rPr/>
      </w:pPr>
      <w:r>
        <w:rPr>
          <w:rFonts w:ascii="Amiri" w:hAnsi="Amiri" w:eastAsia="Amiri" w:cs="Amiri"/>
          <w:color w:val="111111"/>
          <w:sz w:val="28"/>
          <w:sz w:val="28"/>
          <w:szCs w:val="28"/>
          <w:rtl w:val="true"/>
          <w:lang w:bidi="ar-SA"/>
        </w:rPr>
        <w:t>رجلان، وإنْ كان ثُلثي بَصرِه، حَلِف هو وحَلِف معه ثلاثة نفر، وإنْ كان خمسة أسداس بَصره، حَلِف هو وحَلِف معه أربعة، وإنْ كان بصره كلّه، حَلِف هو وحَلِف معه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القَسامة في الجروح كلّها، فإنْ لم يكن للمصاب من يحلف معه ضوعفت عليه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كلّه حَلِف ستّ مرّات ثمّ يُعطى</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مختصٌّ بالدية، ولا دليل غيره لثبوت القِصاص في الأعضاء بها، ومقتضى القاعدة الاولية في باب القضاء من أنّ البيّنة على المُدّعي واليمين على المنكر، انحصار ثبوت الحقّ بهما، فلا يثبتُ القِصاص في الأعضاء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تقدّم في اعتبار اللّوث في القَسامة، اعتباره هنا أيضاً، مضافاً إلى أنّه المتسالم عليه بينهم، وعدم الإطلاق لصحيح يونس من هذه الجهة، والمتيقّن منه مورد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ذلك، لا دليل ظاهر 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عدد القَسامة فيها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92" w:name="pg11384_112702"/>
    </w:p>
    <w:p>
      <w:pPr>
        <w:pStyle w:val="BookText"/>
        <w:rPr/>
      </w:pPr>
      <w:bookmarkEnd w:id="392"/>
      <w:r>
        <w:rPr>
          <w:rFonts w:ascii="Amiri" w:hAnsi="Amiri" w:eastAsia="Amiri" w:cs="Amiri"/>
          <w:color w:val="111111"/>
          <w:sz w:val="28"/>
          <w:sz w:val="28"/>
          <w:szCs w:val="28"/>
          <w:rtl w:val="true"/>
          <w:lang w:bidi="ar-SA"/>
        </w:rPr>
        <w:t>ولا يثبُت اللَّوث بالفاسق الواحد، ولا الصَّبي، ولا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1773"/>
      </w:r>
      <w:r>
        <w:rPr>
          <w:rFonts w:ascii="Amiri" w:hAnsi="Amiri" w:eastAsia="Amiri" w:cs="Amiri"/>
          <w:color w:val="111111"/>
          <w:sz w:val="28"/>
          <w:sz w:val="28"/>
          <w:szCs w:val="28"/>
          <w:rtl w:val="true"/>
          <w:lang w:bidi="ar-SA"/>
        </w:rPr>
        <w:t>، وسلّار</w:t>
      </w:r>
      <w:r>
        <w:rPr>
          <w:rStyle w:val="FootnoteAnchor"/>
          <w:rtl w:val="true"/>
        </w:rPr>
        <w:footnoteReference w:id="1774"/>
      </w:r>
      <w:r>
        <w:rPr>
          <w:rFonts w:ascii="Amiri" w:hAnsi="Amiri" w:eastAsia="Amiri" w:cs="Amiri"/>
          <w:color w:val="111111"/>
          <w:sz w:val="28"/>
          <w:sz w:val="28"/>
          <w:szCs w:val="28"/>
          <w:rtl w:val="true"/>
          <w:lang w:bidi="ar-SA"/>
        </w:rPr>
        <w:t>، والحِلّي</w:t>
      </w:r>
      <w:r>
        <w:rPr>
          <w:rStyle w:val="FootnoteAnchor"/>
          <w:rtl w:val="true"/>
        </w:rPr>
        <w:footnoteReference w:id="1775"/>
      </w:r>
      <w:r>
        <w:rPr>
          <w:rFonts w:ascii="Amiri" w:hAnsi="Amiri" w:eastAsia="Amiri" w:cs="Amiri"/>
          <w:color w:val="111111"/>
          <w:sz w:val="28"/>
          <w:sz w:val="28"/>
          <w:szCs w:val="28"/>
          <w:rtl w:val="true"/>
          <w:lang w:bidi="ar-SA"/>
        </w:rPr>
        <w:t>، وأكثر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خمسين يميناً إن بلغت الجناية فيها الدِّية كاملة كالأنف واللِّسان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نَقَصَتْ فبالحساب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1776"/>
      </w:r>
      <w:r>
        <w:rPr>
          <w:rFonts w:ascii="Amiri" w:hAnsi="Amiri" w:eastAsia="Amiri" w:cs="Amiri"/>
          <w:color w:val="111111"/>
          <w:sz w:val="28"/>
          <w:sz w:val="28"/>
          <w:szCs w:val="28"/>
          <w:rtl w:val="true"/>
          <w:lang w:bidi="ar-SA"/>
        </w:rPr>
        <w:t xml:space="preserve">وأتباعه،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الإجماع عليه، وهو أنّ عَددها ستّ أيمان فيما بلغت ديته دية النفس وما كان دون ذلك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لصحيح يونس الذي هو المدرَك لثبوت القَسامة في الأعضاء</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83585_73709187"/>
      <w:bookmarkStart w:id="394" w:name="_Toc135"/>
      <w:bookmarkEnd w:id="393"/>
      <w:r>
        <w:rPr>
          <w:rtl w:val="true"/>
        </w:rPr>
        <w:t>موارد ثبوت اللّوث</w:t>
      </w:r>
      <w:bookmarkEnd w:id="3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اعتبار اللّوث في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التُّهمة على المُدّعى عليه بأمارةٍ يغلبُ عليها الظَّن نوعاً للحاكم بصدق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بعض موارده، وأيضاً في بعض الموارد وردت النصوص الخاصّة، ولذلك تصدّى المصنّف لبيان الحكم في تلكم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أخبر جماعةٌ من الفسّاق، أو النساء، مع الظَّن بانتفاء المواطاة، ثَبَت اللّوث، ولو كانوا كفّاراً أو صبياناً لم يثبت اللّوث، إلّاأن يبلغوا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اللّوث بالفاسق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الاحتمال معه متحقّقٌ على وجهٍ لايغلبُ الظّن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ولا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غير واحدٍ، وعلّلوه بعدم اعتبار إخبارهما شرعاً،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زيادة المرأة، وإنْ كانت ثقة، معلّلاً لها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التعليلات في المقام عليلة، إذ قد عرفت أنّ المدار على الظّن لا على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 والكافر في نفسها لا تفيد الظّن نوعاً، إلّا أنّه لو تمّ في الصَّبي لا يتمّ في الكافر المأمون في نحلته، مع أنّه يختلفُ الحال باختلاف الصبيان، بل وكذلك في الفاسق الواحد، إذ ربّ فاسقٍ يُظنّ من شهادته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أخبر جماعةٌ من الفسّاق، أو النساء مع الظّن بانتفاء المواطاة، ثبت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يحصل الظّن بإخبارهم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وُجِد قتيلاً في دار قومٍ‌، أو محلّتهم، أو قريتهم، كان لوثاً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صرّح به غير واحدٍ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كفّاراً، أو صبياناً لم يثبت اللّوث، إلّاأن يبلغوا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بلوغه حَدّ التواتر يوجبُ ثبوت القتل دون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بعدم ثبوت اللّوث، ما لم يبلغوا حَدّ التواتر، إذ بعدما صرّحوا به من أن الميزان هو حصول الظّن، وأنّه يحصلُ بالبداهة ولو في بعض مصاديقه، لا وجه لما أفادوه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هذه الموارد المذكورة لا يمكنُ أن يقال بعدم حصول اللّوث مطلقاً، وبالتالي فالأولى ما نبّه عليه 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من أنّه لو قيل بحصوله مع إفادتهم الظّن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قتيلاً في دار قومٍ‌، أو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المنفصلة عن البلد الكبير، لا يدخلها غير أهلها، وإن لم تكن بينه وبينهم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ويشهد 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قُتِل في قريةٍ أو قريباً من قرية، أن يغرم أهل تلك القرية إن لم توجد بيّنة على أهل تلك القرية أنّهم ما قتلوه</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وُجِد بين قريتين، وهو إلى إحداهما أقرب، فهو 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كان في الدِّية لا في اللّوث، إلّاأنّه يدلّ عليه بالدلالة الالتزاميّة، إذ لو لم يكن لوثٌ لما كان وجهٌ لتضمين أهل القرية، كما في صورة البيّنة على العدم، وكما في كلّ موردٍ وُجِد قتيلٌ ولم يعرف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قُتِل في قريةٍ أو قريباً من قرية، ولم توجد بيّنة على أهل تلك القرية أنّه قُتِل عندهم، فليس عليهم شيء</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مرسلٌ‌، وعلى فرض اعتباره الجمع بينهما بعد كون الأوّل قضيّة في واقعة، يتعدّى عن موردها إلى كلّ ما يماثلها، ومن المحتمل كون موردها القرية الصغيرة غير المطروقة، بحمل الأوّل على كون القرية كذلك، وحمل الثاني على القرية الكبيرة أو المطروقة، كما هو المشهور بالنسبة إلى تحقّق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بين قريتين، وهو إلى إحداهما أقربُ‌، فهو 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لأقربهما، بلاخلافٍ‌،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يوجد قتيلاً في القرية أو بين قريتين‌؟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ما بينهما، فأيّهما كانت أقرب ضَمِنت</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تساوتْ مَسافتهما تساويا في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في فلاةٍ وجُهِل قاتله، أو في عسكرٍ، أو سوقِ مدينةٍ‌، فديته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يوجد قتيلاً في القرية أو بين قريتين‌؟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ما بينهما فأيّهما كانت أقرب ضَمِنت</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 ما في السابق، إذ تضمين أهل القرية أقلّ ما يلزم منه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الدِّية حكمٌ غير القَسامة، فمن الممكن أنّه يكفي في وجوب الدِّية مجرّد الاحتمال ما لم تقم أمارة مثبتة على عدم القتل، وأمّا القَسامة فيعتبر فيها اللّوث المتوقّف على غلبة الظّن، وعليه فالاستدلال بنصوص الدِّية على ثبوت اللّوث غير وجيه، ولعلّه لذلك اشترط الشهيد رحمه الله</w:t>
      </w:r>
      <w:r>
        <w:rPr>
          <w:rStyle w:val="FootnoteAnchor"/>
          <w:rtl w:val="true"/>
        </w:rPr>
        <w:footnoteReference w:id="1785"/>
      </w:r>
      <w:r>
        <w:rPr>
          <w:rFonts w:ascii="Amiri" w:hAnsi="Amiri" w:eastAsia="Amiri" w:cs="Amiri"/>
          <w:color w:val="111111"/>
          <w:sz w:val="28"/>
          <w:sz w:val="28"/>
          <w:szCs w:val="28"/>
          <w:rtl w:val="true"/>
          <w:lang w:bidi="ar-SA"/>
        </w:rPr>
        <w:t>العداوة في جميع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بالتهمة الظاهرة، ومآلهما إلى اعتبار وجود أمارةٍ للقتل موجبة للظّن، ولا بأس به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تساوت مسافتهما، تساويا في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العداوة بينه وبين أهلهما جميعاً، أو كان لا يطرقهما غير أهلهما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95" w:name="pg11384_112707"/>
    </w:p>
    <w:p>
      <w:pPr>
        <w:pStyle w:val="BookText"/>
        <w:rPr/>
      </w:pPr>
      <w:bookmarkEnd w:id="395"/>
      <w:r>
        <w:rPr>
          <w:rFonts w:ascii="Amiri" w:hAnsi="Amiri" w:eastAsia="Amiri" w:cs="Amiri"/>
          <w:color w:val="111111"/>
          <w:sz w:val="28"/>
          <w:sz w:val="28"/>
          <w:szCs w:val="28"/>
          <w:rtl w:val="true"/>
          <w:lang w:bidi="ar-SA"/>
        </w:rPr>
        <w:t>وأمّا إذا كانت العداوة بينه وبين أهل إحداهما دون الأُخرى‌، كان اللّوث لها وإنْ كانت أبعد، كما صرّح به الحِلّي، ونَفى عنه البأس جماعة من المتأخّرين عنه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83587_73709187"/>
      <w:bookmarkStart w:id="397" w:name="_Toc136"/>
      <w:bookmarkEnd w:id="396"/>
      <w:r>
        <w:rPr>
          <w:rtl w:val="true"/>
        </w:rPr>
        <w:t>مورد ثبوت الدِّية على بيت المال</w:t>
      </w:r>
      <w:bookmarkEnd w:id="39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فلاةٍ‌، وجُهل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اللّوث بالنسبة إلى شخصٍ خاص أو جماعةٍ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عسكرٍ، أو سوق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زحام النّاس، أو على قنطرةٍ‌، أو جسرٍ، أو بئرٍ،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يُظنّ القتل من شخصٍخاصّ‌، أو جماعة معيّنة، أوقرية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عدّة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وعبد اللّه بن بكير، جميعاً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وُجِد مقتولاً لا يُدرى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له أولياء يطلبون ديته، أُعطوا ديته من بيت مال المسلمين، ولا يبطل دم إمرئ مسلم، لأنّ ميراثه للإمام، فكذلك تكون ديته على الإمام، ويصلّون عليه ويدفنونه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رجلٍ زحمه النّاس يوم الجمعة في زحام النّاس فمات؛ 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انتفاء اللّوث يكونُ الدّعوى فيه كغيرها من الدَّعاوى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ازدحم النّاس يوم الجمعة في إمرة عليّ عليه السلام بالكوفة فَقَتلوا رجلاً، فودّى ديته إلى أهله من بيت مال المسلمين</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الهايشات عقلٌ ولا قصاص، والهايشات الفزعة تقعُ باللّيل والنهار فيشجّ الرّجل فيها، أو يقعُ قتيلٌ لا يُدرى من قتله وشجّه</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الآخر 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زحام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نحوه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زحام جمعةٍ‌، أو عيدٍ، أو عرفةٍ‌، أو على بئرٍ، أو جسرٍ لا يعلمون مَن قَتَله فديته من بيت المال</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مسعدة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قُتِل في عسكرٍ، أو سوق مدينةٍ‌، فديته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تُدفع إلى أوليائه من بيت المال</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انتفاء اللّوث يكون الدّعوى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الدَّعاوى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أنّ ما دلّ على أنّ القتل يفارق سائر الحقوق من ناحية أنّ المُطالَب بالبيّنة فيه هو المُدّعى عليه، إنّما هو في فرض ثبوت اللّوث، وأمّامع عدمه فالحكم هو ما دلّ على أنّ القاعدة الحقوق كلّها أنّ البيّنة على المُدّعي واليمينُ على المُدّعى عليه، راجع ما ذكرناه في اعتبار اللّوث في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رجلٌ بالقتل، حُبس ستّة أيّام، فإنْ لم يأتِ أولياء المقتول بما يثبتُ به القتل، خُلّى سبيله، كما عن الشيخ رحمه الله</w:t>
      </w:r>
      <w:r>
        <w:rPr>
          <w:rStyle w:val="FootnoteAnchor"/>
          <w:rtl w:val="true"/>
        </w:rPr>
        <w:footnoteReference w:id="1794"/>
      </w:r>
      <w:r>
        <w:rPr>
          <w:rFonts w:ascii="IRNazanin" w:hAnsi="IRNazanin" w:eastAsia="IRNazanin"/>
          <w:color w:val="111111"/>
          <w:sz w:val="28"/>
          <w:sz w:val="28"/>
          <w:szCs w:val="28"/>
          <w:rtl w:val="true"/>
          <w:lang w:bidi="fa-IR"/>
        </w:rPr>
        <w:t>، وأتباعه</w:t>
      </w:r>
      <w:r>
        <w:rPr>
          <w:rStyle w:val="FootnoteAnchor"/>
          <w:rtl w:val="true"/>
        </w:rPr>
        <w:footnoteReference w:id="1795"/>
      </w:r>
      <w:r>
        <w:rPr>
          <w:rFonts w:ascii="Amiri" w:hAnsi="Amiri" w:eastAsia="Amiri" w:cs="Amiri"/>
          <w:color w:val="111111"/>
          <w:sz w:val="28"/>
          <w:sz w:val="28"/>
          <w:szCs w:val="28"/>
          <w:rtl w:val="true"/>
          <w:lang w:bidi="ar-SA"/>
        </w:rPr>
        <w:t>، والطبرسي</w:t>
      </w:r>
      <w:r>
        <w:rPr>
          <w:rStyle w:val="FootnoteAnchor"/>
          <w:rtl w:val="true"/>
        </w:rPr>
        <w:footnoteReference w:id="179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يحبس في تهمة الدَّم ستّة أيّام، فإن جاء أولياء المقتول بثبتٍ وإلّا خُلّى سبيله</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الدَّم يشملُ الجَرح والقَتل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السكوني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مراراً أنّه يُعتمد على خبره، وقد ادّعى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الإجماع على العمل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بالتماس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إطلاق الرواية، ويمكن أن يكون وجهه كونه حقّاً للوليّ‌، فيكون ذلك من اعتبار طلب ذي الحقّ في الأخذ له بحقّه،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هذا الحكم، نظراً</w:t>
      </w:r>
    </w:p>
    <w:p>
      <w:pPr>
        <w:pStyle w:val="BookText"/>
        <w:rPr/>
      </w:pPr>
      <w:r>
        <w:rPr>
          <w:rFonts w:ascii="Amiri" w:hAnsi="Amiri" w:eastAsia="Amiri" w:cs="Amiri"/>
          <w:color w:val="111111"/>
          <w:sz w:val="28"/>
          <w:sz w:val="28"/>
          <w:szCs w:val="28"/>
          <w:rtl w:val="true"/>
          <w:lang w:bidi="ar-SA"/>
        </w:rPr>
        <w:t>إلى كونه من تعجيل العقوبة قبل ثبوت موجبها، ومخالفته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تامّان لو لم يكن خبر السكوني معتبراً، كما أفاده الحِلّي،</w:t>
      </w:r>
      <w:r>
        <w:rPr>
          <w:rStyle w:val="FootnoteAnchor"/>
          <w:rtl w:val="true"/>
        </w:rPr>
        <w:footnoteReference w:id="1803"/>
      </w:r>
      <w:r>
        <w:rPr>
          <w:rFonts w:ascii="Amiri" w:hAnsi="Amiri" w:eastAsia="Amiri" w:cs="Amiri"/>
          <w:color w:val="111111"/>
          <w:sz w:val="28"/>
          <w:sz w:val="28"/>
          <w:szCs w:val="28"/>
          <w:rtl w:val="true"/>
          <w:lang w:bidi="ar-SA"/>
        </w:rPr>
        <w:t>وإلّا فيخرج به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الحبس مع وجود التُّهمة في نظر الحاكم، عملاً بالرواية، وتحفّظاً عن الإتلاف، لا مع حصولها لغيره عملاً بالأصل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تقييدٌ حَسنٌ‌، ويشيرُ إليه قوله في تهمة الدَّم، إذ ليس المراد منه الحبس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كلّ موردٍ اتَّهم شخصٌ آخر، فلا محالة يكون المراد هو التُّهمة عنده صلى الله عليه و آله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 الطاهرين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1384_112713"/>
      <w:bookmarkStart w:id="399" w:name="pg11384_112713"/>
      <w:bookmarkEnd w:id="399"/>
    </w:p>
    <w:p>
      <w:pPr>
        <w:pStyle w:val="Heading2"/>
        <w:numPr>
          <w:ilvl w:val="1"/>
          <w:numId w:val="1"/>
        </w:numPr>
        <w:rPr/>
      </w:pPr>
      <w:bookmarkStart w:id="400" w:name="pg11384_112713"/>
      <w:bookmarkStart w:id="401" w:name="__RefHeading___Toc283589_73709187"/>
      <w:bookmarkStart w:id="402" w:name="_Toc137"/>
      <w:bookmarkEnd w:id="400"/>
      <w:bookmarkEnd w:id="401"/>
      <w:r>
        <w:rPr>
          <w:rtl w:val="true"/>
        </w:rPr>
        <w:t>فهرس الموضوعات</w:t>
      </w:r>
      <w:bookmarkEnd w:id="402"/>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مسائل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لا يَحِلُّ للشاهد أن يشهد إلّامع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البناء في الشّهادة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البناء في الشّهادة على الشِّياع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لا يُعتبر في جواز الشّهادة استدعاء المشهود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حرمة كتمان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وجوب تحمّل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يعتبر في الشّهادة معرفة المشهود له أو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رجوع الشهود عن الشّهادة قبل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رجوع الشهود بعد القضاء والاستيفاء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رجوع الشهود قبل الاستيفاء وبعد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رجوع الشهود عن الشّهادة بالطلاق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شاهد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الحُدود والتعزيرات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يتحقّق به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يعتبر في ثبوت الحَدّ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اعتبار العلم بالتحريم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سقوط الحَدّ مع الإكراه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فروع 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الأعمى يُحَدّ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الإقرار المُثبِت للزِّنا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أقرّ بحَدٍّ ولم يُبيِّنه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البيّنة المُثبتة للزِّنا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اعتبار الاتّفاق والمشاهدة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 التقبيل والمضاجعة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لو أقرّ بالزّنا ثمّ أنكر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حَدّ الزّاني بإحدى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بيان حَدّ اليهودي أو النصراني إذا زنى بمسلمة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بيان حَدّ الزّاني الُمحصَّن، والزانية الُمحصَّنة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بيان موضوع الإحصان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بيان حَدّ الزّاني 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لو تكرّر الزِّنا من 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إقامة الحَدّ على الذِّمي والحامل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حَدّ على المريض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يُقام الحَدّ في شِدّة الحَرّ والبرد، ولا في أرض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لو اجتمع الجَلدُ والرَّجم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كيفيّة رجم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كيفيّة جَلد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 وجد رجلاً يزني مع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بيان حَدّ اللّواط مع الإيقاب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حَدّ اللّواط بغير الإيقاب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حَدّ اجتماع الأجنبيّين في إزارٍ واحد مُجرَّدين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حَدّ السُّحق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حَدّ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موجب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كميّة حَدّ القاذف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فروع باب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حكمُ ما لو قَذَف واحدٌ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الحَدّ يورث كالمال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وجوب قتل مَن سَبَّ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متناول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حَدّ شارب الخمر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شَرِب الخَمر مُستحلّاً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توبة الشارب قبل أن يُحدّ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اعتبار كون المال محرزاً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المسروق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بيان حَدّ السارق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تكرّرت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مستثنيات قطع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السّارق من المواضع المتناوبة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حكم سارق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حكم السرقة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ما لو هتك الحِرز شخص ٌ وأخرج المال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بيان ما يثبت به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قطع السّارق موقوفٌ على المرافعة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كيفيّة حَدّ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أحكام اللِّص إذا دخل 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كابر امرأة على فرجها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حكم الُمختلس والمُستَلب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وطء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حَدّ وطء الميّتة من بنات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الإستمناء موجبُ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البحث عن القتل العَمدي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شبيه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لا فرق بين القتل بالمباشرة أو 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الموت بالإلقاء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موتُ الَمجنيّ عليه بالسِّراية اتّفاقاً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حكمُ ما لو كان الجارح والقاتل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الإكراه على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لو قال اقتلني فَقَتله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لو أمر بقَتل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لو أمسكه شخصٌ وقَتَله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إشتراط التساوي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ما لو كان القاتلُ كافراً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حكم قتل الذِّمي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حكمُ اختلاف حالتي المجنيّ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حكمُ قتل من وَجَب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جناية الذِّمي خطأً في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اشتراط أن لا يكون القاتل أباً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لو قتل شخصاً وادّعى أنّه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لو قتل الرّجل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اشتراط 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حكم البالغ إذا قتل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حكم قتل العاقل مجنوناً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لو كان القاتلُ سكراناً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لو كان القاتلُ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اشتراط كون المقتول محقون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اشتراك جماعةٍ في قتل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اشتراك الرّجل والمرأة في قتل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لو أقرّ شخصٌ بالقتل وأقرَّ آخر أنّه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لو أقرّ شخصٌ بالقَتل عَمداً وأقرّ آخر به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ثبوت القتل 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ثبوتُ القَتل بشاهدٍ وامرأتين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لو قامت بيّنةٌ على أنّ زيداً قاتلٌ وأُخرى على أنّه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حكم تعارض البيّنة والإقرار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اللّوث واعتباره في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القَسامة وكميتها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ثبوت القَسامة على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ثبوت القَسامة في الجروح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موارد ثبوت اللّوث</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مورد ثبوت الدِّية على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الرياض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وقد يظهر ذلك من بعض الروايات التي رواها في الفقيه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يَجِبُ رَدُّ شَهَادَتِهِ وَمَنْ يَجِبُ قَبُولُ شَهَادَتِه، وما بعده في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وأنّ الصَّدوق قال في أوائل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يروي فيه إلّاما يفتي به ويحكم بصحته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كتاب القضاء للرشتي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16/1034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فهد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حفص بن غياث المتقدّم قبل صفحات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فى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والحلّى فى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والمحقّق فى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وعلى إشكال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الإستفاضة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ليثوي بها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خدوش، 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المسألة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الصَّدوق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فى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والعلّامة فى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والشهيد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حديث الضرار في أبواب مختلفة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الشفعة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الإضرار بالمسلم 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وغيرهم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كتاب الشهادات ح </w:t>
      </w:r>
      <w:r>
        <w:rPr>
          <w:rFonts w:eastAsia="IRNazanin" w:cs="IRNazanin"/>
          <w:b w:val="false"/>
          <w:bCs w:val="false"/>
          <w:i w:val="false"/>
          <w:iCs w:val="false"/>
          <w:color w:val="333333"/>
          <w:sz w:val="20"/>
          <w:szCs w:val="20"/>
        </w:rPr>
        <w:t>33827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عَلِمَبِشَهَادَةٍ وَلَمْ يُشْهَدْ عَلَيْهَا جَازَ لَهُ أَنْ يَشْهَدَ بِهَا وَلَمْ يَجِبْ عَلَيْهِ إِلَّا أَنْ يَخَافَ ضَيَاعَ حَقِّ الْمَظْلُوم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في وجوب تحمّل الشّهادة وشرائطه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دعي من له أهليّة التحمّل وجب عليه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باب كيفيّة الشّهادة و كيفيّة إقامتها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المبسوط نعم نسب إليه ذلك حال الإحرام، وأغلب الحكايات عن الحِلّي كما عرفت، ولكن في 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بعد الحِلّي إلى جماعة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ابن إدريس وجماعة إلى عدم الوجوب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8/521</w:t>
      </w:r>
      <w:r>
        <w:rPr>
          <w:rFonts w:ascii="IRNazanin" w:hAnsi="IRNazanin" w:eastAsia="IRNazanin"/>
          <w:b w:val="false"/>
          <w:b w:val="false"/>
          <w:bCs w:val="false"/>
          <w:i w:val="false"/>
          <w:i w:val="false"/>
          <w:iCs w:val="false"/>
          <w:color w:val="333333"/>
          <w:sz w:val="20"/>
          <w:sz w:val="20"/>
          <w:szCs w:val="20"/>
          <w:rtl w:val="true"/>
        </w:rPr>
        <w:t>، وإيضاح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التفاصيل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عقوبة للآدميّين وحقّه تعالى تابعٌ كالقذف والسَّرقة ففيه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5/9250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والعلّامة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34067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14/297</w:t>
      </w:r>
      <w:r>
        <w:rPr>
          <w:rFonts w:ascii="IRNazanin" w:hAnsi="IRNazanin" w:eastAsia="IRNazanin"/>
          <w:b w:val="false"/>
          <w:b w:val="false"/>
          <w:bCs w:val="false"/>
          <w:i w:val="false"/>
          <w:i w:val="false"/>
          <w:iCs w:val="false"/>
          <w:color w:val="333333"/>
          <w:sz w:val="20"/>
          <w:sz w:val="20"/>
          <w:szCs w:val="20"/>
          <w:rtl w:val="true"/>
        </w:rPr>
        <w:t>، والمحقّق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 القواعد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ح </w:t>
      </w:r>
      <w:r>
        <w:rPr>
          <w:rFonts w:eastAsia="IRNazanin" w:cs="IRNazanin"/>
          <w:b w:val="false"/>
          <w:bCs w:val="false"/>
          <w:i w:val="false"/>
          <w:iCs w:val="false"/>
          <w:color w:val="333333"/>
          <w:sz w:val="20"/>
          <w:szCs w:val="20"/>
        </w:rPr>
        <w:t>35006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من نفس الباب،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والقيادة ح </w:t>
      </w:r>
      <w:r>
        <w:rPr>
          <w:rFonts w:eastAsia="IRNazanin" w:cs="IRNazanin"/>
          <w:b w:val="false"/>
          <w:bCs w:val="false"/>
          <w:i w:val="false"/>
          <w:iCs w:val="false"/>
          <w:color w:val="333333"/>
          <w:sz w:val="20"/>
          <w:szCs w:val="20"/>
        </w:rPr>
        <w:t>34479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إليها في ضمن المسائل الآتية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في أجوبة السؤالات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في الجزء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ح </w:t>
      </w:r>
      <w:r>
        <w:rPr>
          <w:rFonts w:eastAsia="IRNazanin" w:cs="IRNazanin"/>
          <w:b w:val="false"/>
          <w:bCs w:val="false"/>
          <w:i w:val="false"/>
          <w:iCs w:val="false"/>
          <w:color w:val="333333"/>
          <w:sz w:val="20"/>
          <w:szCs w:val="20"/>
        </w:rPr>
        <w:t>34187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إقامة الحدود من إليه الحكم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في النفس ح </w:t>
      </w:r>
      <w:r>
        <w:rPr>
          <w:rFonts w:eastAsia="IRNazanin" w:cs="IRNazanin"/>
          <w:b w:val="false"/>
          <w:bCs w:val="false"/>
          <w:i w:val="false"/>
          <w:iCs w:val="false"/>
          <w:color w:val="333333"/>
          <w:sz w:val="20"/>
          <w:szCs w:val="20"/>
        </w:rPr>
        <w:t>35224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الحدودح </w:t>
      </w:r>
      <w:r>
        <w:rPr>
          <w:rFonts w:eastAsia="IRNazanin" w:cs="IRNazanin"/>
          <w:b w:val="false"/>
          <w:bCs w:val="false"/>
          <w:i w:val="false"/>
          <w:iCs w:val="false"/>
          <w:color w:val="333333"/>
          <w:sz w:val="20"/>
          <w:szCs w:val="20"/>
        </w:rPr>
        <w:t>34179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المقتصر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ح </w:t>
      </w:r>
      <w:r>
        <w:rPr>
          <w:rFonts w:eastAsia="IRNazanin" w:cs="IRNazanin"/>
          <w:b w:val="false"/>
          <w:bCs w:val="false"/>
          <w:i w:val="false"/>
          <w:iCs w:val="false"/>
          <w:color w:val="333333"/>
          <w:sz w:val="20"/>
          <w:szCs w:val="20"/>
        </w:rPr>
        <w:t>34422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الحَدّ عن المستكرهة على الزّنا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الواردة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34202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في أبحاث الإقرار،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يتجاوز المائة ولا ينقص عن ثمانين، وهو جيّد في طرف الكثرة لا القلّة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حتّى ينهى عن نفسه، أو يبلغ المائة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21866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الزّنا لا يثبت إلّابأربعة شهود يشهدون عليمعاينة الإيلاج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33936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البحث الأوّل من بحوث البيّنة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وذهب الى الرأي الأوّل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14/249</w:t>
      </w:r>
      <w:r>
        <w:rPr>
          <w:rFonts w:ascii="IRNazanin" w:hAnsi="IRNazanin" w:eastAsia="IRNazanin"/>
          <w:b w:val="false"/>
          <w:b w:val="false"/>
          <w:bCs w:val="false"/>
          <w:i w:val="false"/>
          <w:i w:val="false"/>
          <w:iCs w:val="false"/>
          <w:color w:val="333333"/>
          <w:sz w:val="20"/>
          <w:sz w:val="20"/>
          <w:szCs w:val="20"/>
          <w:rtl w:val="true"/>
        </w:rPr>
        <w:t>، والعبارة منقولة معنىً لا لفظاً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نفس الباب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رواية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 </w:t>
      </w:r>
      <w:r>
        <w:rPr>
          <w:rFonts w:eastAsia="IRNazanin" w:cs="IRNazanin"/>
          <w:b w:val="false"/>
          <w:bCs w:val="false"/>
          <w:i w:val="false"/>
          <w:iCs w:val="false"/>
          <w:color w:val="333333"/>
          <w:sz w:val="20"/>
          <w:szCs w:val="20"/>
        </w:rPr>
        <w:t>34308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23/276</w:t>
      </w:r>
      <w:r>
        <w:rPr>
          <w:rFonts w:ascii="IRNazanin" w:hAnsi="IRNazanin" w:eastAsia="IRNazanin"/>
          <w:b w:val="false"/>
          <w:b w:val="false"/>
          <w:bCs w:val="false"/>
          <w:i w:val="false"/>
          <w:i w:val="false"/>
          <w:iCs w:val="false"/>
          <w:color w:val="333333"/>
          <w:sz w:val="20"/>
          <w:sz w:val="20"/>
          <w:szCs w:val="20"/>
          <w:rtl w:val="true"/>
        </w:rPr>
        <w:t>، الحديث الحادي عشر، وملاذ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34270</w:t>
      </w:r>
      <w:r>
        <w:rPr>
          <w:rFonts w:ascii="IRNazanin" w:hAnsi="IRNazanin" w:eastAsia="IRNazanin"/>
          <w:b w:val="false"/>
          <w:b w:val="false"/>
          <w:bCs w:val="false"/>
          <w:i w:val="false"/>
          <w:i w:val="false"/>
          <w:iCs w:val="false"/>
          <w:color w:val="333333"/>
          <w:sz w:val="20"/>
          <w:sz w:val="20"/>
          <w:szCs w:val="20"/>
          <w:rtl w:val="true"/>
        </w:rPr>
        <w:t>، ومثله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 </w:t>
      </w:r>
      <w:r>
        <w:rPr>
          <w:rFonts w:eastAsia="IRNazanin" w:cs="IRNazanin"/>
          <w:b w:val="false"/>
          <w:bCs w:val="false"/>
          <w:i w:val="false"/>
          <w:iCs w:val="false"/>
          <w:color w:val="333333"/>
          <w:sz w:val="20"/>
          <w:szCs w:val="20"/>
        </w:rPr>
        <w:t>34357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قال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حصل الرّضاع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نقل الأقوال بالحرمة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في ذلك من المتوقّفين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يَحْرُمُ مِنَ الرَّضَاعِمَا يَحْرُمُ مِنَ النَّسَب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 أَنَّهُ رُفِعَ إِلَيْهِ رَجُلٌ وَقَعَ عَلَى امْرَأَةِ أَبِيهِ فَرَجَمَهُ وَكَانَ غَيْرَ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ذهب الى وجوب الرَّجم فقط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شابّين فعليهما الرَّجم بلا جلد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يشترط أن يكون مملّكاً؟ 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 في تفسير البِكر،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أملك ولم يدخل،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المحصن مطلقاً، سواء أملَك أو لا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كالشهيدين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الكبائر كلّها إذا أُقيم عليهم الحَدّ مرّتين، قُتلوا في الثالثة، وشارب الخمر في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34361</w:t>
      </w:r>
      <w:r>
        <w:rPr>
          <w:rFonts w:ascii="IRNazanin" w:hAnsi="IRNazanin" w:eastAsia="IRNazanin"/>
          <w:b w:val="false"/>
          <w:b w:val="false"/>
          <w:bCs w:val="false"/>
          <w:i w:val="false"/>
          <w:i w:val="false"/>
          <w:iCs w:val="false"/>
          <w:color w:val="333333"/>
          <w:sz w:val="20"/>
          <w:sz w:val="20"/>
          <w:szCs w:val="20"/>
          <w:rtl w:val="true"/>
        </w:rPr>
        <w:t xml:space="preserve">، وتقدّم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صفة الرَّجم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وما يتبعها ح </w:t>
      </w:r>
      <w:r>
        <w:rPr>
          <w:rFonts w:eastAsia="IRNazanin" w:cs="IRNazanin"/>
          <w:b w:val="false"/>
          <w:bCs w:val="false"/>
          <w:i w:val="false"/>
          <w:iCs w:val="false"/>
          <w:color w:val="333333"/>
          <w:sz w:val="20"/>
          <w:szCs w:val="20"/>
        </w:rPr>
        <w:t>17608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عن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التالي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تأخير إقامة الحَدّ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أُريد إقامة الحَدّ على الزّاني بالجلد أو الرَّجم، فينبغي أن يُعلم النّاس بالحضور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الثيب الزّاني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احكام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يكره أن يقيم الحَدّ في حقوق اللّه من للّه عليه حَدّ مثله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34197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34296</w:t>
      </w:r>
      <w:r>
        <w:rPr>
          <w:rFonts w:ascii="IRNazanin" w:hAnsi="IRNazanin" w:eastAsia="IRNazanin"/>
          <w:b w:val="false"/>
          <w:b w:val="false"/>
          <w:bCs w:val="false"/>
          <w:i w:val="false"/>
          <w:i w:val="false"/>
          <w:iCs w:val="false"/>
          <w:color w:val="333333"/>
          <w:sz w:val="20"/>
          <w:sz w:val="20"/>
          <w:szCs w:val="20"/>
          <w:rtl w:val="true"/>
        </w:rPr>
        <w:t>، و أيضاً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فى النفس ح </w:t>
      </w:r>
      <w:r>
        <w:rPr>
          <w:rFonts w:eastAsia="IRNazanin" w:cs="IRNazanin"/>
          <w:b w:val="false"/>
          <w:bCs w:val="false"/>
          <w:i w:val="false"/>
          <w:iCs w:val="false"/>
          <w:color w:val="333333"/>
          <w:sz w:val="20"/>
          <w:szCs w:val="20"/>
        </w:rPr>
        <w:t>35175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فى النفس ح </w:t>
      </w:r>
      <w:r>
        <w:rPr>
          <w:rFonts w:eastAsia="IRNazanin" w:cs="IRNazanin"/>
          <w:b w:val="false"/>
          <w:bCs w:val="false"/>
          <w:i w:val="false"/>
          <w:iCs w:val="false"/>
          <w:color w:val="333333"/>
          <w:sz w:val="20"/>
          <w:szCs w:val="20"/>
        </w:rPr>
        <w:t>35176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ح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34861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34438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35328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35329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34099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ح </w:t>
      </w:r>
      <w:r>
        <w:rPr>
          <w:rFonts w:eastAsia="IRNazanin" w:cs="IRNazanin"/>
          <w:b w:val="false"/>
          <w:bCs w:val="false"/>
          <w:i w:val="false"/>
          <w:iCs w:val="false"/>
          <w:color w:val="333333"/>
          <w:sz w:val="20"/>
          <w:szCs w:val="20"/>
        </w:rPr>
        <w:t>28963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في بعض ألفاظ الوسائل،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بابويه في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حاشية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بين لفظيهما،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اللّواطة الكبرى ضربة بالسّيف، أو هدمة، أو طرح الجدار، وهي الإيقاب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الصغرى مائة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اللّواطة هي التفخذ، وأنّ على فاعله القتل، والإيقاب الكفر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العمل على هذا، وإنّما العمل على الأولى في اللّواط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 </w:t>
      </w:r>
      <w:r>
        <w:rPr>
          <w:rFonts w:eastAsia="IRNazanin" w:cs="IRNazanin"/>
          <w:b w:val="false"/>
          <w:bCs w:val="false"/>
          <w:i w:val="false"/>
          <w:iCs w:val="false"/>
          <w:color w:val="333333"/>
          <w:sz w:val="20"/>
          <w:szCs w:val="20"/>
        </w:rPr>
        <w:t>25770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 </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34294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والقيادة ح </w:t>
      </w:r>
      <w:r>
        <w:rPr>
          <w:rFonts w:eastAsia="IRNazanin" w:cs="IRNazanin"/>
          <w:b w:val="false"/>
          <w:bCs w:val="false"/>
          <w:i w:val="false"/>
          <w:iCs w:val="false"/>
          <w:color w:val="333333"/>
          <w:sz w:val="20"/>
          <w:szCs w:val="20"/>
        </w:rPr>
        <w:t>34483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صحّة الإقرار من البالغ العاقل ولزومه منه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قذف الصغير الكبير وبالعكس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قذف الصغير الكبير وبالعكس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حَدّ القاذف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أقرّ بولد ثُمّ نفاه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القضاء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34564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34589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من سَبّ النبيّ صلى الله عليه و آله وغيره من الأنبياء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في التجارة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28/337</w:t>
      </w:r>
      <w:r>
        <w:rPr>
          <w:rFonts w:ascii="IRNazanin" w:hAnsi="IRNazanin" w:eastAsia="IRNazanin"/>
          <w:b w:val="false"/>
          <w:b w:val="false"/>
          <w:bCs w:val="false"/>
          <w:i w:val="false"/>
          <w:i w:val="false"/>
          <w:iCs w:val="false"/>
          <w:color w:val="333333"/>
          <w:sz w:val="20"/>
          <w:sz w:val="20"/>
          <w:szCs w:val="20"/>
          <w:rtl w:val="true"/>
        </w:rPr>
        <w:t>، باب حكم من شتم النبيّ صلى الله عليه و آله أو ادّعى النبوّة كاذباً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السّحر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حَدّ الشرب ثمانون جلدة وإن شرب قليلاً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الفقاع إذا غلى‌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العصير العنبي والتمري وغيرهما إذا غلى ولم يذهب ثُلثاه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حَدّ الزّنا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التقيّة في شرب المسكرات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شارب الخمر والنبيذ ونحوهما يُقتل في الثالثة بعد جَلد مرّتين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الضروري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صاحب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أبواب كيفيّة الحكم في القضاء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قبول شهادة الشريك لشريكه فيما هو شريك فيه، وقبولها في غيره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قطع على الأجير الذي لا يحرز المال من دونه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نقب بيتاً لم يجب عليه القطع قبل أن يخرج المتاع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القِصاص على الولد إذا قتل أباه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يقطع سارق الطير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قطع في سرقة الحجارة من الرخام ونحوه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قطع في سرقة الحجارة من الرخام ونحوها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سرق قُطعت يده اليمنى وإن ثانية قطعت رجله اليسرى‌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القطع وكيفيّته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الشرح الصغير في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من سرق قطعت يده اليمنى وإن سرق ثانية قطعت رجله اليسرى‌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لايقطع الضيف ولكن يقطع ضيف الضيف إذا سرق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السّارق يلزمه القطع ويغرم ما أخذ وتجب عليه التوبة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قطع على المختلس علانية وعليه التعزير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النبّاش</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34829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القِصاص على الولد إذا قتل أباه أو أُمّه وعدم ثبوت القِصاص على الأب إذا قتل الولد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الأخذ من مال الولد والأب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ح </w:t>
      </w:r>
      <w:r>
        <w:rPr>
          <w:rFonts w:eastAsia="IRNazanin" w:cs="IRNazanin"/>
          <w:b w:val="false"/>
          <w:bCs w:val="false"/>
          <w:i w:val="false"/>
          <w:iCs w:val="false"/>
          <w:color w:val="333333"/>
          <w:sz w:val="20"/>
          <w:szCs w:val="20"/>
        </w:rPr>
        <w:t>34831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الحَدّ عن المستكرهة على الزّنا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قتل شخصا ثمّ ادّعى أنّه دخل بيته بغير إذنه أو رآه يزني بزوجته ثبت القِصاص</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أراد الزّنا بإمرأة فدفعته عن نفسها فقتلته فلا شيء عليها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قتل شخصاً ثمّ ادّعى أنّه دخل بيته بغير إذنه أو رآه يزني بزوجته ثبت القِصاص</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قطع على المختلس وعليه التعزير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تعزير ناكح البهيمة وجملة من أحكامه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في القضاء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41/430</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الحِلّي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ويثبت هذا الحكم بشهادة عدلين أو الإقرار ولو مرّة، وعدّة آخرين كذلك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للمشهور واعتبره الأوفق بالعمومات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صحّة الإقرار من البالغ العاقل ولزومه 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تجوز شهادة النساء فيه وما لا تجوز</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وعمّا عن الانتصار والسرائر من الإجماع على تحقّق الزّناء بوطء الميتة الأجنبيّة بلا شبهة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في القضاء</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الزّنا لا يثبت إلّابمن يشهدون على معاينة الإيلاج</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في القضاء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35092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35124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35125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35190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35198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35197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باب الحكم بالقرعة في القضايا المشكلة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35859</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35180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الشهيد عن الرواية بأنّه لم نقف عليها بخصوصها،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38/257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غير البالغ وغير العاقل في القِصاص</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حَدّ لمن لا حَدّ عليه كالمجنون يقذف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قدس سره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الشهيد في المسالك إلى ثبوت القود 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رواية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قتل قصاصاً فلا دية له ولا قصاص</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ح </w:t>
      </w:r>
      <w:r>
        <w:rPr>
          <w:rFonts w:eastAsia="IRNazanin" w:cs="IRNazanin"/>
          <w:b w:val="false"/>
          <w:bCs w:val="false"/>
          <w:i w:val="false"/>
          <w:iCs w:val="false"/>
          <w:color w:val="333333"/>
          <w:sz w:val="20"/>
          <w:szCs w:val="20"/>
        </w:rPr>
        <w:t>35426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صحّة الإقرار من البالغ العاقل ولزومه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35855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لم يصرّح بالإجماع</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النسبة حكاية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38/162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38/427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38/362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يبرحوا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حمزة في القَسامة حيث ذهب أنّها إنْ كانت محضة فهي خمسون يميناً، وإنْ كان القاتل معه شاهدواحد فخمس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38/173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عبّر بعندنا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75551</Words>
  <Characters>337464</Characters>
  <CharactersWithSpaces>409212</CharactersWithSpaces>
  <Paragraphs>4282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2026-08-21T20:24:55Z</dcterms:created>
  <dc:creator>ghaemiyeh.com</dc:creator>
  <dc:description/>
  <dc:language>en-US</dc:language>
  <cp:lastModifiedBy/>
  <dcterms:modified xsi:type="dcterms:W3CDTF">2026-08-21T23:55:14Z</dcterms:modified>
  <cp:revision>1</cp:revision>
  <dc:subject/>
  <dc:title>فقه الصادق علیه السلام جلد 39</dc:title>
</cp:coreProperties>
</file>

<file path=docProps/custom.xml><?xml version="1.0" encoding="utf-8"?>
<Properties xmlns="http://schemas.openxmlformats.org/officeDocument/2006/custom-properties" xmlns:vt="http://schemas.openxmlformats.org/officeDocument/2006/docPropsVTypes"/>
</file>